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60" w:right="1360" w:hanging="452"/>
        <w:spacing w:after="0" w:line="261"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2021</w:t>
      </w:r>
    </w:p>
    <w:p>
      <w:pPr>
        <w:ind w:left="572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60" w:right="1360" w:hanging="452"/>
        <w:spacing w:after="0" w:line="493"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 to _________</w:t>
      </w:r>
    </w:p>
    <w:tbl>
      <w:tblPr>
        <w:tblLayout w:type="fixed"/>
        <w:tblInd w:w="9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0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0"/>
              </w:rPr>
              <w:t>Commission File Number 001-09097</w:t>
            </w:r>
          </w:p>
        </w:tc>
      </w:tr>
      <w:tr>
        <w:trPr>
          <w:trHeight w:val="216"/>
        </w:trPr>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0" w:type="dxa"/>
            <w:vAlign w:val="bottom"/>
            <w:tcBorders>
              <w:bottom w:val="single" w:sz="8" w:color="auto"/>
            </w:tcBorders>
            <w:gridSpan w:val="2"/>
          </w:tcPr>
          <w:p>
            <w:pPr>
              <w:spacing w:after="0"/>
              <w:rPr>
                <w:sz w:val="18"/>
                <w:szCs w:val="18"/>
                <w:color w:val="auto"/>
              </w:rPr>
            </w:pPr>
          </w:p>
        </w:tc>
        <w:tc>
          <w:tcPr>
            <w:tcW w:w="3700" w:type="dxa"/>
            <w:vAlign w:val="bottom"/>
          </w:tcPr>
          <w:p>
            <w:pPr>
              <w:spacing w:after="0"/>
              <w:rPr>
                <w:sz w:val="18"/>
                <w:szCs w:val="18"/>
                <w:color w:val="auto"/>
              </w:rPr>
            </w:pPr>
          </w:p>
        </w:tc>
      </w:tr>
      <w:tr>
        <w:trPr>
          <w:trHeight w:val="272"/>
        </w:trPr>
        <w:tc>
          <w:tcPr>
            <w:tcW w:w="2360" w:type="dxa"/>
            <w:vAlign w:val="bottom"/>
          </w:tcPr>
          <w:p>
            <w:pPr>
              <w:spacing w:after="0"/>
              <w:rPr>
                <w:sz w:val="23"/>
                <w:szCs w:val="23"/>
                <w:color w:val="auto"/>
              </w:rPr>
            </w:pPr>
          </w:p>
        </w:tc>
        <w:tc>
          <w:tcPr>
            <w:tcW w:w="7420" w:type="dxa"/>
            <w:vAlign w:val="bottom"/>
            <w:gridSpan w:val="4"/>
          </w:tcPr>
          <w:p>
            <w:pPr>
              <w:jc w:val="center"/>
              <w:ind w:right="2670"/>
              <w:spacing w:after="0"/>
              <w:rPr>
                <w:sz w:val="20"/>
                <w:szCs w:val="20"/>
                <w:color w:val="auto"/>
              </w:rPr>
            </w:pPr>
            <w:r>
              <w:rPr>
                <w:rFonts w:ascii="Arial" w:cs="Arial" w:eastAsia="Arial" w:hAnsi="Arial"/>
                <w:sz w:val="18"/>
                <w:szCs w:val="18"/>
                <w:b w:val="1"/>
                <w:bCs w:val="1"/>
                <w:color w:val="auto"/>
                <w:w w:val="99"/>
              </w:rPr>
              <w:t>REX AMERICAN RESOURCES CORPORATION</w:t>
            </w:r>
          </w:p>
        </w:tc>
      </w:tr>
      <w:tr>
        <w:trPr>
          <w:trHeight w:val="234"/>
        </w:trPr>
        <w:tc>
          <w:tcPr>
            <w:tcW w:w="2360" w:type="dxa"/>
            <w:vAlign w:val="bottom"/>
          </w:tcPr>
          <w:p>
            <w:pPr>
              <w:spacing w:after="0"/>
              <w:rPr>
                <w:sz w:val="20"/>
                <w:szCs w:val="20"/>
                <w:color w:val="auto"/>
              </w:rPr>
            </w:pPr>
          </w:p>
        </w:tc>
        <w:tc>
          <w:tcPr>
            <w:tcW w:w="7420" w:type="dxa"/>
            <w:vAlign w:val="bottom"/>
            <w:gridSpan w:val="4"/>
          </w:tcPr>
          <w:p>
            <w:pPr>
              <w:jc w:val="center"/>
              <w:ind w:right="267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0"/>
        </w:trPr>
        <w:tc>
          <w:tcPr>
            <w:tcW w:w="2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21"/>
        </w:trPr>
        <w:tc>
          <w:tcPr>
            <w:tcW w:w="2360" w:type="dxa"/>
            <w:vAlign w:val="bottom"/>
          </w:tcPr>
          <w:p>
            <w:pPr>
              <w:spacing w:after="0"/>
              <w:rPr>
                <w:sz w:val="24"/>
                <w:szCs w:val="24"/>
                <w:color w:val="auto"/>
              </w:rPr>
            </w:pPr>
          </w:p>
        </w:tc>
        <w:tc>
          <w:tcPr>
            <w:tcW w:w="306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93"/>
              </w:rPr>
              <w:t>Delaware</w:t>
            </w:r>
          </w:p>
        </w:tc>
        <w:tc>
          <w:tcPr>
            <w:tcW w:w="4360" w:type="dxa"/>
            <w:vAlign w:val="bottom"/>
            <w:gridSpan w:val="2"/>
          </w:tcPr>
          <w:p>
            <w:pPr>
              <w:jc w:val="right"/>
              <w:ind w:right="2890"/>
              <w:spacing w:after="0"/>
              <w:rPr>
                <w:sz w:val="20"/>
                <w:szCs w:val="20"/>
                <w:color w:val="auto"/>
              </w:rPr>
            </w:pPr>
            <w:r>
              <w:rPr>
                <w:rFonts w:ascii="Arial" w:cs="Arial" w:eastAsia="Arial" w:hAnsi="Arial"/>
                <w:sz w:val="18"/>
                <w:szCs w:val="18"/>
                <w:b w:val="1"/>
                <w:bCs w:val="1"/>
                <w:color w:val="auto"/>
              </w:rPr>
              <w:t>31-1095548</w:t>
            </w:r>
          </w:p>
        </w:tc>
      </w:tr>
      <w:tr>
        <w:trPr>
          <w:trHeight w:val="216"/>
        </w:trPr>
        <w:tc>
          <w:tcPr>
            <w:tcW w:w="2360" w:type="dxa"/>
            <w:vAlign w:val="bottom"/>
          </w:tcPr>
          <w:p>
            <w:pPr>
              <w:spacing w:after="0"/>
              <w:rPr>
                <w:sz w:val="18"/>
                <w:szCs w:val="18"/>
                <w:color w:val="auto"/>
              </w:rPr>
            </w:pPr>
          </w:p>
        </w:tc>
        <w:tc>
          <w:tcPr>
            <w:tcW w:w="306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91"/>
              </w:rPr>
              <w:t>(State or other jurisdiction of</w:t>
            </w:r>
          </w:p>
        </w:tc>
        <w:tc>
          <w:tcPr>
            <w:tcW w:w="4360" w:type="dxa"/>
            <w:vAlign w:val="bottom"/>
            <w:gridSpan w:val="2"/>
          </w:tcPr>
          <w:p>
            <w:pPr>
              <w:jc w:val="center"/>
              <w:ind w:right="23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60" w:type="dxa"/>
            <w:vAlign w:val="bottom"/>
          </w:tcPr>
          <w:p>
            <w:pPr>
              <w:spacing w:after="0"/>
              <w:rPr>
                <w:sz w:val="20"/>
                <w:szCs w:val="20"/>
                <w:color w:val="auto"/>
              </w:rPr>
            </w:pPr>
          </w:p>
        </w:tc>
        <w:tc>
          <w:tcPr>
            <w:tcW w:w="306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91"/>
              </w:rPr>
              <w:t>incorporation or organization)</w:t>
            </w:r>
          </w:p>
        </w:tc>
        <w:tc>
          <w:tcPr>
            <w:tcW w:w="4360" w:type="dxa"/>
            <w:vAlign w:val="bottom"/>
            <w:gridSpan w:val="2"/>
          </w:tcPr>
          <w:p>
            <w:pPr>
              <w:jc w:val="center"/>
              <w:ind w:right="237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54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90"/>
              </w:rPr>
              <w:t>7720 Paragon Road, Dayton, Ohio</w:t>
            </w:r>
          </w:p>
        </w:tc>
        <w:tc>
          <w:tcPr>
            <w:tcW w:w="4360" w:type="dxa"/>
            <w:vAlign w:val="bottom"/>
            <w:gridSpan w:val="2"/>
          </w:tcPr>
          <w:p>
            <w:pPr>
              <w:jc w:val="right"/>
              <w:ind w:right="3090"/>
              <w:spacing w:after="0"/>
              <w:rPr>
                <w:sz w:val="20"/>
                <w:szCs w:val="20"/>
                <w:color w:val="auto"/>
              </w:rPr>
            </w:pPr>
            <w:r>
              <w:rPr>
                <w:rFonts w:ascii="Arial" w:cs="Arial" w:eastAsia="Arial" w:hAnsi="Arial"/>
                <w:sz w:val="18"/>
                <w:szCs w:val="18"/>
                <w:b w:val="1"/>
                <w:bCs w:val="1"/>
                <w:color w:val="auto"/>
              </w:rPr>
              <w:t>45459</w:t>
            </w:r>
          </w:p>
        </w:tc>
      </w:tr>
      <w:tr>
        <w:trPr>
          <w:trHeight w:val="234"/>
        </w:trPr>
        <w:tc>
          <w:tcPr>
            <w:tcW w:w="54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360" w:type="dxa"/>
            <w:vAlign w:val="bottom"/>
            <w:gridSpan w:val="2"/>
          </w:tcPr>
          <w:p>
            <w:pPr>
              <w:jc w:val="center"/>
              <w:ind w:right="2370"/>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2360" w:type="dxa"/>
            <w:vAlign w:val="bottom"/>
          </w:tcPr>
          <w:p>
            <w:pPr>
              <w:spacing w:after="0"/>
              <w:rPr>
                <w:sz w:val="24"/>
                <w:szCs w:val="24"/>
                <w:color w:val="auto"/>
              </w:rPr>
            </w:pPr>
          </w:p>
        </w:tc>
        <w:tc>
          <w:tcPr>
            <w:tcW w:w="306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0"/>
              </w:rPr>
              <w:t>(937) 276-3931</w:t>
            </w:r>
          </w:p>
        </w:tc>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7420" w:type="dxa"/>
            <w:vAlign w:val="bottom"/>
            <w:gridSpan w:val="4"/>
          </w:tcPr>
          <w:p>
            <w:pPr>
              <w:jc w:val="center"/>
              <w:ind w:right="267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414"/>
        </w:trPr>
        <w:tc>
          <w:tcPr>
            <w:tcW w:w="2360" w:type="dxa"/>
            <w:vAlign w:val="bottom"/>
          </w:tcPr>
          <w:p>
            <w:pPr>
              <w:spacing w:after="0"/>
              <w:rPr>
                <w:sz w:val="24"/>
                <w:szCs w:val="24"/>
                <w:color w:val="auto"/>
              </w:rPr>
            </w:pPr>
          </w:p>
        </w:tc>
        <w:tc>
          <w:tcPr>
            <w:tcW w:w="7420" w:type="dxa"/>
            <w:vAlign w:val="bottom"/>
            <w:gridSpan w:val="4"/>
          </w:tcPr>
          <w:p>
            <w:pPr>
              <w:jc w:val="center"/>
              <w:ind w:right="267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20"/>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920" w:type="dxa"/>
            <w:vAlign w:val="bottom"/>
          </w:tcPr>
          <w:p>
            <w:pPr>
              <w:spacing w:after="0"/>
              <w:rPr>
                <w:sz w:val="19"/>
                <w:szCs w:val="19"/>
                <w:color w:val="auto"/>
              </w:rPr>
            </w:pPr>
          </w:p>
        </w:tc>
        <w:tc>
          <w:tcPr>
            <w:tcW w:w="214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Trading Symbol(s)</w:t>
            </w:r>
          </w:p>
        </w:tc>
        <w:tc>
          <w:tcPr>
            <w:tcW w:w="660" w:type="dxa"/>
            <w:vAlign w:val="bottom"/>
          </w:tcPr>
          <w:p>
            <w:pPr>
              <w:spacing w:after="0"/>
              <w:rPr>
                <w:sz w:val="19"/>
                <w:szCs w:val="19"/>
                <w:color w:val="auto"/>
              </w:rPr>
            </w:pPr>
          </w:p>
        </w:tc>
        <w:tc>
          <w:tcPr>
            <w:tcW w:w="3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36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920" w:type="dxa"/>
            <w:vAlign w:val="bottom"/>
          </w:tcPr>
          <w:p>
            <w:pPr>
              <w:spacing w:after="0"/>
              <w:rPr>
                <w:sz w:val="20"/>
                <w:szCs w:val="20"/>
                <w:color w:val="auto"/>
              </w:rPr>
            </w:pPr>
          </w:p>
        </w:tc>
        <w:tc>
          <w:tcPr>
            <w:tcW w:w="2140" w:type="dxa"/>
            <w:vAlign w:val="bottom"/>
          </w:tcPr>
          <w:p>
            <w:pPr>
              <w:jc w:val="center"/>
              <w:ind w:left="490"/>
              <w:spacing w:after="0"/>
              <w:rPr>
                <w:sz w:val="20"/>
                <w:szCs w:val="20"/>
                <w:color w:val="auto"/>
              </w:rPr>
            </w:pPr>
            <w:r>
              <w:rPr>
                <w:rFonts w:ascii="Arial" w:cs="Arial" w:eastAsia="Arial" w:hAnsi="Arial"/>
                <w:sz w:val="18"/>
                <w:szCs w:val="18"/>
                <w:color w:val="auto"/>
                <w:w w:val="97"/>
              </w:rPr>
              <w:t>REX</w:t>
            </w:r>
          </w:p>
        </w:tc>
        <w:tc>
          <w:tcPr>
            <w:tcW w:w="660" w:type="dxa"/>
            <w:vAlign w:val="bottom"/>
          </w:tcPr>
          <w:p>
            <w:pPr>
              <w:spacing w:after="0"/>
              <w:rPr>
                <w:sz w:val="20"/>
                <w:szCs w:val="20"/>
                <w:color w:val="auto"/>
              </w:rPr>
            </w:pPr>
          </w:p>
        </w:tc>
        <w:tc>
          <w:tcPr>
            <w:tcW w:w="3700" w:type="dxa"/>
            <w:vAlign w:val="bottom"/>
          </w:tcPr>
          <w:p>
            <w:pPr>
              <w:jc w:val="center"/>
              <w:ind w:left="290"/>
              <w:spacing w:after="0"/>
              <w:rPr>
                <w:sz w:val="20"/>
                <w:szCs w:val="20"/>
                <w:color w:val="auto"/>
              </w:rPr>
            </w:pPr>
            <w:r>
              <w:rPr>
                <w:rFonts w:ascii="Arial" w:cs="Arial" w:eastAsia="Arial" w:hAnsi="Arial"/>
                <w:sz w:val="18"/>
                <w:szCs w:val="18"/>
                <w:color w:val="auto"/>
                <w:w w:val="91"/>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04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41" w:lineRule="exact"/>
        <w:rPr>
          <w:sz w:val="24"/>
          <w:szCs w:val="24"/>
          <w:color w:val="auto"/>
        </w:rPr>
      </w:pPr>
    </w:p>
    <w:p>
      <w:pPr>
        <w:spacing w:after="0" w:line="207" w:lineRule="exact"/>
        <w:tabs>
          <w:tab w:leader="none" w:pos="9820" w:val="left"/>
        </w:tabs>
        <w:rPr>
          <w:sz w:val="20"/>
          <w:szCs w:val="20"/>
          <w:color w:val="auto"/>
        </w:rPr>
      </w:pPr>
      <w:r>
        <w:rPr>
          <w:rFonts w:ascii="Arial" w:cs="Arial" w:eastAsia="Arial" w:hAnsi="Arial"/>
          <w:sz w:val="18"/>
          <w:szCs w:val="18"/>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980"/>
          </w:cols>
          <w:pgMar w:left="320" w:top="499" w:right="599" w:bottom="1440" w:gutter="0" w:footer="0" w:header="0"/>
        </w:sectPr>
      </w:pP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700" w:space="720"/>
            <w:col w:w="4560"/>
          </w:cols>
          <w:pgMar w:left="320" w:top="499" w:right="599" w:bottom="1440" w:gutter="0" w:footer="0" w:header="0"/>
          <w:type w:val="continuous"/>
        </w:sectPr>
      </w:pPr>
    </w:p>
    <w:p>
      <w:pPr>
        <w:spacing w:after="0" w:line="3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At the close of business on September 2, 2021 the registrant had 5,970,938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80"/>
          </w:cols>
          <w:pgMar w:left="320" w:top="499" w:right="5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40" w:type="dxa"/>
            <w:vAlign w:val="bottom"/>
            <w:gridSpan w:val="15"/>
          </w:tcPr>
          <w:p>
            <w:pPr>
              <w:jc w:val="center"/>
              <w:ind w:right="820"/>
              <w:spacing w:after="0"/>
              <w:rPr>
                <w:sz w:val="20"/>
                <w:szCs w:val="20"/>
                <w:color w:val="auto"/>
              </w:rPr>
            </w:pPr>
            <w:r>
              <w:rPr>
                <w:rFonts w:ascii="Arial" w:cs="Arial" w:eastAsia="Arial" w:hAnsi="Arial"/>
                <w:sz w:val="22"/>
                <w:szCs w:val="22"/>
                <w:color w:val="auto"/>
                <w:w w:val="94"/>
              </w:rPr>
              <w:t>REX AMERICAN RESOURCES CORPORATION AND SUBSIDIARIES</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7"/>
          </w:tcPr>
          <w:p>
            <w:pPr>
              <w:jc w:val="center"/>
              <w:ind w:right="3780"/>
              <w:spacing w:after="0"/>
              <w:rPr>
                <w:sz w:val="20"/>
                <w:szCs w:val="20"/>
                <w:color w:val="auto"/>
              </w:rPr>
            </w:pPr>
            <w:r>
              <w:rPr>
                <w:rFonts w:ascii="Arial" w:cs="Arial" w:eastAsia="Arial" w:hAnsi="Arial"/>
                <w:sz w:val="22"/>
                <w:szCs w:val="22"/>
                <w:color w:val="auto"/>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435"/>
        </w:trPr>
        <w:tc>
          <w:tcPr>
            <w:tcW w:w="1140" w:type="dxa"/>
            <w:vAlign w:val="bottom"/>
            <w:gridSpan w:val="5"/>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PART I.</w:t>
              </w:r>
            </w:hyperlink>
          </w:p>
        </w:tc>
        <w:tc>
          <w:tcPr>
            <w:tcW w:w="872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INFORMATION</w:t>
              </w:r>
            </w:hyperlink>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
              <w:r>
                <w:rPr>
                  <w:rFonts w:ascii="Arial" w:cs="Arial" w:eastAsia="Arial" w:hAnsi="Arial"/>
                  <w:sz w:val="22"/>
                  <w:szCs w:val="22"/>
                  <w:color w:val="0000EE"/>
                  <w:w w:val="89"/>
                </w:rPr>
                <w:t>Item 1.</w:t>
              </w:r>
            </w:hyperlink>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Financial Statements</w:t>
              </w:r>
            </w:hyperlink>
          </w:p>
        </w:tc>
        <w:tc>
          <w:tcPr>
            <w:tcW w:w="6020" w:type="dxa"/>
            <w:vAlign w:val="bottom"/>
            <w:gridSpan w:val="10"/>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
              <w:r>
                <w:rPr>
                  <w:rFonts w:ascii="Arial" w:cs="Arial" w:eastAsia="Arial" w:hAnsi="Arial"/>
                  <w:sz w:val="22"/>
                  <w:szCs w:val="22"/>
                  <w:color w:val="0000EE"/>
                </w:rPr>
                <w:t>Consolidated Condensed Balance Sheets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4</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Borders>
              <w:bottom w:val="single" w:sz="8" w:color="0000EE"/>
            </w:tcBorders>
            <w:gridSpan w:val="11"/>
          </w:tcPr>
          <w:p>
            <w:pPr>
              <w:spacing w:after="0" w:line="223" w:lineRule="exact"/>
              <w:rPr>
                <w:rFonts w:ascii="Arial" w:cs="Arial" w:eastAsia="Arial" w:hAnsi="Arial"/>
                <w:sz w:val="22"/>
                <w:szCs w:val="22"/>
                <w:color w:val="0000EE"/>
                <w:w w:val="87"/>
              </w:rPr>
            </w:pPr>
            <w:hyperlink w:anchor="page4">
              <w:r>
                <w:rPr>
                  <w:rFonts w:ascii="Arial" w:cs="Arial" w:eastAsia="Arial" w:hAnsi="Arial"/>
                  <w:sz w:val="22"/>
                  <w:szCs w:val="22"/>
                  <w:color w:val="0000EE"/>
                  <w:w w:val="87"/>
                </w:rPr>
                <w:t>Consolidated Condensed Statements of Operations</w:t>
              </w:r>
            </w:hyperlink>
          </w:p>
        </w:tc>
        <w:tc>
          <w:tcPr>
            <w:tcW w:w="4320" w:type="dxa"/>
            <w:vAlign w:val="bottom"/>
            <w:gridSpan w:val="6"/>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20" w:type="dxa"/>
            <w:vAlign w:val="bottom"/>
            <w:gridSpan w:val="17"/>
          </w:tcPr>
          <w:p>
            <w:pPr>
              <w:spacing w:after="0" w:line="223" w:lineRule="exact"/>
              <w:rPr>
                <w:rFonts w:ascii="Arial" w:cs="Arial" w:eastAsia="Arial" w:hAnsi="Arial"/>
                <w:sz w:val="22"/>
                <w:szCs w:val="22"/>
                <w:color w:val="0000EE"/>
              </w:rPr>
            </w:pPr>
            <w:hyperlink w:anchor="page5">
              <w:r>
                <w:rPr>
                  <w:rFonts w:ascii="Arial" w:cs="Arial" w:eastAsia="Arial" w:hAnsi="Arial"/>
                  <w:sz w:val="22"/>
                  <w:szCs w:val="22"/>
                  <w:color w:val="0000EE"/>
                </w:rPr>
                <w:t>Consolidated Condensed Statements of Equity</w:t>
              </w:r>
            </w:hyperlink>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Borders>
              <w:bottom w:val="single" w:sz="8" w:color="0000EE"/>
            </w:tcBorders>
            <w:gridSpan w:val="12"/>
          </w:tcPr>
          <w:p>
            <w:pPr>
              <w:spacing w:after="0" w:line="223" w:lineRule="exact"/>
              <w:rPr>
                <w:rFonts w:ascii="Arial" w:cs="Arial" w:eastAsia="Arial" w:hAnsi="Arial"/>
                <w:sz w:val="22"/>
                <w:szCs w:val="22"/>
                <w:color w:val="0000EE"/>
                <w:w w:val="87"/>
              </w:rPr>
            </w:pPr>
            <w:hyperlink w:anchor="page7">
              <w:r>
                <w:rPr>
                  <w:rFonts w:ascii="Arial" w:cs="Arial" w:eastAsia="Arial" w:hAnsi="Arial"/>
                  <w:sz w:val="22"/>
                  <w:szCs w:val="22"/>
                  <w:color w:val="0000EE"/>
                  <w:w w:val="87"/>
                </w:rPr>
                <w:t>Consolidated Condensed Statements of Cash Flows</w:t>
              </w:r>
            </w:hyperlink>
          </w:p>
        </w:tc>
        <w:tc>
          <w:tcPr>
            <w:tcW w:w="4260" w:type="dxa"/>
            <w:vAlign w:val="bottom"/>
            <w:gridSpan w:val="5"/>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rFonts w:ascii="Arial" w:cs="Arial" w:eastAsia="Arial" w:hAnsi="Arial"/>
                <w:sz w:val="22"/>
                <w:szCs w:val="22"/>
                <w:color w:val="0000EE"/>
                <w:w w:val="87"/>
              </w:rPr>
            </w:pPr>
            <w:hyperlink w:anchor="page8">
              <w:r>
                <w:rPr>
                  <w:rFonts w:ascii="Arial" w:cs="Arial" w:eastAsia="Arial" w:hAnsi="Arial"/>
                  <w:sz w:val="22"/>
                  <w:szCs w:val="22"/>
                  <w:color w:val="0000EE"/>
                  <w:w w:val="87"/>
                </w:rPr>
                <w:t>Notes to Consolidated Condensed Financial Statements</w:t>
              </w:r>
            </w:hyperlink>
          </w:p>
        </w:tc>
        <w:tc>
          <w:tcPr>
            <w:tcW w:w="3920" w:type="dxa"/>
            <w:vAlign w:val="bottom"/>
            <w:gridSpan w:val="4"/>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24">
              <w:r>
                <w:rPr>
                  <w:rFonts w:ascii="Arial" w:cs="Arial" w:eastAsia="Arial" w:hAnsi="Arial"/>
                  <w:sz w:val="22"/>
                  <w:szCs w:val="22"/>
                  <w:color w:val="0000EE"/>
                  <w:w w:val="89"/>
                </w:rPr>
                <w:t>Item 2.</w:t>
              </w:r>
            </w:hyperlink>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rFonts w:ascii="Arial" w:cs="Arial" w:eastAsia="Arial" w:hAnsi="Arial"/>
                <w:sz w:val="22"/>
                <w:szCs w:val="22"/>
                <w:color w:val="0000EE"/>
                <w:w w:val="89"/>
              </w:rPr>
            </w:pPr>
            <w:hyperlink w:anchor="page24">
              <w:r>
                <w:rPr>
                  <w:rFonts w:ascii="Arial" w:cs="Arial" w:eastAsia="Arial" w:hAnsi="Arial"/>
                  <w:sz w:val="22"/>
                  <w:szCs w:val="22"/>
                  <w:color w:val="0000EE"/>
                  <w:w w:val="89"/>
                </w:rPr>
                <w:t>Management’s Discussion and Analysis of Financial Condition and Results of Operations</w:t>
              </w:r>
            </w:hyperlink>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rFonts w:ascii="Arial" w:cs="Arial" w:eastAsia="Arial" w:hAnsi="Arial"/>
                <w:sz w:val="22"/>
                <w:szCs w:val="22"/>
                <w:color w:val="0000EE"/>
                <w:w w:val="89"/>
              </w:rPr>
            </w:pPr>
            <w:hyperlink w:anchor="page37">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rFonts w:ascii="Arial" w:cs="Arial" w:eastAsia="Arial" w:hAnsi="Arial"/>
                <w:sz w:val="22"/>
                <w:szCs w:val="22"/>
                <w:color w:val="0000EE"/>
                <w:w w:val="90"/>
              </w:rPr>
            </w:pPr>
            <w:hyperlink w:anchor="page37">
              <w:r>
                <w:rPr>
                  <w:rFonts w:ascii="Arial" w:cs="Arial" w:eastAsia="Arial" w:hAnsi="Arial"/>
                  <w:sz w:val="22"/>
                  <w:szCs w:val="22"/>
                  <w:color w:val="0000EE"/>
                  <w:w w:val="90"/>
                </w:rPr>
                <w:t>Quantitative and Qualitative Disclosures About Market Risk</w:t>
              </w:r>
            </w:hyperlink>
          </w:p>
        </w:tc>
        <w:tc>
          <w:tcPr>
            <w:tcW w:w="348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37">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7">
              <w:r>
                <w:rPr>
                  <w:rFonts w:ascii="Arial" w:cs="Arial" w:eastAsia="Arial" w:hAnsi="Arial"/>
                  <w:sz w:val="22"/>
                  <w:szCs w:val="22"/>
                  <w:color w:val="0000EE"/>
                </w:rPr>
                <w:t>Controls and Procedures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rFonts w:ascii="Arial" w:cs="Arial" w:eastAsia="Arial" w:hAnsi="Arial"/>
                <w:sz w:val="22"/>
                <w:szCs w:val="22"/>
                <w:color w:val="0000EE"/>
                <w:w w:val="93"/>
              </w:rPr>
            </w:pPr>
            <w:hyperlink w:anchor="page38">
              <w:r>
                <w:rPr>
                  <w:rFonts w:ascii="Arial" w:cs="Arial" w:eastAsia="Arial" w:hAnsi="Arial"/>
                  <w:sz w:val="22"/>
                  <w:szCs w:val="22"/>
                  <w:color w:val="0000EE"/>
                  <w:w w:val="93"/>
                </w:rPr>
                <w:t>PART II.</w:t>
              </w:r>
            </w:hyperlink>
          </w:p>
        </w:tc>
        <w:tc>
          <w:tcPr>
            <w:tcW w:w="340" w:type="dxa"/>
            <w:vAlign w:val="bottom"/>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OTHER INFORMATION</w:t>
              </w:r>
            </w:hyperlink>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8">
              <w:r>
                <w:rPr>
                  <w:rFonts w:ascii="Arial" w:cs="Arial" w:eastAsia="Arial" w:hAnsi="Arial"/>
                  <w:sz w:val="22"/>
                  <w:szCs w:val="22"/>
                  <w:color w:val="0000EE"/>
                  <w:w w:val="89"/>
                </w:rPr>
                <w:t>Item 1.</w:t>
              </w:r>
            </w:hyperlink>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Legal Proceedings</w:t>
              </w:r>
            </w:hyperlink>
          </w:p>
        </w:tc>
        <w:tc>
          <w:tcPr>
            <w:tcW w:w="646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rFonts w:ascii="Arial" w:cs="Arial" w:eastAsia="Arial" w:hAnsi="Arial"/>
                <w:sz w:val="22"/>
                <w:szCs w:val="22"/>
                <w:color w:val="0000EE"/>
                <w:w w:val="92"/>
              </w:rPr>
            </w:pPr>
            <w:hyperlink w:anchor="page38">
              <w:r>
                <w:rPr>
                  <w:rFonts w:ascii="Arial" w:cs="Arial" w:eastAsia="Arial" w:hAnsi="Arial"/>
                  <w:sz w:val="22"/>
                  <w:szCs w:val="22"/>
                  <w:color w:val="0000EE"/>
                  <w:w w:val="92"/>
                </w:rPr>
                <w:t>Item 1A.</w:t>
              </w:r>
            </w:hyperlink>
          </w:p>
        </w:tc>
        <w:tc>
          <w:tcPr>
            <w:tcW w:w="360" w:type="dxa"/>
            <w:vAlign w:val="bottom"/>
            <w:gridSpan w:val="2"/>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Risk Factors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38">
              <w:r>
                <w:rPr>
                  <w:rFonts w:ascii="Arial" w:cs="Arial" w:eastAsia="Arial" w:hAnsi="Arial"/>
                  <w:sz w:val="22"/>
                  <w:szCs w:val="22"/>
                  <w:color w:val="0000EE"/>
                  <w:w w:val="89"/>
                </w:rPr>
                <w:t>Item 2.</w:t>
              </w:r>
            </w:hyperlink>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Unregistered Sales of Equity Securities and Use of Proceeds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8">
              <w:r>
                <w:rPr>
                  <w:rFonts w:ascii="Arial" w:cs="Arial" w:eastAsia="Arial" w:hAnsi="Arial"/>
                  <w:sz w:val="22"/>
                  <w:szCs w:val="22"/>
                  <w:color w:val="0000EE"/>
                  <w:w w:val="89"/>
                </w:rPr>
                <w:t>Item 3.</w:t>
              </w:r>
            </w:hyperlink>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Defaults upon Senior Securities</w:t>
              </w:r>
            </w:hyperlink>
          </w:p>
        </w:tc>
        <w:tc>
          <w:tcPr>
            <w:tcW w:w="350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rFonts w:ascii="Arial" w:cs="Arial" w:eastAsia="Arial" w:hAnsi="Arial"/>
                <w:sz w:val="22"/>
                <w:szCs w:val="22"/>
                <w:color w:val="0000EE"/>
                <w:w w:val="89"/>
              </w:rPr>
            </w:pPr>
            <w:hyperlink w:anchor="page38">
              <w:r>
                <w:rPr>
                  <w:rFonts w:ascii="Arial" w:cs="Arial" w:eastAsia="Arial" w:hAnsi="Arial"/>
                  <w:sz w:val="22"/>
                  <w:szCs w:val="22"/>
                  <w:color w:val="0000EE"/>
                  <w:w w:val="89"/>
                </w:rPr>
                <w:t>Item 4.</w:t>
              </w:r>
            </w:hyperlink>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8"/>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Mine Safety Disclosures</w:t>
              </w:r>
            </w:hyperlink>
          </w:p>
        </w:tc>
        <w:tc>
          <w:tcPr>
            <w:tcW w:w="5980" w:type="dxa"/>
            <w:vAlign w:val="bottom"/>
            <w:gridSpan w:val="9"/>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rFonts w:ascii="Arial" w:cs="Arial" w:eastAsia="Arial" w:hAnsi="Arial"/>
                <w:sz w:val="22"/>
                <w:szCs w:val="22"/>
                <w:color w:val="0000EE"/>
                <w:w w:val="89"/>
              </w:rPr>
            </w:pPr>
            <w:hyperlink w:anchor="page38">
              <w:r>
                <w:rPr>
                  <w:rFonts w:ascii="Arial" w:cs="Arial" w:eastAsia="Arial" w:hAnsi="Arial"/>
                  <w:sz w:val="22"/>
                  <w:szCs w:val="22"/>
                  <w:color w:val="0000EE"/>
                  <w:w w:val="89"/>
                </w:rPr>
                <w:t>Item 5.</w:t>
              </w:r>
            </w:hyperlink>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rFonts w:ascii="Arial" w:cs="Arial" w:eastAsia="Arial" w:hAnsi="Arial"/>
                <w:sz w:val="22"/>
                <w:szCs w:val="22"/>
                <w:color w:val="0000EE"/>
                <w:w w:val="91"/>
              </w:rPr>
            </w:pPr>
            <w:hyperlink w:anchor="page38">
              <w:r>
                <w:rPr>
                  <w:rFonts w:ascii="Arial" w:cs="Arial" w:eastAsia="Arial" w:hAnsi="Arial"/>
                  <w:sz w:val="22"/>
                  <w:szCs w:val="22"/>
                  <w:color w:val="0000EE"/>
                  <w:w w:val="91"/>
                </w:rPr>
                <w:t>Other Information</w:t>
              </w:r>
            </w:hyperlink>
          </w:p>
        </w:tc>
        <w:tc>
          <w:tcPr>
            <w:tcW w:w="520" w:type="dxa"/>
            <w:vAlign w:val="bottom"/>
            <w:tcBorders>
              <w:top w:val="single" w:sz="8" w:color="0000EE"/>
            </w:tcBorders>
            <w:gridSpan w:val="2"/>
          </w:tcPr>
          <w:p>
            <w:pPr>
              <w:spacing w:after="0"/>
              <w:rPr>
                <w:sz w:val="24"/>
                <w:szCs w:val="24"/>
                <w:color w:val="auto"/>
              </w:rPr>
            </w:pPr>
          </w:p>
        </w:tc>
        <w:tc>
          <w:tcPr>
            <w:tcW w:w="660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66"/>
        </w:trPr>
        <w:tc>
          <w:tcPr>
            <w:tcW w:w="620" w:type="dxa"/>
            <w:vAlign w:val="bottom"/>
          </w:tcPr>
          <w:p>
            <w:pPr>
              <w:spacing w:after="0"/>
              <w:rPr>
                <w:rFonts w:ascii="Arial" w:cs="Arial" w:eastAsia="Arial" w:hAnsi="Arial"/>
                <w:sz w:val="22"/>
                <w:szCs w:val="22"/>
                <w:color w:val="0000EE"/>
                <w:w w:val="89"/>
              </w:rPr>
            </w:pPr>
            <w:hyperlink w:anchor="page38">
              <w:r>
                <w:rPr>
                  <w:rFonts w:ascii="Arial" w:cs="Arial" w:eastAsia="Arial" w:hAnsi="Arial"/>
                  <w:sz w:val="22"/>
                  <w:szCs w:val="22"/>
                  <w:color w:val="0000EE"/>
                  <w:w w:val="89"/>
                </w:rPr>
                <w:t>Item 6.</w:t>
              </w:r>
            </w:hyperlink>
          </w:p>
        </w:tc>
        <w:tc>
          <w:tcPr>
            <w:tcW w:w="520" w:type="dxa"/>
            <w:vAlign w:val="bottom"/>
            <w:gridSpan w:val="4"/>
          </w:tcPr>
          <w:p>
            <w:pPr>
              <w:spacing w:after="0"/>
              <w:rPr>
                <w:sz w:val="24"/>
                <w:szCs w:val="24"/>
                <w:color w:val="auto"/>
              </w:rPr>
            </w:pPr>
          </w:p>
        </w:tc>
        <w:tc>
          <w:tcPr>
            <w:tcW w:w="8720" w:type="dxa"/>
            <w:vAlign w:val="bottom"/>
            <w:gridSpan w:val="17"/>
          </w:tcPr>
          <w:p>
            <w:pPr>
              <w:spacing w:after="0"/>
              <w:rPr>
                <w:rFonts w:ascii="Arial" w:cs="Arial" w:eastAsia="Arial" w:hAnsi="Arial"/>
                <w:sz w:val="22"/>
                <w:szCs w:val="22"/>
                <w:color w:val="0000EE"/>
              </w:rPr>
            </w:pPr>
            <w:hyperlink w:anchor="page38">
              <w:r>
                <w:rPr>
                  <w:rFonts w:ascii="Arial" w:cs="Arial" w:eastAsia="Arial" w:hAnsi="Arial"/>
                  <w:sz w:val="22"/>
                  <w:szCs w:val="22"/>
                  <w:color w:val="0000EE"/>
                </w:rPr>
                <w:t>Exhibits</w:t>
              </w:r>
            </w:hyperlink>
          </w:p>
        </w:tc>
        <w:tc>
          <w:tcPr>
            <w:tcW w:w="13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463"/>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80" w:type="dxa"/>
            <w:vAlign w:val="bottom"/>
            <w:gridSpan w:val="12"/>
          </w:tcPr>
          <w:p>
            <w:pPr>
              <w:jc w:val="center"/>
              <w:ind w:left="3352"/>
              <w:spacing w:after="0"/>
              <w:rPr>
                <w:sz w:val="20"/>
                <w:szCs w:val="20"/>
                <w:color w:val="auto"/>
              </w:rPr>
            </w:pPr>
            <w:r>
              <w:rPr>
                <w:rFonts w:ascii="Arial" w:cs="Arial" w:eastAsia="Arial" w:hAnsi="Arial"/>
                <w:sz w:val="22"/>
                <w:szCs w:val="22"/>
                <w:color w:val="auto"/>
                <w:w w:val="81"/>
              </w:rPr>
              <w:t>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tcPr>
          <w:p>
            <w:pPr>
              <w:ind w:left="410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80" w:type="dxa"/>
            <w:vAlign w:val="bottom"/>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980" w:type="dxa"/>
            <w:vAlign w:val="bottom"/>
          </w:tcPr>
          <w:p>
            <w:pPr>
              <w:spacing w:after="0"/>
              <w:rPr>
                <w:sz w:val="20"/>
                <w:szCs w:val="20"/>
                <w:color w:val="auto"/>
              </w:rPr>
            </w:pPr>
            <w:r>
              <w:rPr>
                <w:rFonts w:ascii="Arial" w:cs="Arial" w:eastAsia="Arial" w:hAnsi="Arial"/>
                <w:sz w:val="18"/>
                <w:szCs w:val="18"/>
                <w:b w:val="1"/>
                <w:bCs w:val="1"/>
                <w:color w:val="auto"/>
              </w:rPr>
              <w:t>REX AMERICAN RESOURCES CORPORATION AND SUBSIDIARIES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b w:val="1"/>
                <w:bCs w:val="1"/>
                <w:color w:val="auto"/>
              </w:rPr>
              <w:t>Consolidated Condensed Balance Sheets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98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July 31,</w:t>
            </w:r>
          </w:p>
        </w:tc>
        <w:tc>
          <w:tcPr>
            <w:tcW w:w="1020" w:type="dxa"/>
            <w:vAlign w:val="bottom"/>
            <w:gridSpan w:val="5"/>
          </w:tcPr>
          <w:p>
            <w:pPr>
              <w:spacing w:after="0"/>
              <w:rPr>
                <w:sz w:val="20"/>
                <w:szCs w:val="20"/>
                <w:color w:val="auto"/>
              </w:rPr>
            </w:pPr>
            <w:r>
              <w:rPr>
                <w:rFonts w:ascii="Arial" w:cs="Arial" w:eastAsia="Arial" w:hAnsi="Arial"/>
                <w:sz w:val="18"/>
                <w:szCs w:val="18"/>
                <w:b w:val="1"/>
                <w:bCs w:val="1"/>
                <w:color w:val="auto"/>
              </w:rPr>
              <w:t>January 31,</w:t>
            </w:r>
          </w:p>
        </w:tc>
        <w:tc>
          <w:tcPr>
            <w:tcW w:w="0" w:type="dxa"/>
            <w:vAlign w:val="bottom"/>
          </w:tcPr>
          <w:p>
            <w:pPr>
              <w:spacing w:after="0"/>
              <w:rPr>
                <w:sz w:val="1"/>
                <w:szCs w:val="1"/>
                <w:color w:val="auto"/>
              </w:rPr>
            </w:pPr>
          </w:p>
        </w:tc>
      </w:tr>
      <w:tr>
        <w:trPr>
          <w:trHeight w:val="234"/>
        </w:trPr>
        <w:tc>
          <w:tcPr>
            <w:tcW w:w="8980" w:type="dxa"/>
            <w:vAlign w:val="bottom"/>
            <w:tcBorders>
              <w:bottom w:val="single" w:sz="8" w:color="E5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154,312</w:t>
            </w:r>
          </w:p>
        </w:tc>
        <w:tc>
          <w:tcPr>
            <w:tcW w:w="1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144,501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33,282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36,194</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6,758</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29,521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41,759</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37,880</w:t>
            </w: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Refundable income taxes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12,175</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210"/>
        </w:trPr>
        <w:tc>
          <w:tcPr>
            <w:tcW w:w="89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284,699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145,078</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153,186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13,211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12,678</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Deferred taxes and other assets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30,649</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25,275</w:t>
            </w:r>
          </w:p>
        </w:tc>
        <w:tc>
          <w:tcPr>
            <w:tcW w:w="0" w:type="dxa"/>
            <w:vAlign w:val="bottom"/>
          </w:tcPr>
          <w:p>
            <w:pPr>
              <w:spacing w:after="0"/>
              <w:rPr>
                <w:sz w:val="1"/>
                <w:szCs w:val="1"/>
                <w:color w:val="auto"/>
              </w:rPr>
            </w:pPr>
          </w:p>
        </w:tc>
      </w:tr>
      <w:tr>
        <w:trPr>
          <w:trHeight w:val="230"/>
        </w:trPr>
        <w:tc>
          <w:tcPr>
            <w:tcW w:w="898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31,870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29,456</w:t>
            </w:r>
          </w:p>
        </w:tc>
        <w:tc>
          <w:tcPr>
            <w:tcW w:w="0" w:type="dxa"/>
            <w:vAlign w:val="bottom"/>
          </w:tcPr>
          <w:p>
            <w:pPr>
              <w:spacing w:after="0"/>
              <w:rPr>
                <w:sz w:val="1"/>
                <w:szCs w:val="1"/>
                <w:color w:val="auto"/>
              </w:rPr>
            </w:pPr>
          </w:p>
        </w:tc>
      </w:tr>
      <w:tr>
        <w:trPr>
          <w:trHeight w:val="223"/>
        </w:trPr>
        <w:tc>
          <w:tcPr>
            <w:tcW w:w="898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505,507</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14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479,345</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180"/>
              <w:spacing w:after="0" w:line="201" w:lineRule="exact"/>
              <w:rPr>
                <w:sz w:val="20"/>
                <w:szCs w:val="20"/>
                <w:color w:val="auto"/>
              </w:rPr>
            </w:pPr>
            <w:r>
              <w:rPr>
                <w:rFonts w:ascii="Arial" w:cs="Arial" w:eastAsia="Arial" w:hAnsi="Arial"/>
                <w:sz w:val="18"/>
                <w:szCs w:val="18"/>
                <w:color w:val="auto"/>
                <w:w w:val="95"/>
              </w:rPr>
              <w:t>Accounts payable, trade (includes $2.5 million and $0.7 million with related parties at July 31, 2021 and January 31,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360"/>
              <w:spacing w:after="0"/>
              <w:rPr>
                <w:sz w:val="20"/>
                <w:szCs w:val="20"/>
                <w:color w:val="auto"/>
              </w:rPr>
            </w:pPr>
            <w:r>
              <w:rPr>
                <w:rFonts w:ascii="Arial" w:cs="Arial" w:eastAsia="Arial" w:hAnsi="Arial"/>
                <w:sz w:val="18"/>
                <w:szCs w:val="18"/>
                <w:color w:val="auto"/>
              </w:rPr>
              <w:t>2021,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22,041</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Current operating lease liabilities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5,380</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4,875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80" w:type="dxa"/>
            <w:vAlign w:val="bottom"/>
          </w:tcPr>
          <w:p>
            <w:pPr>
              <w:ind w:left="180"/>
              <w:spacing w:after="0" w:line="201" w:lineRule="exact"/>
              <w:rPr>
                <w:sz w:val="20"/>
                <w:szCs w:val="20"/>
                <w:color w:val="auto"/>
              </w:rPr>
            </w:pPr>
            <w:r>
              <w:rPr>
                <w:rFonts w:ascii="Arial" w:cs="Arial" w:eastAsia="Arial" w:hAnsi="Arial"/>
                <w:sz w:val="18"/>
                <w:szCs w:val="18"/>
                <w:color w:val="auto"/>
                <w:w w:val="94"/>
              </w:rPr>
              <w:t>Accrued expenses and other current liabilities (includes $0.1 million with related parties at July 31, 2021 and January</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360"/>
              <w:spacing w:after="0"/>
              <w:rPr>
                <w:sz w:val="20"/>
                <w:szCs w:val="20"/>
                <w:color w:val="auto"/>
              </w:rPr>
            </w:pPr>
            <w:r>
              <w:rPr>
                <w:rFonts w:ascii="Arial" w:cs="Arial" w:eastAsia="Arial" w:hAnsi="Arial"/>
                <w:sz w:val="18"/>
                <w:szCs w:val="18"/>
                <w:color w:val="auto"/>
              </w:rPr>
              <w:t>31, 2021)</w:t>
            </w: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11,274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8,955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980" w:type="dxa"/>
            <w:vAlign w:val="bottom"/>
            <w:tcBorders>
              <w:top w:val="single" w:sz="8" w:color="E5FFFF"/>
            </w:tcBorders>
            <w:shd w:val="clear" w:color="auto" w:fill="E5FF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38,695</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30,737</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4,030</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3,713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7,534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1,951</w:t>
            </w:r>
          </w:p>
        </w:tc>
        <w:tc>
          <w:tcPr>
            <w:tcW w:w="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9"/>
        </w:trPr>
        <w:tc>
          <w:tcPr>
            <w:tcW w:w="898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13,515</w:t>
            </w:r>
          </w:p>
        </w:tc>
        <w:tc>
          <w:tcPr>
            <w:tcW w:w="4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11,425</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shd w:val="clear" w:color="auto" w:fill="E5FF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180"/>
              <w:spacing w:after="0"/>
              <w:rPr>
                <w:sz w:val="20"/>
                <w:szCs w:val="20"/>
                <w:color w:val="auto"/>
              </w:rPr>
            </w:pPr>
            <w:r>
              <w:rPr>
                <w:rFonts w:ascii="Arial" w:cs="Arial" w:eastAsia="Arial" w:hAnsi="Arial"/>
                <w:sz w:val="18"/>
                <w:szCs w:val="18"/>
                <w:color w:val="auto"/>
              </w:rPr>
              <w:t>REX shareholders’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54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980" w:type="dxa"/>
            <w:vAlign w:val="bottom"/>
          </w:tcPr>
          <w:p>
            <w:pPr>
              <w:ind w:left="54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149,263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149,110</w:t>
            </w:r>
          </w:p>
        </w:tc>
        <w:tc>
          <w:tcPr>
            <w:tcW w:w="0" w:type="dxa"/>
            <w:vAlign w:val="bottom"/>
          </w:tcPr>
          <w:p>
            <w:pPr>
              <w:spacing w:after="0"/>
              <w:rPr>
                <w:sz w:val="1"/>
                <w:szCs w:val="1"/>
                <w:color w:val="auto"/>
              </w:rPr>
            </w:pPr>
          </w:p>
        </w:tc>
      </w:tr>
      <w:tr>
        <w:trPr>
          <w:trHeight w:val="216"/>
        </w:trPr>
        <w:tc>
          <w:tcPr>
            <w:tcW w:w="8980" w:type="dxa"/>
            <w:vAlign w:val="bottom"/>
            <w:shd w:val="clear" w:color="auto" w:fill="E5FFFF"/>
          </w:tcPr>
          <w:p>
            <w:pPr>
              <w:ind w:left="5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605,646</w:t>
            </w: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589,986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80" w:type="dxa"/>
            <w:vAlign w:val="bottom"/>
          </w:tcPr>
          <w:p>
            <w:pPr>
              <w:ind w:left="54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90"/>
              </w:rPr>
              <w:t>(355,936)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(354,612)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80" w:type="dxa"/>
            <w:vAlign w:val="bottom"/>
            <w:tcBorders>
              <w:top w:val="single" w:sz="8" w:color="E5FFFF"/>
            </w:tcBorders>
            <w:shd w:val="clear" w:color="auto" w:fill="E5FFFF"/>
          </w:tcPr>
          <w:p>
            <w:pPr>
              <w:ind w:left="720"/>
              <w:spacing w:after="0"/>
              <w:rPr>
                <w:sz w:val="20"/>
                <w:szCs w:val="20"/>
                <w:color w:val="auto"/>
              </w:rPr>
            </w:pPr>
            <w:r>
              <w:rPr>
                <w:rFonts w:ascii="Arial" w:cs="Arial" w:eastAsia="Arial" w:hAnsi="Arial"/>
                <w:sz w:val="18"/>
                <w:szCs w:val="18"/>
                <w:color w:val="auto"/>
              </w:rPr>
              <w:t>Total REX shareholders’ equity</w:t>
            </w:r>
          </w:p>
        </w:tc>
        <w:tc>
          <w:tcPr>
            <w:tcW w:w="10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399,272</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7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384,783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54,025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52,400</w:t>
            </w:r>
          </w:p>
        </w:tc>
        <w:tc>
          <w:tcPr>
            <w:tcW w:w="0" w:type="dxa"/>
            <w:vAlign w:val="bottom"/>
          </w:tcPr>
          <w:p>
            <w:pPr>
              <w:spacing w:after="0"/>
              <w:rPr>
                <w:sz w:val="1"/>
                <w:szCs w:val="1"/>
                <w:color w:val="auto"/>
              </w:rPr>
            </w:pPr>
          </w:p>
        </w:tc>
      </w:tr>
      <w:tr>
        <w:trPr>
          <w:trHeight w:val="210"/>
        </w:trPr>
        <w:tc>
          <w:tcPr>
            <w:tcW w:w="8980" w:type="dxa"/>
            <w:vAlign w:val="bottom"/>
            <w:tcBorders>
              <w:top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453,297</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437,183</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tcPr>
          <w:p>
            <w:pPr>
              <w:ind w:left="1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505,507</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Operations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1"/>
              </w:rPr>
              <w:t>Three Months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0"/>
              </w:rPr>
              <w:t>Ended</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167"/>
              <w:spacing w:after="0"/>
              <w:rPr>
                <w:sz w:val="20"/>
                <w:szCs w:val="20"/>
                <w:color w:val="auto"/>
              </w:rPr>
            </w:pPr>
            <w:r>
              <w:rPr>
                <w:rFonts w:ascii="Arial" w:cs="Arial" w:eastAsia="Arial" w:hAnsi="Arial"/>
                <w:sz w:val="18"/>
                <w:szCs w:val="18"/>
                <w:b w:val="1"/>
                <w:bCs w:val="1"/>
                <w:color w:val="auto"/>
              </w:rPr>
              <w:t>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0"/>
              </w:rPr>
              <w:t>July 31,</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3"/>
          </w:tcPr>
          <w:p>
            <w:pPr>
              <w:jc w:val="right"/>
              <w:ind w:right="107"/>
              <w:spacing w:after="0"/>
              <w:rPr>
                <w:sz w:val="20"/>
                <w:szCs w:val="20"/>
                <w:color w:val="auto"/>
              </w:rPr>
            </w:pPr>
            <w:r>
              <w:rPr>
                <w:rFonts w:ascii="Arial" w:cs="Arial" w:eastAsia="Arial" w:hAnsi="Arial"/>
                <w:sz w:val="18"/>
                <w:szCs w:val="18"/>
                <w:b w:val="1"/>
                <w:bCs w:val="1"/>
                <w:color w:val="auto"/>
              </w:rPr>
              <w:t>July 31,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2020</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5FFFF"/>
          </w:tcPr>
          <w:p>
            <w:pPr>
              <w:spacing w:after="0"/>
              <w:rPr>
                <w:sz w:val="20"/>
                <w:szCs w:val="20"/>
                <w:color w:val="auto"/>
              </w:rPr>
            </w:pPr>
            <w:r>
              <w:rPr>
                <w:rFonts w:ascii="Arial" w:cs="Arial" w:eastAsia="Arial" w:hAnsi="Arial"/>
                <w:sz w:val="18"/>
                <w:szCs w:val="18"/>
                <w:color w:val="auto"/>
              </w:rPr>
              <w:t>Net sales and revenue</w:t>
            </w:r>
          </w:p>
        </w:tc>
        <w:tc>
          <w:tcPr>
            <w:tcW w:w="38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195,843</w:t>
            </w:r>
          </w:p>
        </w:tc>
        <w:tc>
          <w:tcPr>
            <w:tcW w:w="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39,327</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359,947</w:t>
            </w:r>
          </w:p>
        </w:tc>
        <w:tc>
          <w:tcPr>
            <w:tcW w:w="260" w:type="dxa"/>
            <w:vAlign w:val="bottom"/>
            <w:shd w:val="clear" w:color="auto" w:fill="E5FF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122,577</w:t>
            </w: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9"/>
              </w:rPr>
              <w:t>Cost of sales (includes $20,650 and $4,887 with related parties for the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5"/>
              </w:rPr>
              <w:t>quarters ended July 31, 2021 and 2020, respectively, and $37,383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4"/>
              </w:rPr>
              <w:t>$17,159 with related parties for the six months ended July 31, 2021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2020,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184,769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40,658</w:t>
            </w:r>
          </w:p>
        </w:tc>
        <w:tc>
          <w:tcPr>
            <w:tcW w:w="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331,071</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133,238</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5FF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11,074</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28,876</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3"/>
              </w:rPr>
              <w:t>Selling, general and administrative expenses (includes $154 and $152 with</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related parties for the quarters ended July 31, 2021 and 2020,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3"/>
              </w:rPr>
              <w:t>respectively, and $191 and $(145) with related parties for the six months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ended July 31, 2021 and 2020, respectively)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(6,582)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(4,438)</w:t>
            </w:r>
          </w:p>
        </w:tc>
        <w:tc>
          <w:tcPr>
            <w:tcW w:w="2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(16,570)</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16"/>
        </w:trPr>
        <w:tc>
          <w:tcPr>
            <w:tcW w:w="5580" w:type="dxa"/>
            <w:vAlign w:val="bottom"/>
            <w:shd w:val="clear" w:color="auto" w:fill="E5FFFF"/>
          </w:tcPr>
          <w:p>
            <w:pPr>
              <w:spacing w:after="0"/>
              <w:rPr>
                <w:sz w:val="20"/>
                <w:szCs w:val="20"/>
                <w:color w:val="auto"/>
              </w:rPr>
            </w:pPr>
            <w:r>
              <w:rPr>
                <w:rFonts w:ascii="Arial" w:cs="Arial" w:eastAsia="Arial" w:hAnsi="Arial"/>
                <w:sz w:val="18"/>
                <w:szCs w:val="18"/>
                <w:color w:val="auto"/>
              </w:rPr>
              <w:t>Equity in income (loss) of unconsolidated affiliates</w:t>
            </w: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1,844</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2,414</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5FFFF"/>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6,375</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(6,079)</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14,802</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(19,822)</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3,677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4,046</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3,648</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9,359</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10,052</w:t>
            </w:r>
          </w:p>
        </w:tc>
        <w:tc>
          <w:tcPr>
            <w:tcW w:w="2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(2,033)</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18,450</w:t>
            </w:r>
          </w:p>
        </w:tc>
        <w:tc>
          <w:tcPr>
            <w:tcW w:w="26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(2,176)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(2,790)</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E5FFFF"/>
          </w:tcPr>
          <w:p>
            <w:pPr>
              <w:spacing w:after="0"/>
              <w:rPr>
                <w:sz w:val="20"/>
                <w:szCs w:val="20"/>
                <w:color w:val="auto"/>
              </w:rPr>
            </w:pPr>
            <w:r>
              <w:rPr>
                <w:rFonts w:ascii="Arial" w:cs="Arial" w:eastAsia="Arial" w:hAnsi="Arial"/>
                <w:sz w:val="18"/>
                <w:szCs w:val="18"/>
                <w:color w:val="auto"/>
              </w:rPr>
              <w:t>Net income (loss) attributable to REX common shareholders</w:t>
            </w:r>
          </w:p>
        </w:tc>
        <w:tc>
          <w:tcPr>
            <w:tcW w:w="16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7,876</w:t>
            </w:r>
          </w:p>
        </w:tc>
        <w:tc>
          <w:tcPr>
            <w:tcW w:w="2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15,660</w:t>
            </w:r>
          </w:p>
        </w:tc>
        <w:tc>
          <w:tcPr>
            <w:tcW w:w="260" w:type="dxa"/>
            <w:vAlign w:val="bottom"/>
            <w:shd w:val="clear" w:color="auto" w:fill="E5FF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
        </w:trPr>
        <w:tc>
          <w:tcPr>
            <w:tcW w:w="55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6,011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6,216</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6,010</w:t>
            </w:r>
          </w:p>
        </w:tc>
        <w:tc>
          <w:tcPr>
            <w:tcW w:w="2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4"/>
              </w:rPr>
              <w:t>Basic and diluted net income (loss) per share attributable to REX common</w:t>
            </w:r>
          </w:p>
        </w:tc>
        <w:tc>
          <w:tcPr>
            <w:tcW w:w="1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shareholders</w:t>
            </w:r>
          </w:p>
        </w:tc>
        <w:tc>
          <w:tcPr>
            <w:tcW w:w="38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1.31</w:t>
            </w:r>
          </w:p>
        </w:tc>
        <w:tc>
          <w:tcPr>
            <w:tcW w:w="5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E5FF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5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REX AMERICAN RESOURCES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July 31, 2021 and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4"/>
              </w:rPr>
              <w:t>REX Shareholders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3"/>
                <w:szCs w:val="23"/>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Common Shares</w:t>
            </w:r>
          </w:p>
        </w:tc>
        <w:tc>
          <w:tcPr>
            <w:tcW w:w="18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Issued</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3"/>
                <w:szCs w:val="13"/>
                <w:color w:val="auto"/>
              </w:rPr>
            </w:pPr>
          </w:p>
        </w:tc>
        <w:tc>
          <w:tcPr>
            <w:tcW w:w="82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2021</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23,861</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 (354,612)</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149,110</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w w:val="98"/>
              </w:rPr>
              <w:t>589,986</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52,400</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437,183</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7,784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Capital contributions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E5FFFF"/>
          </w:tcPr>
          <w:p>
            <w:pPr>
              <w:ind w:left="180"/>
              <w:spacing w:after="0"/>
              <w:rPr>
                <w:sz w:val="20"/>
                <w:szCs w:val="20"/>
                <w:color w:val="auto"/>
              </w:rPr>
            </w:pPr>
            <w:r>
              <w:rPr>
                <w:rFonts w:ascii="Arial" w:cs="Arial" w:eastAsia="Arial" w:hAnsi="Arial"/>
                <w:sz w:val="14"/>
                <w:szCs w:val="14"/>
                <w:color w:val="auto"/>
              </w:rPr>
              <w:t>compensation expense</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8</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34</w:t>
            </w:r>
          </w:p>
        </w:tc>
        <w:tc>
          <w:tcPr>
            <w:tcW w:w="140" w:type="dxa"/>
            <w:vAlign w:val="bottom"/>
            <w:shd w:val="clear" w:color="auto" w:fill="E5FFFF"/>
          </w:tcPr>
          <w:p>
            <w:pPr>
              <w:spacing w:after="0"/>
              <w:rPr>
                <w:sz w:val="15"/>
                <w:szCs w:val="15"/>
                <w:color w:val="auto"/>
              </w:rPr>
            </w:pP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00" w:type="dxa"/>
            <w:vAlign w:val="bottom"/>
          </w:tcPr>
          <w:p>
            <w:pPr>
              <w:spacing w:after="0"/>
              <w:rPr>
                <w:sz w:val="20"/>
                <w:szCs w:val="20"/>
                <w:color w:val="auto"/>
              </w:rPr>
            </w:pPr>
            <w:r>
              <w:rPr>
                <w:rFonts w:ascii="Arial" w:cs="Arial" w:eastAsia="Arial" w:hAnsi="Arial"/>
                <w:sz w:val="14"/>
                <w:szCs w:val="14"/>
                <w:color w:val="auto"/>
              </w:rPr>
              <w:t>Balance at April 30, 2021</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23,861</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(354,604)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149,144</w:t>
            </w: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597,770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53,007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445,616</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7,876</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2,176</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10,052</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Treasury stock acquired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17</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(1,356)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(1,229)</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Capital contributions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00" w:type="dxa"/>
            <w:vAlign w:val="bottom"/>
            <w:shd w:val="clear" w:color="auto" w:fill="E5FFFF"/>
          </w:tcPr>
          <w:p>
            <w:pPr>
              <w:spacing w:after="0" w:line="130" w:lineRule="exact"/>
              <w:rPr>
                <w:sz w:val="20"/>
                <w:szCs w:val="20"/>
                <w:color w:val="auto"/>
              </w:rPr>
            </w:pPr>
            <w:r>
              <w:rPr>
                <w:rFonts w:ascii="Arial" w:cs="Arial" w:eastAsia="Arial" w:hAnsi="Arial"/>
                <w:sz w:val="14"/>
                <w:szCs w:val="14"/>
                <w:color w:val="auto"/>
              </w:rPr>
              <w:t>Issuance of equity awards and stock based</w:t>
            </w: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340" w:type="dxa"/>
            <w:vAlign w:val="bottom"/>
            <w:shd w:val="clear" w:color="auto" w:fill="E5FFFF"/>
          </w:tcPr>
          <w:p>
            <w:pPr>
              <w:spacing w:after="0"/>
              <w:rPr>
                <w:sz w:val="11"/>
                <w:szCs w:val="11"/>
                <w:color w:val="auto"/>
              </w:rPr>
            </w:pPr>
          </w:p>
        </w:tc>
        <w:tc>
          <w:tcPr>
            <w:tcW w:w="6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6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32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52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140" w:type="dxa"/>
            <w:vAlign w:val="bottom"/>
            <w:shd w:val="clear" w:color="auto" w:fill="E5FFFF"/>
          </w:tcPr>
          <w:p>
            <w:pPr>
              <w:spacing w:after="0"/>
              <w:rPr>
                <w:sz w:val="11"/>
                <w:szCs w:val="11"/>
                <w:color w:val="auto"/>
              </w:rPr>
            </w:pPr>
          </w:p>
        </w:tc>
        <w:tc>
          <w:tcPr>
            <w:tcW w:w="780" w:type="dxa"/>
            <w:vAlign w:val="bottom"/>
            <w:shd w:val="clear" w:color="auto" w:fill="E5FFFF"/>
          </w:tcPr>
          <w:p>
            <w:pPr>
              <w:spacing w:after="0"/>
              <w:rPr>
                <w:sz w:val="11"/>
                <w:szCs w:val="11"/>
                <w:color w:val="auto"/>
              </w:rPr>
            </w:pPr>
          </w:p>
        </w:tc>
        <w:tc>
          <w:tcPr>
            <w:tcW w:w="180" w:type="dxa"/>
            <w:vAlign w:val="bottom"/>
            <w:shd w:val="clear" w:color="auto" w:fill="E5FFFF"/>
          </w:tcPr>
          <w:p>
            <w:pPr>
              <w:spacing w:after="0"/>
              <w:rPr>
                <w:sz w:val="11"/>
                <w:szCs w:val="11"/>
                <w:color w:val="auto"/>
              </w:rPr>
            </w:pPr>
          </w:p>
        </w:tc>
        <w:tc>
          <w:tcPr>
            <w:tcW w:w="160" w:type="dxa"/>
            <w:vAlign w:val="bottom"/>
            <w:shd w:val="clear" w:color="auto" w:fill="E5FFFF"/>
          </w:tcPr>
          <w:p>
            <w:pPr>
              <w:spacing w:after="0"/>
              <w:rPr>
                <w:sz w:val="11"/>
                <w:szCs w:val="11"/>
                <w:color w:val="auto"/>
              </w:rPr>
            </w:pPr>
          </w:p>
        </w:tc>
        <w:tc>
          <w:tcPr>
            <w:tcW w:w="80" w:type="dxa"/>
            <w:vAlign w:val="bottom"/>
            <w:shd w:val="clear" w:color="auto" w:fill="E5FFFF"/>
          </w:tcPr>
          <w:p>
            <w:pPr>
              <w:spacing w:after="0"/>
              <w:rPr>
                <w:sz w:val="11"/>
                <w:szCs w:val="11"/>
                <w:color w:val="auto"/>
              </w:rPr>
            </w:pPr>
          </w:p>
        </w:tc>
        <w:tc>
          <w:tcPr>
            <w:tcW w:w="580" w:type="dxa"/>
            <w:vAlign w:val="bottom"/>
            <w:shd w:val="clear" w:color="auto" w:fill="E5FFFF"/>
          </w:tcPr>
          <w:p>
            <w:pPr>
              <w:spacing w:after="0"/>
              <w:rPr>
                <w:sz w:val="11"/>
                <w:szCs w:val="11"/>
                <w:color w:val="auto"/>
              </w:rPr>
            </w:pPr>
          </w:p>
        </w:tc>
        <w:tc>
          <w:tcPr>
            <w:tcW w:w="100" w:type="dxa"/>
            <w:vAlign w:val="bottom"/>
            <w:shd w:val="clear" w:color="auto" w:fill="E5FF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E5FFFF"/>
          </w:tcPr>
          <w:p>
            <w:pPr>
              <w:ind w:left="180"/>
              <w:spacing w:after="0"/>
              <w:rPr>
                <w:sz w:val="20"/>
                <w:szCs w:val="20"/>
                <w:color w:val="auto"/>
              </w:rPr>
            </w:pPr>
            <w:r>
              <w:rPr>
                <w:rFonts w:ascii="Arial" w:cs="Arial" w:eastAsia="Arial" w:hAnsi="Arial"/>
                <w:sz w:val="14"/>
                <w:szCs w:val="14"/>
                <w:color w:val="auto"/>
              </w:rPr>
              <w:t>compensation expense</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(12)</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24</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E5FFFF"/>
          </w:tcPr>
          <w:p>
            <w:pPr>
              <w:spacing w:after="0"/>
              <w:rPr>
                <w:sz w:val="15"/>
                <w:szCs w:val="15"/>
                <w:color w:val="auto"/>
              </w:rPr>
            </w:pP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color w:val="auto"/>
              </w:rPr>
              <w:t>Balance at July 31, 2021</w:t>
            </w: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00" w:type="dxa"/>
            <w:vAlign w:val="bottom"/>
            <w:vMerge w:val="continue"/>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23,866</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 (355,936)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149,263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8"/>
              </w:rPr>
              <w:t>605,646</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54,025</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453,297</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4"/>
                <w:szCs w:val="14"/>
                <w:color w:val="auto"/>
              </w:rPr>
              <w:t>Continued on the following page</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3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Equity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20"/>
                <w:szCs w:val="20"/>
                <w:color w:val="auto"/>
              </w:rPr>
            </w:pPr>
            <w:r>
              <w:rPr>
                <w:rFonts w:ascii="Arial" w:cs="Arial" w:eastAsia="Arial" w:hAnsi="Arial"/>
                <w:sz w:val="14"/>
                <w:szCs w:val="14"/>
                <w:color w:val="auto"/>
              </w:rPr>
              <w:t>Continued from the previous page</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33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4"/>
              </w:rPr>
              <w:t>REX Shareholders</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3"/>
                <w:szCs w:val="23"/>
                <w:color w:val="auto"/>
              </w:rPr>
            </w:pPr>
          </w:p>
        </w:tc>
        <w:tc>
          <w:tcPr>
            <w:tcW w:w="19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Common Shares</w:t>
            </w:r>
          </w:p>
        </w:tc>
        <w:tc>
          <w:tcPr>
            <w:tcW w:w="182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12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Issued</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3"/>
                <w:szCs w:val="13"/>
                <w:color w:val="auto"/>
              </w:rPr>
            </w:pPr>
          </w:p>
        </w:tc>
        <w:tc>
          <w:tcPr>
            <w:tcW w:w="82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9"/>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January 31, 2020</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23,561</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 (335,066)</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148,789</w:t>
            </w:r>
          </w:p>
        </w:tc>
        <w:tc>
          <w:tcPr>
            <w:tcW w:w="140" w:type="dxa"/>
            <w:vAlign w:val="bottom"/>
            <w:shd w:val="clear" w:color="auto" w:fill="E5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w w:val="98"/>
              </w:rPr>
              <w:t>586,985</w:t>
            </w:r>
          </w:p>
        </w:tc>
        <w:tc>
          <w:tcPr>
            <w:tcW w:w="300" w:type="dxa"/>
            <w:vAlign w:val="bottom"/>
            <w:gridSpan w:val="2"/>
            <w:shd w:val="clear" w:color="auto" w:fill="E5FF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52,599</w:t>
            </w:r>
          </w:p>
        </w:tc>
        <w:tc>
          <w:tcPr>
            <w:tcW w:w="240" w:type="dxa"/>
            <w:vAlign w:val="bottom"/>
            <w:gridSpan w:val="2"/>
            <w:shd w:val="clear" w:color="auto" w:fill="E5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453,606</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Net loss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(7,635)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(795)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78</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(3,923)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10"/>
        </w:trPr>
        <w:tc>
          <w:tcPr>
            <w:tcW w:w="3300" w:type="dxa"/>
            <w:vAlign w:val="bottom"/>
          </w:tcPr>
          <w:p>
            <w:pPr>
              <w:spacing w:after="0"/>
              <w:rPr>
                <w:sz w:val="20"/>
                <w:szCs w:val="20"/>
                <w:color w:val="auto"/>
              </w:rPr>
            </w:pPr>
            <w:r>
              <w:rPr>
                <w:rFonts w:ascii="Arial" w:cs="Arial" w:eastAsia="Arial" w:hAnsi="Arial"/>
                <w:sz w:val="14"/>
                <w:szCs w:val="14"/>
                <w:color w:val="auto"/>
              </w:rPr>
              <w:t>Stock based compensation expense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Balance at April 30, 2020</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29,853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40"/>
              <w:spacing w:after="0" w:line="149" w:lineRule="exact"/>
              <w:rPr>
                <w:sz w:val="20"/>
                <w:szCs w:val="20"/>
                <w:color w:val="auto"/>
              </w:rPr>
            </w:pPr>
            <w:r>
              <w:rPr>
                <w:rFonts w:ascii="Arial" w:cs="Arial" w:eastAsia="Arial" w:hAnsi="Arial"/>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23,639</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(338,982)</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20"/>
              <w:spacing w:after="0" w:line="149" w:lineRule="exact"/>
              <w:rPr>
                <w:sz w:val="20"/>
                <w:szCs w:val="20"/>
                <w:color w:val="auto"/>
              </w:rPr>
            </w:pPr>
            <w:r>
              <w:rPr>
                <w:rFonts w:ascii="Arial" w:cs="Arial" w:eastAsia="Arial" w:hAnsi="Arial"/>
                <w:sz w:val="14"/>
                <w:szCs w:val="14"/>
                <w:color w:val="auto"/>
              </w:rPr>
              <w:t>148,821</w:t>
            </w: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w w:val="98"/>
              </w:rPr>
              <w:t>579,350</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51,779</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441,267</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Net loss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(1,748)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(285)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Treasury stock acquired</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31</w:t>
            </w:r>
          </w:p>
        </w:tc>
        <w:tc>
          <w:tcPr>
            <w:tcW w:w="1000" w:type="dxa"/>
            <w:vAlign w:val="bottom"/>
            <w:gridSpan w:val="3"/>
            <w:shd w:val="clear" w:color="auto" w:fill="E5FFFF"/>
          </w:tcPr>
          <w:p>
            <w:pPr>
              <w:jc w:val="right"/>
              <w:ind w:right="160"/>
              <w:spacing w:after="0" w:line="149" w:lineRule="exact"/>
              <w:rPr>
                <w:sz w:val="20"/>
                <w:szCs w:val="20"/>
                <w:color w:val="auto"/>
              </w:rPr>
            </w:pPr>
            <w:r>
              <w:rPr>
                <w:rFonts w:ascii="Arial" w:cs="Arial" w:eastAsia="Arial" w:hAnsi="Arial"/>
                <w:sz w:val="14"/>
                <w:szCs w:val="14"/>
                <w:color w:val="auto"/>
              </w:rPr>
              <w:t>(1,667)</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312"/>
        </w:trPr>
        <w:tc>
          <w:tcPr>
            <w:tcW w:w="3300" w:type="dxa"/>
            <w:vAlign w:val="bottom"/>
          </w:tcPr>
          <w:p>
            <w:pPr>
              <w:spacing w:after="0"/>
              <w:rPr>
                <w:sz w:val="20"/>
                <w:szCs w:val="20"/>
                <w:color w:val="auto"/>
              </w:rPr>
            </w:pPr>
            <w:r>
              <w:rPr>
                <w:rFonts w:ascii="Arial" w:cs="Arial" w:eastAsia="Arial" w:hAnsi="Arial"/>
                <w:sz w:val="14"/>
                <w:szCs w:val="14"/>
                <w:color w:val="auto"/>
              </w:rPr>
              <w:t>Noncontrolling interests distribution and other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33"/>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E5FFFF"/>
          </w:tcPr>
          <w:p>
            <w:pPr>
              <w:spacing w:after="0" w:line="149" w:lineRule="exact"/>
              <w:rPr>
                <w:sz w:val="20"/>
                <w:szCs w:val="20"/>
                <w:color w:val="auto"/>
              </w:rPr>
            </w:pPr>
            <w:r>
              <w:rPr>
                <w:rFonts w:ascii="Arial" w:cs="Arial" w:eastAsia="Arial" w:hAnsi="Arial"/>
                <w:sz w:val="14"/>
                <w:szCs w:val="14"/>
                <w:color w:val="auto"/>
              </w:rPr>
              <w:t>Capital contributions</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8"/>
        </w:trPr>
        <w:tc>
          <w:tcPr>
            <w:tcW w:w="3300" w:type="dxa"/>
            <w:vAlign w:val="bottom"/>
          </w:tcPr>
          <w:p>
            <w:pPr>
              <w:spacing w:after="0"/>
              <w:rPr>
                <w:sz w:val="20"/>
                <w:szCs w:val="20"/>
                <w:color w:val="auto"/>
              </w:rPr>
            </w:pPr>
            <w:r>
              <w:rPr>
                <w:rFonts w:ascii="Arial" w:cs="Arial" w:eastAsia="Arial" w:hAnsi="Arial"/>
                <w:sz w:val="14"/>
                <w:szCs w:val="14"/>
                <w:color w:val="auto"/>
              </w:rPr>
              <w:t>Issuance of equity awards and stock based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180"/>
              <w:spacing w:after="0"/>
              <w:rPr>
                <w:sz w:val="20"/>
                <w:szCs w:val="20"/>
                <w:color w:val="auto"/>
              </w:rPr>
            </w:pPr>
            <w:r>
              <w:rPr>
                <w:rFonts w:ascii="Arial" w:cs="Arial" w:eastAsia="Arial" w:hAnsi="Arial"/>
                <w:sz w:val="14"/>
                <w:szCs w:val="14"/>
                <w:color w:val="auto"/>
              </w:rPr>
              <w:t>compensation expense</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223</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E5FFFF"/>
          </w:tcPr>
          <w:p>
            <w:pPr>
              <w:spacing w:after="0"/>
              <w:rPr>
                <w:sz w:val="20"/>
                <w:szCs w:val="20"/>
                <w:color w:val="auto"/>
              </w:rPr>
            </w:pPr>
            <w:r>
              <w:rPr>
                <w:rFonts w:ascii="Arial" w:cs="Arial" w:eastAsia="Arial" w:hAnsi="Arial"/>
                <w:sz w:val="14"/>
                <w:szCs w:val="14"/>
                <w:color w:val="auto"/>
              </w:rPr>
              <w:t>Balance at July 31, 2020</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Arial" w:cs="Arial" w:eastAsia="Arial" w:hAnsi="Arial"/>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rPr>
              <w:t>23,655</w:t>
            </w:r>
          </w:p>
        </w:tc>
        <w:tc>
          <w:tcPr>
            <w:tcW w:w="1000" w:type="dxa"/>
            <w:vAlign w:val="bottom"/>
            <w:gridSpan w:val="3"/>
            <w:shd w:val="clear" w:color="auto" w:fill="E5FFFF"/>
          </w:tcPr>
          <w:p>
            <w:pPr>
              <w:jc w:val="right"/>
              <w:ind w:right="160"/>
              <w:spacing w:after="0"/>
              <w:rPr>
                <w:sz w:val="20"/>
                <w:szCs w:val="20"/>
                <w:color w:val="auto"/>
              </w:rPr>
            </w:pPr>
            <w:r>
              <w:rPr>
                <w:rFonts w:ascii="Arial" w:cs="Arial" w:eastAsia="Arial" w:hAnsi="Arial"/>
                <w:sz w:val="14"/>
                <w:szCs w:val="14"/>
                <w:color w:val="auto"/>
              </w:rPr>
              <w:t>$ (340,591)</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Arial" w:cs="Arial" w:eastAsia="Arial" w:hAnsi="Arial"/>
                <w:sz w:val="14"/>
                <w:szCs w:val="14"/>
                <w:color w:val="auto"/>
              </w:rPr>
              <w:t>149,044</w:t>
            </w:r>
          </w:p>
        </w:tc>
        <w:tc>
          <w:tcPr>
            <w:tcW w:w="140" w:type="dxa"/>
            <w:vAlign w:val="bottom"/>
            <w:shd w:val="clear" w:color="auto" w:fill="E5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14"/>
                <w:szCs w:val="14"/>
                <w:color w:val="auto"/>
                <w:w w:val="98"/>
              </w:rPr>
              <w:t>577,602</w:t>
            </w:r>
          </w:p>
        </w:tc>
        <w:tc>
          <w:tcPr>
            <w:tcW w:w="300" w:type="dxa"/>
            <w:vAlign w:val="bottom"/>
            <w:gridSpan w:val="2"/>
            <w:shd w:val="clear" w:color="auto" w:fill="E5FFFF"/>
          </w:tcPr>
          <w:p>
            <w:pPr>
              <w:ind w:lef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Arial" w:cs="Arial" w:eastAsia="Arial" w:hAnsi="Arial"/>
                <w:sz w:val="14"/>
                <w:szCs w:val="14"/>
                <w:color w:val="auto"/>
              </w:rPr>
              <w:t>51,385</w:t>
            </w:r>
          </w:p>
        </w:tc>
        <w:tc>
          <w:tcPr>
            <w:tcW w:w="240" w:type="dxa"/>
            <w:vAlign w:val="bottom"/>
            <w:gridSpan w:val="2"/>
            <w:shd w:val="clear" w:color="auto" w:fill="E5FF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Arial" w:cs="Arial" w:eastAsia="Arial" w:hAnsi="Arial"/>
                <w:sz w:val="14"/>
                <w:szCs w:val="14"/>
                <w:color w:val="auto"/>
              </w:rPr>
              <w:t>437,739</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6" w:name="page7"/>
    <w:bookmarkEnd w:id="6"/>
    <w:p>
      <w:pPr>
        <w:ind w:right="5500"/>
        <w:spacing w:after="0" w:line="266" w:lineRule="auto"/>
        <w:rPr>
          <w:sz w:val="20"/>
          <w:szCs w:val="20"/>
          <w:color w:val="auto"/>
        </w:rPr>
      </w:pPr>
      <w:r>
        <w:rPr>
          <w:rFonts w:ascii="Arial" w:cs="Arial" w:eastAsia="Arial" w:hAnsi="Arial"/>
          <w:sz w:val="18"/>
          <w:szCs w:val="18"/>
          <w:b w:val="1"/>
          <w:bCs w:val="1"/>
          <w:color w:val="auto"/>
        </w:rPr>
        <w:t>REX AMERICAN RESOURCES CORPORATION AND SUBSIDIARIES Consolidated Condensed Statements of Cash Flows 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21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9100" w:type="dxa"/>
            <w:vAlign w:val="bottom"/>
          </w:tcPr>
          <w:p>
            <w:pPr>
              <w:spacing w:after="0"/>
              <w:rPr>
                <w:sz w:val="20"/>
                <w:szCs w:val="20"/>
                <w:color w:val="auto"/>
              </w:rPr>
            </w:pPr>
            <w:r>
              <w:rPr>
                <w:rFonts w:ascii="Arial" w:cs="Arial" w:eastAsia="Arial" w:hAnsi="Arial"/>
                <w:sz w:val="18"/>
                <w:szCs w:val="18"/>
                <w:color w:val="auto"/>
              </w:rPr>
              <w:t>(In Thousands)</w:t>
            </w:r>
          </w:p>
        </w:tc>
        <w:tc>
          <w:tcPr>
            <w:tcW w:w="21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July 31,</w:t>
            </w:r>
          </w:p>
        </w:tc>
      </w:tr>
      <w:tr>
        <w:trPr>
          <w:trHeight w:val="234"/>
        </w:trPr>
        <w:tc>
          <w:tcPr>
            <w:tcW w:w="91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9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flows from operating activities:</w:t>
            </w:r>
          </w:p>
        </w:tc>
        <w:tc>
          <w:tcPr>
            <w:tcW w:w="80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Net income (loss) including noncontrolling interests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   18,450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(10,463)</w:t>
            </w:r>
          </w:p>
        </w:tc>
      </w:tr>
      <w:tr>
        <w:trPr>
          <w:trHeight w:val="216"/>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10,451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10,491</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Amortization of operating lease right-of-use assets</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2,734</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2,691</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(Income) loss from equity method investments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(2,414)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984</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Dividends received from equity method investee</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2,005</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Interest income from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Deferred income tax</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(4,741)</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(4,784)</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Stock 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567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Gain on sale of property and equipment – net</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receivable</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(9,808)</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3,225</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(3,879)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5,251</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Refundable income taxes</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(872)</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(4,591)</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(481)</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Accounts payable, trade</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5,457</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(10,301)</w:t>
            </w:r>
          </w:p>
        </w:tc>
      </w:tr>
      <w:tr>
        <w:trPr>
          <w:trHeight w:val="230"/>
        </w:trPr>
        <w:tc>
          <w:tcPr>
            <w:tcW w:w="91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949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(2,940)</w:t>
            </w:r>
          </w:p>
        </w:tc>
      </w:tr>
      <w:tr>
        <w:trPr>
          <w:trHeight w:val="209"/>
        </w:trPr>
        <w:tc>
          <w:tcPr>
            <w:tcW w:w="9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17,157</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(9,034)</w:t>
            </w:r>
          </w:p>
        </w:tc>
        <w:tc>
          <w:tcPr>
            <w:tcW w:w="100" w:type="dxa"/>
            <w:vAlign w:val="bottom"/>
            <w:tcBorders>
              <w:top w:val="single" w:sz="8" w:color="E5FFFF"/>
            </w:tcBorders>
            <w:shd w:val="clear" w:color="auto" w:fill="E5FFFF"/>
          </w:tcPr>
          <w:p>
            <w:pPr>
              <w:spacing w:after="0"/>
              <w:rPr>
                <w:sz w:val="18"/>
                <w:szCs w:val="18"/>
                <w:color w:val="auto"/>
              </w:rPr>
            </w:pPr>
          </w:p>
        </w:tc>
      </w:tr>
      <w:tr>
        <w:trPr>
          <w:trHeight w:val="210"/>
        </w:trPr>
        <w:tc>
          <w:tcPr>
            <w:tcW w:w="9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Capital expenditures</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(2,693)</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(5,692)</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(49,281)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(45,450)</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Sale of short-term investments</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52,220</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39,046</w:t>
            </w: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Proceeds from sale of real estate and property and equipment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(259)</w:t>
            </w:r>
          </w:p>
        </w:tc>
      </w:tr>
      <w:tr>
        <w:trPr>
          <w:trHeight w:val="210"/>
        </w:trPr>
        <w:tc>
          <w:tcPr>
            <w:tcW w:w="91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00" w:type="dxa"/>
            <w:vAlign w:val="bottom"/>
            <w:tcBorders>
              <w:bottom w:val="single" w:sz="8" w:color="E5FFFF"/>
            </w:tcBorders>
          </w:tcPr>
          <w:p>
            <w:pPr>
              <w:spacing w:after="0"/>
              <w:rPr>
                <w:sz w:val="18"/>
                <w:szCs w:val="18"/>
                <w:color w:val="auto"/>
              </w:rPr>
            </w:pPr>
          </w:p>
        </w:tc>
      </w:tr>
      <w:tr>
        <w:trPr>
          <w:trHeight w:val="210"/>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Cash flows from financing activities:</w:t>
            </w:r>
          </w:p>
        </w:tc>
        <w:tc>
          <w:tcPr>
            <w:tcW w:w="8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6"/>
        </w:trPr>
        <w:tc>
          <w:tcPr>
            <w:tcW w:w="9100" w:type="dxa"/>
            <w:vAlign w:val="bottom"/>
          </w:tcPr>
          <w:p>
            <w:pPr>
              <w:ind w:left="180"/>
              <w:spacing w:after="0"/>
              <w:rPr>
                <w:sz w:val="20"/>
                <w:szCs w:val="20"/>
                <w:color w:val="auto"/>
              </w:rPr>
            </w:pPr>
            <w:r>
              <w:rPr>
                <w:rFonts w:ascii="Arial" w:cs="Arial" w:eastAsia="Arial" w:hAnsi="Arial"/>
                <w:sz w:val="18"/>
                <w:szCs w:val="18"/>
                <w:color w:val="auto"/>
              </w:rPr>
              <w:t>Treasury stock acquired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(1,356)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(5,590)</w:t>
            </w:r>
          </w:p>
        </w:tc>
      </w:tr>
      <w:tr>
        <w:trPr>
          <w:trHeight w:val="216"/>
        </w:trPr>
        <w:tc>
          <w:tcPr>
            <w:tcW w:w="91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Payments to noncontrolling interests holders</w:t>
            </w:r>
          </w:p>
        </w:tc>
        <w:tc>
          <w:tcPr>
            <w:tcW w:w="104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(1,304)</w:t>
            </w:r>
          </w:p>
        </w:tc>
        <w:tc>
          <w:tcPr>
            <w:tcW w:w="11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(157)</w:t>
            </w:r>
          </w:p>
        </w:tc>
      </w:tr>
      <w:tr>
        <w:trPr>
          <w:trHeight w:val="230"/>
        </w:trPr>
        <w:tc>
          <w:tcPr>
            <w:tcW w:w="9100" w:type="dxa"/>
            <w:vAlign w:val="bottom"/>
          </w:tcPr>
          <w:p>
            <w:pPr>
              <w:ind w:left="180"/>
              <w:spacing w:after="0"/>
              <w:rPr>
                <w:sz w:val="20"/>
                <w:szCs w:val="20"/>
                <w:color w:val="auto"/>
              </w:rPr>
            </w:pPr>
            <w:r>
              <w:rPr>
                <w:rFonts w:ascii="Arial" w:cs="Arial" w:eastAsia="Arial" w:hAnsi="Arial"/>
                <w:sz w:val="18"/>
                <w:szCs w:val="18"/>
                <w:color w:val="auto"/>
              </w:rPr>
              <w:t>Capital contributions from minority investor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r>
      <w:tr>
        <w:trPr>
          <w:trHeight w:val="210"/>
        </w:trPr>
        <w:tc>
          <w:tcPr>
            <w:tcW w:w="9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Net cash used in financing activities</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Borders>
              <w:top w:val="single" w:sz="8" w:color="E5FFFF"/>
            </w:tcBorders>
            <w:shd w:val="clear" w:color="auto" w:fill="E5FF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40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cash equivalents and restricted cash,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14,912</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146,158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506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161,070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506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8"/>
          <w:szCs w:val="18"/>
          <w:color w:val="auto"/>
        </w:rPr>
        <w:t>(27,113)</w:t>
      </w:r>
    </w:p>
    <w:p>
      <w:pPr>
        <w:spacing w:after="0" w:line="23" w:lineRule="exact"/>
        <w:rPr>
          <w:sz w:val="20"/>
          <w:szCs w:val="20"/>
          <w:color w:val="auto"/>
        </w:rPr>
      </w:pPr>
    </w:p>
    <w:p>
      <w:pPr>
        <w:jc w:val="both"/>
        <w:ind w:right="100" w:firstLine="185"/>
        <w:spacing w:after="0" w:line="376" w:lineRule="auto"/>
        <w:rPr>
          <w:sz w:val="20"/>
          <w:szCs w:val="20"/>
          <w:color w:val="auto"/>
        </w:rPr>
      </w:pPr>
      <w:r>
        <w:rPr>
          <w:rFonts w:ascii="Arial" w:cs="Arial" w:eastAsia="Arial" w:hAnsi="Arial"/>
          <w:sz w:val="16"/>
          <w:szCs w:val="16"/>
          <w:color w:val="auto"/>
        </w:rPr>
        <w:t xml:space="preserve">180,771 </w:t>
      </w:r>
      <w:r>
        <w:rPr>
          <w:rFonts w:ascii="Arial" w:cs="Arial" w:eastAsia="Arial" w:hAnsi="Arial"/>
          <w:sz w:val="16"/>
          <w:szCs w:val="16"/>
          <w:u w:val="single" w:color="auto"/>
          <w:color w:val="auto"/>
        </w:rPr>
        <w:t>$ 153,658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4883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-219710</wp:posOffset>
            </wp:positionV>
            <wp:extent cx="4883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3">
            <w:col w:w="8380" w:space="720"/>
            <w:col w:w="800" w:space="460"/>
            <w:col w:w="88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Non cash investing activities – Accrued capital expenditures</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67</w:t>
            </w:r>
          </w:p>
        </w:tc>
        <w:tc>
          <w:tcPr>
            <w:tcW w:w="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10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Non cash financing activities – Stock awards accrued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bottom w:val="single" w:sz="8" w:color="E5FFFF"/>
            </w:tcBorders>
            <w:vMerge w:val="restart"/>
          </w:tcPr>
          <w:p>
            <w:pPr>
              <w:spacing w:after="0" w:line="20" w:lineRule="exact"/>
              <w:rPr>
                <w:sz w:val="1"/>
                <w:szCs w:val="1"/>
                <w:color w:val="auto"/>
              </w:rPr>
            </w:pPr>
          </w:p>
        </w:tc>
        <w:tc>
          <w:tcPr>
            <w:tcW w:w="20" w:type="dxa"/>
            <w:vAlign w:val="bottom"/>
            <w:tcBorders>
              <w:top w:val="single" w:sz="8" w:color="E5FFFF"/>
              <w:bottom w:val="single" w:sz="8" w:color="E5FF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bottom w:val="single" w:sz="8" w:color="E5FFFF"/>
            </w:tcBorders>
            <w:vMerge w:val="restart"/>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100" w:type="dxa"/>
            <w:vAlign w:val="bottom"/>
            <w:tcBorders>
              <w:bottom w:val="single" w:sz="8" w:color="E5FF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w:t>
            </w:r>
          </w:p>
        </w:tc>
        <w:tc>
          <w:tcPr>
            <w:tcW w:w="46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100" w:type="dxa"/>
            <w:vAlign w:val="bottom"/>
            <w:tcBorders>
              <w:bottom w:val="single" w:sz="8" w:color="E5FFFF"/>
            </w:tcBorders>
            <w:shd w:val="clear" w:color="auto" w:fill="E5FFFF"/>
          </w:tcPr>
          <w:p>
            <w:pPr>
              <w:spacing w:after="0" w:line="190" w:lineRule="exact"/>
              <w:rPr>
                <w:sz w:val="20"/>
                <w:szCs w:val="20"/>
                <w:color w:val="auto"/>
              </w:rPr>
            </w:pPr>
            <w:r>
              <w:rPr>
                <w:rFonts w:ascii="Arial" w:cs="Arial" w:eastAsia="Arial" w:hAnsi="Arial"/>
                <w:sz w:val="18"/>
                <w:szCs w:val="18"/>
                <w:color w:val="auto"/>
              </w:rPr>
              <w:t>Non cash financing activities – Stock awards issued</w:t>
            </w: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100</w:t>
            </w:r>
          </w:p>
        </w:tc>
        <w:tc>
          <w:tcPr>
            <w:tcW w:w="46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240</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8"/>
                <w:szCs w:val="18"/>
                <w:color w:val="auto"/>
              </w:rPr>
              <w:t>Right-of-use assets acquired and liabilities incurred upon lease execution</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100" w:type="dxa"/>
            <w:vAlign w:val="bottom"/>
            <w:tcBorders>
              <w:bottom w:val="single" w:sz="8" w:color="E5FF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3,267</w:t>
            </w:r>
          </w:p>
        </w:tc>
        <w:tc>
          <w:tcPr>
            <w:tcW w:w="46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1,863</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1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Reconciliation of total cash, cash equivalents and restricted cash:</w:t>
            </w:r>
          </w:p>
        </w:tc>
        <w:tc>
          <w:tcPr>
            <w:tcW w:w="16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154,312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152,708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0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E5FFFF"/>
          </w:tcPr>
          <w:p>
            <w:pPr>
              <w:spacing w:after="0"/>
              <w:rPr>
                <w:sz w:val="19"/>
                <w:szCs w:val="19"/>
                <w:color w:val="auto"/>
              </w:rPr>
            </w:pPr>
          </w:p>
        </w:tc>
        <w:tc>
          <w:tcPr>
            <w:tcW w:w="110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6,758</w:t>
            </w:r>
          </w:p>
        </w:tc>
        <w:tc>
          <w:tcPr>
            <w:tcW w:w="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74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161,070</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153,658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22"/>
          <w:szCs w:val="22"/>
          <w:b w:val="1"/>
          <w:bCs w:val="1"/>
          <w:color w:val="auto"/>
        </w:rPr>
        <w:t>REX AMERICAN RESOURCES CORPORATION AND SUBSIDIARIES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UNAUDITED CONSOLIDATED CONDENSED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July 31,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i w:val="1"/>
          <w:iCs w:val="1"/>
          <w:color w:val="auto"/>
        </w:rPr>
        <w:t>Consolidated Condensed Financial Statements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1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2021 included in these financial statements has been derived from the audited consolidated financial statements included in the Company’s Annual Report on Form 10-K for the year ended January 31, 2021 (fiscal year 2020). It is suggested that these unaudited consolidated condensed financial statements be read in conjunction with the consolidated financial statements and the notes thereto included in the Company’s Annual Report on Form 10-K for the year ended January 31, 2021. The results of operations for the interim periods are not necessarily indicative of the results to be expected for the year.</w:t>
      </w:r>
    </w:p>
    <w:p>
      <w:pPr>
        <w:spacing w:after="0" w:line="200" w:lineRule="exact"/>
        <w:rPr>
          <w:sz w:val="20"/>
          <w:szCs w:val="20"/>
          <w:color w:val="auto"/>
        </w:rPr>
      </w:pPr>
    </w:p>
    <w:p>
      <w:pPr>
        <w:spacing w:after="0" w:line="23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four majority owned subsidiaries. The Company includes the results of operations of One Earth Energy, LLC (“One Earth”) in its Consolidated Condensed Statements of Operations on a delayed basis of one month as One Earth has a fiscal year end of December 31.</w:t>
      </w:r>
    </w:p>
    <w:p>
      <w:pPr>
        <w:spacing w:after="0" w:line="214" w:lineRule="exact"/>
        <w:rPr>
          <w:sz w:val="20"/>
          <w:szCs w:val="20"/>
          <w:color w:val="auto"/>
        </w:rPr>
      </w:pPr>
    </w:p>
    <w:p>
      <w:pPr>
        <w:ind w:right="240" w:firstLine="648"/>
        <w:spacing w:after="0" w:line="238" w:lineRule="auto"/>
        <w:rPr>
          <w:sz w:val="20"/>
          <w:szCs w:val="20"/>
          <w:color w:val="auto"/>
        </w:rPr>
      </w:pPr>
      <w:r>
        <w:rPr>
          <w:rFonts w:ascii="Arial" w:cs="Arial" w:eastAsia="Arial" w:hAnsi="Arial"/>
          <w:sz w:val="22"/>
          <w:szCs w:val="22"/>
          <w:color w:val="auto"/>
        </w:rPr>
        <w:t>Nature of Operations – The Company has two reportable segments: i) ethanol and by-products; and ii) refined coal. Within the ethanol and by-products segment, the Company has equity investments in three ethanol limited liability companies, two of which are majority ownership interests. Within the refined coal segment, the Company has a majority equity interest in one refined coal limited liability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i w:val="1"/>
          <w:iCs w:val="1"/>
          <w:color w:val="auto"/>
        </w:rPr>
        <w:t>Accounting Policies</w:t>
      </w:r>
    </w:p>
    <w:p>
      <w:pPr>
        <w:spacing w:after="0" w:line="239"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The interim consolidated condensed financial statements have been prepared in accordance with the accounting policies described in the notes to the consolidated financial statements included in the Company’s fiscal year 2020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the provision for income taxes. Any adjustments pursuant to such estimates during the quarter were of a normal recurring nature.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Actual results could differ from those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Cash and cash equivalents includes bank deposits as well as short-term, highly liquid investments with original maturities of three months or less.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For ethanol and by-products segment sales, 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 For refined coal segment sales, the Company recognizes sales of refined coal when obligations under the term of the contract with its customer are satisfied; this occurs when title and control of the product transfers to its customer, generally upon the coal leaving the refined coal plant. Refined coal sales are recorded net of the cost of coal as the Company purchases the coal feedstock from the customer to which the processed refined coal is sold.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 of Sales</w:t>
      </w:r>
    </w:p>
    <w:p>
      <w:pPr>
        <w:spacing w:after="0" w:line="239"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Cost of sales includes depreciation, costs of raw materials, inbound freight charges, purchasing and receiving costs, inspection costs, other distribution expenses, warehousing costs, plant management, certain compensations costs and general facility overhead charges.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Selling, General and Administrative (“SG&amp;A”) Expenses</w:t>
      </w:r>
    </w:p>
    <w:p>
      <w:pPr>
        <w:spacing w:after="0" w:line="239"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The Company includes non-production related costs such as professional fees, outbound freight charges, selling charges and certain payroll in SG&amp;A expenses. Outbound freight charges were approximately $1,561,000 and $839,000 in the second quarter of fiscal years 2021 and 2020, respectively and approximately $7,156,000 and $2,162,000 in the first six months of fiscal years 2021 and 2020,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w:t>
      </w:r>
    </w:p>
    <w:p>
      <w:pPr>
        <w:spacing w:after="0" w:line="239"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Arial" w:cs="Arial" w:eastAsia="Arial" w:hAnsi="Arial"/>
          <w:sz w:val="19"/>
          <w:szCs w:val="19"/>
          <w:i w:val="1"/>
          <w:iCs w:val="1"/>
          <w:color w:val="auto"/>
        </w:rPr>
        <w:t>Derivatives and Hedging</w:t>
      </w:r>
      <w:r>
        <w:rPr>
          <w:rFonts w:ascii="Arial" w:cs="Arial" w:eastAsia="Arial" w:hAnsi="Arial"/>
          <w:sz w:val="19"/>
          <w:szCs w:val="19"/>
          <w:color w:val="auto"/>
        </w:rPr>
        <w:t>” (“ASC 815”) because these arrangements are for purchases of grain that will be delivered in quantities expected to be used by the Company and sales of ethanol, distillers grains and non-food grade corn oil quantities expected to be produced by the Company over a reasonable period of time in the normal course of business.</w:t>
      </w:r>
    </w:p>
    <w:p>
      <w:pPr>
        <w:spacing w:after="0" w:line="174"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9" w:name="page10"/>
    <w:bookmarkEnd w:id="9"/>
    <w:p>
      <w:pPr>
        <w:spacing w:after="0" w:line="236" w:lineRule="auto"/>
        <w:rPr>
          <w:sz w:val="20"/>
          <w:szCs w:val="20"/>
          <w:color w:val="auto"/>
        </w:rPr>
      </w:pPr>
      <w:r>
        <w:rPr>
          <w:rFonts w:ascii="Arial" w:cs="Arial" w:eastAsia="Arial" w:hAnsi="Arial"/>
          <w:sz w:val="22"/>
          <w:szCs w:val="22"/>
          <w:color w:val="auto"/>
        </w:rPr>
        <w:t>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jc w:val="both"/>
        <w:ind w:right="360" w:firstLine="648"/>
        <w:spacing w:after="0" w:line="257" w:lineRule="auto"/>
        <w:rPr>
          <w:sz w:val="20"/>
          <w:szCs w:val="20"/>
          <w:color w:val="auto"/>
        </w:rPr>
      </w:pPr>
      <w:r>
        <w:rPr>
          <w:rFonts w:ascii="Arial" w:cs="Arial" w:eastAsia="Arial" w:hAnsi="Arial"/>
          <w:sz w:val="21"/>
          <w:szCs w:val="21"/>
          <w:color w:val="auto"/>
        </w:rPr>
        <w:t>The Company determined that small changes in estimated “ordinary” income could result in significant changes in the estimated annual effective tax rate. Thus, the Company used a discrete effective tax rate method to calculate the provision or benefit for income taxes for the three and six months ended July 31, 2021 and 2020.</w:t>
      </w:r>
    </w:p>
    <w:p>
      <w:pPr>
        <w:spacing w:after="0" w:line="196"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$1.9 million and received no refunds of income taxes during the six months ended July 31, 2021. The Company paid income taxes of approximately $0.3 million and received refunds of income taxes of approximately $0.3 million during the six months ended July 31,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As of July 31, 2021, and January 31, 2021, total unrecognized tax benefits were approximately $8,655,000 and</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$8,380,000, respectively. Accrued penalties and interest were approximately $30,000 and approximately $20,000 at July 31, 2021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January 31, 2021, respectively. If the Company were to prevail on all unrecognized tax benefits recorded, the provision for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income taxes would be reduced by approximately $8.6 million. In addition, the impact of penalties and interest would also benefit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effective tax rate. Interest and penalties associated with unrecognized tax benefits are recorded within income tax expense.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 quarterly basis, the Company accrues for the effects of open uncertain tax positions and the related potential penalties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interest.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Inventories</w:t>
      </w:r>
    </w:p>
    <w:p>
      <w:pPr>
        <w:spacing w:after="0" w:line="23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9"/>
          <w:szCs w:val="19"/>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and refined coal. Inventory is written down for instances when cost exceeds estimated net realizable value; such write-downs are based primarily upon commodity prices as the market value of inventory is often dependent upon changes in commodity prices. The Company recorded approximately $1.3 million and approximately $1.0 million of inventory write-downs in cost of sales at July 31, 2021 and January 31, 2021, respectively. Fluctuations in the write-down of inventory generally relate to the levels and composition of such inventory and changes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0" w:name="page11"/>
    <w:bookmarkEnd w:id="10"/>
    <w:p>
      <w:pPr>
        <w:ind w:right="440"/>
        <w:spacing w:after="0" w:line="250" w:lineRule="auto"/>
        <w:rPr>
          <w:sz w:val="20"/>
          <w:szCs w:val="20"/>
          <w:color w:val="auto"/>
        </w:rPr>
      </w:pPr>
      <w:r>
        <w:rPr>
          <w:rFonts w:ascii="Arial" w:cs="Arial" w:eastAsia="Arial" w:hAnsi="Arial"/>
          <w:sz w:val="22"/>
          <w:szCs w:val="22"/>
          <w:color w:val="auto"/>
        </w:rPr>
        <w:t>commodity prices at a given point in time. The components of inventory are as follows as of the dates presented (amounts in thousands):</w:t>
      </w:r>
    </w:p>
    <w:p>
      <w:pPr>
        <w:sectPr>
          <w:pgSz w:w="11900" w:h="16838" w:orient="portrait"/>
          <w:cols w:equalWidth="0" w:num="1">
            <w:col w:w="11220"/>
          </w:cols>
          <w:pgMar w:left="320" w:top="4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940"/>
        <w:spacing w:after="0" w:line="239" w:lineRule="auto"/>
        <w:rPr>
          <w:sz w:val="20"/>
          <w:szCs w:val="20"/>
          <w:color w:val="auto"/>
        </w:rPr>
      </w:pPr>
      <w:r>
        <w:rPr>
          <w:rFonts w:ascii="Arial" w:cs="Arial" w:eastAsia="Arial" w:hAnsi="Arial"/>
          <w:sz w:val="22"/>
          <w:szCs w:val="22"/>
          <w:color w:val="auto"/>
        </w:rPr>
        <w:t>Ethanol and other finished goods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9891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Grain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49891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Total</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gridSpan w:val="3"/>
          </w:tcPr>
          <w:p>
            <w:pPr>
              <w:jc w:val="center"/>
              <w:ind w:right="300"/>
              <w:spacing w:after="0"/>
              <w:rPr>
                <w:sz w:val="20"/>
                <w:szCs w:val="20"/>
                <w:color w:val="auto"/>
              </w:rPr>
            </w:pPr>
            <w:r>
              <w:rPr>
                <w:rFonts w:ascii="Arial" w:cs="Arial" w:eastAsia="Arial" w:hAnsi="Arial"/>
                <w:sz w:val="22"/>
                <w:szCs w:val="22"/>
                <w:b w:val="1"/>
                <w:bCs w:val="1"/>
                <w:color w:val="auto"/>
                <w:w w:val="89"/>
              </w:rPr>
              <w:t>July 31,</w:t>
            </w:r>
          </w:p>
        </w:tc>
        <w:tc>
          <w:tcPr>
            <w:tcW w:w="1100" w:type="dxa"/>
            <w:vAlign w:val="bottom"/>
            <w:gridSpan w:val="2"/>
          </w:tcPr>
          <w:p>
            <w:pPr>
              <w:spacing w:after="0"/>
              <w:rPr>
                <w:sz w:val="20"/>
                <w:szCs w:val="20"/>
                <w:color w:val="auto"/>
              </w:rPr>
            </w:pPr>
            <w:r>
              <w:rPr>
                <w:rFonts w:ascii="Arial" w:cs="Arial" w:eastAsia="Arial" w:hAnsi="Arial"/>
                <w:sz w:val="22"/>
                <w:szCs w:val="22"/>
                <w:b w:val="1"/>
                <w:bCs w:val="1"/>
                <w:color w:val="auto"/>
                <w:w w:val="89"/>
              </w:rPr>
              <w:t>January 31,</w:t>
            </w:r>
          </w:p>
        </w:tc>
      </w:tr>
      <w:tr>
        <w:trPr>
          <w:trHeight w:val="270"/>
        </w:trPr>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w w:val="98"/>
              </w:rPr>
              <w:t>2021</w:t>
            </w:r>
          </w:p>
        </w:tc>
        <w:tc>
          <w:tcPr>
            <w:tcW w:w="3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2021</w:t>
            </w:r>
          </w:p>
        </w:tc>
      </w:tr>
      <w:tr>
        <w:trPr>
          <w:trHeight w:val="458"/>
        </w:trPr>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15,986</w:t>
            </w:r>
          </w:p>
        </w:tc>
        <w:tc>
          <w:tcPr>
            <w:tcW w:w="220" w:type="dxa"/>
            <w:vAlign w:val="bottom"/>
          </w:tcPr>
          <w:p>
            <w:pPr>
              <w:spacing w:after="0"/>
              <w:rPr>
                <w:sz w:val="20"/>
                <w:szCs w:val="20"/>
                <w:color w:val="auto"/>
              </w:rPr>
            </w:pPr>
            <w:r>
              <w:rPr>
                <w:rFonts w:ascii="Arial" w:cs="Arial" w:eastAsia="Arial" w:hAnsi="Arial"/>
                <w:sz w:val="22"/>
                <w:szCs w:val="22"/>
                <w:color w:val="auto"/>
              </w:rPr>
              <w:t>$</w:t>
            </w:r>
          </w:p>
        </w:tc>
        <w:tc>
          <w:tcPr>
            <w:tcW w:w="880" w:type="dxa"/>
            <w:vAlign w:val="bottom"/>
          </w:tcPr>
          <w:p>
            <w:pPr>
              <w:jc w:val="right"/>
              <w:spacing w:after="0"/>
              <w:rPr>
                <w:sz w:val="20"/>
                <w:szCs w:val="20"/>
                <w:color w:val="auto"/>
              </w:rPr>
            </w:pPr>
            <w:r>
              <w:rPr>
                <w:rFonts w:ascii="Arial" w:cs="Arial" w:eastAsia="Arial" w:hAnsi="Arial"/>
                <w:sz w:val="22"/>
                <w:szCs w:val="22"/>
                <w:color w:val="auto"/>
              </w:rPr>
              <w:t>18,346</w:t>
            </w:r>
          </w:p>
        </w:tc>
      </w:tr>
      <w:tr>
        <w:trPr>
          <w:trHeight w:val="256"/>
        </w:trPr>
        <w:tc>
          <w:tcPr>
            <w:tcW w:w="16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6,451</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4,374</w:t>
            </w:r>
          </w:p>
        </w:tc>
      </w:tr>
      <w:tr>
        <w:trPr>
          <w:trHeight w:val="264"/>
        </w:trPr>
        <w:tc>
          <w:tcPr>
            <w:tcW w:w="16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22"/>
                <w:szCs w:val="22"/>
                <w:color w:val="auto"/>
              </w:rPr>
              <w:t>19,322</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15,160</w:t>
            </w:r>
          </w:p>
        </w:tc>
      </w:tr>
      <w:tr>
        <w:trPr>
          <w:trHeight w:val="25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41,759</w:t>
            </w:r>
          </w:p>
        </w:tc>
        <w:tc>
          <w:tcPr>
            <w:tcW w:w="3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37,880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68" w:lineRule="exact"/>
        <w:rPr>
          <w:sz w:val="20"/>
          <w:szCs w:val="20"/>
          <w:color w:val="auto"/>
        </w:rPr>
      </w:pPr>
    </w:p>
    <w:p>
      <w:pPr>
        <w:sectPr>
          <w:pgSz w:w="11900" w:h="16838" w:orient="portrait"/>
          <w:cols w:equalWidth="0" w:num="2">
            <w:col w:w="4800" w:space="720"/>
            <w:col w:w="5700"/>
          </w:cols>
          <w:pgMar w:left="320" w:top="402" w:right="359" w:bottom="1440" w:gutter="0" w:footer="0" w:header="0"/>
          <w:type w:val="continuous"/>
        </w:sectPr>
      </w:pPr>
    </w:p>
    <w:p>
      <w:pPr>
        <w:spacing w:after="0" w:line="39" w:lineRule="exact"/>
        <w:rPr>
          <w:sz w:val="20"/>
          <w:szCs w:val="20"/>
          <w:color w:val="auto"/>
        </w:rPr>
      </w:pPr>
    </w:p>
    <w:p>
      <w:pPr>
        <w:ind w:right="140" w:firstLine="648"/>
        <w:spacing w:after="0" w:line="257" w:lineRule="auto"/>
        <w:rPr>
          <w:sz w:val="20"/>
          <w:szCs w:val="20"/>
          <w:color w:val="auto"/>
        </w:rPr>
      </w:pPr>
      <w:r>
        <w:rPr>
          <w:rFonts w:ascii="Arial" w:cs="Arial" w:eastAsia="Arial" w:hAnsi="Arial"/>
          <w:sz w:val="21"/>
          <w:szCs w:val="21"/>
          <w:color w:val="auto"/>
        </w:rPr>
        <w:t>Property and equipment is recorded at cost or the fair value on the date of acquisition (for property and equipment acquired in a business combination). Depreciation is computed using the straight-line method. Estimated useful lives are 5 to 40 years for buildings and improvements, and 2 to 20 years for fixtures and equipment.</w:t>
      </w:r>
    </w:p>
    <w:p>
      <w:pPr>
        <w:spacing w:after="0" w:line="196"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In accordance with ASC 360-10 “</w:t>
      </w:r>
      <w:r>
        <w:rPr>
          <w:rFonts w:ascii="Arial" w:cs="Arial" w:eastAsia="Arial" w:hAnsi="Arial"/>
          <w:sz w:val="22"/>
          <w:szCs w:val="22"/>
          <w:i w:val="1"/>
          <w:iCs w:val="1"/>
          <w:color w:val="auto"/>
        </w:rPr>
        <w:t>Impairment or Disposal of Long-Lived Assets</w:t>
      </w:r>
      <w:r>
        <w:rPr>
          <w:rFonts w:ascii="Arial" w:cs="Arial" w:eastAsia="Arial" w:hAnsi="Arial"/>
          <w:sz w:val="22"/>
          <w:szCs w:val="22"/>
          <w:color w:val="auto"/>
        </w:rPr>
        <w:t>”, the carrying value of long-lived assets is assessed for recoverability by management when changes in circumstances indicate that the carrying amount may not be recoverable. The Company did not identify any indicators of impairment during the first six months of fiscal year 2021, thus there were no impairment charges in the first six months of fiscal year 2021. During fiscal year 2020, the Company concluded that the impact of the coronavirus (” COVID-19”) pandemic on the ethanol industry and the Company’s operating results was an indicator that impairment may exist related to certain of its long-lived assets. As a result, the Company performed a recoverability test and determined that there was no impairment for fiscal year 2020. There were no impairment charges in the first six months of fiscal year 2020.</w:t>
      </w:r>
    </w:p>
    <w:p>
      <w:pPr>
        <w:spacing w:after="0" w:line="214"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Arial" w:cs="Arial" w:eastAsia="Arial" w:hAnsi="Arial"/>
          <w:sz w:val="19"/>
          <w:szCs w:val="19"/>
          <w:i w:val="1"/>
          <w:iCs w:val="1"/>
          <w:color w:val="auto"/>
        </w:rPr>
        <w:t>Investments-Equity Method and Joint Ventures</w:t>
      </w:r>
      <w:r>
        <w:rPr>
          <w:rFonts w:ascii="Arial" w:cs="Arial" w:eastAsia="Arial" w:hAnsi="Arial"/>
          <w:sz w:val="19"/>
          <w:szCs w:val="19"/>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type w:val="continuous"/>
        </w:sectPr>
      </w:pPr>
    </w:p>
    <w:bookmarkStart w:id="11" w:name="page12"/>
    <w:bookmarkEnd w:id="11"/>
    <w:p>
      <w:pPr>
        <w:ind w:right="60" w:firstLine="648"/>
        <w:spacing w:after="0" w:line="252" w:lineRule="auto"/>
        <w:rPr>
          <w:sz w:val="20"/>
          <w:szCs w:val="20"/>
          <w:color w:val="auto"/>
        </w:rPr>
      </w:pPr>
      <w:r>
        <w:rPr>
          <w:rFonts w:ascii="Arial" w:cs="Arial" w:eastAsia="Arial" w:hAnsi="Arial"/>
          <w:sz w:val="21"/>
          <w:szCs w:val="21"/>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Condensed Statements of Operations and a new cost basis in the investment is established.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Short-term investments are considered held to maturity, and therefore are carried at amortized historical cost.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39"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The Company has no components of other comprehensive income, and therefore, comprehensive income equals net income.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Changes and Recently Issued Accounting Standards</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2019-12, “</w:t>
      </w:r>
      <w:r>
        <w:rPr>
          <w:rFonts w:ascii="Arial" w:cs="Arial" w:eastAsia="Arial" w:hAnsi="Arial"/>
          <w:sz w:val="19"/>
          <w:szCs w:val="19"/>
          <w:i w:val="1"/>
          <w:iCs w:val="1"/>
          <w:color w:val="auto"/>
        </w:rPr>
        <w:t>Income Taxes (Topic 740): Simplifying the Accounting for Income Taxes</w:t>
      </w:r>
      <w:r>
        <w:rPr>
          <w:rFonts w:ascii="Arial" w:cs="Arial" w:eastAsia="Arial" w:hAnsi="Arial"/>
          <w:sz w:val="19"/>
          <w:szCs w:val="19"/>
          <w:color w:val="auto"/>
        </w:rPr>
        <w:t>”, which simplifies the accounting for income taxes by removing certain exceptions to the general principles in Topic 740. The Company adopted this update effective February 1, 2021. The adoption of this update did not impact the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i w:val="1"/>
          <w:iCs w:val="1"/>
          <w:color w:val="auto"/>
        </w:rPr>
        <w:t>Net Sales and Revenue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14" w:lineRule="exact"/>
        <w:rPr>
          <w:sz w:val="20"/>
          <w:szCs w:val="20"/>
          <w:color w:val="auto"/>
        </w:rPr>
      </w:pPr>
    </w:p>
    <w:p>
      <w:pPr>
        <w:ind w:right="160" w:firstLine="648"/>
        <w:spacing w:after="0" w:line="252" w:lineRule="auto"/>
        <w:rPr>
          <w:sz w:val="20"/>
          <w:szCs w:val="20"/>
          <w:color w:val="auto"/>
        </w:rPr>
      </w:pPr>
      <w:r>
        <w:rPr>
          <w:rFonts w:ascii="Arial" w:cs="Arial" w:eastAsia="Arial" w:hAnsi="Arial"/>
          <w:sz w:val="21"/>
          <w:szCs w:val="21"/>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into sales contracts in which payment is due from a customer prior to transferring product to the customer. Thus, the Company does not record unearned revenue.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14 for disaggregation of net sales and revenue by operating segment and by product.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i w:val="1"/>
          <w:iCs w:val="1"/>
          <w:color w:val="auto"/>
        </w:rPr>
        <w:t>Leases</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At July 31, 2021, the Company has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renewal is at the Company’s sole discretion. The lease term for all of the Company’s leases includes the noncancelable period of the lease and any</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12" w:name="page13"/>
    <w:bookmarkEnd w:id="12"/>
    <w:p>
      <w:pPr>
        <w:ind w:right="360"/>
        <w:spacing w:after="0" w:line="257" w:lineRule="auto"/>
        <w:rPr>
          <w:sz w:val="20"/>
          <w:szCs w:val="20"/>
          <w:color w:val="auto"/>
        </w:rPr>
      </w:pPr>
      <w:r>
        <w:rPr>
          <w:rFonts w:ascii="Arial" w:cs="Arial" w:eastAsia="Arial" w:hAnsi="Arial"/>
          <w:sz w:val="21"/>
          <w:szCs w:val="21"/>
          <w:color w:val="auto"/>
        </w:rPr>
        <w:t>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gridSpan w:val="5"/>
          </w:tcPr>
          <w:p>
            <w:pPr>
              <w:ind w:left="180"/>
              <w:spacing w:after="0"/>
              <w:rPr>
                <w:sz w:val="20"/>
                <w:szCs w:val="20"/>
                <w:color w:val="auto"/>
              </w:rPr>
            </w:pPr>
            <w:r>
              <w:rPr>
                <w:rFonts w:ascii="Arial" w:cs="Arial" w:eastAsia="Arial" w:hAnsi="Arial"/>
                <w:sz w:val="22"/>
                <w:szCs w:val="22"/>
                <w:b w:val="1"/>
                <w:bCs w:val="1"/>
                <w:color w:val="auto"/>
              </w:rPr>
              <w:t>Three Months Ended</w:t>
            </w:r>
          </w:p>
        </w:tc>
        <w:tc>
          <w:tcPr>
            <w:tcW w:w="340" w:type="dxa"/>
            <w:vAlign w:val="bottom"/>
          </w:tcPr>
          <w:p>
            <w:pPr>
              <w:spacing w:after="0"/>
              <w:rPr>
                <w:sz w:val="22"/>
                <w:szCs w:val="22"/>
                <w:color w:val="auto"/>
              </w:rPr>
            </w:pPr>
          </w:p>
        </w:tc>
        <w:tc>
          <w:tcPr>
            <w:tcW w:w="1960" w:type="dxa"/>
            <w:vAlign w:val="bottom"/>
            <w:gridSpan w:val="3"/>
          </w:tcPr>
          <w:p>
            <w:pPr>
              <w:ind w:left="220"/>
              <w:spacing w:after="0"/>
              <w:rPr>
                <w:sz w:val="20"/>
                <w:szCs w:val="20"/>
                <w:color w:val="auto"/>
              </w:rPr>
            </w:pPr>
            <w:r>
              <w:rPr>
                <w:rFonts w:ascii="Arial" w:cs="Arial" w:eastAsia="Arial" w:hAnsi="Arial"/>
                <w:sz w:val="22"/>
                <w:szCs w:val="22"/>
                <w:b w:val="1"/>
                <w:bCs w:val="1"/>
                <w:color w:val="auto"/>
                <w:w w:val="90"/>
              </w:rPr>
              <w:t>Six Months Ended</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060" w:type="dxa"/>
            <w:vAlign w:val="bottom"/>
          </w:tcPr>
          <w:p>
            <w:pPr>
              <w:spacing w:after="0"/>
              <w:rPr>
                <w:sz w:val="23"/>
                <w:szCs w:val="23"/>
                <w:color w:val="auto"/>
              </w:rPr>
            </w:pPr>
          </w:p>
        </w:tc>
        <w:tc>
          <w:tcPr>
            <w:tcW w:w="1620" w:type="dxa"/>
            <w:vAlign w:val="bottom"/>
            <w:gridSpan w:val="3"/>
          </w:tcPr>
          <w:p>
            <w:pPr>
              <w:spacing w:after="0"/>
              <w:rPr>
                <w:sz w:val="20"/>
                <w:szCs w:val="20"/>
                <w:color w:val="auto"/>
              </w:rPr>
            </w:pPr>
            <w:r>
              <w:rPr>
                <w:rFonts w:ascii="Arial" w:cs="Arial" w:eastAsia="Arial" w:hAnsi="Arial"/>
                <w:sz w:val="22"/>
                <w:szCs w:val="22"/>
                <w:b w:val="1"/>
                <w:bCs w:val="1"/>
                <w:color w:val="auto"/>
              </w:rPr>
              <w:t>July 31, 2021</w:t>
            </w:r>
          </w:p>
        </w:tc>
        <w:tc>
          <w:tcPr>
            <w:tcW w:w="1620" w:type="dxa"/>
            <w:vAlign w:val="bottom"/>
            <w:gridSpan w:val="3"/>
          </w:tcPr>
          <w:p>
            <w:pPr>
              <w:spacing w:after="0"/>
              <w:rPr>
                <w:sz w:val="20"/>
                <w:szCs w:val="20"/>
                <w:color w:val="auto"/>
              </w:rPr>
            </w:pPr>
            <w:r>
              <w:rPr>
                <w:rFonts w:ascii="Arial" w:cs="Arial" w:eastAsia="Arial" w:hAnsi="Arial"/>
                <w:sz w:val="22"/>
                <w:szCs w:val="22"/>
                <w:b w:val="1"/>
                <w:bCs w:val="1"/>
                <w:color w:val="auto"/>
              </w:rPr>
              <w:t>July 31, 2020</w:t>
            </w:r>
          </w:p>
        </w:tc>
        <w:tc>
          <w:tcPr>
            <w:tcW w:w="1620" w:type="dxa"/>
            <w:vAlign w:val="bottom"/>
            <w:gridSpan w:val="3"/>
          </w:tcPr>
          <w:p>
            <w:pPr>
              <w:spacing w:after="0"/>
              <w:rPr>
                <w:sz w:val="20"/>
                <w:szCs w:val="20"/>
                <w:color w:val="auto"/>
              </w:rPr>
            </w:pPr>
            <w:r>
              <w:rPr>
                <w:rFonts w:ascii="Arial" w:cs="Arial" w:eastAsia="Arial" w:hAnsi="Arial"/>
                <w:sz w:val="22"/>
                <w:szCs w:val="22"/>
                <w:b w:val="1"/>
                <w:bCs w:val="1"/>
                <w:color w:val="auto"/>
              </w:rPr>
              <w:t>July 31, 2021</w:t>
            </w:r>
          </w:p>
        </w:tc>
        <w:tc>
          <w:tcPr>
            <w:tcW w:w="1320" w:type="dxa"/>
            <w:vAlign w:val="bottom"/>
            <w:gridSpan w:val="3"/>
          </w:tcPr>
          <w:p>
            <w:pPr>
              <w:spacing w:after="0"/>
              <w:rPr>
                <w:sz w:val="20"/>
                <w:szCs w:val="20"/>
                <w:color w:val="auto"/>
              </w:rPr>
            </w:pPr>
            <w:r>
              <w:rPr>
                <w:rFonts w:ascii="Arial" w:cs="Arial" w:eastAsia="Arial" w:hAnsi="Arial"/>
                <w:sz w:val="22"/>
                <w:szCs w:val="22"/>
                <w:b w:val="1"/>
                <w:bCs w:val="1"/>
                <w:color w:val="auto"/>
                <w:w w:val="95"/>
              </w:rPr>
              <w:t>July 31, 2020</w:t>
            </w:r>
          </w:p>
        </w:tc>
      </w:tr>
      <w:tr>
        <w:trPr>
          <w:trHeight w:val="237"/>
        </w:trPr>
        <w:tc>
          <w:tcPr>
            <w:tcW w:w="5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Operating lease expense</w:t>
            </w:r>
          </w:p>
        </w:tc>
        <w:tc>
          <w:tcPr>
            <w:tcW w:w="2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36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1,565</w:t>
            </w:r>
          </w:p>
        </w:tc>
        <w:tc>
          <w:tcPr>
            <w:tcW w:w="4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1,548</w:t>
            </w:r>
          </w:p>
        </w:tc>
        <w:tc>
          <w:tcPr>
            <w:tcW w:w="3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280" w:type="dxa"/>
            <w:vAlign w:val="bottom"/>
            <w:gridSpan w:val="2"/>
            <w:shd w:val="clear" w:color="auto" w:fill="E5FFFF"/>
          </w:tcPr>
          <w:p>
            <w:pPr>
              <w:jc w:val="right"/>
              <w:ind w:right="400"/>
              <w:spacing w:after="0" w:line="243" w:lineRule="exact"/>
              <w:rPr>
                <w:sz w:val="20"/>
                <w:szCs w:val="20"/>
                <w:color w:val="auto"/>
              </w:rPr>
            </w:pPr>
            <w:r>
              <w:rPr>
                <w:rFonts w:ascii="Arial" w:cs="Arial" w:eastAsia="Arial" w:hAnsi="Arial"/>
                <w:sz w:val="22"/>
                <w:szCs w:val="22"/>
                <w:color w:val="auto"/>
              </w:rPr>
              <w:t>3,115</w:t>
            </w:r>
          </w:p>
        </w:tc>
        <w:tc>
          <w:tcPr>
            <w:tcW w:w="6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6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94"/>
              </w:rPr>
              <w:t>3,234</w:t>
            </w:r>
          </w:p>
        </w:tc>
      </w:tr>
      <w:tr>
        <w:trPr>
          <w:trHeight w:val="256"/>
        </w:trPr>
        <w:tc>
          <w:tcPr>
            <w:tcW w:w="5060" w:type="dxa"/>
            <w:vAlign w:val="bottom"/>
          </w:tcPr>
          <w:p>
            <w:pPr>
              <w:spacing w:after="0"/>
              <w:rPr>
                <w:sz w:val="20"/>
                <w:szCs w:val="20"/>
                <w:color w:val="auto"/>
              </w:rPr>
            </w:pPr>
            <w:r>
              <w:rPr>
                <w:rFonts w:ascii="Arial" w:cs="Arial" w:eastAsia="Arial" w:hAnsi="Arial"/>
                <w:sz w:val="22"/>
                <w:szCs w:val="22"/>
                <w:color w:val="auto"/>
              </w:rPr>
              <w:t>Variable lease expense</w:t>
            </w:r>
          </w:p>
        </w:tc>
        <w:tc>
          <w:tcPr>
            <w:tcW w:w="260" w:type="dxa"/>
            <w:vAlign w:val="bottom"/>
          </w:tcPr>
          <w:p>
            <w:pPr>
              <w:spacing w:after="0"/>
              <w:rPr>
                <w:sz w:val="22"/>
                <w:szCs w:val="22"/>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22"/>
                <w:szCs w:val="22"/>
                <w:color w:val="auto"/>
              </w:rPr>
              <w:t>520</w:t>
            </w:r>
          </w:p>
        </w:tc>
        <w:tc>
          <w:tcPr>
            <w:tcW w:w="420" w:type="dxa"/>
            <w:vAlign w:val="bottom"/>
          </w:tcPr>
          <w:p>
            <w:pPr>
              <w:spacing w:after="0"/>
              <w:rPr>
                <w:sz w:val="22"/>
                <w:szCs w:val="22"/>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22"/>
                <w:szCs w:val="22"/>
                <w:color w:val="auto"/>
              </w:rPr>
              <w:t>207</w:t>
            </w:r>
          </w:p>
        </w:tc>
        <w:tc>
          <w:tcPr>
            <w:tcW w:w="34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22"/>
                <w:szCs w:val="22"/>
                <w:color w:val="auto"/>
              </w:rPr>
              <w:t>564</w:t>
            </w:r>
          </w:p>
        </w:tc>
        <w:tc>
          <w:tcPr>
            <w:tcW w:w="68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22"/>
                <w:szCs w:val="22"/>
                <w:color w:val="auto"/>
              </w:rPr>
              <w:t>338</w:t>
            </w:r>
          </w:p>
        </w:tc>
      </w:tr>
      <w:tr>
        <w:trPr>
          <w:trHeight w:val="250"/>
        </w:trPr>
        <w:tc>
          <w:tcPr>
            <w:tcW w:w="50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lease expense</w:t>
            </w:r>
          </w:p>
        </w:tc>
        <w:tc>
          <w:tcPr>
            <w:tcW w:w="2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9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2,085</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4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1,755</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34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3,679</w:t>
            </w:r>
          </w:p>
        </w:tc>
        <w:tc>
          <w:tcPr>
            <w:tcW w:w="400" w:type="dxa"/>
            <w:vAlign w:val="bottom"/>
            <w:tcBorders>
              <w:top w:val="single" w:sz="8" w:color="E5FFFF"/>
              <w:bottom w:val="single" w:sz="8" w:color="E5FFFF"/>
            </w:tcBorders>
            <w:shd w:val="clear" w:color="auto" w:fill="E5FFFF"/>
          </w:tcPr>
          <w:p>
            <w:pPr>
              <w:spacing w:after="0"/>
              <w:rPr>
                <w:sz w:val="21"/>
                <w:szCs w:val="21"/>
                <w:color w:val="auto"/>
              </w:rPr>
            </w:pPr>
          </w:p>
        </w:tc>
        <w:tc>
          <w:tcPr>
            <w:tcW w:w="6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5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4"/>
              </w:rPr>
              <w:t>3,572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July 31, 2021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Years Ended January 31,</w:t>
            </w:r>
          </w:p>
        </w:tc>
        <w:tc>
          <w:tcPr>
            <w:tcW w:w="1000" w:type="dxa"/>
            <w:vAlign w:val="bottom"/>
            <w:gridSpan w:val="4"/>
          </w:tcPr>
          <w:p>
            <w:pPr>
              <w:ind w:left="2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43"/>
        </w:trPr>
        <w:tc>
          <w:tcPr>
            <w:tcW w:w="4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60"/>
              <w:spacing w:after="0" w:line="243" w:lineRule="exact"/>
              <w:rPr>
                <w:sz w:val="20"/>
                <w:szCs w:val="20"/>
                <w:color w:val="auto"/>
              </w:rPr>
            </w:pPr>
            <w:r>
              <w:rPr>
                <w:rFonts w:ascii="Arial" w:cs="Arial" w:eastAsia="Arial" w:hAnsi="Arial"/>
                <w:sz w:val="22"/>
                <w:szCs w:val="22"/>
                <w:b w:val="1"/>
                <w:bCs w:val="1"/>
                <w:color w:val="auto"/>
                <w:w w:val="93"/>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Remainder of 2022</w:t>
            </w: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3,015</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4,836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17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3,670</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2025</w:t>
            </w: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2,221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20" w:type="dxa"/>
            <w:vAlign w:val="bottom"/>
            <w:shd w:val="clear" w:color="auto" w:fill="E5FFFF"/>
          </w:tcPr>
          <w:p>
            <w:pPr>
              <w:spacing w:after="0"/>
              <w:rPr>
                <w:sz w:val="20"/>
                <w:szCs w:val="20"/>
                <w:color w:val="auto"/>
              </w:rPr>
            </w:pPr>
            <w:r>
              <w:rPr>
                <w:rFonts w:ascii="Arial" w:cs="Arial" w:eastAsia="Arial" w:hAnsi="Arial"/>
                <w:sz w:val="22"/>
                <w:szCs w:val="22"/>
                <w:color w:val="auto"/>
              </w:rPr>
              <w:t>2026</w:t>
            </w:r>
          </w:p>
        </w:tc>
        <w:tc>
          <w:tcPr>
            <w:tcW w:w="1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49</w:t>
            </w:r>
          </w:p>
        </w:tc>
        <w:tc>
          <w:tcPr>
            <w:tcW w:w="4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6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13,791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60" w:type="dxa"/>
            <w:vAlign w:val="bottom"/>
            <w:gridSpan w:val="2"/>
            <w:shd w:val="clear" w:color="auto" w:fill="E5FFFF"/>
          </w:tcPr>
          <w:p>
            <w:pPr>
              <w:spacing w:after="0"/>
              <w:rPr>
                <w:sz w:val="20"/>
                <w:szCs w:val="20"/>
                <w:color w:val="auto"/>
              </w:rPr>
            </w:pPr>
            <w:r>
              <w:rPr>
                <w:rFonts w:ascii="Arial" w:cs="Arial" w:eastAsia="Arial" w:hAnsi="Arial"/>
                <w:sz w:val="22"/>
                <w:szCs w:val="22"/>
                <w:color w:val="auto"/>
              </w:rPr>
              <w:t>Less: present value discount</w:t>
            </w:r>
          </w:p>
        </w:tc>
        <w:tc>
          <w:tcPr>
            <w:tcW w:w="18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877</w:t>
            </w:r>
          </w:p>
        </w:tc>
        <w:tc>
          <w:tcPr>
            <w:tcW w:w="4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gridSpan w:val="2"/>
          </w:tcPr>
          <w:p>
            <w:pPr>
              <w:spacing w:after="0" w:line="250" w:lineRule="exact"/>
              <w:rPr>
                <w:sz w:val="20"/>
                <w:szCs w:val="20"/>
                <w:color w:val="auto"/>
              </w:rPr>
            </w:pPr>
            <w:r>
              <w:rPr>
                <w:rFonts w:ascii="Arial" w:cs="Arial" w:eastAsia="Arial" w:hAnsi="Arial"/>
                <w:sz w:val="22"/>
                <w:szCs w:val="22"/>
                <w:color w:val="auto"/>
              </w:rPr>
              <w:t>Operating lease liabilities</w:t>
            </w:r>
          </w:p>
        </w:tc>
        <w:tc>
          <w:tcPr>
            <w:tcW w:w="18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12,914</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At July 31, 2021, the weighted average remaining lease term is 2.7 years, and the weighted average discount rate is 4.88% for the above leases.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is a summary of future minimum rentals on such leases at January 31, 2021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Years Ended January 31,</w:t>
            </w:r>
          </w:p>
        </w:tc>
        <w:tc>
          <w:tcPr>
            <w:tcW w:w="1000" w:type="dxa"/>
            <w:vAlign w:val="bottom"/>
            <w:gridSpan w:val="4"/>
          </w:tcPr>
          <w:p>
            <w:pPr>
              <w:ind w:left="20"/>
              <w:spacing w:after="0"/>
              <w:rPr>
                <w:sz w:val="20"/>
                <w:szCs w:val="20"/>
                <w:color w:val="auto"/>
              </w:rPr>
            </w:pPr>
            <w:r>
              <w:rPr>
                <w:rFonts w:ascii="Arial" w:cs="Arial" w:eastAsia="Arial" w:hAnsi="Arial"/>
                <w:sz w:val="22"/>
                <w:szCs w:val="22"/>
                <w:b w:val="1"/>
                <w:bCs w:val="1"/>
                <w:color w:val="auto"/>
                <w:w w:val="99"/>
              </w:rPr>
              <w:t>Minimum</w:t>
            </w:r>
          </w:p>
        </w:tc>
        <w:tc>
          <w:tcPr>
            <w:tcW w:w="0" w:type="dxa"/>
            <w:vAlign w:val="bottom"/>
          </w:tcPr>
          <w:p>
            <w:pPr>
              <w:spacing w:after="0"/>
              <w:rPr>
                <w:sz w:val="1"/>
                <w:szCs w:val="1"/>
                <w:color w:val="auto"/>
              </w:rPr>
            </w:pPr>
          </w:p>
        </w:tc>
      </w:tr>
      <w:tr>
        <w:trPr>
          <w:trHeight w:val="243"/>
        </w:trPr>
        <w:tc>
          <w:tcPr>
            <w:tcW w:w="40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ind w:left="60"/>
              <w:spacing w:after="0" w:line="243" w:lineRule="exact"/>
              <w:rPr>
                <w:sz w:val="20"/>
                <w:szCs w:val="20"/>
                <w:color w:val="auto"/>
              </w:rPr>
            </w:pPr>
            <w:r>
              <w:rPr>
                <w:rFonts w:ascii="Arial" w:cs="Arial" w:eastAsia="Arial" w:hAnsi="Arial"/>
                <w:sz w:val="22"/>
                <w:szCs w:val="22"/>
                <w:b w:val="1"/>
                <w:bCs w:val="1"/>
                <w:color w:val="auto"/>
                <w:w w:val="93"/>
              </w:rPr>
              <w:t>Rentals</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2022</w:t>
            </w:r>
          </w:p>
        </w:tc>
        <w:tc>
          <w:tcPr>
            <w:tcW w:w="17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5,397</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2023</w:t>
            </w: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3,690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2024</w:t>
            </w:r>
          </w:p>
        </w:tc>
        <w:tc>
          <w:tcPr>
            <w:tcW w:w="17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20"/>
              <w:spacing w:after="0" w:line="243" w:lineRule="exact"/>
              <w:rPr>
                <w:sz w:val="20"/>
                <w:szCs w:val="20"/>
                <w:color w:val="auto"/>
              </w:rPr>
            </w:pPr>
            <w:r>
              <w:rPr>
                <w:rFonts w:ascii="Arial" w:cs="Arial" w:eastAsia="Arial" w:hAnsi="Arial"/>
                <w:sz w:val="22"/>
                <w:szCs w:val="22"/>
                <w:color w:val="auto"/>
              </w:rPr>
              <w:t>2,524</w:t>
            </w:r>
          </w:p>
        </w:tc>
        <w:tc>
          <w:tcPr>
            <w:tcW w:w="4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2025</w:t>
            </w: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1,648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20" w:type="dxa"/>
            <w:vAlign w:val="bottom"/>
            <w:shd w:val="clear" w:color="auto" w:fill="E5FFFF"/>
          </w:tcPr>
          <w:p>
            <w:pPr>
              <w:spacing w:after="0"/>
              <w:rPr>
                <w:sz w:val="20"/>
                <w:szCs w:val="20"/>
                <w:color w:val="auto"/>
              </w:rPr>
            </w:pPr>
            <w:r>
              <w:rPr>
                <w:rFonts w:ascii="Arial" w:cs="Arial" w:eastAsia="Arial" w:hAnsi="Arial"/>
                <w:sz w:val="22"/>
                <w:szCs w:val="22"/>
                <w:color w:val="auto"/>
              </w:rPr>
              <w:t>2026</w:t>
            </w:r>
          </w:p>
        </w:tc>
        <w:tc>
          <w:tcPr>
            <w:tcW w:w="1740" w:type="dxa"/>
            <w:vAlign w:val="bottom"/>
            <w:shd w:val="clear" w:color="auto" w:fill="E5FFFF"/>
          </w:tcPr>
          <w:p>
            <w:pPr>
              <w:spacing w:after="0"/>
              <w:rPr>
                <w:sz w:val="22"/>
                <w:szCs w:val="22"/>
                <w:color w:val="auto"/>
              </w:rPr>
            </w:pPr>
          </w:p>
        </w:tc>
        <w:tc>
          <w:tcPr>
            <w:tcW w:w="18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49</w:t>
            </w:r>
          </w:p>
        </w:tc>
        <w:tc>
          <w:tcPr>
            <w:tcW w:w="4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60" w:type="dxa"/>
            <w:vAlign w:val="bottom"/>
            <w:gridSpan w:val="2"/>
          </w:tcPr>
          <w:p>
            <w:pPr>
              <w:spacing w:after="0" w:line="237" w:lineRule="exact"/>
              <w:rPr>
                <w:sz w:val="20"/>
                <w:szCs w:val="20"/>
                <w:color w:val="auto"/>
              </w:rPr>
            </w:pPr>
            <w:r>
              <w:rPr>
                <w:rFonts w:ascii="Arial" w:cs="Arial" w:eastAsia="Arial" w:hAnsi="Arial"/>
                <w:sz w:val="22"/>
                <w:szCs w:val="22"/>
                <w:color w:val="auto"/>
              </w:rPr>
              <w:t>Total</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line="237" w:lineRule="exact"/>
              <w:rPr>
                <w:sz w:val="20"/>
                <w:szCs w:val="20"/>
                <w:color w:val="auto"/>
              </w:rPr>
            </w:pPr>
            <w:r>
              <w:rPr>
                <w:rFonts w:ascii="Arial" w:cs="Arial" w:eastAsia="Arial" w:hAnsi="Arial"/>
                <w:sz w:val="22"/>
                <w:szCs w:val="22"/>
                <w:color w:val="auto"/>
              </w:rPr>
              <w:t>13,308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60" w:type="dxa"/>
            <w:vAlign w:val="bottom"/>
            <w:gridSpan w:val="2"/>
            <w:shd w:val="clear" w:color="auto" w:fill="E5FFFF"/>
          </w:tcPr>
          <w:p>
            <w:pPr>
              <w:spacing w:after="0"/>
              <w:rPr>
                <w:sz w:val="20"/>
                <w:szCs w:val="20"/>
                <w:color w:val="auto"/>
              </w:rPr>
            </w:pPr>
            <w:r>
              <w:rPr>
                <w:rFonts w:ascii="Arial" w:cs="Arial" w:eastAsia="Arial" w:hAnsi="Arial"/>
                <w:sz w:val="22"/>
                <w:szCs w:val="22"/>
                <w:color w:val="auto"/>
              </w:rPr>
              <w:t>Less: present value discount</w:t>
            </w:r>
          </w:p>
        </w:tc>
        <w:tc>
          <w:tcPr>
            <w:tcW w:w="18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994</w:t>
            </w:r>
          </w:p>
        </w:tc>
        <w:tc>
          <w:tcPr>
            <w:tcW w:w="4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60" w:type="dxa"/>
            <w:vAlign w:val="bottom"/>
            <w:gridSpan w:val="2"/>
          </w:tcPr>
          <w:p>
            <w:pPr>
              <w:spacing w:after="0" w:line="250" w:lineRule="exact"/>
              <w:rPr>
                <w:sz w:val="20"/>
                <w:szCs w:val="20"/>
                <w:color w:val="auto"/>
              </w:rPr>
            </w:pPr>
            <w:r>
              <w:rPr>
                <w:rFonts w:ascii="Arial" w:cs="Arial" w:eastAsia="Arial" w:hAnsi="Arial"/>
                <w:sz w:val="22"/>
                <w:szCs w:val="22"/>
                <w:color w:val="auto"/>
              </w:rPr>
              <w:t>Operating lease liabilities</w:t>
            </w:r>
          </w:p>
        </w:tc>
        <w:tc>
          <w:tcPr>
            <w:tcW w:w="18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7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12,314</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3" w:name="page14"/>
    <w:bookmarkEnd w:id="13"/>
    <w:p>
      <w:pPr>
        <w:ind w:right="320" w:firstLine="648"/>
        <w:spacing w:after="0" w:line="250" w:lineRule="auto"/>
        <w:rPr>
          <w:sz w:val="20"/>
          <w:szCs w:val="20"/>
          <w:color w:val="auto"/>
        </w:rPr>
      </w:pPr>
      <w:r>
        <w:rPr>
          <w:rFonts w:ascii="Arial" w:cs="Arial" w:eastAsia="Arial" w:hAnsi="Arial"/>
          <w:sz w:val="22"/>
          <w:szCs w:val="22"/>
          <w:color w:val="auto"/>
        </w:rPr>
        <w:t>At January 31, 2021, the weighted average remaining lease term was 3.0 years, and the weighted average discount rate was 5.26% for the above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i w:val="1"/>
          <w:iCs w:val="1"/>
          <w:color w:val="auto"/>
        </w:rPr>
        <w:t>Fair Value</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The Company applies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14"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9"/>
          <w:szCs w:val="19"/>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84" w:lineRule="exact"/>
        <w:rPr>
          <w:sz w:val="20"/>
          <w:szCs w:val="20"/>
          <w:color w:val="auto"/>
        </w:rPr>
      </w:pPr>
    </w:p>
    <w:p>
      <w:pPr>
        <w:ind w:right="100" w:firstLine="648"/>
        <w:spacing w:after="0" w:line="276" w:lineRule="auto"/>
        <w:rPr>
          <w:sz w:val="20"/>
          <w:szCs w:val="20"/>
          <w:color w:val="auto"/>
        </w:rPr>
      </w:pPr>
      <w:r>
        <w:rPr>
          <w:rFonts w:ascii="Arial" w:cs="Arial" w:eastAsia="Arial" w:hAnsi="Arial"/>
          <w:sz w:val="19"/>
          <w:szCs w:val="19"/>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220" w:firstLine="8"/>
        <w:spacing w:after="0" w:line="287" w:lineRule="auto"/>
        <w:tabs>
          <w:tab w:leader="none" w:pos="258" w:val="left"/>
        </w:tabs>
        <w:numPr>
          <w:ilvl w:val="0"/>
          <w:numId w:val="3"/>
        </w:numPr>
        <w:rPr>
          <w:rFonts w:ascii="Arial" w:cs="Arial" w:eastAsia="Arial" w:hAnsi="Arial"/>
          <w:sz w:val="19"/>
          <w:szCs w:val="19"/>
          <w:color w:val="auto"/>
        </w:rPr>
      </w:pPr>
      <w:r>
        <w:rPr>
          <w:rFonts w:ascii="Arial" w:cs="Arial" w:eastAsia="Arial" w:hAnsi="Arial"/>
          <w:sz w:val="19"/>
          <w:szCs w:val="19"/>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July 31, 2021 are summarized below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b w:val="1"/>
                <w:bCs w:val="1"/>
                <w:color w:val="auto"/>
                <w:w w:val="99"/>
              </w:rPr>
              <w:t>Level 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3"/>
          </w:tcPr>
          <w:p>
            <w:pPr>
              <w:ind w:left="60"/>
              <w:spacing w:after="0"/>
              <w:rPr>
                <w:sz w:val="20"/>
                <w:szCs w:val="20"/>
                <w:color w:val="auto"/>
              </w:rPr>
            </w:pPr>
            <w:r>
              <w:rPr>
                <w:rFonts w:ascii="Arial" w:cs="Arial" w:eastAsia="Arial" w:hAnsi="Arial"/>
                <w:sz w:val="22"/>
                <w:szCs w:val="22"/>
                <w:b w:val="1"/>
                <w:bCs w:val="1"/>
                <w:color w:val="auto"/>
              </w:rPr>
              <w:t>Level 2</w:t>
            </w:r>
          </w:p>
        </w:tc>
        <w:tc>
          <w:tcPr>
            <w:tcW w:w="180" w:type="dxa"/>
            <w:vAlign w:val="bottom"/>
          </w:tcPr>
          <w:p>
            <w:pPr>
              <w:spacing w:after="0"/>
              <w:rPr>
                <w:sz w:val="23"/>
                <w:szCs w:val="23"/>
                <w:color w:val="auto"/>
              </w:rPr>
            </w:pPr>
          </w:p>
        </w:tc>
        <w:tc>
          <w:tcPr>
            <w:tcW w:w="980" w:type="dxa"/>
            <w:vAlign w:val="bottom"/>
            <w:gridSpan w:val="3"/>
          </w:tcPr>
          <w:p>
            <w:pPr>
              <w:ind w:left="80"/>
              <w:spacing w:after="0"/>
              <w:rPr>
                <w:sz w:val="20"/>
                <w:szCs w:val="20"/>
                <w:color w:val="auto"/>
              </w:rPr>
            </w:pPr>
            <w:r>
              <w:rPr>
                <w:rFonts w:ascii="Arial" w:cs="Arial" w:eastAsia="Arial" w:hAnsi="Arial"/>
                <w:sz w:val="22"/>
                <w:szCs w:val="22"/>
                <w:b w:val="1"/>
                <w:bCs w:val="1"/>
                <w:color w:val="auto"/>
              </w:rPr>
              <w:t>Level 3</w:t>
            </w:r>
          </w:p>
        </w:tc>
        <w:tc>
          <w:tcPr>
            <w:tcW w:w="180" w:type="dxa"/>
            <w:vAlign w:val="bottom"/>
          </w:tcPr>
          <w:p>
            <w:pPr>
              <w:spacing w:after="0"/>
              <w:rPr>
                <w:sz w:val="23"/>
                <w:szCs w:val="23"/>
                <w:color w:val="auto"/>
              </w:rPr>
            </w:pPr>
          </w:p>
        </w:tc>
        <w:tc>
          <w:tcPr>
            <w:tcW w:w="1040" w:type="dxa"/>
            <w:vAlign w:val="bottom"/>
            <w:gridSpan w:val="3"/>
          </w:tcPr>
          <w:p>
            <w:pPr>
              <w:spacing w:after="0"/>
              <w:rPr>
                <w:sz w:val="20"/>
                <w:szCs w:val="20"/>
                <w:color w:val="auto"/>
              </w:rPr>
            </w:pPr>
            <w:r>
              <w:rPr>
                <w:rFonts w:ascii="Arial" w:cs="Arial" w:eastAsia="Arial" w:hAnsi="Arial"/>
                <w:sz w:val="22"/>
                <w:szCs w:val="22"/>
                <w:b w:val="1"/>
                <w:bCs w:val="1"/>
                <w:color w:val="auto"/>
                <w:w w:val="96"/>
              </w:rPr>
              <w:t>Fair Value</w:t>
            </w:r>
          </w:p>
        </w:tc>
        <w:tc>
          <w:tcPr>
            <w:tcW w:w="2260" w:type="dxa"/>
            <w:vAlign w:val="bottom"/>
          </w:tcPr>
          <w:p>
            <w:pPr>
              <w:spacing w:after="0"/>
              <w:rPr>
                <w:sz w:val="23"/>
                <w:szCs w:val="23"/>
                <w:color w:val="auto"/>
              </w:rPr>
            </w:pPr>
          </w:p>
        </w:tc>
      </w:tr>
      <w:tr>
        <w:trPr>
          <w:trHeight w:val="236"/>
        </w:trPr>
        <w:tc>
          <w:tcPr>
            <w:tcW w:w="3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43"/>
        </w:trPr>
        <w:tc>
          <w:tcPr>
            <w:tcW w:w="35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1620" w:type="dxa"/>
            <w:vAlign w:val="bottom"/>
            <w:gridSpan w:val="2"/>
            <w:shd w:val="clear" w:color="auto" w:fill="E5FFFF"/>
          </w:tcPr>
          <w:p>
            <w:pPr>
              <w:jc w:val="right"/>
              <w:ind w:right="532"/>
              <w:spacing w:after="0" w:line="243" w:lineRule="exact"/>
              <w:rPr>
                <w:sz w:val="20"/>
                <w:szCs w:val="20"/>
                <w:color w:val="auto"/>
              </w:rPr>
            </w:pPr>
            <w:r>
              <w:rPr>
                <w:rFonts w:ascii="Arial" w:cs="Arial" w:eastAsia="Arial" w:hAnsi="Arial"/>
                <w:sz w:val="22"/>
                <w:szCs w:val="22"/>
                <w:color w:val="auto"/>
              </w:rPr>
              <w:t>$</w:t>
            </w:r>
          </w:p>
        </w:tc>
        <w:tc>
          <w:tcPr>
            <w:tcW w:w="200" w:type="dxa"/>
            <w:vAlign w:val="bottom"/>
            <w:gridSpan w:val="2"/>
            <w:shd w:val="clear" w:color="auto" w:fill="E5FFFF"/>
          </w:tcPr>
          <w:p>
            <w:pPr>
              <w:jc w:val="right"/>
              <w:ind w:right="120"/>
              <w:spacing w:after="0" w:line="243" w:lineRule="exact"/>
              <w:rPr>
                <w:sz w:val="20"/>
                <w:szCs w:val="20"/>
                <w:color w:val="auto"/>
              </w:rPr>
            </w:pPr>
            <w:r>
              <w:rPr>
                <w:rFonts w:ascii="Arial" w:cs="Arial" w:eastAsia="Arial" w:hAnsi="Arial"/>
                <w:sz w:val="22"/>
                <w:szCs w:val="22"/>
                <w:color w:val="auto"/>
                <w:w w:val="81"/>
              </w:rPr>
              <w:t>-</w:t>
            </w:r>
          </w:p>
        </w:tc>
        <w:tc>
          <w:tcPr>
            <w:tcW w:w="440" w:type="dxa"/>
            <w:vAlign w:val="bottom"/>
            <w:gridSpan w:val="2"/>
            <w:shd w:val="clear" w:color="auto" w:fill="E5FFFF"/>
          </w:tcPr>
          <w:p>
            <w:pPr>
              <w:jc w:val="right"/>
              <w:ind w:right="17"/>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480" w:type="dxa"/>
            <w:vAlign w:val="bottom"/>
            <w:gridSpan w:val="2"/>
            <w:shd w:val="clear" w:color="auto" w:fill="E5FFFF"/>
          </w:tcPr>
          <w:p>
            <w:pPr>
              <w:jc w:val="right"/>
              <w:ind w:right="97"/>
              <w:spacing w:after="0" w:line="243" w:lineRule="exact"/>
              <w:rPr>
                <w:sz w:val="20"/>
                <w:szCs w:val="20"/>
                <w:color w:val="auto"/>
              </w:rPr>
            </w:pPr>
            <w:r>
              <w:rPr>
                <w:rFonts w:ascii="Arial" w:cs="Arial" w:eastAsia="Arial" w:hAnsi="Arial"/>
                <w:sz w:val="22"/>
                <w:szCs w:val="22"/>
                <w:color w:val="auto"/>
              </w:rPr>
              <w:t>$</w:t>
            </w:r>
          </w:p>
        </w:tc>
        <w:tc>
          <w:tcPr>
            <w:tcW w:w="68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354</w:t>
            </w:r>
          </w:p>
        </w:tc>
        <w:tc>
          <w:tcPr>
            <w:tcW w:w="460" w:type="dxa"/>
            <w:vAlign w:val="bottom"/>
            <w:gridSpan w:val="2"/>
            <w:shd w:val="clear" w:color="auto" w:fill="E5FFFF"/>
          </w:tcPr>
          <w:p>
            <w:pPr>
              <w:jc w:val="right"/>
              <w:ind w:right="77"/>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c>
          <w:tcPr>
            <w:tcW w:w="226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Arial" w:cs="Arial" w:eastAsia="Arial" w:hAnsi="Arial"/>
                <w:sz w:val="22"/>
                <w:szCs w:val="22"/>
                <w:color w:val="auto"/>
              </w:rPr>
              <w:t>Commodity futures asset (2)</w:t>
            </w: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gridSpan w:val="2"/>
          </w:tcPr>
          <w:p>
            <w:pPr>
              <w:jc w:val="right"/>
              <w:ind w:right="120"/>
              <w:spacing w:after="0" w:line="243" w:lineRule="exact"/>
              <w:rPr>
                <w:sz w:val="20"/>
                <w:szCs w:val="20"/>
                <w:color w:val="auto"/>
              </w:rPr>
            </w:pPr>
            <w:r>
              <w:rPr>
                <w:rFonts w:ascii="Arial" w:cs="Arial" w:eastAsia="Arial" w:hAnsi="Arial"/>
                <w:sz w:val="22"/>
                <w:szCs w:val="22"/>
                <w:color w:val="auto"/>
                <w:w w:val="81"/>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784</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line="243" w:lineRule="exact"/>
              <w:rPr>
                <w:sz w:val="20"/>
                <w:szCs w:val="20"/>
                <w:color w:val="auto"/>
              </w:rPr>
            </w:pPr>
            <w:r>
              <w:rPr>
                <w:rFonts w:ascii="Arial" w:cs="Arial" w:eastAsia="Arial" w:hAnsi="Arial"/>
                <w:sz w:val="22"/>
                <w:szCs w:val="22"/>
                <w:color w:val="auto"/>
              </w:rPr>
              <w:t>784</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57"/>
        </w:trPr>
        <w:tc>
          <w:tcPr>
            <w:tcW w:w="3580" w:type="dxa"/>
            <w:vAlign w:val="bottom"/>
            <w:shd w:val="clear" w:color="auto" w:fill="E5FFFF"/>
          </w:tcPr>
          <w:p>
            <w:pPr>
              <w:spacing w:after="0"/>
              <w:rPr>
                <w:sz w:val="20"/>
                <w:szCs w:val="20"/>
                <w:color w:val="auto"/>
              </w:rPr>
            </w:pPr>
            <w:r>
              <w:rPr>
                <w:rFonts w:ascii="Arial" w:cs="Arial" w:eastAsia="Arial" w:hAnsi="Arial"/>
                <w:sz w:val="22"/>
                <w:szCs w:val="22"/>
                <w:color w:val="auto"/>
              </w:rPr>
              <w:t>Forward purchase contracts (2)</w:t>
            </w:r>
          </w:p>
        </w:tc>
        <w:tc>
          <w:tcPr>
            <w:tcW w:w="860" w:type="dxa"/>
            <w:vAlign w:val="bottom"/>
            <w:shd w:val="clear" w:color="auto" w:fill="E5FFFF"/>
          </w:tcPr>
          <w:p>
            <w:pPr>
              <w:spacing w:after="0"/>
              <w:rPr>
                <w:sz w:val="22"/>
                <w:szCs w:val="22"/>
                <w:color w:val="auto"/>
              </w:rPr>
            </w:pPr>
          </w:p>
        </w:tc>
        <w:tc>
          <w:tcPr>
            <w:tcW w:w="760" w:type="dxa"/>
            <w:vAlign w:val="bottom"/>
            <w:shd w:val="clear" w:color="auto" w:fill="E5FFFF"/>
          </w:tcPr>
          <w:p>
            <w:pPr>
              <w:spacing w:after="0"/>
              <w:rPr>
                <w:sz w:val="22"/>
                <w:szCs w:val="22"/>
                <w:color w:val="auto"/>
              </w:rPr>
            </w:pPr>
          </w:p>
        </w:tc>
        <w:tc>
          <w:tcPr>
            <w:tcW w:w="200" w:type="dxa"/>
            <w:vAlign w:val="bottom"/>
            <w:gridSpan w:val="2"/>
            <w:shd w:val="clear" w:color="auto" w:fill="E5FFFF"/>
          </w:tcPr>
          <w:p>
            <w:pPr>
              <w:jc w:val="right"/>
              <w:ind w:right="120"/>
              <w:spacing w:after="0"/>
              <w:rPr>
                <w:sz w:val="20"/>
                <w:szCs w:val="20"/>
                <w:color w:val="auto"/>
              </w:rPr>
            </w:pPr>
            <w:r>
              <w:rPr>
                <w:rFonts w:ascii="Arial" w:cs="Arial" w:eastAsia="Arial" w:hAnsi="Arial"/>
                <w:sz w:val="22"/>
                <w:szCs w:val="22"/>
                <w:color w:val="auto"/>
                <w:w w:val="81"/>
              </w:rPr>
              <w:t>-</w:t>
            </w:r>
          </w:p>
        </w:tc>
        <w:tc>
          <w:tcPr>
            <w:tcW w:w="22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60" w:type="dxa"/>
            <w:vAlign w:val="bottom"/>
            <w:gridSpan w:val="2"/>
            <w:shd w:val="clear" w:color="auto" w:fill="E5FFFF"/>
          </w:tcPr>
          <w:p>
            <w:pPr>
              <w:jc w:val="right"/>
              <w:ind w:right="160"/>
              <w:spacing w:after="0"/>
              <w:rPr>
                <w:sz w:val="20"/>
                <w:szCs w:val="20"/>
                <w:color w:val="auto"/>
              </w:rPr>
            </w:pPr>
            <w:r>
              <w:rPr>
                <w:rFonts w:ascii="Arial" w:cs="Arial" w:eastAsia="Arial" w:hAnsi="Arial"/>
                <w:sz w:val="22"/>
                <w:szCs w:val="22"/>
                <w:color w:val="auto"/>
              </w:rPr>
              <w:t>673</w:t>
            </w:r>
          </w:p>
        </w:tc>
        <w:tc>
          <w:tcPr>
            <w:tcW w:w="18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22"/>
                <w:szCs w:val="22"/>
                <w:color w:val="auto"/>
              </w:rPr>
              <w:t>-</w:t>
            </w:r>
          </w:p>
        </w:tc>
        <w:tc>
          <w:tcPr>
            <w:tcW w:w="180" w:type="dxa"/>
            <w:vAlign w:val="bottom"/>
            <w:shd w:val="clear" w:color="auto" w:fill="E5FFFF"/>
          </w:tcPr>
          <w:p>
            <w:pPr>
              <w:spacing w:after="0"/>
              <w:rPr>
                <w:sz w:val="22"/>
                <w:szCs w:val="22"/>
                <w:color w:val="auto"/>
              </w:rPr>
            </w:pPr>
          </w:p>
        </w:tc>
        <w:tc>
          <w:tcPr>
            <w:tcW w:w="280" w:type="dxa"/>
            <w:vAlign w:val="bottom"/>
            <w:shd w:val="clear" w:color="auto" w:fill="E5FFFF"/>
          </w:tcPr>
          <w:p>
            <w:pPr>
              <w:spacing w:after="0"/>
              <w:rPr>
                <w:sz w:val="22"/>
                <w:szCs w:val="22"/>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673</w:t>
            </w:r>
          </w:p>
        </w:tc>
        <w:tc>
          <w:tcPr>
            <w:tcW w:w="80" w:type="dxa"/>
            <w:vAlign w:val="bottom"/>
            <w:shd w:val="clear" w:color="auto" w:fill="E5FFFF"/>
          </w:tcPr>
          <w:p>
            <w:pPr>
              <w:spacing w:after="0"/>
              <w:rPr>
                <w:sz w:val="22"/>
                <w:szCs w:val="22"/>
                <w:color w:val="auto"/>
              </w:rPr>
            </w:pPr>
          </w:p>
        </w:tc>
        <w:tc>
          <w:tcPr>
            <w:tcW w:w="2260" w:type="dxa"/>
            <w:vAlign w:val="bottom"/>
          </w:tcPr>
          <w:p>
            <w:pPr>
              <w:spacing w:after="0"/>
              <w:rPr>
                <w:sz w:val="22"/>
                <w:szCs w:val="22"/>
                <w:color w:val="auto"/>
              </w:rPr>
            </w:pPr>
          </w:p>
        </w:tc>
      </w:tr>
      <w:tr>
        <w:trPr>
          <w:trHeight w:val="250"/>
        </w:trPr>
        <w:tc>
          <w:tcPr>
            <w:tcW w:w="358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86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32"/>
              <w:spacing w:after="0" w:line="250" w:lineRule="exact"/>
              <w:rPr>
                <w:sz w:val="20"/>
                <w:szCs w:val="20"/>
                <w:color w:val="auto"/>
              </w:rPr>
            </w:pPr>
            <w:r>
              <w:rPr>
                <w:rFonts w:ascii="Arial" w:cs="Arial" w:eastAsia="Arial" w:hAnsi="Arial"/>
                <w:sz w:val="22"/>
                <w:szCs w:val="22"/>
                <w:color w:val="auto"/>
                <w:w w:val="81"/>
              </w:rPr>
              <w:t>$</w:t>
            </w:r>
          </w:p>
        </w:tc>
        <w:tc>
          <w:tcPr>
            <w:tcW w:w="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9"/>
                <w:szCs w:val="19"/>
                <w:color w:val="auto"/>
                <w:w w:val="75"/>
              </w:rPr>
              <w:t>$</w:t>
            </w:r>
          </w:p>
        </w:tc>
        <w:tc>
          <w:tcPr>
            <w:tcW w:w="6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1,457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354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9"/>
                <w:szCs w:val="19"/>
                <w:color w:val="auto"/>
                <w:w w:val="75"/>
              </w:rPr>
              <w:t>$</w:t>
            </w:r>
          </w:p>
        </w:tc>
        <w:tc>
          <w:tcPr>
            <w:tcW w:w="6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1,811</w:t>
            </w:r>
          </w:p>
        </w:tc>
        <w:tc>
          <w:tcPr>
            <w:tcW w:w="8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0"/>
        </w:trPr>
        <w:tc>
          <w:tcPr>
            <w:tcW w:w="3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3"/>
        </w:trPr>
        <w:tc>
          <w:tcPr>
            <w:tcW w:w="3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70"/>
        </w:trPr>
        <w:tc>
          <w:tcPr>
            <w:tcW w:w="3580" w:type="dxa"/>
            <w:vAlign w:val="bottom"/>
            <w:shd w:val="clear" w:color="auto" w:fill="E5FFFF"/>
          </w:tcPr>
          <w:p>
            <w:pPr>
              <w:spacing w:after="0"/>
              <w:rPr>
                <w:sz w:val="20"/>
                <w:szCs w:val="20"/>
                <w:color w:val="auto"/>
              </w:rPr>
            </w:pPr>
            <w:r>
              <w:rPr>
                <w:rFonts w:ascii="Arial" w:cs="Arial" w:eastAsia="Arial" w:hAnsi="Arial"/>
                <w:sz w:val="22"/>
                <w:szCs w:val="22"/>
                <w:color w:val="auto"/>
              </w:rPr>
              <w:t>Commodity futures liability (3)</w:t>
            </w:r>
          </w:p>
        </w:tc>
        <w:tc>
          <w:tcPr>
            <w:tcW w:w="1620" w:type="dxa"/>
            <w:vAlign w:val="bottom"/>
            <w:gridSpan w:val="2"/>
            <w:shd w:val="clear" w:color="auto" w:fill="E5FFFF"/>
          </w:tcPr>
          <w:p>
            <w:pPr>
              <w:jc w:val="right"/>
              <w:ind w:right="532"/>
              <w:spacing w:after="0"/>
              <w:rPr>
                <w:sz w:val="20"/>
                <w:szCs w:val="20"/>
                <w:color w:val="auto"/>
              </w:rPr>
            </w:pPr>
            <w:r>
              <w:rPr>
                <w:rFonts w:ascii="Arial" w:cs="Arial" w:eastAsia="Arial" w:hAnsi="Arial"/>
                <w:sz w:val="22"/>
                <w:szCs w:val="22"/>
                <w:color w:val="auto"/>
              </w:rPr>
              <w:t>$</w:t>
            </w:r>
          </w:p>
        </w:tc>
        <w:tc>
          <w:tcPr>
            <w:tcW w:w="200" w:type="dxa"/>
            <w:vAlign w:val="bottom"/>
            <w:gridSpan w:val="2"/>
            <w:shd w:val="clear" w:color="auto" w:fill="E5FFFF"/>
          </w:tcPr>
          <w:p>
            <w:pPr>
              <w:jc w:val="right"/>
              <w:ind w:right="120"/>
              <w:spacing w:after="0"/>
              <w:rPr>
                <w:sz w:val="20"/>
                <w:szCs w:val="20"/>
                <w:color w:val="auto"/>
              </w:rPr>
            </w:pPr>
            <w:r>
              <w:rPr>
                <w:rFonts w:ascii="Arial" w:cs="Arial" w:eastAsia="Arial" w:hAnsi="Arial"/>
                <w:sz w:val="22"/>
                <w:szCs w:val="22"/>
                <w:color w:val="auto"/>
                <w:w w:val="81"/>
              </w:rPr>
              <w:t>-</w:t>
            </w:r>
          </w:p>
        </w:tc>
        <w:tc>
          <w:tcPr>
            <w:tcW w:w="440" w:type="dxa"/>
            <w:vAlign w:val="bottom"/>
            <w:gridSpan w:val="2"/>
            <w:shd w:val="clear" w:color="auto" w:fill="E5FFFF"/>
          </w:tcPr>
          <w:p>
            <w:pPr>
              <w:jc w:val="right"/>
              <w:ind w:right="17"/>
              <w:spacing w:after="0"/>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160"/>
              <w:spacing w:after="0"/>
              <w:rPr>
                <w:sz w:val="20"/>
                <w:szCs w:val="20"/>
                <w:color w:val="auto"/>
              </w:rPr>
            </w:pPr>
            <w:r>
              <w:rPr>
                <w:rFonts w:ascii="Arial" w:cs="Arial" w:eastAsia="Arial" w:hAnsi="Arial"/>
                <w:sz w:val="22"/>
                <w:szCs w:val="22"/>
                <w:color w:val="auto"/>
              </w:rPr>
              <w:t>4,590</w:t>
            </w:r>
          </w:p>
        </w:tc>
        <w:tc>
          <w:tcPr>
            <w:tcW w:w="480" w:type="dxa"/>
            <w:vAlign w:val="bottom"/>
            <w:gridSpan w:val="2"/>
            <w:shd w:val="clear" w:color="auto" w:fill="E5FFFF"/>
          </w:tcPr>
          <w:p>
            <w:pPr>
              <w:jc w:val="right"/>
              <w:ind w:right="97"/>
              <w:spacing w:after="0"/>
              <w:rPr>
                <w:sz w:val="20"/>
                <w:szCs w:val="20"/>
                <w:color w:val="auto"/>
              </w:rPr>
            </w:pPr>
            <w:r>
              <w:rPr>
                <w:rFonts w:ascii="Arial" w:cs="Arial" w:eastAsia="Arial" w:hAnsi="Arial"/>
                <w:sz w:val="22"/>
                <w:szCs w:val="22"/>
                <w:color w:val="auto"/>
              </w:rPr>
              <w:t>$</w:t>
            </w:r>
          </w:p>
        </w:tc>
        <w:tc>
          <w:tcPr>
            <w:tcW w:w="680" w:type="dxa"/>
            <w:vAlign w:val="bottom"/>
            <w:gridSpan w:val="2"/>
            <w:shd w:val="clear" w:color="auto" w:fill="E5FFFF"/>
          </w:tcPr>
          <w:p>
            <w:pPr>
              <w:jc w:val="right"/>
              <w:ind w:right="160"/>
              <w:spacing w:after="0"/>
              <w:rPr>
                <w:sz w:val="20"/>
                <w:szCs w:val="20"/>
                <w:color w:val="auto"/>
              </w:rPr>
            </w:pPr>
            <w:r>
              <w:rPr>
                <w:rFonts w:ascii="Arial" w:cs="Arial" w:eastAsia="Arial" w:hAnsi="Arial"/>
                <w:sz w:val="22"/>
                <w:szCs w:val="22"/>
                <w:color w:val="auto"/>
              </w:rPr>
              <w:t>-</w:t>
            </w:r>
          </w:p>
        </w:tc>
        <w:tc>
          <w:tcPr>
            <w:tcW w:w="460" w:type="dxa"/>
            <w:vAlign w:val="bottom"/>
            <w:gridSpan w:val="2"/>
            <w:shd w:val="clear" w:color="auto" w:fill="E5FFFF"/>
          </w:tcPr>
          <w:p>
            <w:pPr>
              <w:jc w:val="right"/>
              <w:ind w:right="77"/>
              <w:spacing w:after="0"/>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4,590</w:t>
            </w:r>
          </w:p>
        </w:tc>
        <w:tc>
          <w:tcPr>
            <w:tcW w:w="80" w:type="dxa"/>
            <w:vAlign w:val="bottom"/>
            <w:shd w:val="clear" w:color="auto" w:fill="E5FFFF"/>
          </w:tcPr>
          <w:p>
            <w:pPr>
              <w:spacing w:after="0"/>
              <w:rPr>
                <w:sz w:val="23"/>
                <w:szCs w:val="23"/>
                <w:color w:val="auto"/>
              </w:rPr>
            </w:pPr>
          </w:p>
        </w:tc>
        <w:tc>
          <w:tcPr>
            <w:tcW w:w="2260" w:type="dxa"/>
            <w:vAlign w:val="bottom"/>
          </w:tcPr>
          <w:p>
            <w:pPr>
              <w:spacing w:after="0"/>
              <w:rPr>
                <w:sz w:val="23"/>
                <w:szCs w:val="23"/>
                <w:color w:val="auto"/>
              </w:rPr>
            </w:pPr>
          </w:p>
        </w:tc>
      </w:tr>
      <w:tr>
        <w:trPr>
          <w:trHeight w:val="20"/>
        </w:trPr>
        <w:tc>
          <w:tcPr>
            <w:tcW w:w="358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E5FF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23"/>
        </w:trPr>
        <w:tc>
          <w:tcPr>
            <w:tcW w:w="3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22"/>
                <w:szCs w:val="22"/>
                <w:color w:val="auto"/>
              </w:rPr>
              <w:t>14</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0"/>
        </w:trPr>
        <w:tc>
          <w:tcPr>
            <w:tcW w:w="358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2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4" w:name="page15"/>
    <w:bookmarkEnd w:id="14"/>
    <w:p>
      <w:pPr>
        <w:ind w:right="520" w:firstLine="648"/>
        <w:spacing w:after="0" w:line="250" w:lineRule="auto"/>
        <w:rPr>
          <w:sz w:val="20"/>
          <w:szCs w:val="20"/>
          <w:color w:val="auto"/>
        </w:rPr>
      </w:pPr>
      <w:r>
        <w:rPr>
          <w:rFonts w:ascii="Arial" w:cs="Arial" w:eastAsia="Arial" w:hAnsi="Arial"/>
          <w:sz w:val="22"/>
          <w:szCs w:val="22"/>
          <w:color w:val="auto"/>
        </w:rPr>
        <w:t>Financial assets and liabilities measured at fair value on a recurring basis at January 31, 2021 are summarized below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22"/>
                <w:szCs w:val="22"/>
                <w:b w:val="1"/>
                <w:bCs w:val="1"/>
                <w:color w:val="auto"/>
                <w:w w:val="99"/>
              </w:rPr>
              <w:t>Level 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3"/>
          </w:tcPr>
          <w:p>
            <w:pPr>
              <w:ind w:left="60"/>
              <w:spacing w:after="0"/>
              <w:rPr>
                <w:sz w:val="20"/>
                <w:szCs w:val="20"/>
                <w:color w:val="auto"/>
              </w:rPr>
            </w:pPr>
            <w:r>
              <w:rPr>
                <w:rFonts w:ascii="Arial" w:cs="Arial" w:eastAsia="Arial" w:hAnsi="Arial"/>
                <w:sz w:val="22"/>
                <w:szCs w:val="22"/>
                <w:b w:val="1"/>
                <w:bCs w:val="1"/>
                <w:color w:val="auto"/>
              </w:rPr>
              <w:t>Level 2</w:t>
            </w:r>
          </w:p>
        </w:tc>
        <w:tc>
          <w:tcPr>
            <w:tcW w:w="180" w:type="dxa"/>
            <w:vAlign w:val="bottom"/>
          </w:tcPr>
          <w:p>
            <w:pPr>
              <w:spacing w:after="0"/>
              <w:rPr>
                <w:sz w:val="23"/>
                <w:szCs w:val="23"/>
                <w:color w:val="auto"/>
              </w:rPr>
            </w:pPr>
          </w:p>
        </w:tc>
        <w:tc>
          <w:tcPr>
            <w:tcW w:w="1160" w:type="dxa"/>
            <w:vAlign w:val="bottom"/>
            <w:gridSpan w:val="3"/>
          </w:tcPr>
          <w:p>
            <w:pPr>
              <w:ind w:left="80"/>
              <w:spacing w:after="0"/>
              <w:rPr>
                <w:sz w:val="20"/>
                <w:szCs w:val="20"/>
                <w:color w:val="auto"/>
              </w:rPr>
            </w:pPr>
            <w:r>
              <w:rPr>
                <w:rFonts w:ascii="Arial" w:cs="Arial" w:eastAsia="Arial" w:hAnsi="Arial"/>
                <w:sz w:val="22"/>
                <w:szCs w:val="22"/>
                <w:b w:val="1"/>
                <w:bCs w:val="1"/>
                <w:color w:val="auto"/>
              </w:rPr>
              <w:t>Level 3</w:t>
            </w:r>
          </w:p>
        </w:tc>
        <w:tc>
          <w:tcPr>
            <w:tcW w:w="20" w:type="dxa"/>
            <w:vAlign w:val="bottom"/>
          </w:tcPr>
          <w:p>
            <w:pPr>
              <w:spacing w:after="0"/>
              <w:rPr>
                <w:sz w:val="23"/>
                <w:szCs w:val="23"/>
                <w:color w:val="auto"/>
              </w:rPr>
            </w:pPr>
          </w:p>
        </w:tc>
        <w:tc>
          <w:tcPr>
            <w:tcW w:w="1020" w:type="dxa"/>
            <w:vAlign w:val="bottom"/>
            <w:gridSpan w:val="3"/>
          </w:tcPr>
          <w:p>
            <w:pPr>
              <w:spacing w:after="0"/>
              <w:rPr>
                <w:sz w:val="20"/>
                <w:szCs w:val="20"/>
                <w:color w:val="auto"/>
              </w:rPr>
            </w:pPr>
            <w:r>
              <w:rPr>
                <w:rFonts w:ascii="Arial" w:cs="Arial" w:eastAsia="Arial" w:hAnsi="Arial"/>
                <w:sz w:val="22"/>
                <w:szCs w:val="22"/>
                <w:b w:val="1"/>
                <w:bCs w:val="1"/>
                <w:color w:val="auto"/>
                <w:w w:val="95"/>
              </w:rPr>
              <w:t>Fair Value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Investment in cooperative (1)</w:t>
            </w:r>
          </w:p>
        </w:tc>
        <w:tc>
          <w:tcPr>
            <w:tcW w:w="1380" w:type="dxa"/>
            <w:vAlign w:val="bottom"/>
            <w:gridSpan w:val="2"/>
            <w:shd w:val="clear" w:color="auto" w:fill="E5FFFF"/>
          </w:tcPr>
          <w:p>
            <w:pPr>
              <w:jc w:val="right"/>
              <w:ind w:right="532"/>
              <w:spacing w:after="0" w:line="243" w:lineRule="exact"/>
              <w:rPr>
                <w:sz w:val="20"/>
                <w:szCs w:val="20"/>
                <w:color w:val="auto"/>
              </w:rPr>
            </w:pPr>
            <w:r>
              <w:rPr>
                <w:rFonts w:ascii="Arial" w:cs="Arial" w:eastAsia="Arial" w:hAnsi="Arial"/>
                <w:sz w:val="22"/>
                <w:szCs w:val="22"/>
                <w:color w:val="auto"/>
              </w:rPr>
              <w:t>$</w:t>
            </w:r>
          </w:p>
        </w:tc>
        <w:tc>
          <w:tcPr>
            <w:tcW w:w="24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w w:val="81"/>
              </w:rPr>
              <w:t>-</w:t>
            </w:r>
          </w:p>
        </w:tc>
        <w:tc>
          <w:tcPr>
            <w:tcW w:w="400" w:type="dxa"/>
            <w:vAlign w:val="bottom"/>
            <w:gridSpan w:val="2"/>
            <w:shd w:val="clear" w:color="auto" w:fill="E5FFFF"/>
          </w:tcPr>
          <w:p>
            <w:pPr>
              <w:jc w:val="right"/>
              <w:ind w:right="17"/>
              <w:spacing w:after="0" w:line="243" w:lineRule="exact"/>
              <w:rPr>
                <w:sz w:val="20"/>
                <w:szCs w:val="20"/>
                <w:color w:val="auto"/>
              </w:rPr>
            </w:pPr>
            <w:r>
              <w:rPr>
                <w:rFonts w:ascii="Arial" w:cs="Arial" w:eastAsia="Arial" w:hAnsi="Arial"/>
                <w:sz w:val="22"/>
                <w:szCs w:val="22"/>
                <w:color w:val="auto"/>
              </w:rPr>
              <w:t>$</w:t>
            </w:r>
          </w:p>
        </w:tc>
        <w:tc>
          <w:tcPr>
            <w:tcW w:w="760" w:type="dxa"/>
            <w:vAlign w:val="bottom"/>
            <w:gridSpan w:val="2"/>
            <w:shd w:val="clear" w:color="auto" w:fill="E5FF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480" w:type="dxa"/>
            <w:vAlign w:val="bottom"/>
            <w:gridSpan w:val="2"/>
            <w:shd w:val="clear" w:color="auto" w:fill="E5FFFF"/>
          </w:tcPr>
          <w:p>
            <w:pPr>
              <w:jc w:val="right"/>
              <w:ind w:right="97"/>
              <w:spacing w:after="0" w:line="243" w:lineRule="exact"/>
              <w:rPr>
                <w:sz w:val="20"/>
                <w:szCs w:val="20"/>
                <w:color w:val="auto"/>
              </w:rPr>
            </w:pPr>
            <w:r>
              <w:rPr>
                <w:rFonts w:ascii="Arial" w:cs="Arial" w:eastAsia="Arial" w:hAnsi="Arial"/>
                <w:sz w:val="22"/>
                <w:szCs w:val="22"/>
                <w:color w:val="auto"/>
              </w:rPr>
              <w:t>$</w:t>
            </w:r>
          </w:p>
        </w:tc>
        <w:tc>
          <w:tcPr>
            <w:tcW w:w="860" w:type="dxa"/>
            <w:vAlign w:val="bottom"/>
            <w:gridSpan w:val="2"/>
            <w:shd w:val="clear" w:color="auto" w:fill="E5FFFF"/>
          </w:tcPr>
          <w:p>
            <w:pPr>
              <w:jc w:val="right"/>
              <w:ind w:right="340"/>
              <w:spacing w:after="0" w:line="243" w:lineRule="exact"/>
              <w:rPr>
                <w:sz w:val="20"/>
                <w:szCs w:val="20"/>
                <w:color w:val="auto"/>
              </w:rPr>
            </w:pPr>
            <w:r>
              <w:rPr>
                <w:rFonts w:ascii="Arial" w:cs="Arial" w:eastAsia="Arial" w:hAnsi="Arial"/>
                <w:sz w:val="22"/>
                <w:szCs w:val="22"/>
                <w:color w:val="auto"/>
              </w:rPr>
              <w:t>354</w:t>
            </w:r>
          </w:p>
        </w:tc>
        <w:tc>
          <w:tcPr>
            <w:tcW w:w="28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6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354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0"/>
                <w:szCs w:val="20"/>
                <w:color w:val="auto"/>
              </w:rPr>
            </w:pPr>
            <w:r>
              <w:rPr>
                <w:rFonts w:ascii="Arial" w:cs="Arial" w:eastAsia="Arial" w:hAnsi="Arial"/>
                <w:sz w:val="22"/>
                <w:szCs w:val="22"/>
                <w:color w:val="auto"/>
              </w:rPr>
              <w:t>Forward purchase contracts asset (2)</w:t>
            </w: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22"/>
                <w:szCs w:val="22"/>
                <w:color w:val="auto"/>
                <w:w w:val="81"/>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22"/>
                <w:szCs w:val="22"/>
                <w:color w:val="auto"/>
              </w:rPr>
              <w:t>2,144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2,144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assets</w:t>
            </w:r>
          </w:p>
        </w:tc>
        <w:tc>
          <w:tcPr>
            <w:tcW w:w="620" w:type="dxa"/>
            <w:vAlign w:val="bottom"/>
            <w:tcBorders>
              <w:top w:val="single" w:sz="8" w:color="E5FFFF"/>
              <w:bottom w:val="single" w:sz="8" w:color="E5FFFF"/>
            </w:tcBorders>
            <w:shd w:val="clear" w:color="auto" w:fill="E5FFFF"/>
          </w:tcPr>
          <w:p>
            <w:pPr>
              <w:spacing w:after="0"/>
              <w:rPr>
                <w:sz w:val="21"/>
                <w:szCs w:val="21"/>
                <w:color w:val="auto"/>
              </w:rPr>
            </w:pPr>
          </w:p>
        </w:tc>
        <w:tc>
          <w:tcPr>
            <w:tcW w:w="760" w:type="dxa"/>
            <w:vAlign w:val="bottom"/>
            <w:tcBorders>
              <w:top w:val="single" w:sz="8" w:color="auto"/>
              <w:bottom w:val="single" w:sz="8" w:color="auto"/>
            </w:tcBorders>
            <w:shd w:val="clear" w:color="auto" w:fill="E5FFFF"/>
          </w:tcPr>
          <w:p>
            <w:pPr>
              <w:jc w:val="right"/>
              <w:ind w:right="532"/>
              <w:spacing w:after="0" w:line="250" w:lineRule="exact"/>
              <w:rPr>
                <w:sz w:val="20"/>
                <w:szCs w:val="20"/>
                <w:color w:val="auto"/>
              </w:rPr>
            </w:pPr>
            <w:r>
              <w:rPr>
                <w:rFonts w:ascii="Arial" w:cs="Arial" w:eastAsia="Arial" w:hAnsi="Arial"/>
                <w:sz w:val="22"/>
                <w:szCs w:val="22"/>
                <w:color w:val="auto"/>
                <w:w w:val="81"/>
              </w:rPr>
              <w:t>$</w:t>
            </w:r>
          </w:p>
        </w:tc>
        <w:tc>
          <w:tcPr>
            <w:tcW w:w="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7"/>
              <w:spacing w:after="0"/>
              <w:rPr>
                <w:sz w:val="20"/>
                <w:szCs w:val="20"/>
                <w:color w:val="auto"/>
              </w:rPr>
            </w:pPr>
            <w:r>
              <w:rPr>
                <w:rFonts w:ascii="Arial" w:cs="Arial" w:eastAsia="Arial" w:hAnsi="Arial"/>
                <w:sz w:val="19"/>
                <w:szCs w:val="19"/>
                <w:color w:val="auto"/>
                <w:w w:val="75"/>
              </w:rPr>
              <w:t>$</w:t>
            </w:r>
          </w:p>
        </w:tc>
        <w:tc>
          <w:tcPr>
            <w:tcW w:w="6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2,144</w:t>
            </w: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jc w:val="right"/>
              <w:ind w:right="97"/>
              <w:spacing w:after="0"/>
              <w:rPr>
                <w:sz w:val="20"/>
                <w:szCs w:val="20"/>
                <w:color w:val="auto"/>
              </w:rPr>
            </w:pPr>
            <w:r>
              <w:rPr>
                <w:rFonts w:ascii="Arial" w:cs="Arial" w:eastAsia="Arial" w:hAnsi="Arial"/>
                <w:sz w:val="19"/>
                <w:szCs w:val="19"/>
                <w:color w:val="auto"/>
                <w:w w:val="75"/>
              </w:rPr>
              <w:t>$</w:t>
            </w:r>
          </w:p>
        </w:tc>
        <w:tc>
          <w:tcPr>
            <w:tcW w:w="5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354</w:t>
            </w:r>
          </w:p>
        </w:tc>
        <w:tc>
          <w:tcPr>
            <w:tcW w:w="34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2,498</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22"/>
                <w:szCs w:val="22"/>
                <w:color w:val="auto"/>
              </w:rPr>
              <w:t>Commodity futures liability (3)</w:t>
            </w:r>
          </w:p>
        </w:tc>
        <w:tc>
          <w:tcPr>
            <w:tcW w:w="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820" w:type="dxa"/>
            <w:vAlign w:val="bottom"/>
            <w:vMerge w:val="continue"/>
          </w:tcPr>
          <w:p>
            <w:pPr>
              <w:spacing w:after="0"/>
              <w:rPr>
                <w:sz w:val="24"/>
                <w:szCs w:val="24"/>
                <w:color w:val="auto"/>
              </w:rPr>
            </w:pPr>
          </w:p>
        </w:tc>
        <w:tc>
          <w:tcPr>
            <w:tcW w:w="1380" w:type="dxa"/>
            <w:vAlign w:val="bottom"/>
            <w:gridSpan w:val="2"/>
          </w:tcPr>
          <w:p>
            <w:pPr>
              <w:jc w:val="right"/>
              <w:ind w:right="532"/>
              <w:spacing w:after="0"/>
              <w:rPr>
                <w:sz w:val="20"/>
                <w:szCs w:val="20"/>
                <w:color w:val="auto"/>
              </w:rPr>
            </w:pPr>
            <w:r>
              <w:rPr>
                <w:rFonts w:ascii="Arial" w:cs="Arial" w:eastAsia="Arial" w:hAnsi="Arial"/>
                <w:sz w:val="22"/>
                <w:szCs w:val="22"/>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22"/>
                <w:szCs w:val="22"/>
                <w:color w:val="auto"/>
                <w:w w:val="81"/>
              </w:rPr>
              <w:t>-</w:t>
            </w:r>
          </w:p>
        </w:tc>
        <w:tc>
          <w:tcPr>
            <w:tcW w:w="400" w:type="dxa"/>
            <w:vAlign w:val="bottom"/>
            <w:gridSpan w:val="2"/>
          </w:tcPr>
          <w:p>
            <w:pPr>
              <w:jc w:val="right"/>
              <w:ind w:right="17"/>
              <w:spacing w:after="0"/>
              <w:rPr>
                <w:sz w:val="20"/>
                <w:szCs w:val="20"/>
                <w:color w:val="auto"/>
              </w:rPr>
            </w:pPr>
            <w:r>
              <w:rPr>
                <w:rFonts w:ascii="Arial" w:cs="Arial" w:eastAsia="Arial" w:hAnsi="Arial"/>
                <w:sz w:val="22"/>
                <w:szCs w:val="22"/>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22"/>
                <w:szCs w:val="22"/>
                <w:color w:val="auto"/>
              </w:rPr>
              <w:t>1,794</w:t>
            </w:r>
          </w:p>
        </w:tc>
        <w:tc>
          <w:tcPr>
            <w:tcW w:w="480" w:type="dxa"/>
            <w:vAlign w:val="bottom"/>
            <w:gridSpan w:val="2"/>
          </w:tcPr>
          <w:p>
            <w:pPr>
              <w:jc w:val="right"/>
              <w:ind w:right="97"/>
              <w:spacing w:after="0"/>
              <w:rPr>
                <w:sz w:val="20"/>
                <w:szCs w:val="20"/>
                <w:color w:val="auto"/>
              </w:rPr>
            </w:pPr>
            <w:r>
              <w:rPr>
                <w:rFonts w:ascii="Arial" w:cs="Arial" w:eastAsia="Arial" w:hAnsi="Arial"/>
                <w:sz w:val="22"/>
                <w:szCs w:val="22"/>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22"/>
                <w:szCs w:val="22"/>
                <w:color w:val="auto"/>
              </w:rPr>
              <w:t>-</w:t>
            </w:r>
          </w:p>
        </w:tc>
        <w:tc>
          <w:tcPr>
            <w:tcW w:w="280" w:type="dxa"/>
            <w:vAlign w:val="bottom"/>
            <w:gridSpan w:val="2"/>
          </w:tcPr>
          <w:p>
            <w:pPr>
              <w:spacing w:after="0"/>
              <w:rPr>
                <w:sz w:val="20"/>
                <w:szCs w:val="20"/>
                <w:color w:val="auto"/>
              </w:rPr>
            </w:pPr>
            <w:r>
              <w:rPr>
                <w:rFonts w:ascii="Arial" w:cs="Arial" w:eastAsia="Arial" w:hAnsi="Arial"/>
                <w:sz w:val="22"/>
                <w:szCs w:val="22"/>
                <w:color w:val="auto"/>
              </w:rPr>
              <w:t>$</w:t>
            </w:r>
          </w:p>
        </w:tc>
        <w:tc>
          <w:tcPr>
            <w:tcW w:w="680" w:type="dxa"/>
            <w:vAlign w:val="bottom"/>
          </w:tcPr>
          <w:p>
            <w:pPr>
              <w:jc w:val="right"/>
              <w:spacing w:after="0"/>
              <w:rPr>
                <w:sz w:val="20"/>
                <w:szCs w:val="20"/>
                <w:color w:val="auto"/>
              </w:rPr>
            </w:pPr>
            <w:r>
              <w:rPr>
                <w:rFonts w:ascii="Arial" w:cs="Arial" w:eastAsia="Arial" w:hAnsi="Arial"/>
                <w:sz w:val="22"/>
                <w:szCs w:val="22"/>
                <w:color w:val="auto"/>
              </w:rPr>
              <w:t>1,794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(1) The investment in cooperative is included in “Other assets” on the accompanying Consolidated Condensed Balance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Sheets.</w:t>
      </w:r>
    </w:p>
    <w:p>
      <w:pPr>
        <w:ind w:right="420" w:firstLine="656"/>
        <w:spacing w:after="0" w:line="230"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forward purchase contracts and commodity futures assets are included in “Prepaid expenses and other current assets” on the accompanying Consolidated Condensed Balance Sheets.</w:t>
      </w:r>
    </w:p>
    <w:p>
      <w:pPr>
        <w:spacing w:after="0" w:line="1" w:lineRule="exact"/>
        <w:rPr>
          <w:rFonts w:ascii="Arial" w:cs="Arial" w:eastAsia="Arial" w:hAnsi="Arial"/>
          <w:sz w:val="22"/>
          <w:szCs w:val="22"/>
          <w:color w:val="auto"/>
        </w:rPr>
      </w:pPr>
    </w:p>
    <w:p>
      <w:pPr>
        <w:ind w:right="200" w:firstLine="656"/>
        <w:spacing w:after="0" w:line="236" w:lineRule="auto"/>
        <w:tabs>
          <w:tab w:leader="none" w:pos="95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commodity futures liability is included in “Accrued expenses and other current liabilities” on the accompanying Consolidated Condensed Balance Sheets.</w:t>
      </w:r>
    </w:p>
    <w:p>
      <w:pPr>
        <w:spacing w:after="0" w:line="213"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were no assets measured at fair value on a non-recurring basis at July 31, 2021 or January 31, 2021.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components of property and equipment are as follows for the periods presented (amounts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22"/>
                <w:szCs w:val="22"/>
                <w:b w:val="1"/>
                <w:bCs w:val="1"/>
                <w:color w:val="auto"/>
                <w:w w:val="86"/>
              </w:rPr>
              <w:t>July 31,</w:t>
            </w:r>
          </w:p>
        </w:tc>
        <w:tc>
          <w:tcPr>
            <w:tcW w:w="24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22"/>
                <w:szCs w:val="22"/>
                <w:b w:val="1"/>
                <w:bCs w:val="1"/>
                <w:color w:val="auto"/>
                <w:w w:val="90"/>
              </w:rPr>
              <w:t>January 31,</w:t>
            </w:r>
          </w:p>
        </w:tc>
        <w:tc>
          <w:tcPr>
            <w:tcW w:w="4500" w:type="dxa"/>
            <w:vAlign w:val="bottom"/>
          </w:tcPr>
          <w:p>
            <w:pPr>
              <w:spacing w:after="0"/>
              <w:rPr>
                <w:sz w:val="21"/>
                <w:szCs w:val="21"/>
                <w:color w:val="auto"/>
              </w:rPr>
            </w:pPr>
          </w:p>
        </w:tc>
      </w:tr>
      <w:tr>
        <w:trPr>
          <w:trHeight w:val="270"/>
        </w:trPr>
        <w:tc>
          <w:tcPr>
            <w:tcW w:w="44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b w:val="1"/>
                <w:bCs w:val="1"/>
                <w:color w:val="auto"/>
              </w:rPr>
              <w:t>2021</w:t>
            </w:r>
          </w:p>
        </w:tc>
        <w:tc>
          <w:tcPr>
            <w:tcW w:w="2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2021</w:t>
            </w:r>
          </w:p>
        </w:tc>
        <w:tc>
          <w:tcPr>
            <w:tcW w:w="4500" w:type="dxa"/>
            <w:vAlign w:val="bottom"/>
          </w:tcPr>
          <w:p>
            <w:pPr>
              <w:spacing w:after="0"/>
              <w:rPr>
                <w:sz w:val="23"/>
                <w:szCs w:val="23"/>
                <w:color w:val="auto"/>
              </w:rPr>
            </w:pPr>
          </w:p>
        </w:tc>
      </w:tr>
      <w:tr>
        <w:trPr>
          <w:trHeight w:val="237"/>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Land and improvements</w:t>
            </w:r>
          </w:p>
        </w:tc>
        <w:tc>
          <w:tcPr>
            <w:tcW w:w="1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27,437</w:t>
            </w:r>
          </w:p>
        </w:tc>
        <w:tc>
          <w:tcPr>
            <w:tcW w:w="420" w:type="dxa"/>
            <w:vAlign w:val="bottom"/>
            <w:gridSpan w:val="2"/>
            <w:shd w:val="clear" w:color="auto" w:fill="E5FFFF"/>
          </w:tcPr>
          <w:p>
            <w:pPr>
              <w:ind w:left="240"/>
              <w:spacing w:after="0" w:line="243" w:lineRule="exact"/>
              <w:rPr>
                <w:sz w:val="20"/>
                <w:szCs w:val="20"/>
                <w:color w:val="auto"/>
              </w:rPr>
            </w:pPr>
            <w:r>
              <w:rPr>
                <w:rFonts w:ascii="Arial" w:cs="Arial" w:eastAsia="Arial" w:hAnsi="Arial"/>
                <w:sz w:val="22"/>
                <w:szCs w:val="22"/>
                <w:color w:val="auto"/>
              </w:rPr>
              <w:t>$</w:t>
            </w:r>
          </w:p>
        </w:tc>
        <w:tc>
          <w:tcPr>
            <w:tcW w:w="9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27,437</w:t>
            </w:r>
          </w:p>
        </w:tc>
        <w:tc>
          <w:tcPr>
            <w:tcW w:w="4500" w:type="dxa"/>
            <w:vAlign w:val="bottom"/>
          </w:tcPr>
          <w:p>
            <w:pPr>
              <w:spacing w:after="0"/>
              <w:rPr>
                <w:sz w:val="21"/>
                <w:szCs w:val="21"/>
                <w:color w:val="auto"/>
              </w:rPr>
            </w:pPr>
          </w:p>
        </w:tc>
      </w:tr>
      <w:tr>
        <w:trPr>
          <w:trHeight w:val="243"/>
        </w:trPr>
        <w:tc>
          <w:tcPr>
            <w:tcW w:w="4400" w:type="dxa"/>
            <w:vAlign w:val="bottom"/>
          </w:tcPr>
          <w:p>
            <w:pPr>
              <w:spacing w:after="0" w:line="243" w:lineRule="exact"/>
              <w:rPr>
                <w:sz w:val="20"/>
                <w:szCs w:val="20"/>
                <w:color w:val="auto"/>
              </w:rPr>
            </w:pPr>
            <w:r>
              <w:rPr>
                <w:rFonts w:ascii="Arial" w:cs="Arial" w:eastAsia="Arial" w:hAnsi="Arial"/>
                <w:sz w:val="22"/>
                <w:szCs w:val="22"/>
                <w:color w:val="auto"/>
              </w:rPr>
              <w:t>Buildings and improvements</w:t>
            </w:r>
          </w:p>
        </w:tc>
        <w:tc>
          <w:tcPr>
            <w:tcW w:w="1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23,701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23,701</w:t>
            </w:r>
          </w:p>
        </w:tc>
        <w:tc>
          <w:tcPr>
            <w:tcW w:w="4500" w:type="dxa"/>
            <w:vAlign w:val="bottom"/>
          </w:tcPr>
          <w:p>
            <w:pPr>
              <w:spacing w:after="0"/>
              <w:rPr>
                <w:sz w:val="21"/>
                <w:szCs w:val="21"/>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Machinery, equipment and fixtures</w:t>
            </w:r>
          </w:p>
        </w:tc>
        <w:tc>
          <w:tcPr>
            <w:tcW w:w="1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306,514</w:t>
            </w:r>
          </w:p>
        </w:tc>
        <w:tc>
          <w:tcPr>
            <w:tcW w:w="2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60" w:type="dxa"/>
            <w:vAlign w:val="bottom"/>
            <w:tcBorders>
              <w:right w:val="single" w:sz="8" w:color="E5FFFF"/>
            </w:tcBorders>
            <w:shd w:val="clear" w:color="auto" w:fill="E5FFFF"/>
          </w:tcPr>
          <w:p>
            <w:pPr>
              <w:jc w:val="right"/>
              <w:spacing w:after="0" w:line="243" w:lineRule="exact"/>
              <w:rPr>
                <w:sz w:val="20"/>
                <w:szCs w:val="20"/>
                <w:color w:val="auto"/>
              </w:rPr>
            </w:pPr>
            <w:r>
              <w:rPr>
                <w:rFonts w:ascii="Arial" w:cs="Arial" w:eastAsia="Arial" w:hAnsi="Arial"/>
                <w:sz w:val="22"/>
                <w:szCs w:val="22"/>
                <w:color w:val="auto"/>
              </w:rPr>
              <w:t>305,640</w:t>
            </w:r>
          </w:p>
        </w:tc>
        <w:tc>
          <w:tcPr>
            <w:tcW w:w="4500" w:type="dxa"/>
            <w:vAlign w:val="bottom"/>
          </w:tcPr>
          <w:p>
            <w:pPr>
              <w:spacing w:after="0"/>
              <w:rPr>
                <w:sz w:val="21"/>
                <w:szCs w:val="21"/>
                <w:color w:val="auto"/>
              </w:rPr>
            </w:pPr>
          </w:p>
        </w:tc>
      </w:tr>
      <w:tr>
        <w:trPr>
          <w:trHeight w:val="257"/>
        </w:trPr>
        <w:tc>
          <w:tcPr>
            <w:tcW w:w="440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Construction in progress</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1,173</w:t>
            </w:r>
          </w:p>
        </w:tc>
        <w:tc>
          <w:tcPr>
            <w:tcW w:w="24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215</w:t>
            </w:r>
          </w:p>
        </w:tc>
        <w:tc>
          <w:tcPr>
            <w:tcW w:w="4500" w:type="dxa"/>
            <w:vAlign w:val="bottom"/>
          </w:tcPr>
          <w:p>
            <w:pPr>
              <w:spacing w:after="0"/>
              <w:rPr>
                <w:sz w:val="22"/>
                <w:szCs w:val="22"/>
                <w:color w:val="auto"/>
              </w:rPr>
            </w:pPr>
          </w:p>
        </w:tc>
      </w:tr>
      <w:tr>
        <w:trPr>
          <w:trHeight w:val="237"/>
        </w:trPr>
        <w:tc>
          <w:tcPr>
            <w:tcW w:w="44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358,825</w:t>
            </w:r>
          </w:p>
        </w:tc>
        <w:tc>
          <w:tcPr>
            <w:tcW w:w="24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960" w:type="dxa"/>
            <w:vAlign w:val="bottom"/>
            <w:tcBorders>
              <w:right w:val="single" w:sz="8" w:color="E5FFFF"/>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356,993</w:t>
            </w:r>
          </w:p>
        </w:tc>
        <w:tc>
          <w:tcPr>
            <w:tcW w:w="4500" w:type="dxa"/>
            <w:vAlign w:val="bottom"/>
          </w:tcPr>
          <w:p>
            <w:pPr>
              <w:spacing w:after="0"/>
              <w:rPr>
                <w:sz w:val="20"/>
                <w:szCs w:val="20"/>
                <w:color w:val="auto"/>
              </w:rPr>
            </w:pPr>
          </w:p>
        </w:tc>
      </w:tr>
      <w:tr>
        <w:trPr>
          <w:trHeight w:val="256"/>
        </w:trPr>
        <w:tc>
          <w:tcPr>
            <w:tcW w:w="440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Less: accumulated depreciation</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(213,747)</w:t>
            </w:r>
          </w:p>
        </w:tc>
        <w:tc>
          <w:tcPr>
            <w:tcW w:w="240" w:type="dxa"/>
            <w:vAlign w:val="bottom"/>
            <w:tcBorders>
              <w:bottom w:val="single" w:sz="8" w:color="E5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5"/>
              </w:rPr>
              <w:t>(203,807)</w:t>
            </w:r>
          </w:p>
        </w:tc>
        <w:tc>
          <w:tcPr>
            <w:tcW w:w="4500" w:type="dxa"/>
            <w:vAlign w:val="bottom"/>
          </w:tcPr>
          <w:p>
            <w:pPr>
              <w:spacing w:after="0"/>
              <w:rPr>
                <w:sz w:val="22"/>
                <w:szCs w:val="22"/>
                <w:color w:val="auto"/>
              </w:rPr>
            </w:pPr>
          </w:p>
        </w:tc>
      </w:tr>
      <w:tr>
        <w:trPr>
          <w:trHeight w:val="250"/>
        </w:trPr>
        <w:tc>
          <w:tcPr>
            <w:tcW w:w="4400" w:type="dxa"/>
            <w:vAlign w:val="bottom"/>
            <w:tcBorders>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145,078</w:t>
            </w:r>
          </w:p>
        </w:tc>
        <w:tc>
          <w:tcPr>
            <w:tcW w:w="240" w:type="dxa"/>
            <w:vAlign w:val="bottom"/>
            <w:tcBorders>
              <w:bottom w:val="single" w:sz="8" w:color="E5FFFF"/>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960" w:type="dxa"/>
            <w:vAlign w:val="bottom"/>
            <w:tcBorders>
              <w:bottom w:val="single" w:sz="8" w:color="auto"/>
              <w:right w:val="single" w:sz="8" w:color="E5FFFF"/>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153,186</w:t>
            </w:r>
          </w:p>
        </w:tc>
        <w:tc>
          <w:tcPr>
            <w:tcW w:w="4500" w:type="dxa"/>
            <w:vAlign w:val="bottom"/>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23"/>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22"/>
                <w:szCs w:val="22"/>
                <w:color w:val="auto"/>
              </w:rPr>
              <w:t>15</w:t>
            </w:r>
          </w:p>
        </w:tc>
        <w:tc>
          <w:tcPr>
            <w:tcW w:w="96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40"/>
        </w:trPr>
        <w:tc>
          <w:tcPr>
            <w:tcW w:w="44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4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The components of accrued expenses and other current liabilities are as follows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gridSpan w:val="3"/>
          </w:tcPr>
          <w:p>
            <w:pPr>
              <w:ind w:left="20"/>
              <w:spacing w:after="0"/>
              <w:rPr>
                <w:sz w:val="20"/>
                <w:szCs w:val="20"/>
                <w:color w:val="auto"/>
              </w:rPr>
            </w:pPr>
            <w:r>
              <w:rPr>
                <w:rFonts w:ascii="Arial" w:cs="Arial" w:eastAsia="Arial" w:hAnsi="Arial"/>
                <w:sz w:val="22"/>
                <w:szCs w:val="22"/>
                <w:b w:val="1"/>
                <w:bCs w:val="1"/>
                <w:color w:val="auto"/>
              </w:rPr>
              <w:t>July 31,</w:t>
            </w:r>
          </w:p>
        </w:tc>
        <w:tc>
          <w:tcPr>
            <w:tcW w:w="1140" w:type="dxa"/>
            <w:vAlign w:val="bottom"/>
            <w:gridSpan w:val="3"/>
          </w:tcPr>
          <w:p>
            <w:pPr>
              <w:spacing w:after="0"/>
              <w:rPr>
                <w:sz w:val="20"/>
                <w:szCs w:val="20"/>
                <w:color w:val="auto"/>
              </w:rPr>
            </w:pPr>
            <w:r>
              <w:rPr>
                <w:rFonts w:ascii="Arial" w:cs="Arial" w:eastAsia="Arial" w:hAnsi="Arial"/>
                <w:sz w:val="22"/>
                <w:szCs w:val="22"/>
                <w:b w:val="1"/>
                <w:bCs w:val="1"/>
                <w:color w:val="auto"/>
                <w:w w:val="92"/>
              </w:rPr>
              <w:t>January 31,</w:t>
            </w:r>
          </w:p>
        </w:tc>
      </w:tr>
      <w:tr>
        <w:trPr>
          <w:trHeight w:val="270"/>
        </w:trPr>
        <w:tc>
          <w:tcPr>
            <w:tcW w:w="3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89"/>
              </w:rPr>
              <w:t>2021</w:t>
            </w:r>
          </w:p>
        </w:tc>
        <w:tc>
          <w:tcPr>
            <w:tcW w:w="2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2021</w:t>
            </w:r>
          </w:p>
        </w:tc>
        <w:tc>
          <w:tcPr>
            <w:tcW w:w="40" w:type="dxa"/>
            <w:vAlign w:val="bottom"/>
          </w:tcPr>
          <w:p>
            <w:pPr>
              <w:spacing w:after="0"/>
              <w:rPr>
                <w:sz w:val="23"/>
                <w:szCs w:val="23"/>
                <w:color w:val="auto"/>
              </w:rPr>
            </w:pPr>
          </w:p>
        </w:tc>
      </w:tr>
      <w:tr>
        <w:trPr>
          <w:trHeight w:val="237"/>
        </w:trPr>
        <w:tc>
          <w:tcPr>
            <w:tcW w:w="3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payroll and related items</w:t>
            </w:r>
          </w:p>
        </w:tc>
        <w:tc>
          <w:tcPr>
            <w:tcW w:w="840" w:type="dxa"/>
            <w:vAlign w:val="bottom"/>
            <w:gridSpan w:val="2"/>
            <w:shd w:val="clear" w:color="auto" w:fill="E5FFFF"/>
          </w:tcPr>
          <w:p>
            <w:pPr>
              <w:ind w:left="700"/>
              <w:spacing w:after="0" w:line="243" w:lineRule="exact"/>
              <w:rPr>
                <w:sz w:val="20"/>
                <w:szCs w:val="20"/>
                <w:color w:val="auto"/>
              </w:rPr>
            </w:pPr>
            <w:r>
              <w:rPr>
                <w:rFonts w:ascii="Arial" w:cs="Arial" w:eastAsia="Arial" w:hAnsi="Arial"/>
                <w:sz w:val="22"/>
                <w:szCs w:val="22"/>
                <w:color w:val="auto"/>
                <w:w w:val="97"/>
              </w:rPr>
              <w:t>$</w:t>
            </w:r>
          </w:p>
        </w:tc>
        <w:tc>
          <w:tcPr>
            <w:tcW w:w="88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1,882</w:t>
            </w:r>
          </w:p>
        </w:tc>
        <w:tc>
          <w:tcPr>
            <w:tcW w:w="2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690</w:t>
            </w:r>
          </w:p>
        </w:tc>
        <w:tc>
          <w:tcPr>
            <w:tcW w:w="40" w:type="dxa"/>
            <w:vAlign w:val="bottom"/>
            <w:shd w:val="clear" w:color="auto" w:fill="E5FFFF"/>
          </w:tcPr>
          <w:p>
            <w:pPr>
              <w:spacing w:after="0"/>
              <w:rPr>
                <w:sz w:val="21"/>
                <w:szCs w:val="21"/>
                <w:color w:val="auto"/>
              </w:rPr>
            </w:pP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Accrued utility charges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2,708</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2,515</w:t>
            </w:r>
          </w:p>
        </w:tc>
        <w:tc>
          <w:tcPr>
            <w:tcW w:w="40" w:type="dxa"/>
            <w:vAlign w:val="bottom"/>
          </w:tcPr>
          <w:p>
            <w:pPr>
              <w:spacing w:after="0"/>
              <w:rPr>
                <w:sz w:val="21"/>
                <w:szCs w:val="21"/>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Accrued transportation related items</w:t>
            </w:r>
          </w:p>
        </w:tc>
        <w:tc>
          <w:tcPr>
            <w:tcW w:w="7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204</w:t>
            </w: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1,560</w:t>
            </w:r>
          </w:p>
        </w:tc>
        <w:tc>
          <w:tcPr>
            <w:tcW w:w="40" w:type="dxa"/>
            <w:vAlign w:val="bottom"/>
            <w:shd w:val="clear" w:color="auto" w:fill="E5FFFF"/>
          </w:tcPr>
          <w:p>
            <w:pPr>
              <w:spacing w:after="0"/>
              <w:rPr>
                <w:sz w:val="21"/>
                <w:szCs w:val="21"/>
                <w:color w:val="auto"/>
              </w:rPr>
            </w:pP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Accrued real estate taxes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1,220</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1,778</w:t>
            </w:r>
          </w:p>
        </w:tc>
        <w:tc>
          <w:tcPr>
            <w:tcW w:w="40" w:type="dxa"/>
            <w:vAlign w:val="bottom"/>
          </w:tcPr>
          <w:p>
            <w:pPr>
              <w:spacing w:after="0"/>
              <w:rPr>
                <w:sz w:val="21"/>
                <w:szCs w:val="21"/>
                <w:color w:val="auto"/>
              </w:rPr>
            </w:pPr>
          </w:p>
        </w:tc>
      </w:tr>
      <w:tr>
        <w:trPr>
          <w:trHeight w:val="243"/>
        </w:trPr>
        <w:tc>
          <w:tcPr>
            <w:tcW w:w="38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w:t>
            </w:r>
          </w:p>
        </w:tc>
        <w:tc>
          <w:tcPr>
            <w:tcW w:w="7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gridSpan w:val="2"/>
            <w:shd w:val="clear" w:color="auto" w:fill="E5FFFF"/>
          </w:tcPr>
          <w:p>
            <w:pPr>
              <w:jc w:val="right"/>
              <w:ind w:right="240"/>
              <w:spacing w:after="0" w:line="243" w:lineRule="exact"/>
              <w:rPr>
                <w:sz w:val="20"/>
                <w:szCs w:val="20"/>
                <w:color w:val="auto"/>
              </w:rPr>
            </w:pPr>
            <w:r>
              <w:rPr>
                <w:rFonts w:ascii="Arial" w:cs="Arial" w:eastAsia="Arial" w:hAnsi="Arial"/>
                <w:sz w:val="22"/>
                <w:szCs w:val="22"/>
                <w:color w:val="auto"/>
              </w:rPr>
              <w:t>4,590</w:t>
            </w: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1,794</w:t>
            </w:r>
          </w:p>
        </w:tc>
        <w:tc>
          <w:tcPr>
            <w:tcW w:w="40" w:type="dxa"/>
            <w:vAlign w:val="bottom"/>
            <w:shd w:val="clear" w:color="auto" w:fill="E5FFFF"/>
          </w:tcPr>
          <w:p>
            <w:pPr>
              <w:spacing w:after="0"/>
              <w:rPr>
                <w:sz w:val="21"/>
                <w:szCs w:val="21"/>
                <w:color w:val="auto"/>
              </w:rPr>
            </w:pP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Accrued income taxes</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51</w:t>
            </w: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c>
          <w:tcPr>
            <w:tcW w:w="40" w:type="dxa"/>
            <w:vAlign w:val="bottom"/>
          </w:tcPr>
          <w:p>
            <w:pPr>
              <w:spacing w:after="0"/>
              <w:rPr>
                <w:sz w:val="21"/>
                <w:szCs w:val="21"/>
                <w:color w:val="auto"/>
              </w:rPr>
            </w:pPr>
          </w:p>
        </w:tc>
      </w:tr>
      <w:tr>
        <w:trPr>
          <w:trHeight w:val="257"/>
        </w:trPr>
        <w:tc>
          <w:tcPr>
            <w:tcW w:w="3880" w:type="dxa"/>
            <w:vAlign w:val="bottom"/>
            <w:shd w:val="clear" w:color="auto" w:fill="E5FFFF"/>
          </w:tcPr>
          <w:p>
            <w:pPr>
              <w:spacing w:after="0"/>
              <w:rPr>
                <w:sz w:val="20"/>
                <w:szCs w:val="20"/>
                <w:color w:val="auto"/>
              </w:rPr>
            </w:pPr>
            <w:r>
              <w:rPr>
                <w:rFonts w:ascii="Arial" w:cs="Arial" w:eastAsia="Arial" w:hAnsi="Arial"/>
                <w:sz w:val="22"/>
                <w:szCs w:val="22"/>
                <w:color w:val="auto"/>
              </w:rPr>
              <w:t>Other</w:t>
            </w:r>
          </w:p>
        </w:tc>
        <w:tc>
          <w:tcPr>
            <w:tcW w:w="700" w:type="dxa"/>
            <w:vAlign w:val="bottom"/>
            <w:shd w:val="clear" w:color="auto" w:fill="E5FFFF"/>
          </w:tcPr>
          <w:p>
            <w:pPr>
              <w:spacing w:after="0"/>
              <w:rPr>
                <w:sz w:val="22"/>
                <w:szCs w:val="22"/>
                <w:color w:val="auto"/>
              </w:rPr>
            </w:pPr>
          </w:p>
        </w:tc>
        <w:tc>
          <w:tcPr>
            <w:tcW w:w="140" w:type="dxa"/>
            <w:vAlign w:val="bottom"/>
            <w:shd w:val="clear" w:color="auto" w:fill="E5FFFF"/>
          </w:tcPr>
          <w:p>
            <w:pPr>
              <w:spacing w:after="0"/>
              <w:rPr>
                <w:sz w:val="22"/>
                <w:szCs w:val="22"/>
                <w:color w:val="auto"/>
              </w:rPr>
            </w:pPr>
          </w:p>
        </w:tc>
        <w:tc>
          <w:tcPr>
            <w:tcW w:w="880" w:type="dxa"/>
            <w:vAlign w:val="bottom"/>
            <w:gridSpan w:val="2"/>
            <w:shd w:val="clear" w:color="auto" w:fill="E5FFFF"/>
          </w:tcPr>
          <w:p>
            <w:pPr>
              <w:jc w:val="right"/>
              <w:ind w:right="240"/>
              <w:spacing w:after="0"/>
              <w:rPr>
                <w:sz w:val="20"/>
                <w:szCs w:val="20"/>
                <w:color w:val="auto"/>
              </w:rPr>
            </w:pPr>
            <w:r>
              <w:rPr>
                <w:rFonts w:ascii="Arial" w:cs="Arial" w:eastAsia="Arial" w:hAnsi="Arial"/>
                <w:sz w:val="22"/>
                <w:szCs w:val="22"/>
                <w:color w:val="auto"/>
              </w:rPr>
              <w:t>619</w:t>
            </w: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563</w:t>
            </w:r>
          </w:p>
        </w:tc>
        <w:tc>
          <w:tcPr>
            <w:tcW w:w="40" w:type="dxa"/>
            <w:vAlign w:val="bottom"/>
            <w:shd w:val="clear" w:color="auto" w:fill="E5FFFF"/>
          </w:tcPr>
          <w:p>
            <w:pPr>
              <w:spacing w:after="0"/>
              <w:rPr>
                <w:sz w:val="22"/>
                <w:szCs w:val="22"/>
                <w:color w:val="auto"/>
              </w:rPr>
            </w:pPr>
          </w:p>
        </w:tc>
      </w:tr>
      <w:tr>
        <w:trPr>
          <w:trHeight w:val="250"/>
        </w:trPr>
        <w:tc>
          <w:tcPr>
            <w:tcW w:w="3880" w:type="dxa"/>
            <w:vAlign w:val="bottom"/>
          </w:tcPr>
          <w:p>
            <w:pPr>
              <w:spacing w:after="0" w:line="250" w:lineRule="exact"/>
              <w:rPr>
                <w:sz w:val="20"/>
                <w:szCs w:val="20"/>
                <w:color w:val="auto"/>
              </w:rPr>
            </w:pPr>
            <w:r>
              <w:rPr>
                <w:rFonts w:ascii="Arial" w:cs="Arial" w:eastAsia="Arial" w:hAnsi="Arial"/>
                <w:sz w:val="22"/>
                <w:szCs w:val="22"/>
                <w:color w:val="auto"/>
              </w:rPr>
              <w:t>Total</w:t>
            </w:r>
          </w:p>
        </w:tc>
        <w:tc>
          <w:tcPr>
            <w:tcW w:w="7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6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2"/>
              </w:rPr>
              <w:t>11,274</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8,955</w:t>
            </w:r>
          </w:p>
        </w:tc>
        <w:tc>
          <w:tcPr>
            <w:tcW w:w="40" w:type="dxa"/>
            <w:vAlign w:val="bottom"/>
          </w:tcPr>
          <w:p>
            <w:pPr>
              <w:spacing w:after="0"/>
              <w:rPr>
                <w:sz w:val="21"/>
                <w:szCs w:val="2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4"/>
          </w:tcPr>
          <w:p>
            <w:pPr>
              <w:jc w:val="center"/>
              <w:ind w:right="32"/>
              <w:spacing w:after="0"/>
              <w:rPr>
                <w:sz w:val="20"/>
                <w:szCs w:val="20"/>
                <w:color w:val="auto"/>
              </w:rPr>
            </w:pPr>
            <w:r>
              <w:rPr>
                <w:rFonts w:ascii="Arial" w:cs="Arial" w:eastAsia="Arial" w:hAnsi="Arial"/>
                <w:sz w:val="22"/>
                <w:szCs w:val="22"/>
                <w:b w:val="1"/>
                <w:bCs w:val="1"/>
                <w:color w:val="auto"/>
                <w:w w:val="86"/>
              </w:rPr>
              <w:t>Asset Derivatives</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91"/>
              </w:rPr>
              <w:t>Liability Derivatives</w:t>
            </w:r>
          </w:p>
        </w:tc>
      </w:tr>
      <w:tr>
        <w:trPr>
          <w:trHeight w:val="24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3"/>
          </w:tcPr>
          <w:p>
            <w:pPr>
              <w:jc w:val="center"/>
              <w:ind w:left="532"/>
              <w:spacing w:after="0" w:line="243" w:lineRule="exact"/>
              <w:rPr>
                <w:sz w:val="20"/>
                <w:szCs w:val="20"/>
                <w:color w:val="auto"/>
              </w:rPr>
            </w:pPr>
            <w:r>
              <w:rPr>
                <w:rFonts w:ascii="Arial" w:cs="Arial" w:eastAsia="Arial" w:hAnsi="Arial"/>
                <w:sz w:val="22"/>
                <w:szCs w:val="22"/>
                <w:b w:val="1"/>
                <w:bCs w:val="1"/>
                <w:color w:val="auto"/>
                <w:w w:val="93"/>
              </w:rPr>
              <w:t>Fair Value</w:t>
            </w: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3"/>
          </w:tcPr>
          <w:p>
            <w:pPr>
              <w:jc w:val="center"/>
              <w:ind w:left="532"/>
              <w:spacing w:after="0" w:line="243" w:lineRule="exact"/>
              <w:rPr>
                <w:sz w:val="20"/>
                <w:szCs w:val="20"/>
                <w:color w:val="auto"/>
              </w:rPr>
            </w:pPr>
            <w:r>
              <w:rPr>
                <w:rFonts w:ascii="Arial" w:cs="Arial" w:eastAsia="Arial" w:hAnsi="Arial"/>
                <w:sz w:val="22"/>
                <w:szCs w:val="22"/>
                <w:b w:val="1"/>
                <w:bCs w:val="1"/>
                <w:color w:val="auto"/>
                <w:w w:val="93"/>
              </w:rPr>
              <w:t>Fair Value</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560"/>
              <w:spacing w:after="0" w:line="243" w:lineRule="exact"/>
              <w:rPr>
                <w:sz w:val="20"/>
                <w:szCs w:val="20"/>
                <w:color w:val="auto"/>
              </w:rPr>
            </w:pPr>
            <w:r>
              <w:rPr>
                <w:rFonts w:ascii="Arial" w:cs="Arial" w:eastAsia="Arial" w:hAnsi="Arial"/>
                <w:sz w:val="22"/>
                <w:szCs w:val="22"/>
                <w:b w:val="1"/>
                <w:bCs w:val="1"/>
                <w:color w:val="auto"/>
                <w:w w:val="89"/>
              </w:rPr>
              <w:t>July 31,</w:t>
            </w:r>
          </w:p>
        </w:tc>
        <w:tc>
          <w:tcPr>
            <w:tcW w:w="110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89"/>
              </w:rPr>
              <w:t>January 31,</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2"/>
              <w:spacing w:after="0" w:line="243" w:lineRule="exact"/>
              <w:rPr>
                <w:sz w:val="20"/>
                <w:szCs w:val="20"/>
                <w:color w:val="auto"/>
              </w:rPr>
            </w:pPr>
            <w:r>
              <w:rPr>
                <w:rFonts w:ascii="Arial" w:cs="Arial" w:eastAsia="Arial" w:hAnsi="Arial"/>
                <w:sz w:val="22"/>
                <w:szCs w:val="22"/>
                <w:b w:val="1"/>
                <w:bCs w:val="1"/>
                <w:color w:val="auto"/>
                <w:w w:val="86"/>
              </w:rPr>
              <w:t>July 31,</w:t>
            </w:r>
          </w:p>
        </w:tc>
        <w:tc>
          <w:tcPr>
            <w:tcW w:w="440" w:type="dxa"/>
            <w:vAlign w:val="bottom"/>
          </w:tcPr>
          <w:p>
            <w:pPr>
              <w:spacing w:after="0"/>
              <w:rPr>
                <w:sz w:val="21"/>
                <w:szCs w:val="21"/>
                <w:color w:val="auto"/>
              </w:rPr>
            </w:pPr>
          </w:p>
        </w:tc>
        <w:tc>
          <w:tcPr>
            <w:tcW w:w="120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w w:val="97"/>
              </w:rPr>
              <w:t>January 31,</w:t>
            </w:r>
          </w:p>
        </w:tc>
      </w:tr>
      <w:tr>
        <w:trPr>
          <w:trHeight w:val="270"/>
        </w:trPr>
        <w:tc>
          <w:tcPr>
            <w:tcW w:w="56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85"/>
              </w:rPr>
              <w:t>2021</w:t>
            </w:r>
          </w:p>
        </w:tc>
        <w:tc>
          <w:tcPr>
            <w:tcW w:w="4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w w:val="85"/>
              </w:rPr>
              <w:t>2021</w:t>
            </w:r>
          </w:p>
        </w:tc>
        <w:tc>
          <w:tcPr>
            <w:tcW w:w="100" w:type="dxa"/>
            <w:vAlign w:val="bottom"/>
          </w:tcPr>
          <w:p>
            <w:pPr>
              <w:spacing w:after="0"/>
              <w:rPr>
                <w:sz w:val="23"/>
                <w:szCs w:val="23"/>
                <w:color w:val="auto"/>
              </w:rPr>
            </w:pPr>
          </w:p>
        </w:tc>
      </w:tr>
      <w:tr>
        <w:trPr>
          <w:trHeight w:val="236"/>
        </w:trPr>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Commodity futures (1)</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300" w:type="dxa"/>
            <w:vAlign w:val="bottom"/>
            <w:gridSpan w:val="2"/>
            <w:shd w:val="clear" w:color="auto" w:fill="E5FFFF"/>
          </w:tcPr>
          <w:p>
            <w:pPr>
              <w:jc w:val="right"/>
              <w:ind w:right="420"/>
              <w:spacing w:after="0" w:line="243" w:lineRule="exact"/>
              <w:rPr>
                <w:sz w:val="20"/>
                <w:szCs w:val="20"/>
                <w:color w:val="auto"/>
              </w:rPr>
            </w:pPr>
            <w:r>
              <w:rPr>
                <w:rFonts w:ascii="Arial" w:cs="Arial" w:eastAsia="Arial" w:hAnsi="Arial"/>
                <w:sz w:val="22"/>
                <w:szCs w:val="22"/>
                <w:color w:val="auto"/>
              </w:rPr>
              <w:t>784</w:t>
            </w:r>
          </w:p>
        </w:tc>
        <w:tc>
          <w:tcPr>
            <w:tcW w:w="3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78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56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4,590</w:t>
            </w:r>
          </w:p>
        </w:tc>
        <w:tc>
          <w:tcPr>
            <w:tcW w:w="760" w:type="dxa"/>
            <w:vAlign w:val="bottom"/>
            <w:gridSpan w:val="2"/>
            <w:shd w:val="clear" w:color="auto" w:fill="E5FFFF"/>
          </w:tcPr>
          <w:p>
            <w:pPr>
              <w:ind w:left="440"/>
              <w:spacing w:after="0" w:line="243" w:lineRule="exact"/>
              <w:rPr>
                <w:sz w:val="20"/>
                <w:szCs w:val="20"/>
                <w:color w:val="auto"/>
              </w:rPr>
            </w:pPr>
            <w:r>
              <w:rPr>
                <w:rFonts w:ascii="Arial" w:cs="Arial" w:eastAsia="Arial" w:hAnsi="Arial"/>
                <w:sz w:val="22"/>
                <w:szCs w:val="22"/>
                <w:color w:val="auto"/>
              </w:rPr>
              <w:t>$</w:t>
            </w:r>
          </w:p>
        </w:tc>
        <w:tc>
          <w:tcPr>
            <w:tcW w:w="88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1,794</w:t>
            </w:r>
          </w:p>
        </w:tc>
      </w:tr>
      <w:tr>
        <w:trPr>
          <w:trHeight w:val="257"/>
        </w:trPr>
        <w:tc>
          <w:tcPr>
            <w:tcW w:w="5660" w:type="dxa"/>
            <w:vAlign w:val="bottom"/>
          </w:tcPr>
          <w:p>
            <w:pPr>
              <w:spacing w:after="0"/>
              <w:rPr>
                <w:sz w:val="20"/>
                <w:szCs w:val="20"/>
                <w:color w:val="auto"/>
              </w:rPr>
            </w:pPr>
            <w:r>
              <w:rPr>
                <w:rFonts w:ascii="Arial" w:cs="Arial" w:eastAsia="Arial" w:hAnsi="Arial"/>
                <w:sz w:val="22"/>
                <w:szCs w:val="22"/>
                <w:color w:val="auto"/>
              </w:rPr>
              <w:t>Forward purchase contracts (2)</w:t>
            </w:r>
          </w:p>
        </w:tc>
        <w:tc>
          <w:tcPr>
            <w:tcW w:w="120" w:type="dxa"/>
            <w:vAlign w:val="bottom"/>
          </w:tcPr>
          <w:p>
            <w:pPr>
              <w:spacing w:after="0"/>
              <w:rPr>
                <w:sz w:val="22"/>
                <w:szCs w:val="22"/>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22"/>
                <w:szCs w:val="22"/>
                <w:color w:val="auto"/>
              </w:rPr>
              <w:t>673</w:t>
            </w:r>
          </w:p>
        </w:tc>
        <w:tc>
          <w:tcPr>
            <w:tcW w:w="3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22"/>
                <w:szCs w:val="22"/>
                <w:color w:val="auto"/>
              </w:rPr>
              <w:t>2,144</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50"/>
        </w:trPr>
        <w:tc>
          <w:tcPr>
            <w:tcW w:w="56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1,457</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2,144</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4,590</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3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Arial" w:cs="Arial" w:eastAsia="Arial" w:hAnsi="Arial"/>
                <w:sz w:val="22"/>
                <w:szCs w:val="22"/>
                <w:color w:val="auto"/>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1,794</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left="660" w:hanging="4"/>
        <w:spacing w:after="0" w:line="238" w:lineRule="auto"/>
        <w:tabs>
          <w:tab w:leader="none" w:pos="1011" w:val="left"/>
        </w:tabs>
        <w:numPr>
          <w:ilvl w:val="0"/>
          <w:numId w:val="5"/>
        </w:numPr>
        <w:rPr>
          <w:rFonts w:ascii="Arial" w:cs="Arial" w:eastAsia="Arial" w:hAnsi="Arial"/>
          <w:sz w:val="22"/>
          <w:szCs w:val="22"/>
          <w:color w:val="auto"/>
        </w:rPr>
      </w:pPr>
      <w:r>
        <w:rPr>
          <w:rFonts w:ascii="Arial" w:cs="Arial" w:eastAsia="Arial" w:hAnsi="Arial"/>
          <w:sz w:val="22"/>
          <w:szCs w:val="22"/>
          <w:color w:val="auto"/>
        </w:rPr>
        <w:t>Commodity futures liabilities are included in accrued expenses and other current liabilities. These contracts are short/sell positions for approximately 8.6 million bushels of corn at July 31, 2021. These contracts are short/sell positions for approximately 6.9 million bushels of corn at January 31, 2021. Commodity futures assets are included in prepaid expenses and other assets. These contracts 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6" w:name="page17"/>
    <w:bookmarkEnd w:id="16"/>
    <w:p>
      <w:pPr>
        <w:ind w:left="660"/>
        <w:spacing w:after="0" w:line="250" w:lineRule="auto"/>
        <w:rPr>
          <w:sz w:val="20"/>
          <w:szCs w:val="20"/>
          <w:color w:val="auto"/>
        </w:rPr>
      </w:pPr>
      <w:r>
        <w:rPr>
          <w:rFonts w:ascii="Arial" w:cs="Arial" w:eastAsia="Arial" w:hAnsi="Arial"/>
          <w:sz w:val="22"/>
          <w:szCs w:val="22"/>
          <w:color w:val="auto"/>
        </w:rPr>
        <w:t>long/buy positions for approximately 5.8 million bushels of corn at July 31, 2021. There were no long/buy positions at January 31, 2021.</w:t>
      </w:r>
    </w:p>
    <w:p>
      <w:pPr>
        <w:spacing w:after="0" w:line="202" w:lineRule="exact"/>
        <w:rPr>
          <w:sz w:val="20"/>
          <w:szCs w:val="20"/>
          <w:color w:val="auto"/>
        </w:rPr>
      </w:pPr>
    </w:p>
    <w:p>
      <w:pPr>
        <w:jc w:val="both"/>
        <w:ind w:left="660" w:hanging="4"/>
        <w:spacing w:after="0"/>
        <w:tabs>
          <w:tab w:leader="none" w:pos="983" w:val="left"/>
        </w:tabs>
        <w:numPr>
          <w:ilvl w:val="0"/>
          <w:numId w:val="6"/>
        </w:numPr>
        <w:rPr>
          <w:rFonts w:ascii="Arial" w:cs="Arial" w:eastAsia="Arial" w:hAnsi="Arial"/>
          <w:sz w:val="22"/>
          <w:szCs w:val="22"/>
          <w:color w:val="auto"/>
        </w:rPr>
      </w:pPr>
      <w:r>
        <w:rPr>
          <w:rFonts w:ascii="Arial" w:cs="Arial" w:eastAsia="Arial" w:hAnsi="Arial"/>
          <w:sz w:val="22"/>
          <w:szCs w:val="22"/>
          <w:color w:val="auto"/>
        </w:rPr>
        <w:t>Forward purchase contracts assets are included in prepaid expenses and other current assets. These contracts are for purchases of approximately 10.6 million bushels of corn at July 31, 2021 and 6.4 million bushels of corn at January 31, 2021.</w:t>
      </w:r>
    </w:p>
    <w:p>
      <w:pPr>
        <w:spacing w:after="0" w:line="213" w:lineRule="exact"/>
        <w:rPr>
          <w:sz w:val="20"/>
          <w:szCs w:val="20"/>
          <w:color w:val="auto"/>
        </w:rPr>
      </w:pPr>
    </w:p>
    <w:p>
      <w:pPr>
        <w:ind w:right="200" w:firstLine="648"/>
        <w:spacing w:after="0" w:line="246" w:lineRule="auto"/>
        <w:rPr>
          <w:sz w:val="20"/>
          <w:szCs w:val="20"/>
          <w:color w:val="auto"/>
        </w:rPr>
      </w:pPr>
      <w:r>
        <w:rPr>
          <w:rFonts w:ascii="Arial" w:cs="Arial" w:eastAsia="Arial" w:hAnsi="Arial"/>
          <w:sz w:val="21"/>
          <w:szCs w:val="21"/>
          <w:color w:val="auto"/>
        </w:rPr>
        <w:t>As of July 31, 2021, and January 31, 2021, all of the derivative financial instruments held by the Company were subject to enforceable master netting arrangements with the counterparty. The Company’s accounting policy is to offset positions and amounts owed or owing with the same counterparty. As of July 31, 2021, and January 31, 2021, the gross positions of the enforceable master netting agreements are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$6,758,000 and approximately $1,657,000 to secure the Company’s derivative position at July 31, 2021 and January 31, 2021, respectively.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Note 5 which contains fair value information related to derivative financial instruments.</w:t>
      </w:r>
    </w:p>
    <w:p>
      <w:pPr>
        <w:spacing w:after="0" w:line="23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Company recognized losses (included in net sales and revenue) on derivative financial instruments of approximately $1,638,000 and $298,000 for the second quarter of fiscal years 2021 and 2020, respectively. The Company recognized losses (included in net sales and revenue) on derivative financial instruments of approximately $2,764,000 and $298,000 for the first six months of fiscal years 2021 and 2020,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 recognized losses (included in cost of sales) on derivative financial instruments of approximately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$6,142,000 and approximately $4,613,000 for the second quarter of fiscal years 2021 and 2020, respectively. The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recognized losses (included in cost of sales) on derivative financial instruments of approximately $8,036,000 and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$1,758,000 for the first six months of fiscal years 2021 and 2020,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i w:val="1"/>
          <w:iCs w:val="1"/>
          <w:color w:val="auto"/>
        </w:rPr>
        <w:t>Investments</w:t>
      </w:r>
    </w:p>
    <w:p>
      <w:pPr>
        <w:spacing w:after="0" w:line="23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following table summarizes the Company’s equity method investment at July 31, 2021 and January 31, 2021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Entity</w:t>
            </w:r>
          </w:p>
        </w:tc>
        <w:tc>
          <w:tcPr>
            <w:tcW w:w="2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gridSpan w:val="3"/>
          </w:tcPr>
          <w:p>
            <w:pPr>
              <w:ind w:left="360"/>
              <w:spacing w:after="0"/>
              <w:rPr>
                <w:sz w:val="20"/>
                <w:szCs w:val="20"/>
                <w:color w:val="auto"/>
              </w:rPr>
            </w:pPr>
            <w:r>
              <w:rPr>
                <w:rFonts w:ascii="Arial" w:cs="Arial" w:eastAsia="Arial" w:hAnsi="Arial"/>
                <w:sz w:val="22"/>
                <w:szCs w:val="22"/>
                <w:b w:val="1"/>
                <w:bCs w:val="1"/>
                <w:color w:val="auto"/>
                <w:w w:val="95"/>
              </w:rPr>
              <w:t>Carrying Amount</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20" w:type="dxa"/>
            <w:vAlign w:val="bottom"/>
            <w:gridSpan w:val="2"/>
            <w:vMerge w:val="continue"/>
          </w:tcPr>
          <w:p>
            <w:pPr>
              <w:spacing w:after="0"/>
              <w:rPr>
                <w:sz w:val="21"/>
                <w:szCs w:val="21"/>
                <w:color w:val="auto"/>
              </w:rPr>
            </w:pPr>
          </w:p>
        </w:tc>
        <w:tc>
          <w:tcPr>
            <w:tcW w:w="244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Ownership Percentage</w:t>
            </w:r>
          </w:p>
        </w:tc>
        <w:tc>
          <w:tcPr>
            <w:tcW w:w="1560" w:type="dxa"/>
            <w:vAlign w:val="bottom"/>
            <w:gridSpan w:val="3"/>
          </w:tcPr>
          <w:p>
            <w:pPr>
              <w:jc w:val="right"/>
              <w:ind w:right="340"/>
              <w:spacing w:after="0" w:line="243" w:lineRule="exact"/>
              <w:rPr>
                <w:sz w:val="20"/>
                <w:szCs w:val="20"/>
                <w:color w:val="auto"/>
              </w:rPr>
            </w:pPr>
            <w:r>
              <w:rPr>
                <w:rFonts w:ascii="Arial" w:cs="Arial" w:eastAsia="Arial" w:hAnsi="Arial"/>
                <w:sz w:val="22"/>
                <w:szCs w:val="22"/>
                <w:b w:val="1"/>
                <w:bCs w:val="1"/>
                <w:color w:val="auto"/>
                <w:w w:val="88"/>
              </w:rPr>
              <w:t>July 31, 2021</w:t>
            </w:r>
          </w:p>
        </w:tc>
        <w:tc>
          <w:tcPr>
            <w:tcW w:w="158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w w:val="88"/>
              </w:rPr>
              <w:t>January 31, 2021</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320" w:type="dxa"/>
            <w:vAlign w:val="bottom"/>
            <w:gridSpan w:val="2"/>
          </w:tcPr>
          <w:p>
            <w:pPr>
              <w:spacing w:after="0"/>
              <w:rPr>
                <w:sz w:val="20"/>
                <w:szCs w:val="20"/>
                <w:color w:val="auto"/>
              </w:rPr>
            </w:pPr>
            <w:r>
              <w:rPr>
                <w:rFonts w:ascii="Arial" w:cs="Arial" w:eastAsia="Arial" w:hAnsi="Arial"/>
                <w:sz w:val="22"/>
                <w:szCs w:val="22"/>
                <w:color w:val="auto"/>
              </w:rPr>
              <w:t>Big River</w:t>
            </w:r>
          </w:p>
        </w:tc>
        <w:tc>
          <w:tcPr>
            <w:tcW w:w="2100" w:type="dxa"/>
            <w:vAlign w:val="bottom"/>
          </w:tcPr>
          <w:p>
            <w:pPr>
              <w:jc w:val="right"/>
              <w:ind w:right="652"/>
              <w:spacing w:after="0"/>
              <w:rPr>
                <w:sz w:val="20"/>
                <w:szCs w:val="20"/>
                <w:color w:val="auto"/>
              </w:rPr>
            </w:pPr>
            <w:r>
              <w:rPr>
                <w:rFonts w:ascii="Arial" w:cs="Arial" w:eastAsia="Arial" w:hAnsi="Arial"/>
                <w:sz w:val="22"/>
                <w:szCs w:val="22"/>
                <w:color w:val="auto"/>
              </w:rPr>
              <w:t>10.3%</w:t>
            </w:r>
          </w:p>
        </w:tc>
        <w:tc>
          <w:tcPr>
            <w:tcW w:w="340" w:type="dxa"/>
            <w:vAlign w:val="bottom"/>
          </w:tcPr>
          <w:p>
            <w:pPr>
              <w:spacing w:after="0"/>
              <w:rPr>
                <w:sz w:val="24"/>
                <w:szCs w:val="24"/>
                <w:color w:val="auto"/>
              </w:rPr>
            </w:pPr>
          </w:p>
        </w:tc>
        <w:tc>
          <w:tcPr>
            <w:tcW w:w="380" w:type="dxa"/>
            <w:vAlign w:val="bottom"/>
          </w:tcPr>
          <w:p>
            <w:pPr>
              <w:jc w:val="right"/>
              <w:ind w:right="177"/>
              <w:spacing w:after="0"/>
              <w:rPr>
                <w:sz w:val="20"/>
                <w:szCs w:val="20"/>
                <w:color w:val="auto"/>
              </w:rPr>
            </w:pPr>
            <w:r>
              <w:rPr>
                <w:rFonts w:ascii="Arial" w:cs="Arial" w:eastAsia="Arial" w:hAnsi="Arial"/>
                <w:sz w:val="19"/>
                <w:szCs w:val="19"/>
                <w:color w:val="auto"/>
                <w:w w:val="75"/>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31,870</w:t>
            </w:r>
          </w:p>
        </w:tc>
        <w:tc>
          <w:tcPr>
            <w:tcW w:w="3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22"/>
                <w:szCs w:val="22"/>
                <w:color w:val="auto"/>
              </w:rPr>
              <w:t>$</w:t>
            </w:r>
          </w:p>
        </w:tc>
        <w:tc>
          <w:tcPr>
            <w:tcW w:w="660" w:type="dxa"/>
            <w:vAlign w:val="bottom"/>
          </w:tcPr>
          <w:p>
            <w:pPr>
              <w:jc w:val="right"/>
              <w:spacing w:after="0"/>
              <w:rPr>
                <w:sz w:val="20"/>
                <w:szCs w:val="20"/>
                <w:color w:val="auto"/>
              </w:rPr>
            </w:pPr>
            <w:r>
              <w:rPr>
                <w:rFonts w:ascii="Arial" w:cs="Arial" w:eastAsia="Arial" w:hAnsi="Arial"/>
                <w:sz w:val="22"/>
                <w:szCs w:val="22"/>
                <w:color w:val="auto"/>
                <w:w w:val="95"/>
              </w:rPr>
              <w:t>29,456</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Undistributed earnings of the Company’s equity method investee totaled approximately $11.8 million and approximately $9.4 million at July 31, 2021 and January 31, 2021, respectively. The Company did not receive any dividends from its equity method investee in the first six months of fiscal year 2021 and received dividends of approximately $2.0 million in the first six months of fiscal year 2020.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7" w:name="page18"/>
    <w:bookmarkEnd w:id="17"/>
    <w:p>
      <w:pPr>
        <w:ind w:right="280" w:firstLine="648"/>
        <w:spacing w:after="0" w:line="250" w:lineRule="auto"/>
        <w:rPr>
          <w:sz w:val="20"/>
          <w:szCs w:val="20"/>
          <w:color w:val="auto"/>
        </w:rPr>
      </w:pPr>
      <w:r>
        <w:rPr>
          <w:rFonts w:ascii="Arial" w:cs="Arial" w:eastAsia="Arial" w:hAnsi="Arial"/>
          <w:sz w:val="22"/>
          <w:szCs w:val="22"/>
          <w:color w:val="auto"/>
        </w:rPr>
        <w:t>Summarized financial information for the Company’s equity method investee is presented in the following table for the periods presented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2500" w:type="dxa"/>
            <w:vAlign w:val="bottom"/>
            <w:gridSpan w:val="6"/>
          </w:tcPr>
          <w:p>
            <w:pPr>
              <w:jc w:val="center"/>
              <w:ind w:right="380"/>
              <w:spacing w:after="0"/>
              <w:rPr>
                <w:sz w:val="20"/>
                <w:szCs w:val="20"/>
                <w:color w:val="auto"/>
              </w:rPr>
            </w:pPr>
            <w:r>
              <w:rPr>
                <w:rFonts w:ascii="Arial" w:cs="Arial" w:eastAsia="Arial" w:hAnsi="Arial"/>
                <w:sz w:val="22"/>
                <w:szCs w:val="22"/>
                <w:b w:val="1"/>
                <w:bCs w:val="1"/>
                <w:color w:val="auto"/>
                <w:w w:val="90"/>
              </w:rPr>
              <w:t>Three Months Ended</w:t>
            </w:r>
          </w:p>
        </w:tc>
        <w:tc>
          <w:tcPr>
            <w:tcW w:w="120" w:type="dxa"/>
            <w:vAlign w:val="bottom"/>
          </w:tcPr>
          <w:p>
            <w:pPr>
              <w:spacing w:after="0"/>
              <w:rPr>
                <w:sz w:val="21"/>
                <w:szCs w:val="21"/>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22"/>
                <w:szCs w:val="22"/>
                <w:b w:val="1"/>
                <w:bCs w:val="1"/>
                <w:color w:val="auto"/>
                <w:w w:val="89"/>
              </w:rPr>
              <w:t>Six Months Ended</w:t>
            </w:r>
          </w:p>
        </w:tc>
      </w:tr>
      <w:tr>
        <w:trPr>
          <w:trHeight w:val="257"/>
        </w:trPr>
        <w:tc>
          <w:tcPr>
            <w:tcW w:w="4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60" w:type="dxa"/>
            <w:vAlign w:val="bottom"/>
            <w:gridSpan w:val="5"/>
          </w:tcPr>
          <w:p>
            <w:pPr>
              <w:jc w:val="center"/>
              <w:ind w:right="520"/>
              <w:spacing w:after="0"/>
              <w:rPr>
                <w:sz w:val="20"/>
                <w:szCs w:val="20"/>
                <w:color w:val="auto"/>
              </w:rPr>
            </w:pPr>
            <w:r>
              <w:rPr>
                <w:rFonts w:ascii="Arial" w:cs="Arial" w:eastAsia="Arial" w:hAnsi="Arial"/>
                <w:sz w:val="22"/>
                <w:szCs w:val="22"/>
                <w:b w:val="1"/>
                <w:bCs w:val="1"/>
                <w:color w:val="auto"/>
                <w:w w:val="89"/>
              </w:rPr>
              <w:t>July 31,</w:t>
            </w:r>
          </w:p>
        </w:tc>
        <w:tc>
          <w:tcPr>
            <w:tcW w:w="120" w:type="dxa"/>
            <w:vAlign w:val="bottom"/>
          </w:tcPr>
          <w:p>
            <w:pPr>
              <w:spacing w:after="0"/>
              <w:rPr>
                <w:sz w:val="22"/>
                <w:szCs w:val="22"/>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22"/>
                <w:szCs w:val="22"/>
                <w:b w:val="1"/>
                <w:bCs w:val="1"/>
                <w:color w:val="auto"/>
                <w:w w:val="89"/>
              </w:rPr>
              <w:t>July 31,</w:t>
            </w:r>
          </w:p>
        </w:tc>
      </w:tr>
      <w:tr>
        <w:trPr>
          <w:trHeight w:val="270"/>
        </w:trPr>
        <w:tc>
          <w:tcPr>
            <w:tcW w:w="48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3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2020</w:t>
            </w:r>
          </w:p>
        </w:tc>
        <w:tc>
          <w:tcPr>
            <w:tcW w:w="3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2021</w:t>
            </w:r>
          </w:p>
        </w:tc>
        <w:tc>
          <w:tcPr>
            <w:tcW w:w="3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b w:val="1"/>
                <w:bCs w:val="1"/>
                <w:color w:val="auto"/>
              </w:rPr>
              <w:t>2020</w:t>
            </w:r>
          </w:p>
        </w:tc>
        <w:tc>
          <w:tcPr>
            <w:tcW w:w="100" w:type="dxa"/>
            <w:vAlign w:val="bottom"/>
          </w:tcPr>
          <w:p>
            <w:pPr>
              <w:spacing w:after="0"/>
              <w:rPr>
                <w:sz w:val="23"/>
                <w:szCs w:val="23"/>
                <w:color w:val="auto"/>
              </w:rPr>
            </w:pPr>
          </w:p>
        </w:tc>
      </w:tr>
      <w:tr>
        <w:trPr>
          <w:trHeight w:val="237"/>
        </w:trPr>
        <w:tc>
          <w:tcPr>
            <w:tcW w:w="4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Net sales and revenue</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E5FFFF"/>
          </w:tcPr>
          <w:p>
            <w:pPr>
              <w:jc w:val="right"/>
              <w:ind w:right="360"/>
              <w:spacing w:after="0" w:line="243" w:lineRule="exact"/>
              <w:rPr>
                <w:sz w:val="20"/>
                <w:szCs w:val="20"/>
                <w:color w:val="auto"/>
              </w:rPr>
            </w:pPr>
            <w:r>
              <w:rPr>
                <w:rFonts w:ascii="Arial" w:cs="Arial" w:eastAsia="Arial" w:hAnsi="Arial"/>
                <w:sz w:val="22"/>
                <w:szCs w:val="22"/>
                <w:color w:val="auto"/>
                <w:w w:val="90"/>
              </w:rPr>
              <w:t>363,383</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w w:val="90"/>
              </w:rPr>
              <w:t>130,126</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w w:val="90"/>
              </w:rPr>
              <w:t>619,799</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w w:val="90"/>
              </w:rPr>
              <w:t>327,758</w:t>
            </w:r>
          </w:p>
        </w:tc>
      </w:tr>
      <w:tr>
        <w:trPr>
          <w:trHeight w:val="243"/>
        </w:trPr>
        <w:tc>
          <w:tcPr>
            <w:tcW w:w="4860" w:type="dxa"/>
            <w:vAlign w:val="bottom"/>
          </w:tcPr>
          <w:p>
            <w:pPr>
              <w:spacing w:after="0" w:line="243" w:lineRule="exact"/>
              <w:rPr>
                <w:sz w:val="20"/>
                <w:szCs w:val="20"/>
                <w:color w:val="auto"/>
              </w:rPr>
            </w:pPr>
            <w:r>
              <w:rPr>
                <w:rFonts w:ascii="Arial" w:cs="Arial" w:eastAsia="Arial" w:hAnsi="Arial"/>
                <w:sz w:val="22"/>
                <w:szCs w:val="22"/>
                <w:color w:val="auto"/>
              </w:rPr>
              <w:t>Gross profit (loss)</w:t>
            </w:r>
          </w:p>
        </w:tc>
        <w:tc>
          <w:tcPr>
            <w:tcW w:w="14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360"/>
              <w:spacing w:after="0" w:line="243" w:lineRule="exact"/>
              <w:rPr>
                <w:sz w:val="20"/>
                <w:szCs w:val="20"/>
                <w:color w:val="auto"/>
              </w:rPr>
            </w:pPr>
            <w:r>
              <w:rPr>
                <w:rFonts w:ascii="Arial" w:cs="Arial" w:eastAsia="Arial" w:hAnsi="Arial"/>
                <w:sz w:val="22"/>
                <w:szCs w:val="22"/>
                <w:color w:val="auto"/>
              </w:rPr>
              <w:t>19,357</w:t>
            </w:r>
          </w:p>
        </w:tc>
        <w:tc>
          <w:tcPr>
            <w:tcW w:w="14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3,565</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380"/>
              <w:spacing w:after="0" w:line="243" w:lineRule="exact"/>
              <w:rPr>
                <w:sz w:val="20"/>
                <w:szCs w:val="20"/>
                <w:color w:val="auto"/>
              </w:rPr>
            </w:pPr>
            <w:r>
              <w:rPr>
                <w:rFonts w:ascii="Arial" w:cs="Arial" w:eastAsia="Arial" w:hAnsi="Arial"/>
                <w:sz w:val="22"/>
                <w:szCs w:val="22"/>
                <w:color w:val="auto"/>
              </w:rPr>
              <w:t>20,901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(2,378)</w:t>
            </w:r>
          </w:p>
        </w:tc>
      </w:tr>
      <w:tr>
        <w:trPr>
          <w:trHeight w:val="243"/>
        </w:trPr>
        <w:tc>
          <w:tcPr>
            <w:tcW w:w="48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from continuing operations</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E5FFFF"/>
          </w:tcPr>
          <w:p>
            <w:pPr>
              <w:jc w:val="right"/>
              <w:ind w:right="360"/>
              <w:spacing w:after="0" w:line="243" w:lineRule="exact"/>
              <w:rPr>
                <w:sz w:val="20"/>
                <w:szCs w:val="20"/>
                <w:color w:val="auto"/>
              </w:rPr>
            </w:pPr>
            <w:r>
              <w:rPr>
                <w:rFonts w:ascii="Arial" w:cs="Arial" w:eastAsia="Arial" w:hAnsi="Arial"/>
                <w:sz w:val="22"/>
                <w:szCs w:val="22"/>
                <w:color w:val="auto"/>
              </w:rPr>
              <w:t>17,877</w:t>
            </w:r>
          </w:p>
        </w:tc>
        <w:tc>
          <w:tcPr>
            <w:tcW w:w="1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(4,914)</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E5FFFF"/>
          </w:tcPr>
          <w:p>
            <w:pPr>
              <w:jc w:val="right"/>
              <w:ind w:right="380"/>
              <w:spacing w:after="0" w:line="243" w:lineRule="exact"/>
              <w:rPr>
                <w:sz w:val="20"/>
                <w:szCs w:val="20"/>
                <w:color w:val="auto"/>
              </w:rPr>
            </w:pPr>
            <w:r>
              <w:rPr>
                <w:rFonts w:ascii="Arial" w:cs="Arial" w:eastAsia="Arial" w:hAnsi="Arial"/>
                <w:sz w:val="22"/>
                <w:szCs w:val="22"/>
                <w:color w:val="auto"/>
              </w:rPr>
              <w:t>23,412</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(9,540)</w:t>
            </w:r>
          </w:p>
        </w:tc>
      </w:tr>
      <w:tr>
        <w:trPr>
          <w:trHeight w:val="274"/>
        </w:trPr>
        <w:tc>
          <w:tcPr>
            <w:tcW w:w="4860" w:type="dxa"/>
            <w:vAlign w:val="bottom"/>
          </w:tcPr>
          <w:p>
            <w:pPr>
              <w:spacing w:after="0"/>
              <w:rPr>
                <w:sz w:val="20"/>
                <w:szCs w:val="20"/>
                <w:color w:val="auto"/>
              </w:rPr>
            </w:pPr>
            <w:r>
              <w:rPr>
                <w:rFonts w:ascii="Arial" w:cs="Arial" w:eastAsia="Arial" w:hAnsi="Arial"/>
                <w:sz w:val="22"/>
                <w:szCs w:val="22"/>
                <w:color w:val="auto"/>
              </w:rPr>
              <w:t>Net income (loss)</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360"/>
              <w:spacing w:after="0"/>
              <w:rPr>
                <w:sz w:val="20"/>
                <w:szCs w:val="20"/>
                <w:color w:val="auto"/>
              </w:rPr>
            </w:pPr>
            <w:r>
              <w:rPr>
                <w:rFonts w:ascii="Arial" w:cs="Arial" w:eastAsia="Arial" w:hAnsi="Arial"/>
                <w:sz w:val="22"/>
                <w:szCs w:val="22"/>
                <w:color w:val="auto"/>
              </w:rPr>
              <w:t>17,877</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380"/>
              <w:spacing w:after="0"/>
              <w:rPr>
                <w:sz w:val="20"/>
                <w:szCs w:val="20"/>
                <w:color w:val="auto"/>
              </w:rPr>
            </w:pPr>
            <w:r>
              <w:rPr>
                <w:rFonts w:ascii="Arial" w:cs="Arial" w:eastAsia="Arial" w:hAnsi="Arial"/>
                <w:sz w:val="22"/>
                <w:szCs w:val="22"/>
                <w:color w:val="auto"/>
              </w:rPr>
              <w:t>(4,914)</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120" w:type="dxa"/>
            <w:vAlign w:val="bottom"/>
            <w:gridSpan w:val="2"/>
          </w:tcPr>
          <w:p>
            <w:pPr>
              <w:jc w:val="right"/>
              <w:ind w:right="380"/>
              <w:spacing w:after="0"/>
              <w:rPr>
                <w:sz w:val="20"/>
                <w:szCs w:val="20"/>
                <w:color w:val="auto"/>
              </w:rPr>
            </w:pPr>
            <w:r>
              <w:rPr>
                <w:rFonts w:ascii="Arial" w:cs="Arial" w:eastAsia="Arial" w:hAnsi="Arial"/>
                <w:sz w:val="22"/>
                <w:szCs w:val="22"/>
                <w:color w:val="auto"/>
              </w:rPr>
              <w:t>23,412</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gridSpan w:val="2"/>
          </w:tcPr>
          <w:p>
            <w:pPr>
              <w:jc w:val="right"/>
              <w:ind w:right="100"/>
              <w:spacing w:after="0"/>
              <w:rPr>
                <w:sz w:val="20"/>
                <w:szCs w:val="20"/>
                <w:color w:val="auto"/>
              </w:rPr>
            </w:pPr>
            <w:r>
              <w:rPr>
                <w:rFonts w:ascii="Arial" w:cs="Arial" w:eastAsia="Arial" w:hAnsi="Arial"/>
                <w:sz w:val="22"/>
                <w:szCs w:val="22"/>
                <w:color w:val="auto"/>
              </w:rPr>
              <w:t>(9,540)</w:t>
            </w:r>
          </w:p>
        </w:tc>
      </w:tr>
    </w:tbl>
    <w:p>
      <w:pPr>
        <w:spacing w:after="0" w:line="190"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July 31, 2021, the Company owned certificates of deposit that had an amortized cost, or carrying value, of approximately $33,282,000. The contractual maturity of these investments was less than one year. The yield to maturity rate was approximately 0.1%. Unrealized gains or losses were insignificant.</w:t>
      </w:r>
    </w:p>
    <w:p>
      <w:pPr>
        <w:spacing w:after="0" w:line="213"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At January 31, 2021, the Company owned certificates of deposit that had an amortized cost, or carrying value, of approximately $36,194,000. The contractual maturity of these investments was less than one year. The yield to maturity rate was approximately 0.2%. Unrealized gains or losses were insignificant.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maintains the REX 2015 Incentive Plan, approved by its shareholders, which reserves a total of 550,000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Since plan inception, the Company has only granted restricted stock awards.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2021, 471,027 shares remain available for issuance under the Plan. As a component of their compensation, restricted stock has been granted to directors at the closing market price of REX common stock on the grant date. In addition, one third of executives’ incentive compensation is payable by an award of restricted stock based on the then closing market price of REX common stock on the</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grant date. The Company’s board of directors has determined that the grant date will be June 15</w:t>
      </w:r>
      <w:r>
        <w:rPr>
          <w:rFonts w:ascii="Arial" w:cs="Arial" w:eastAsia="Arial" w:hAnsi="Arial"/>
          <w:sz w:val="35"/>
          <w:szCs w:val="35"/>
          <w:color w:val="auto"/>
          <w:vertAlign w:val="superscript"/>
        </w:rPr>
        <w:t>th</w:t>
      </w:r>
      <w:r>
        <w:rPr>
          <w:rFonts w:ascii="Arial" w:cs="Arial" w:eastAsia="Arial" w:hAnsi="Arial"/>
          <w:sz w:val="22"/>
          <w:szCs w:val="22"/>
          <w:color w:val="auto"/>
        </w:rPr>
        <w:t>, or the next business day if June 15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is not a business day, for all grants of restricted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8" w:name="page19"/>
    <w:bookmarkEnd w:id="18"/>
    <w:p>
      <w:pPr>
        <w:jc w:val="both"/>
        <w:ind w:firstLine="648"/>
        <w:spacing w:after="0"/>
        <w:rPr>
          <w:sz w:val="20"/>
          <w:szCs w:val="20"/>
          <w:color w:val="auto"/>
        </w:rPr>
      </w:pPr>
      <w:r>
        <w:rPr>
          <w:rFonts w:ascii="Arial" w:cs="Arial" w:eastAsia="Arial" w:hAnsi="Arial"/>
          <w:sz w:val="22"/>
          <w:szCs w:val="22"/>
          <w:color w:val="auto"/>
        </w:rPr>
        <w:t>At July 31, 2021 and January 31, 2021, unrecognized compensation cost related to nonvested restricted stock was approximately $155,000 and $272,000, respectively. The following tables summarize non-vested restricted stock award activity for the periods presented:</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7"/>
          </w:tcPr>
          <w:p>
            <w:pPr>
              <w:jc w:val="right"/>
              <w:ind w:right="1120"/>
              <w:spacing w:after="0"/>
              <w:rPr>
                <w:sz w:val="20"/>
                <w:szCs w:val="20"/>
                <w:color w:val="auto"/>
              </w:rPr>
            </w:pPr>
            <w:r>
              <w:rPr>
                <w:rFonts w:ascii="Arial" w:cs="Arial" w:eastAsia="Arial" w:hAnsi="Arial"/>
                <w:sz w:val="22"/>
                <w:szCs w:val="22"/>
                <w:b w:val="1"/>
                <w:bCs w:val="1"/>
                <w:color w:val="auto"/>
              </w:rPr>
              <w:t>Six Months Ended July 31, 2021</w:t>
            </w:r>
          </w:p>
        </w:tc>
      </w:tr>
      <w:tr>
        <w:trPr>
          <w:trHeight w:val="449"/>
        </w:trPr>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22"/>
                <w:szCs w:val="22"/>
                <w:b w:val="1"/>
                <w:bCs w:val="1"/>
                <w:color w:val="auto"/>
                <w:w w:val="86"/>
              </w:rPr>
              <w:t>Weighted</w:t>
            </w: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3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1900" w:type="dxa"/>
            <w:vAlign w:val="bottom"/>
            <w:gridSpan w:val="2"/>
          </w:tcPr>
          <w:p>
            <w:pPr>
              <w:jc w:val="center"/>
              <w:ind w:right="80"/>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3580" w:type="dxa"/>
            <w:vAlign w:val="bottom"/>
          </w:tcPr>
          <w:p>
            <w:pPr>
              <w:spacing w:after="0"/>
              <w:rPr>
                <w:sz w:val="21"/>
                <w:szCs w:val="21"/>
                <w:color w:val="auto"/>
              </w:rPr>
            </w:pPr>
          </w:p>
        </w:tc>
        <w:tc>
          <w:tcPr>
            <w:tcW w:w="2240" w:type="dxa"/>
            <w:vAlign w:val="bottom"/>
            <w:gridSpan w:val="4"/>
          </w:tcPr>
          <w:p>
            <w:pPr>
              <w:jc w:val="center"/>
              <w:ind w:left="392"/>
              <w:spacing w:after="0" w:line="243" w:lineRule="exact"/>
              <w:rPr>
                <w:sz w:val="20"/>
                <w:szCs w:val="20"/>
                <w:color w:val="auto"/>
              </w:rPr>
            </w:pPr>
            <w:r>
              <w:rPr>
                <w:rFonts w:ascii="Arial" w:cs="Arial" w:eastAsia="Arial" w:hAnsi="Arial"/>
                <w:sz w:val="22"/>
                <w:szCs w:val="22"/>
                <w:b w:val="1"/>
                <w:bCs w:val="1"/>
                <w:color w:val="auto"/>
                <w:w w:val="86"/>
              </w:rPr>
              <w:t>Non-Vested</w:t>
            </w:r>
          </w:p>
        </w:tc>
        <w:tc>
          <w:tcPr>
            <w:tcW w:w="182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190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8"/>
              </w:rPr>
              <w:t>Vesting Term</w:t>
            </w:r>
          </w:p>
        </w:tc>
      </w:tr>
      <w:tr>
        <w:trPr>
          <w:trHeight w:val="270"/>
        </w:trPr>
        <w:tc>
          <w:tcPr>
            <w:tcW w:w="3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84"/>
              </w:rPr>
              <w:t>Shares</w:t>
            </w:r>
          </w:p>
        </w:tc>
        <w:tc>
          <w:tcPr>
            <w:tcW w:w="200" w:type="dxa"/>
            <w:vAlign w:val="bottom"/>
          </w:tcPr>
          <w:p>
            <w:pPr>
              <w:spacing w:after="0"/>
              <w:rPr>
                <w:sz w:val="23"/>
                <w:szCs w:val="23"/>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22"/>
                <w:szCs w:val="22"/>
                <w:b w:val="1"/>
                <w:bCs w:val="1"/>
                <w:color w:val="auto"/>
                <w:w w:val="88"/>
              </w:rPr>
              <w:t>(000’s)</w:t>
            </w: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9"/>
              </w:rPr>
              <w:t>(in years)</w:t>
            </w:r>
          </w:p>
        </w:tc>
      </w:tr>
      <w:tr>
        <w:trPr>
          <w:trHeight w:val="236"/>
        </w:trPr>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5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2021</w:t>
            </w:r>
          </w:p>
        </w:tc>
        <w:tc>
          <w:tcPr>
            <w:tcW w:w="18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19,705</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1,398</w:t>
            </w:r>
          </w:p>
        </w:tc>
        <w:tc>
          <w:tcPr>
            <w:tcW w:w="360" w:type="dxa"/>
            <w:vAlign w:val="bottom"/>
            <w:shd w:val="clear" w:color="auto" w:fill="E5FFFF"/>
          </w:tcPr>
          <w:p>
            <w:pPr>
              <w:spacing w:after="0"/>
              <w:rPr>
                <w:sz w:val="21"/>
                <w:szCs w:val="21"/>
                <w:color w:val="auto"/>
              </w:rPr>
            </w:pPr>
          </w:p>
        </w:tc>
        <w:tc>
          <w:tcPr>
            <w:tcW w:w="1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w:t>
            </w:r>
          </w:p>
        </w:tc>
      </w:tr>
      <w:tr>
        <w:trPr>
          <w:trHeight w:val="243"/>
        </w:trPr>
        <w:tc>
          <w:tcPr>
            <w:tcW w:w="358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2,803</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275</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5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8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57"/>
        </w:trPr>
        <w:tc>
          <w:tcPr>
            <w:tcW w:w="3580" w:type="dxa"/>
            <w:vAlign w:val="bottom"/>
          </w:tcPr>
          <w:p>
            <w:pPr>
              <w:spacing w:after="0"/>
              <w:rPr>
                <w:sz w:val="20"/>
                <w:szCs w:val="20"/>
                <w:color w:val="auto"/>
              </w:rPr>
            </w:pPr>
            <w:r>
              <w:rPr>
                <w:rFonts w:ascii="Arial" w:cs="Arial" w:eastAsia="Arial" w:hAnsi="Arial"/>
                <w:sz w:val="22"/>
                <w:szCs w:val="22"/>
                <w:color w:val="auto"/>
              </w:rPr>
              <w:t>Vested</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12,447</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900</w:t>
            </w: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5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22"/>
                <w:szCs w:val="22"/>
                <w:color w:val="auto"/>
              </w:rPr>
              <w:t>Non-Vested at July 31, 2021</w:t>
            </w:r>
          </w:p>
        </w:tc>
        <w:tc>
          <w:tcPr>
            <w:tcW w:w="920" w:type="dxa"/>
            <w:vAlign w:val="bottom"/>
            <w:tcBorders>
              <w:bottom w:val="single" w:sz="8" w:color="E5FFFF"/>
            </w:tcBorders>
            <w:gridSpan w:val="2"/>
            <w:shd w:val="clear" w:color="auto" w:fill="E5FFFF"/>
          </w:tcPr>
          <w:p>
            <w:pPr>
              <w:spacing w:after="0"/>
              <w:rPr>
                <w:sz w:val="23"/>
                <w:szCs w:val="23"/>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10,061</w:t>
            </w:r>
          </w:p>
        </w:tc>
        <w:tc>
          <w:tcPr>
            <w:tcW w:w="36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773</w:t>
            </w:r>
          </w:p>
        </w:tc>
        <w:tc>
          <w:tcPr>
            <w:tcW w:w="360" w:type="dxa"/>
            <w:vAlign w:val="bottom"/>
            <w:tcBorders>
              <w:bottom w:val="single" w:sz="8" w:color="E5FFFF"/>
            </w:tcBorders>
            <w:shd w:val="clear" w:color="auto" w:fill="E5FFFF"/>
          </w:tcPr>
          <w:p>
            <w:pPr>
              <w:spacing w:after="0"/>
              <w:rPr>
                <w:sz w:val="23"/>
                <w:szCs w:val="23"/>
                <w:color w:val="auto"/>
              </w:rPr>
            </w:pPr>
          </w:p>
        </w:tc>
        <w:tc>
          <w:tcPr>
            <w:tcW w:w="1900" w:type="dxa"/>
            <w:vAlign w:val="bottom"/>
            <w:tcBorders>
              <w:bottom w:val="single" w:sz="8" w:color="E5FFFF"/>
            </w:tcBorders>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2</w:t>
            </w:r>
          </w:p>
        </w:tc>
      </w:tr>
      <w:tr>
        <w:trPr>
          <w:trHeight w:val="20"/>
        </w:trPr>
        <w:tc>
          <w:tcPr>
            <w:tcW w:w="3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r>
      <w:tr>
        <w:trPr>
          <w:trHeight w:val="449"/>
        </w:trPr>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7"/>
          </w:tcPr>
          <w:p>
            <w:pPr>
              <w:jc w:val="right"/>
              <w:ind w:right="1120"/>
              <w:spacing w:after="0"/>
              <w:rPr>
                <w:sz w:val="20"/>
                <w:szCs w:val="20"/>
                <w:color w:val="auto"/>
              </w:rPr>
            </w:pPr>
            <w:r>
              <w:rPr>
                <w:rFonts w:ascii="Arial" w:cs="Arial" w:eastAsia="Arial" w:hAnsi="Arial"/>
                <w:sz w:val="22"/>
                <w:szCs w:val="22"/>
                <w:b w:val="1"/>
                <w:bCs w:val="1"/>
                <w:color w:val="auto"/>
              </w:rPr>
              <w:t>Six Months Ended July 31, 2020</w:t>
            </w:r>
          </w:p>
        </w:tc>
      </w:tr>
      <w:tr>
        <w:trPr>
          <w:trHeight w:val="449"/>
        </w:trPr>
        <w:tc>
          <w:tcPr>
            <w:tcW w:w="3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22"/>
                <w:szCs w:val="22"/>
                <w:b w:val="1"/>
                <w:bCs w:val="1"/>
                <w:color w:val="auto"/>
                <w:w w:val="86"/>
              </w:rPr>
              <w:t>Weighted</w:t>
            </w: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8"/>
              </w:rPr>
              <w:t>Weighted</w:t>
            </w:r>
          </w:p>
        </w:tc>
      </w:tr>
      <w:tr>
        <w:trPr>
          <w:trHeight w:val="243"/>
        </w:trPr>
        <w:tc>
          <w:tcPr>
            <w:tcW w:w="3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90"/>
              </w:rPr>
              <w:t>Average Grant</w:t>
            </w:r>
          </w:p>
        </w:tc>
        <w:tc>
          <w:tcPr>
            <w:tcW w:w="1900" w:type="dxa"/>
            <w:vAlign w:val="bottom"/>
            <w:gridSpan w:val="2"/>
          </w:tcPr>
          <w:p>
            <w:pPr>
              <w:jc w:val="center"/>
              <w:ind w:right="80"/>
              <w:spacing w:after="0" w:line="243" w:lineRule="exact"/>
              <w:rPr>
                <w:sz w:val="20"/>
                <w:szCs w:val="20"/>
                <w:color w:val="auto"/>
              </w:rPr>
            </w:pPr>
            <w:r>
              <w:rPr>
                <w:rFonts w:ascii="Arial" w:cs="Arial" w:eastAsia="Arial" w:hAnsi="Arial"/>
                <w:sz w:val="22"/>
                <w:szCs w:val="22"/>
                <w:b w:val="1"/>
                <w:bCs w:val="1"/>
                <w:color w:val="auto"/>
                <w:w w:val="88"/>
              </w:rPr>
              <w:t>Average Remaining</w:t>
            </w:r>
          </w:p>
        </w:tc>
      </w:tr>
      <w:tr>
        <w:trPr>
          <w:trHeight w:val="243"/>
        </w:trPr>
        <w:tc>
          <w:tcPr>
            <w:tcW w:w="3580" w:type="dxa"/>
            <w:vAlign w:val="bottom"/>
          </w:tcPr>
          <w:p>
            <w:pPr>
              <w:spacing w:after="0"/>
              <w:rPr>
                <w:sz w:val="21"/>
                <w:szCs w:val="21"/>
                <w:color w:val="auto"/>
              </w:rPr>
            </w:pPr>
          </w:p>
        </w:tc>
        <w:tc>
          <w:tcPr>
            <w:tcW w:w="2240" w:type="dxa"/>
            <w:vAlign w:val="bottom"/>
            <w:gridSpan w:val="4"/>
          </w:tcPr>
          <w:p>
            <w:pPr>
              <w:jc w:val="center"/>
              <w:ind w:left="392"/>
              <w:spacing w:after="0" w:line="243" w:lineRule="exact"/>
              <w:rPr>
                <w:sz w:val="20"/>
                <w:szCs w:val="20"/>
                <w:color w:val="auto"/>
              </w:rPr>
            </w:pPr>
            <w:r>
              <w:rPr>
                <w:rFonts w:ascii="Arial" w:cs="Arial" w:eastAsia="Arial" w:hAnsi="Arial"/>
                <w:sz w:val="22"/>
                <w:szCs w:val="22"/>
                <w:b w:val="1"/>
                <w:bCs w:val="1"/>
                <w:color w:val="auto"/>
                <w:w w:val="86"/>
              </w:rPr>
              <w:t>Non-Vested</w:t>
            </w:r>
          </w:p>
        </w:tc>
        <w:tc>
          <w:tcPr>
            <w:tcW w:w="1820" w:type="dxa"/>
            <w:vAlign w:val="bottom"/>
            <w:gridSpan w:val="3"/>
          </w:tcPr>
          <w:p>
            <w:pPr>
              <w:jc w:val="center"/>
              <w:ind w:right="360"/>
              <w:spacing w:after="0" w:line="243" w:lineRule="exact"/>
              <w:rPr>
                <w:sz w:val="20"/>
                <w:szCs w:val="20"/>
                <w:color w:val="auto"/>
              </w:rPr>
            </w:pPr>
            <w:r>
              <w:rPr>
                <w:rFonts w:ascii="Arial" w:cs="Arial" w:eastAsia="Arial" w:hAnsi="Arial"/>
                <w:sz w:val="22"/>
                <w:szCs w:val="22"/>
                <w:b w:val="1"/>
                <w:bCs w:val="1"/>
                <w:color w:val="auto"/>
                <w:w w:val="91"/>
              </w:rPr>
              <w:t>Date Fair Value</w:t>
            </w:r>
          </w:p>
        </w:tc>
        <w:tc>
          <w:tcPr>
            <w:tcW w:w="1900" w:type="dxa"/>
            <w:vAlign w:val="bottom"/>
            <w:gridSpan w:val="2"/>
          </w:tcPr>
          <w:p>
            <w:pPr>
              <w:jc w:val="center"/>
              <w:ind w:right="100"/>
              <w:spacing w:after="0" w:line="243" w:lineRule="exact"/>
              <w:rPr>
                <w:sz w:val="20"/>
                <w:szCs w:val="20"/>
                <w:color w:val="auto"/>
              </w:rPr>
            </w:pPr>
            <w:r>
              <w:rPr>
                <w:rFonts w:ascii="Arial" w:cs="Arial" w:eastAsia="Arial" w:hAnsi="Arial"/>
                <w:sz w:val="22"/>
                <w:szCs w:val="22"/>
                <w:b w:val="1"/>
                <w:bCs w:val="1"/>
                <w:color w:val="auto"/>
                <w:w w:val="88"/>
              </w:rPr>
              <w:t>Vesting Term</w:t>
            </w:r>
          </w:p>
        </w:tc>
      </w:tr>
      <w:tr>
        <w:trPr>
          <w:trHeight w:val="270"/>
        </w:trPr>
        <w:tc>
          <w:tcPr>
            <w:tcW w:w="3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84"/>
              </w:rPr>
              <w:t>Shares</w:t>
            </w:r>
          </w:p>
        </w:tc>
        <w:tc>
          <w:tcPr>
            <w:tcW w:w="200" w:type="dxa"/>
            <w:vAlign w:val="bottom"/>
          </w:tcPr>
          <w:p>
            <w:pPr>
              <w:spacing w:after="0"/>
              <w:rPr>
                <w:sz w:val="23"/>
                <w:szCs w:val="23"/>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22"/>
                <w:szCs w:val="22"/>
                <w:b w:val="1"/>
                <w:bCs w:val="1"/>
                <w:color w:val="auto"/>
                <w:w w:val="88"/>
              </w:rPr>
              <w:t>(000’s)</w:t>
            </w:r>
          </w:p>
        </w:tc>
        <w:tc>
          <w:tcPr>
            <w:tcW w:w="1900" w:type="dxa"/>
            <w:vAlign w:val="bottom"/>
            <w:gridSpan w:val="2"/>
          </w:tcPr>
          <w:p>
            <w:pPr>
              <w:jc w:val="center"/>
              <w:ind w:right="100"/>
              <w:spacing w:after="0"/>
              <w:rPr>
                <w:sz w:val="20"/>
                <w:szCs w:val="20"/>
                <w:color w:val="auto"/>
              </w:rPr>
            </w:pPr>
            <w:r>
              <w:rPr>
                <w:rFonts w:ascii="Arial" w:cs="Arial" w:eastAsia="Arial" w:hAnsi="Arial"/>
                <w:sz w:val="22"/>
                <w:szCs w:val="22"/>
                <w:b w:val="1"/>
                <w:bCs w:val="1"/>
                <w:color w:val="auto"/>
                <w:w w:val="89"/>
              </w:rPr>
              <w:t>(in years)</w:t>
            </w:r>
          </w:p>
        </w:tc>
      </w:tr>
      <w:tr>
        <w:trPr>
          <w:trHeight w:val="237"/>
        </w:trPr>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5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Non-Vested at January 31, 2020</w:t>
            </w:r>
          </w:p>
        </w:tc>
        <w:tc>
          <w:tcPr>
            <w:tcW w:w="18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28,576</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2,193</w:t>
            </w:r>
          </w:p>
        </w:tc>
        <w:tc>
          <w:tcPr>
            <w:tcW w:w="360" w:type="dxa"/>
            <w:vAlign w:val="bottom"/>
            <w:shd w:val="clear" w:color="auto" w:fill="E5FFFF"/>
          </w:tcPr>
          <w:p>
            <w:pPr>
              <w:spacing w:after="0"/>
              <w:rPr>
                <w:sz w:val="21"/>
                <w:szCs w:val="21"/>
                <w:color w:val="auto"/>
              </w:rPr>
            </w:pPr>
          </w:p>
        </w:tc>
        <w:tc>
          <w:tcPr>
            <w:tcW w:w="1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w:t>
            </w:r>
          </w:p>
        </w:tc>
      </w:tr>
      <w:tr>
        <w:trPr>
          <w:trHeight w:val="243"/>
        </w:trPr>
        <w:tc>
          <w:tcPr>
            <w:tcW w:w="3580" w:type="dxa"/>
            <w:vAlign w:val="bottom"/>
          </w:tcPr>
          <w:p>
            <w:pPr>
              <w:spacing w:after="0" w:line="243" w:lineRule="exact"/>
              <w:rPr>
                <w:sz w:val="20"/>
                <w:szCs w:val="20"/>
                <w:color w:val="auto"/>
              </w:rPr>
            </w:pPr>
            <w:r>
              <w:rPr>
                <w:rFonts w:ascii="Arial" w:cs="Arial" w:eastAsia="Arial" w:hAnsi="Arial"/>
                <w:sz w:val="22"/>
                <w:szCs w:val="22"/>
                <w:color w:val="auto"/>
              </w:rPr>
              <w:t>Granted</w:t>
            </w:r>
          </w:p>
        </w:tc>
        <w:tc>
          <w:tcPr>
            <w:tcW w:w="18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6,158</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416</w:t>
            </w: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58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Forfeited</w:t>
            </w:r>
          </w:p>
        </w:tc>
        <w:tc>
          <w:tcPr>
            <w:tcW w:w="1880" w:type="dxa"/>
            <w:vAlign w:val="bottom"/>
            <w:gridSpan w:val="3"/>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22"/>
                <w:szCs w:val="22"/>
                <w:color w:val="auto"/>
              </w:rPr>
              <w:t>Vested</w:t>
            </w:r>
          </w:p>
        </w:tc>
        <w:tc>
          <w:tcPr>
            <w:tcW w:w="1880" w:type="dxa"/>
            <w:vAlign w:val="bottom"/>
            <w:gridSpan w:val="3"/>
          </w:tcPr>
          <w:p>
            <w:pPr>
              <w:jc w:val="right"/>
              <w:spacing w:after="0"/>
              <w:rPr>
                <w:sz w:val="20"/>
                <w:szCs w:val="20"/>
                <w:color w:val="auto"/>
              </w:rPr>
            </w:pPr>
            <w:r>
              <w:rPr>
                <w:rFonts w:ascii="Arial" w:cs="Arial" w:eastAsia="Arial" w:hAnsi="Arial"/>
                <w:sz w:val="22"/>
                <w:szCs w:val="22"/>
                <w:color w:val="auto"/>
              </w:rPr>
              <w:t>15,029</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1,211</w:t>
            </w: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3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580" w:type="dxa"/>
            <w:vAlign w:val="bottom"/>
            <w:shd w:val="clear" w:color="auto" w:fill="E5FFFF"/>
          </w:tcPr>
          <w:p>
            <w:pPr>
              <w:spacing w:after="0"/>
              <w:rPr>
                <w:sz w:val="20"/>
                <w:szCs w:val="20"/>
                <w:color w:val="auto"/>
              </w:rPr>
            </w:pPr>
            <w:r>
              <w:rPr>
                <w:rFonts w:ascii="Arial" w:cs="Arial" w:eastAsia="Arial" w:hAnsi="Arial"/>
                <w:sz w:val="22"/>
                <w:szCs w:val="22"/>
                <w:color w:val="auto"/>
              </w:rPr>
              <w:t>Non-Vested at July 31, 2020</w:t>
            </w:r>
          </w:p>
        </w:tc>
        <w:tc>
          <w:tcPr>
            <w:tcW w:w="1880" w:type="dxa"/>
            <w:vAlign w:val="bottom"/>
            <w:gridSpan w:val="3"/>
            <w:shd w:val="clear" w:color="auto" w:fill="E5FFFF"/>
          </w:tcPr>
          <w:p>
            <w:pPr>
              <w:jc w:val="right"/>
              <w:spacing w:after="0"/>
              <w:rPr>
                <w:sz w:val="20"/>
                <w:szCs w:val="20"/>
                <w:color w:val="auto"/>
              </w:rPr>
            </w:pPr>
            <w:r>
              <w:rPr>
                <w:rFonts w:ascii="Arial" w:cs="Arial" w:eastAsia="Arial" w:hAnsi="Arial"/>
                <w:sz w:val="22"/>
                <w:szCs w:val="22"/>
                <w:color w:val="auto"/>
              </w:rPr>
              <w:t>19,705</w:t>
            </w:r>
          </w:p>
        </w:tc>
        <w:tc>
          <w:tcPr>
            <w:tcW w:w="36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1,398</w:t>
            </w:r>
          </w:p>
        </w:tc>
        <w:tc>
          <w:tcPr>
            <w:tcW w:w="36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2</w:t>
            </w:r>
          </w:p>
        </w:tc>
      </w:tr>
      <w:tr>
        <w:trPr>
          <w:trHeight w:val="20"/>
        </w:trPr>
        <w:tc>
          <w:tcPr>
            <w:tcW w:w="3580" w:type="dxa"/>
            <w:vAlign w:val="bottom"/>
            <w:tcBorders>
              <w:top w:val="single" w:sz="8" w:color="E5FFFF"/>
            </w:tcBorders>
          </w:tcPr>
          <w:p>
            <w:pPr>
              <w:spacing w:after="0" w:line="20" w:lineRule="exact"/>
              <w:rPr>
                <w:sz w:val="1"/>
                <w:szCs w:val="1"/>
                <w:color w:val="auto"/>
              </w:rPr>
            </w:pPr>
          </w:p>
        </w:tc>
        <w:tc>
          <w:tcPr>
            <w:tcW w:w="8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8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22"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The above tables include 5,714 and 14,777 non-vested shares at July 31, 2021 and 2020, respectively, which are included in the number of weighted average shares outstanding used to determine basic and diluted earnings per share attributable to REX common shareholders. Such shares are treated, for accounting purposes, as being fully vested at the grant date as they were granted to recipients who were retirement eligible at the time of grant.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w:t>
      </w:r>
      <w:r>
        <w:rPr>
          <w:rFonts w:ascii="Arial" w:cs="Arial" w:eastAsia="Arial" w:hAnsi="Arial"/>
          <w:sz w:val="22"/>
          <w:szCs w:val="22"/>
          <w:b w:val="1"/>
          <w:bCs w:val="1"/>
          <w:i w:val="1"/>
          <w:iCs w:val="1"/>
          <w:color w:val="auto"/>
        </w:rPr>
        <w:t>. Income Taxes</w:t>
      </w:r>
    </w:p>
    <w:p>
      <w:pPr>
        <w:spacing w:after="0" w:line="239" w:lineRule="exact"/>
        <w:rPr>
          <w:sz w:val="20"/>
          <w:szCs w:val="20"/>
          <w:color w:val="auto"/>
        </w:rPr>
      </w:pPr>
    </w:p>
    <w:p>
      <w:pPr>
        <w:ind w:right="300" w:firstLine="648"/>
        <w:spacing w:after="0" w:line="257" w:lineRule="auto"/>
        <w:rPr>
          <w:sz w:val="20"/>
          <w:szCs w:val="20"/>
          <w:color w:val="auto"/>
        </w:rPr>
      </w:pPr>
      <w:r>
        <w:rPr>
          <w:rFonts w:ascii="Arial" w:cs="Arial" w:eastAsia="Arial" w:hAnsi="Arial"/>
          <w:sz w:val="21"/>
          <w:szCs w:val="21"/>
          <w:color w:val="auto"/>
        </w:rPr>
        <w:t>The Company determined that small changes in estimated “ordinary” income would result in significant changes in the estimated annual effective tax rate. Thus, the Company used a discrete effective tax rate method to calculate the provision or benefit for income taxes for the three and six months ended July 31, 2021 and 2020.</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9" w:name="page20"/>
    <w:bookmarkEnd w:id="19"/>
    <w:p>
      <w:pPr>
        <w:ind w:right="20" w:firstLine="648"/>
        <w:spacing w:after="0" w:line="275" w:lineRule="auto"/>
        <w:rPr>
          <w:sz w:val="20"/>
          <w:szCs w:val="20"/>
          <w:color w:val="auto"/>
        </w:rPr>
      </w:pPr>
      <w:r>
        <w:rPr>
          <w:rFonts w:ascii="Arial" w:cs="Arial" w:eastAsia="Arial" w:hAnsi="Arial"/>
          <w:sz w:val="19"/>
          <w:szCs w:val="19"/>
          <w:color w:val="auto"/>
        </w:rPr>
        <w:t>The Company’s income tax benefit was approximately $3.7 million and approximately $4.0 million for the three months ended July 31, 2021 and 2020, respectively. The Company’s income tax benefit was approximately $3.6 million and approximately $9.4 million for the six months ended July 31, 2021 and 2020, respectively. We had a higher benefit in the prior year periods based upon pre-tax losses for those periods versus pre-tax income in the current periods. The benefit is also largely impacted by the level of tax credits generated from the refined coal operation. Through its refined coal operation, the Company earns production tax credits pursuant to IRC Section 45. The credits can be used to reduce future income tax liabilities for up to 20 years. In addition, the Company’s income tax benefit for the first six months of fiscal year 2020 includes approximately $1.8 million related to the lengthening of a net operating loss carryback allowed by the CARES Act.</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The Company assessed all available positive and negative evidence to determine whether it expects sufficient future taxable income will be generated to allow for the realization of existing federal deferred tax assets. For the three year period ended July 31, 2021, the Company has a cumulative pre-tax book loss on a comprehensive basis, including the impact of an operation that has historically produced pre-tax book losses, but after tax net income. The Company expects that this entity will cease operations by November 18, 2021. There is sufficient objectively verifiable income for management to conclude that it is more likely than not that the Company will utilize available federal deferred tax assets prior to their expiration.</w:t>
      </w:r>
    </w:p>
    <w:p>
      <w:pPr>
        <w:spacing w:after="0" w:line="177"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21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20" w:type="dxa"/>
            <w:vAlign w:val="bottom"/>
            <w:gridSpan w:val="7"/>
          </w:tcPr>
          <w:p>
            <w:pPr>
              <w:ind w:left="20"/>
              <w:spacing w:after="0"/>
              <w:rPr>
                <w:sz w:val="20"/>
                <w:szCs w:val="20"/>
                <w:color w:val="auto"/>
              </w:rPr>
            </w:pPr>
            <w:r>
              <w:rPr>
                <w:rFonts w:ascii="Arial" w:cs="Arial" w:eastAsia="Arial" w:hAnsi="Arial"/>
                <w:sz w:val="22"/>
                <w:szCs w:val="22"/>
                <w:b w:val="1"/>
                <w:bCs w:val="1"/>
                <w:color w:val="auto"/>
                <w:w w:val="93"/>
              </w:rPr>
              <w:t>Six Months Ended</w:t>
            </w:r>
          </w:p>
        </w:tc>
      </w:tr>
      <w:tr>
        <w:trPr>
          <w:trHeight w:val="256"/>
        </w:trPr>
        <w:tc>
          <w:tcPr>
            <w:tcW w:w="5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6"/>
          </w:tcPr>
          <w:p>
            <w:pPr>
              <w:ind w:left="380"/>
              <w:spacing w:after="0"/>
              <w:rPr>
                <w:sz w:val="20"/>
                <w:szCs w:val="20"/>
                <w:color w:val="auto"/>
              </w:rPr>
            </w:pPr>
            <w:r>
              <w:rPr>
                <w:rFonts w:ascii="Arial" w:cs="Arial" w:eastAsia="Arial" w:hAnsi="Arial"/>
                <w:sz w:val="22"/>
                <w:szCs w:val="22"/>
                <w:b w:val="1"/>
                <w:bCs w:val="1"/>
                <w:color w:val="auto"/>
              </w:rPr>
              <w:t>July 31,</w:t>
            </w:r>
          </w:p>
        </w:tc>
      </w:tr>
      <w:tr>
        <w:trPr>
          <w:trHeight w:val="270"/>
        </w:trPr>
        <w:tc>
          <w:tcPr>
            <w:tcW w:w="5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w w:val="85"/>
              </w:rPr>
              <w:t>2021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b w:val="1"/>
                <w:bCs w:val="1"/>
                <w:color w:val="auto"/>
                <w:w w:val="85"/>
              </w:rPr>
              <w:t>2020</w:t>
            </w:r>
          </w:p>
        </w:tc>
        <w:tc>
          <w:tcPr>
            <w:tcW w:w="60" w:type="dxa"/>
            <w:vAlign w:val="bottom"/>
          </w:tcPr>
          <w:p>
            <w:pPr>
              <w:spacing w:after="0"/>
              <w:rPr>
                <w:sz w:val="23"/>
                <w:szCs w:val="23"/>
                <w:color w:val="auto"/>
              </w:rPr>
            </w:pPr>
          </w:p>
        </w:tc>
      </w:tr>
      <w:tr>
        <w:trPr>
          <w:trHeight w:val="236"/>
        </w:trPr>
        <w:tc>
          <w:tcPr>
            <w:tcW w:w="5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06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Unrecognized tax benefits, beginning of period</w:t>
            </w:r>
          </w:p>
        </w:tc>
        <w:tc>
          <w:tcPr>
            <w:tcW w:w="1120" w:type="dxa"/>
            <w:vAlign w:val="bottom"/>
            <w:gridSpan w:val="2"/>
            <w:shd w:val="clear" w:color="auto" w:fill="E5FFFF"/>
          </w:tcPr>
          <w:p>
            <w:pPr>
              <w:ind w:left="980"/>
              <w:spacing w:after="0" w:line="243" w:lineRule="exact"/>
              <w:rPr>
                <w:sz w:val="20"/>
                <w:szCs w:val="20"/>
                <w:color w:val="auto"/>
              </w:rPr>
            </w:pPr>
            <w:r>
              <w:rPr>
                <w:rFonts w:ascii="Arial" w:cs="Arial" w:eastAsia="Arial" w:hAnsi="Arial"/>
                <w:sz w:val="22"/>
                <w:szCs w:val="22"/>
                <w:color w:val="auto"/>
                <w:w w:val="97"/>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8,400</w:t>
            </w:r>
          </w:p>
        </w:tc>
        <w:tc>
          <w:tcPr>
            <w:tcW w:w="280" w:type="dxa"/>
            <w:vAlign w:val="bottom"/>
            <w:shd w:val="clear" w:color="auto" w:fill="E5FFFF"/>
          </w:tcPr>
          <w:p>
            <w:pPr>
              <w:spacing w:after="0"/>
              <w:rPr>
                <w:sz w:val="21"/>
                <w:szCs w:val="21"/>
                <w:color w:val="auto"/>
              </w:rPr>
            </w:pPr>
          </w:p>
        </w:tc>
        <w:tc>
          <w:tcPr>
            <w:tcW w:w="1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6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7,370</w:t>
            </w:r>
          </w:p>
        </w:tc>
        <w:tc>
          <w:tcPr>
            <w:tcW w:w="60" w:type="dxa"/>
            <w:vAlign w:val="bottom"/>
            <w:shd w:val="clear" w:color="auto" w:fill="E5FFFF"/>
          </w:tcPr>
          <w:p>
            <w:pPr>
              <w:spacing w:after="0"/>
              <w:rPr>
                <w:sz w:val="21"/>
                <w:szCs w:val="21"/>
                <w:color w:val="auto"/>
              </w:rPr>
            </w:pPr>
          </w:p>
        </w:tc>
      </w:tr>
      <w:tr>
        <w:trPr>
          <w:trHeight w:val="243"/>
        </w:trPr>
        <w:tc>
          <w:tcPr>
            <w:tcW w:w="5060" w:type="dxa"/>
            <w:vAlign w:val="bottom"/>
          </w:tcPr>
          <w:p>
            <w:pPr>
              <w:spacing w:after="0" w:line="243" w:lineRule="exact"/>
              <w:rPr>
                <w:sz w:val="20"/>
                <w:szCs w:val="20"/>
                <w:color w:val="auto"/>
              </w:rPr>
            </w:pPr>
            <w:r>
              <w:rPr>
                <w:rFonts w:ascii="Arial" w:cs="Arial" w:eastAsia="Arial" w:hAnsi="Arial"/>
                <w:sz w:val="22"/>
                <w:szCs w:val="22"/>
                <w:color w:val="auto"/>
              </w:rPr>
              <w:t>Changes for prior years’ tax positions</w:t>
            </w: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c>
          <w:tcPr>
            <w:tcW w:w="60" w:type="dxa"/>
            <w:vAlign w:val="bottom"/>
          </w:tcPr>
          <w:p>
            <w:pPr>
              <w:spacing w:after="0"/>
              <w:rPr>
                <w:sz w:val="21"/>
                <w:szCs w:val="21"/>
                <w:color w:val="auto"/>
              </w:rPr>
            </w:pPr>
          </w:p>
        </w:tc>
      </w:tr>
      <w:tr>
        <w:trPr>
          <w:trHeight w:val="256"/>
        </w:trPr>
        <w:tc>
          <w:tcPr>
            <w:tcW w:w="5060" w:type="dxa"/>
            <w:vAlign w:val="bottom"/>
            <w:shd w:val="clear" w:color="auto" w:fill="E5FFFF"/>
          </w:tcPr>
          <w:p>
            <w:pPr>
              <w:spacing w:after="0"/>
              <w:rPr>
                <w:sz w:val="20"/>
                <w:szCs w:val="20"/>
                <w:color w:val="auto"/>
              </w:rPr>
            </w:pPr>
            <w:r>
              <w:rPr>
                <w:rFonts w:ascii="Arial" w:cs="Arial" w:eastAsia="Arial" w:hAnsi="Arial"/>
                <w:sz w:val="22"/>
                <w:szCs w:val="22"/>
                <w:color w:val="auto"/>
              </w:rPr>
              <w:t>Changes for current year tax positions</w:t>
            </w:r>
          </w:p>
        </w:tc>
        <w:tc>
          <w:tcPr>
            <w:tcW w:w="98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275</w:t>
            </w: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20" w:type="dxa"/>
            <w:vAlign w:val="bottom"/>
            <w:tcBorders>
              <w:bottom w:val="single" w:sz="8" w:color="auto"/>
            </w:tcBorders>
            <w:shd w:val="clear" w:color="auto" w:fill="E5FFFF"/>
          </w:tcPr>
          <w:p>
            <w:pPr>
              <w:spacing w:after="0"/>
              <w:rPr>
                <w:sz w:val="22"/>
                <w:szCs w:val="22"/>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60" w:type="dxa"/>
            <w:vAlign w:val="bottom"/>
            <w:shd w:val="clear" w:color="auto" w:fill="E5FFFF"/>
          </w:tcPr>
          <w:p>
            <w:pPr>
              <w:spacing w:after="0"/>
              <w:rPr>
                <w:sz w:val="22"/>
                <w:szCs w:val="22"/>
                <w:color w:val="auto"/>
              </w:rPr>
            </w:pPr>
          </w:p>
        </w:tc>
      </w:tr>
      <w:tr>
        <w:trPr>
          <w:trHeight w:val="250"/>
        </w:trPr>
        <w:tc>
          <w:tcPr>
            <w:tcW w:w="5060" w:type="dxa"/>
            <w:vAlign w:val="bottom"/>
          </w:tcPr>
          <w:p>
            <w:pPr>
              <w:spacing w:after="0" w:line="250" w:lineRule="exact"/>
              <w:rPr>
                <w:sz w:val="20"/>
                <w:szCs w:val="20"/>
                <w:color w:val="auto"/>
              </w:rPr>
            </w:pPr>
            <w:r>
              <w:rPr>
                <w:rFonts w:ascii="Arial" w:cs="Arial" w:eastAsia="Arial" w:hAnsi="Arial"/>
                <w:sz w:val="22"/>
                <w:szCs w:val="22"/>
                <w:color w:val="auto"/>
              </w:rPr>
              <w:t>Unrecognized tax benefits, end of period</w:t>
            </w:r>
          </w:p>
        </w:tc>
        <w:tc>
          <w:tcPr>
            <w:tcW w:w="980" w:type="dxa"/>
            <w:vAlign w:val="bottom"/>
          </w:tcPr>
          <w:p>
            <w:pPr>
              <w:spacing w:after="0"/>
              <w:rPr>
                <w:sz w:val="21"/>
                <w:szCs w:val="21"/>
                <w:color w:val="auto"/>
              </w:rPr>
            </w:pPr>
          </w:p>
        </w:tc>
        <w:tc>
          <w:tcPr>
            <w:tcW w:w="14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color w:val="auto"/>
                <w:w w:val="97"/>
              </w:rPr>
              <w:t>$</w:t>
            </w:r>
          </w:p>
        </w:tc>
        <w:tc>
          <w:tcPr>
            <w:tcW w:w="6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8,685</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7,317</w:t>
            </w:r>
          </w:p>
        </w:tc>
        <w:tc>
          <w:tcPr>
            <w:tcW w:w="60" w:type="dxa"/>
            <w:vAlign w:val="bottom"/>
          </w:tcPr>
          <w:p>
            <w:pPr>
              <w:spacing w:after="0"/>
              <w:rPr>
                <w:sz w:val="21"/>
                <w:szCs w:val="2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i w:val="1"/>
          <w:iCs w:val="1"/>
          <w:color w:val="auto"/>
        </w:rPr>
        <w:t>Commitments and Contingencies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Company may be involved in various legal actions arising in the normal course of business, from time to time. After taking into consideration legal counsels’ evaluations of any such action(s),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402" w:right="479" w:bottom="1440" w:gutter="0" w:footer="0" w:header="0"/>
        </w:sectPr>
      </w:pPr>
    </w:p>
    <w:bookmarkStart w:id="20" w:name="page21"/>
    <w:bookmarkEnd w:id="20"/>
    <w:p>
      <w:pPr>
        <w:ind w:right="860"/>
        <w:spacing w:after="0" w:line="250" w:lineRule="auto"/>
        <w:rPr>
          <w:sz w:val="20"/>
          <w:szCs w:val="20"/>
          <w:color w:val="auto"/>
        </w:rPr>
      </w:pPr>
      <w:r>
        <w:rPr>
          <w:rFonts w:ascii="Arial" w:cs="Arial" w:eastAsia="Arial" w:hAnsi="Arial"/>
          <w:sz w:val="22"/>
          <w:szCs w:val="22"/>
          <w:color w:val="auto"/>
        </w:rPr>
        <w:t>management is of the opinion that their outcome will not have a material adverse effect on the Company’s Consolidated Condensed Financial Statements.</w:t>
      </w:r>
    </w:p>
    <w:p>
      <w:pPr>
        <w:spacing w:after="0" w:line="202" w:lineRule="exact"/>
        <w:rPr>
          <w:sz w:val="20"/>
          <w:szCs w:val="20"/>
          <w:color w:val="auto"/>
        </w:rPr>
      </w:pPr>
    </w:p>
    <w:p>
      <w:pPr>
        <w:jc w:val="both"/>
        <w:ind w:right="320" w:firstLine="648"/>
        <w:spacing w:after="0"/>
        <w:rPr>
          <w:sz w:val="20"/>
          <w:szCs w:val="20"/>
          <w:color w:val="auto"/>
        </w:rPr>
      </w:pPr>
      <w:r>
        <w:rPr>
          <w:rFonts w:ascii="Arial" w:cs="Arial" w:eastAsia="Arial" w:hAnsi="Arial"/>
          <w:sz w:val="22"/>
          <w:szCs w:val="22"/>
          <w:color w:val="auto"/>
        </w:rPr>
        <w:t>One Earth and NuGen have combined forward purchase contracts for approximately 10.6 million bushels of corn, the principal raw material for their ethanol plants, and they have combined forward purchase contracts for approximately 639,000 MmBtu (million british thermal units) of natural gas.</w:t>
      </w:r>
    </w:p>
    <w:p>
      <w:pPr>
        <w:spacing w:after="0" w:line="213" w:lineRule="exact"/>
        <w:rPr>
          <w:sz w:val="20"/>
          <w:szCs w:val="20"/>
          <w:color w:val="auto"/>
        </w:rPr>
      </w:pPr>
    </w:p>
    <w:p>
      <w:pPr>
        <w:ind w:right="1200" w:firstLine="648"/>
        <w:spacing w:after="0" w:line="328" w:lineRule="auto"/>
        <w:rPr>
          <w:sz w:val="20"/>
          <w:szCs w:val="20"/>
          <w:color w:val="auto"/>
        </w:rPr>
      </w:pPr>
      <w:r>
        <w:rPr>
          <w:rFonts w:ascii="Arial" w:cs="Arial" w:eastAsia="Arial" w:hAnsi="Arial"/>
          <w:sz w:val="19"/>
          <w:szCs w:val="19"/>
          <w:color w:val="auto"/>
        </w:rPr>
        <w:t>One Earth and NuGen have combined sales commitments for approximately 31.7 million gallons of ethanol, approximately 46,000 tons of distillers grains and approximately 9.6 million pounds of non-food grade corn oil.</w:t>
      </w:r>
    </w:p>
    <w:p>
      <w:pPr>
        <w:spacing w:after="0" w:line="132"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The refined coal entity has various agreements (site license, operating agreements, etc.) containing payment terms based upon production of refined coal under which the Company is required to pay various fees. These fees totaled approximately $2.2 million and approximately $1.1 million in the second quarter of fiscal years 2021 and 2020, respectively. Such fees totaled approximately $3.1 million and approximately $1.4 million for the six months ended July 31,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i w:val="1"/>
          <w:iCs w:val="1"/>
          <w:color w:val="auto"/>
        </w:rPr>
        <w:t>Related-Party Transactions</w:t>
      </w:r>
    </w:p>
    <w:p>
      <w:pPr>
        <w:spacing w:after="0" w:line="239"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During the second quarters of fiscal years 2021 and 2020, One Earth and NuGen purchased approximately $20.7 million and approximately $4.9 million, respectively, of corn (and other supplies) from minority equity investors and board members of those subsidiaries. Such purchases totaled approximately $37.4 million and approximately $17.2 million for the six months ended July 31, 2021 and 2020, respectively. The Company had amounts payable to related parties of approximately $2.5 million and approximately $0.7 million at July 31, 2021 and January 31, 2021, respectively.</w:t>
      </w:r>
    </w:p>
    <w:p>
      <w:pPr>
        <w:spacing w:after="0" w:line="20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9"/>
          <w:szCs w:val="19"/>
          <w:color w:val="auto"/>
        </w:rPr>
        <w:t>During each of the second quarters of fiscal years 2021 and 2020, the Company recognized commission expense of approximately $0.2 million, payable to the minority investor in the refined coal entity. During the first six months of fiscal years 2021 and 2020, the company recognized commission expense of approximately $0.2 million and income of approximately $0.1 million, respectively. The commission expense is associated with the refined coal segment. The Company had accrued liabilities and accounts payable related to the commission expense of approximately $0.1 million at July 31, 2021 and January 31, 2021.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Note 14. Segment Reporting</w:t>
      </w:r>
    </w:p>
    <w:p>
      <w:pPr>
        <w:spacing w:after="0" w:line="239"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color w:val="auto"/>
        </w:rPr>
        <w:t>The Company has two reportable segments: i) ethanol and by-products; and ii) refined coal. The Company evaluates the performance of each reportable segment based on net income attributable to REX common shareholders. Segment profitability measures are determined using the same accounting policies used in the preparations of the consolidated condensed financial statements. The following tables summarize segment and other results and assets (amounts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6"/>
          </w:tcPr>
          <w:p>
            <w:pPr>
              <w:ind w:left="160"/>
              <w:spacing w:after="0"/>
              <w:rPr>
                <w:sz w:val="20"/>
                <w:szCs w:val="20"/>
                <w:color w:val="auto"/>
              </w:rPr>
            </w:pPr>
            <w:r>
              <w:rPr>
                <w:rFonts w:ascii="Arial" w:cs="Arial" w:eastAsia="Arial" w:hAnsi="Arial"/>
                <w:sz w:val="22"/>
                <w:szCs w:val="22"/>
                <w:b w:val="1"/>
                <w:bCs w:val="1"/>
                <w:color w:val="auto"/>
              </w:rPr>
              <w:t>Six Months Ended</w:t>
            </w:r>
          </w:p>
        </w:tc>
      </w:tr>
      <w:tr>
        <w:trPr>
          <w:trHeight w:val="257"/>
        </w:trPr>
        <w:tc>
          <w:tcPr>
            <w:tcW w:w="40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040" w:type="dxa"/>
            <w:vAlign w:val="bottom"/>
            <w:tcBorders>
              <w:bottom w:val="single" w:sz="8" w:color="E5FFFF"/>
            </w:tcBorders>
          </w:tcPr>
          <w:p>
            <w:pPr>
              <w:spacing w:after="0"/>
              <w:rPr>
                <w:sz w:val="23"/>
                <w:szCs w:val="23"/>
                <w:color w:val="auto"/>
              </w:rPr>
            </w:pPr>
          </w:p>
        </w:tc>
        <w:tc>
          <w:tcPr>
            <w:tcW w:w="170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20" w:type="dxa"/>
            <w:vAlign w:val="bottom"/>
            <w:tcBorders>
              <w:bottom w:val="single" w:sz="8" w:color="E5FFFF"/>
            </w:tcBorders>
          </w:tcPr>
          <w:p>
            <w:pPr>
              <w:spacing w:after="0"/>
              <w:rPr>
                <w:sz w:val="23"/>
                <w:szCs w:val="23"/>
                <w:color w:val="auto"/>
              </w:rPr>
            </w:pPr>
          </w:p>
        </w:tc>
        <w:tc>
          <w:tcPr>
            <w:tcW w:w="80" w:type="dxa"/>
            <w:vAlign w:val="bottom"/>
            <w:tcBorders>
              <w:bottom w:val="single" w:sz="8" w:color="E5FFFF"/>
            </w:tcBorders>
          </w:tcPr>
          <w:p>
            <w:pPr>
              <w:spacing w:after="0"/>
              <w:rPr>
                <w:sz w:val="23"/>
                <w:szCs w:val="23"/>
                <w:color w:val="auto"/>
              </w:rPr>
            </w:pPr>
          </w:p>
        </w:tc>
      </w:tr>
      <w:tr>
        <w:trPr>
          <w:trHeight w:val="237"/>
        </w:trPr>
        <w:tc>
          <w:tcPr>
            <w:tcW w:w="40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7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195,678</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39,242</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w w:val="98"/>
              </w:rPr>
              <w:t>359,720</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98"/>
              </w:rPr>
              <w:t>122,477</w:t>
            </w:r>
          </w:p>
        </w:tc>
        <w:tc>
          <w:tcPr>
            <w:tcW w:w="80" w:type="dxa"/>
            <w:vAlign w:val="bottom"/>
          </w:tcPr>
          <w:p>
            <w:pPr>
              <w:spacing w:after="0"/>
              <w:rPr>
                <w:sz w:val="21"/>
                <w:szCs w:val="21"/>
                <w:color w:val="auto"/>
              </w:rPr>
            </w:pPr>
          </w:p>
        </w:tc>
      </w:tr>
      <w:tr>
        <w:trPr>
          <w:trHeight w:val="311"/>
        </w:trPr>
        <w:tc>
          <w:tcPr>
            <w:tcW w:w="404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7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165</w:t>
            </w:r>
          </w:p>
        </w:tc>
        <w:tc>
          <w:tcPr>
            <w:tcW w:w="4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85</w:t>
            </w:r>
          </w:p>
        </w:tc>
        <w:tc>
          <w:tcPr>
            <w:tcW w:w="4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227</w:t>
            </w:r>
          </w:p>
        </w:tc>
        <w:tc>
          <w:tcPr>
            <w:tcW w:w="200" w:type="dxa"/>
            <w:vAlign w:val="bottom"/>
            <w:shd w:val="clear" w:color="auto" w:fill="E5FFFF"/>
          </w:tcPr>
          <w:p>
            <w:pPr>
              <w:spacing w:after="0"/>
              <w:rPr>
                <w:sz w:val="24"/>
                <w:szCs w:val="24"/>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100</w:t>
            </w:r>
          </w:p>
        </w:tc>
        <w:tc>
          <w:tcPr>
            <w:tcW w:w="80" w:type="dxa"/>
            <w:vAlign w:val="bottom"/>
            <w:shd w:val="clear" w:color="auto" w:fill="E5FFFF"/>
          </w:tcPr>
          <w:p>
            <w:pPr>
              <w:spacing w:after="0"/>
              <w:rPr>
                <w:sz w:val="24"/>
                <w:szCs w:val="24"/>
                <w:color w:val="auto"/>
              </w:rPr>
            </w:pPr>
          </w:p>
        </w:tc>
      </w:tr>
      <w:tr>
        <w:trPr>
          <w:trHeight w:val="250"/>
        </w:trPr>
        <w:tc>
          <w:tcPr>
            <w:tcW w:w="404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7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195,843</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39,327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359,947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122,577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6" w:lineRule="exact"/>
        <w:rPr>
          <w:sz w:val="20"/>
          <w:szCs w:val="20"/>
          <w:color w:val="auto"/>
        </w:rPr>
      </w:pPr>
    </w:p>
    <w:p>
      <w:pPr>
        <w:ind w:right="660" w:firstLine="656"/>
        <w:spacing w:after="0" w:line="196" w:lineRule="auto"/>
        <w:tabs>
          <w:tab w:leader="none" w:pos="783" w:val="left"/>
        </w:tabs>
        <w:numPr>
          <w:ilvl w:val="0"/>
          <w:numId w:val="7"/>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E5FFFF"/>
            </w:tcBorders>
          </w:tcPr>
          <w:p>
            <w:pPr>
              <w:spacing w:after="0"/>
              <w:rPr>
                <w:sz w:val="23"/>
                <w:szCs w:val="23"/>
                <w:color w:val="auto"/>
              </w:rPr>
            </w:pPr>
          </w:p>
        </w:tc>
        <w:tc>
          <w:tcPr>
            <w:tcW w:w="12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Segment gross profit (loss):</w:t>
            </w:r>
          </w:p>
        </w:tc>
        <w:tc>
          <w:tcPr>
            <w:tcW w:w="1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14,155</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553</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33,631</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(7,670)</w:t>
            </w:r>
          </w:p>
        </w:tc>
        <w:tc>
          <w:tcPr>
            <w:tcW w:w="0" w:type="dxa"/>
            <w:vAlign w:val="bottom"/>
          </w:tcPr>
          <w:p>
            <w:pPr>
              <w:spacing w:after="0"/>
              <w:rPr>
                <w:sz w:val="1"/>
                <w:szCs w:val="1"/>
                <w:color w:val="auto"/>
              </w:rPr>
            </w:pPr>
          </w:p>
        </w:tc>
      </w:tr>
      <w:tr>
        <w:trPr>
          <w:trHeight w:val="257"/>
        </w:trPr>
        <w:tc>
          <w:tcPr>
            <w:tcW w:w="450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(3,081)</w:t>
            </w:r>
          </w:p>
        </w:tc>
        <w:tc>
          <w:tcPr>
            <w:tcW w:w="4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(1,884)</w:t>
            </w:r>
          </w:p>
        </w:tc>
        <w:tc>
          <w:tcPr>
            <w:tcW w:w="4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(4,755)</w:t>
            </w:r>
          </w:p>
        </w:tc>
        <w:tc>
          <w:tcPr>
            <w:tcW w:w="20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(2,991)</w:t>
            </w:r>
          </w:p>
        </w:tc>
        <w:tc>
          <w:tcPr>
            <w:tcW w:w="0" w:type="dxa"/>
            <w:vAlign w:val="bottom"/>
          </w:tcPr>
          <w:p>
            <w:pPr>
              <w:spacing w:after="0"/>
              <w:rPr>
                <w:sz w:val="1"/>
                <w:szCs w:val="1"/>
                <w:color w:val="auto"/>
              </w:rPr>
            </w:pPr>
          </w:p>
        </w:tc>
      </w:tr>
      <w:tr>
        <w:trPr>
          <w:trHeight w:val="250"/>
        </w:trPr>
        <w:tc>
          <w:tcPr>
            <w:tcW w:w="4500" w:type="dxa"/>
            <w:vAlign w:val="bottom"/>
          </w:tcPr>
          <w:p>
            <w:pPr>
              <w:spacing w:after="0" w:line="250" w:lineRule="exact"/>
              <w:rPr>
                <w:sz w:val="20"/>
                <w:szCs w:val="20"/>
                <w:color w:val="auto"/>
              </w:rPr>
            </w:pPr>
            <w:r>
              <w:rPr>
                <w:rFonts w:ascii="Arial" w:cs="Arial" w:eastAsia="Arial" w:hAnsi="Arial"/>
                <w:sz w:val="22"/>
                <w:szCs w:val="22"/>
                <w:color w:val="auto"/>
              </w:rPr>
              <w:t>Total gross profit (loss)</w:t>
            </w:r>
          </w:p>
        </w:tc>
        <w:tc>
          <w:tcPr>
            <w:tcW w:w="12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11,074</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(1,331)</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28,876</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(10,661)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1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10,732</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(3,259)</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21,820</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w w:val="95"/>
              </w:rPr>
              <w:t>(15,610)</w:t>
            </w:r>
          </w:p>
        </w:tc>
        <w:tc>
          <w:tcPr>
            <w:tcW w:w="0" w:type="dxa"/>
            <w:vAlign w:val="bottom"/>
          </w:tcPr>
          <w:p>
            <w:pPr>
              <w:spacing w:after="0"/>
              <w:rPr>
                <w:sz w:val="1"/>
                <w:szCs w:val="1"/>
                <w:color w:val="auto"/>
              </w:rPr>
            </w:pPr>
          </w:p>
        </w:tc>
      </w:tr>
      <w:tr>
        <w:trPr>
          <w:trHeight w:val="243"/>
        </w:trPr>
        <w:tc>
          <w:tcPr>
            <w:tcW w:w="4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(3,455)</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(2,118)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(5,260)</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(2,965)</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0"/>
                <w:szCs w:val="20"/>
                <w:color w:val="auto"/>
              </w:rPr>
            </w:pPr>
            <w:r>
              <w:rPr>
                <w:rFonts w:ascii="Arial" w:cs="Arial" w:eastAsia="Arial" w:hAnsi="Arial"/>
                <w:sz w:val="22"/>
                <w:szCs w:val="22"/>
                <w:color w:val="auto"/>
              </w:rPr>
              <w:t>Corporate and other</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(902)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(702)</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(1,758)</w:t>
            </w: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(1,247)</w:t>
            </w:r>
          </w:p>
        </w:tc>
        <w:tc>
          <w:tcPr>
            <w:tcW w:w="0" w:type="dxa"/>
            <w:vAlign w:val="bottom"/>
          </w:tcPr>
          <w:p>
            <w:pPr>
              <w:spacing w:after="0"/>
              <w:rPr>
                <w:sz w:val="1"/>
                <w:szCs w:val="1"/>
                <w:color w:val="auto"/>
              </w:rPr>
            </w:pPr>
          </w:p>
        </w:tc>
      </w:tr>
      <w:tr>
        <w:trPr>
          <w:trHeight w:val="250"/>
        </w:trPr>
        <w:tc>
          <w:tcPr>
            <w:tcW w:w="45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(loss) before income taxes</w:t>
            </w:r>
          </w:p>
        </w:tc>
        <w:tc>
          <w:tcPr>
            <w:tcW w:w="12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6,375</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(6,079)</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14,802</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5"/>
              </w:rPr>
              <w:t>(19,822)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22"/>
                <w:szCs w:val="22"/>
                <w:color w:val="auto"/>
              </w:rPr>
              <w:t>(Provision) benefit for income taxes: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5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(1,985)</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893</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(4,423)</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5,054</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5,441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2,919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7,639</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3,878</w:t>
            </w:r>
          </w:p>
        </w:tc>
        <w:tc>
          <w:tcPr>
            <w:tcW w:w="0" w:type="dxa"/>
            <w:vAlign w:val="bottom"/>
          </w:tcPr>
          <w:p>
            <w:pPr>
              <w:spacing w:after="0"/>
              <w:rPr>
                <w:sz w:val="1"/>
                <w:szCs w:val="1"/>
                <w:color w:val="auto"/>
              </w:rPr>
            </w:pPr>
          </w:p>
        </w:tc>
      </w:tr>
      <w:tr>
        <w:trPr>
          <w:trHeight w:val="257"/>
        </w:trPr>
        <w:tc>
          <w:tcPr>
            <w:tcW w:w="450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221</w:t>
            </w:r>
          </w:p>
        </w:tc>
        <w:tc>
          <w:tcPr>
            <w:tcW w:w="4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234</w:t>
            </w:r>
          </w:p>
        </w:tc>
        <w:tc>
          <w:tcPr>
            <w:tcW w:w="4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432</w:t>
            </w:r>
          </w:p>
        </w:tc>
        <w:tc>
          <w:tcPr>
            <w:tcW w:w="20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427</w:t>
            </w:r>
          </w:p>
        </w:tc>
        <w:tc>
          <w:tcPr>
            <w:tcW w:w="0" w:type="dxa"/>
            <w:vAlign w:val="bottom"/>
          </w:tcPr>
          <w:p>
            <w:pPr>
              <w:spacing w:after="0"/>
              <w:rPr>
                <w:sz w:val="1"/>
                <w:szCs w:val="1"/>
                <w:color w:val="auto"/>
              </w:rPr>
            </w:pPr>
          </w:p>
        </w:tc>
      </w:tr>
      <w:tr>
        <w:trPr>
          <w:trHeight w:val="250"/>
        </w:trPr>
        <w:tc>
          <w:tcPr>
            <w:tcW w:w="4500" w:type="dxa"/>
            <w:vAlign w:val="bottom"/>
          </w:tcPr>
          <w:p>
            <w:pPr>
              <w:spacing w:after="0" w:line="250" w:lineRule="exact"/>
              <w:rPr>
                <w:sz w:val="20"/>
                <w:szCs w:val="20"/>
                <w:color w:val="auto"/>
              </w:rPr>
            </w:pPr>
            <w:r>
              <w:rPr>
                <w:rFonts w:ascii="Arial" w:cs="Arial" w:eastAsia="Arial" w:hAnsi="Arial"/>
                <w:sz w:val="22"/>
                <w:szCs w:val="22"/>
                <w:color w:val="auto"/>
              </w:rPr>
              <w:t>Total benefit for income taxes</w:t>
            </w:r>
          </w:p>
        </w:tc>
        <w:tc>
          <w:tcPr>
            <w:tcW w:w="12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3,677</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4,046</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3,648</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22</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00" w:type="dxa"/>
            <w:vAlign w:val="bottom"/>
            <w:tcBorders>
              <w:bottom w:val="single" w:sz="8" w:color="C0C0C0"/>
            </w:tcBorders>
          </w:tcPr>
          <w:p>
            <w:pPr>
              <w:spacing w:after="0"/>
              <w:rPr>
                <w:sz w:val="20"/>
                <w:szCs w:val="20"/>
                <w:color w:val="auto"/>
              </w:rPr>
            </w:pPr>
          </w:p>
        </w:tc>
        <w:tc>
          <w:tcPr>
            <w:tcW w:w="1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Arial" w:cs="Arial" w:eastAsia="Arial" w:hAnsi="Arial"/>
                <w:sz w:val="22"/>
                <w:szCs w:val="22"/>
                <w:b w:val="1"/>
                <w:bCs w:val="1"/>
                <w:color w:val="auto"/>
              </w:rPr>
              <w:t>Six Months Ended</w:t>
            </w:r>
          </w:p>
        </w:tc>
      </w:tr>
      <w:tr>
        <w:trPr>
          <w:trHeight w:val="257"/>
        </w:trPr>
        <w:tc>
          <w:tcPr>
            <w:tcW w:w="5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500" w:type="dxa"/>
            <w:vAlign w:val="bottom"/>
            <w:tcBorders>
              <w:bottom w:val="single" w:sz="8" w:color="E5FFFF"/>
            </w:tcBorders>
          </w:tcPr>
          <w:p>
            <w:pPr>
              <w:spacing w:after="0"/>
              <w:rPr>
                <w:sz w:val="23"/>
                <w:szCs w:val="23"/>
                <w:color w:val="auto"/>
              </w:rPr>
            </w:pPr>
          </w:p>
        </w:tc>
        <w:tc>
          <w:tcPr>
            <w:tcW w:w="2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E5FFFF"/>
            </w:tcBorders>
          </w:tcPr>
          <w:p>
            <w:pPr>
              <w:spacing w:after="0"/>
              <w:rPr>
                <w:sz w:val="23"/>
                <w:szCs w:val="23"/>
                <w:color w:val="auto"/>
              </w:rPr>
            </w:pPr>
          </w:p>
        </w:tc>
      </w:tr>
      <w:tr>
        <w:trPr>
          <w:trHeight w:val="237"/>
        </w:trPr>
        <w:tc>
          <w:tcPr>
            <w:tcW w:w="55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Net income (loss) (net of noncontrolling interests):</w:t>
            </w:r>
          </w:p>
        </w:tc>
        <w:tc>
          <w:tcPr>
            <w:tcW w:w="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r>
      <w:tr>
        <w:trPr>
          <w:trHeight w:val="243"/>
        </w:trPr>
        <w:tc>
          <w:tcPr>
            <w:tcW w:w="55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6,418</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(2,178)</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14,374</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(9,611)</w:t>
            </w:r>
          </w:p>
        </w:tc>
      </w:tr>
      <w:tr>
        <w:trPr>
          <w:trHeight w:val="243"/>
        </w:trPr>
        <w:tc>
          <w:tcPr>
            <w:tcW w:w="5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2,139</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898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2,612</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1,048</w:t>
            </w:r>
          </w:p>
        </w:tc>
      </w:tr>
      <w:tr>
        <w:trPr>
          <w:trHeight w:val="257"/>
        </w:trPr>
        <w:tc>
          <w:tcPr>
            <w:tcW w:w="5500" w:type="dxa"/>
            <w:vAlign w:val="bottom"/>
          </w:tcPr>
          <w:p>
            <w:pPr>
              <w:spacing w:after="0"/>
              <w:rPr>
                <w:sz w:val="20"/>
                <w:szCs w:val="20"/>
                <w:color w:val="auto"/>
              </w:rPr>
            </w:pPr>
            <w:r>
              <w:rPr>
                <w:rFonts w:ascii="Arial" w:cs="Arial" w:eastAsia="Arial" w:hAnsi="Arial"/>
                <w:sz w:val="22"/>
                <w:szCs w:val="22"/>
                <w:color w:val="auto"/>
              </w:rPr>
              <w:t>Corporate and other</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(681)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(468)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(1,326)</w:t>
            </w: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(820)</w:t>
            </w:r>
          </w:p>
        </w:tc>
      </w:tr>
      <w:tr>
        <w:trPr>
          <w:trHeight w:val="250"/>
        </w:trPr>
        <w:tc>
          <w:tcPr>
            <w:tcW w:w="55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w w:val="93"/>
              </w:rPr>
              <w:t>Net income (loss) attributable to REX common shareholders</w:t>
            </w: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7,876</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(1,748)</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15,660</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(9,383)</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vMerge w:val="restart"/>
          </w:tcPr>
          <w:p>
            <w:pPr>
              <w:spacing w:after="0"/>
              <w:rPr>
                <w:sz w:val="20"/>
                <w:szCs w:val="20"/>
                <w:color w:val="auto"/>
              </w:rPr>
            </w:pPr>
            <w:r>
              <w:rPr>
                <w:rFonts w:ascii="Arial" w:cs="Arial" w:eastAsia="Arial" w:hAnsi="Arial"/>
                <w:sz w:val="22"/>
                <w:szCs w:val="22"/>
                <w:color w:val="auto"/>
              </w:rPr>
              <w:t>Assets:</w:t>
            </w:r>
          </w:p>
        </w:tc>
        <w:tc>
          <w:tcPr>
            <w:tcW w:w="164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22"/>
                <w:szCs w:val="22"/>
                <w:b w:val="1"/>
                <w:bCs w:val="1"/>
                <w:color w:val="auto"/>
              </w:rPr>
              <w:t>July 31,</w:t>
            </w:r>
          </w:p>
        </w:tc>
        <w:tc>
          <w:tcPr>
            <w:tcW w:w="1160" w:type="dxa"/>
            <w:vAlign w:val="bottom"/>
            <w:gridSpan w:val="3"/>
          </w:tcPr>
          <w:p>
            <w:pPr>
              <w:spacing w:after="0"/>
              <w:rPr>
                <w:sz w:val="20"/>
                <w:szCs w:val="20"/>
                <w:color w:val="auto"/>
              </w:rPr>
            </w:pPr>
            <w:r>
              <w:rPr>
                <w:rFonts w:ascii="Arial" w:cs="Arial" w:eastAsia="Arial" w:hAnsi="Arial"/>
                <w:sz w:val="22"/>
                <w:szCs w:val="22"/>
                <w:b w:val="1"/>
                <w:bCs w:val="1"/>
                <w:color w:val="auto"/>
                <w:w w:val="94"/>
              </w:rPr>
              <w:t>January 31,</w:t>
            </w:r>
          </w:p>
        </w:tc>
        <w:tc>
          <w:tcPr>
            <w:tcW w:w="0" w:type="dxa"/>
            <w:vAlign w:val="bottom"/>
          </w:tcPr>
          <w:p>
            <w:pPr>
              <w:spacing w:after="0"/>
              <w:rPr>
                <w:sz w:val="1"/>
                <w:szCs w:val="1"/>
                <w:color w:val="auto"/>
              </w:rPr>
            </w:pPr>
          </w:p>
        </w:tc>
      </w:tr>
      <w:tr>
        <w:trPr>
          <w:trHeight w:val="270"/>
        </w:trPr>
        <w:tc>
          <w:tcPr>
            <w:tcW w:w="3760" w:type="dxa"/>
            <w:vAlign w:val="bottom"/>
            <w:vMerge w:val="continue"/>
          </w:tcPr>
          <w:p>
            <w:pPr>
              <w:spacing w:after="0"/>
              <w:rPr>
                <w:sz w:val="23"/>
                <w:szCs w:val="23"/>
                <w:color w:val="auto"/>
              </w:rPr>
            </w:pPr>
          </w:p>
        </w:tc>
        <w:tc>
          <w:tcPr>
            <w:tcW w:w="2440" w:type="dxa"/>
            <w:vAlign w:val="bottom"/>
            <w:gridSpan w:val="2"/>
          </w:tcPr>
          <w:p>
            <w:pPr>
              <w:jc w:val="right"/>
              <w:ind w:right="72"/>
              <w:spacing w:after="0"/>
              <w:rPr>
                <w:sz w:val="20"/>
                <w:szCs w:val="20"/>
                <w:color w:val="auto"/>
              </w:rPr>
            </w:pPr>
            <w:r>
              <w:rPr>
                <w:rFonts w:ascii="Arial" w:cs="Arial" w:eastAsia="Arial" w:hAnsi="Arial"/>
                <w:sz w:val="22"/>
                <w:szCs w:val="22"/>
                <w:b w:val="1"/>
                <w:bCs w:val="1"/>
                <w:color w:val="auto"/>
              </w:rPr>
              <w:t>2021</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232"/>
              <w:spacing w:after="0"/>
              <w:rPr>
                <w:sz w:val="20"/>
                <w:szCs w:val="20"/>
                <w:color w:val="auto"/>
              </w:rPr>
            </w:pPr>
            <w:r>
              <w:rPr>
                <w:rFonts w:ascii="Arial" w:cs="Arial" w:eastAsia="Arial" w:hAnsi="Arial"/>
                <w:sz w:val="22"/>
                <w:szCs w:val="22"/>
                <w:b w:val="1"/>
                <w:bCs w:val="1"/>
                <w:color w:val="auto"/>
              </w:rPr>
              <w:t>2021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760" w:type="dxa"/>
            <w:vAlign w:val="bottom"/>
            <w:tcBorders>
              <w:top w:val="single" w:sz="8" w:color="E5FFFF"/>
            </w:tcBorders>
            <w:shd w:val="clear" w:color="auto" w:fill="E5FFFF"/>
          </w:tcPr>
          <w:p>
            <w:pPr>
              <w:spacing w:after="0" w:line="237" w:lineRule="exact"/>
              <w:rPr>
                <w:sz w:val="20"/>
                <w:szCs w:val="20"/>
                <w:color w:val="auto"/>
              </w:rPr>
            </w:pPr>
            <w:r>
              <w:rPr>
                <w:rFonts w:ascii="Arial" w:cs="Arial" w:eastAsia="Arial" w:hAnsi="Arial"/>
                <w:sz w:val="22"/>
                <w:szCs w:val="22"/>
                <w:color w:val="auto"/>
              </w:rPr>
              <w:t>Ethanol and by-products</w:t>
            </w:r>
          </w:p>
        </w:tc>
        <w:tc>
          <w:tcPr>
            <w:tcW w:w="1640" w:type="dxa"/>
            <w:vAlign w:val="bottom"/>
            <w:tcBorders>
              <w:top w:val="single" w:sz="8" w:color="E5FFFF"/>
            </w:tcBorders>
            <w:shd w:val="clear" w:color="auto" w:fill="E5FFFF"/>
          </w:tcPr>
          <w:p>
            <w:pPr>
              <w:spacing w:after="0"/>
              <w:rPr>
                <w:sz w:val="20"/>
                <w:szCs w:val="20"/>
                <w:color w:val="auto"/>
              </w:rPr>
            </w:pPr>
          </w:p>
        </w:tc>
        <w:tc>
          <w:tcPr>
            <w:tcW w:w="80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w w:val="84"/>
              </w:rPr>
              <w:t>$424,470</w:t>
            </w:r>
          </w:p>
        </w:tc>
        <w:tc>
          <w:tcPr>
            <w:tcW w:w="50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397,281</w:t>
            </w:r>
          </w:p>
        </w:tc>
        <w:tc>
          <w:tcPr>
            <w:tcW w:w="6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2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1,540</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2,861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244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79,497</w:t>
            </w:r>
          </w:p>
        </w:tc>
        <w:tc>
          <w:tcPr>
            <w:tcW w:w="50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22"/>
                <w:szCs w:val="22"/>
                <w:color w:val="auto"/>
              </w:rPr>
              <w:t>79,203</w:t>
            </w:r>
          </w:p>
        </w:tc>
        <w:tc>
          <w:tcPr>
            <w:tcW w:w="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60" w:type="dxa"/>
            <w:vAlign w:val="bottom"/>
          </w:tcPr>
          <w:p>
            <w:pPr>
              <w:spacing w:after="0" w:line="250" w:lineRule="exact"/>
              <w:rPr>
                <w:sz w:val="20"/>
                <w:szCs w:val="20"/>
                <w:color w:val="auto"/>
              </w:rPr>
            </w:pPr>
            <w:r>
              <w:rPr>
                <w:rFonts w:ascii="Arial" w:cs="Arial" w:eastAsia="Arial" w:hAnsi="Arial"/>
                <w:sz w:val="22"/>
                <w:szCs w:val="22"/>
                <w:color w:val="auto"/>
              </w:rPr>
              <w:t>Total assets</w:t>
            </w:r>
          </w:p>
        </w:tc>
        <w:tc>
          <w:tcPr>
            <w:tcW w:w="164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u w:val="single" w:color="auto"/>
                <w:color w:val="auto"/>
                <w:w w:val="84"/>
              </w:rPr>
              <w:t>$</w:t>
            </w:r>
            <w:r>
              <w:rPr>
                <w:rFonts w:ascii="Arial" w:cs="Arial" w:eastAsia="Arial" w:hAnsi="Arial"/>
                <w:sz w:val="22"/>
                <w:szCs w:val="22"/>
                <w:color w:val="auto"/>
                <w:w w:val="84"/>
              </w:rPr>
              <w:t>505,507</w:t>
            </w:r>
          </w:p>
        </w:tc>
        <w:tc>
          <w:tcPr>
            <w:tcW w:w="5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color w:val="auto"/>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479,345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56"/>
        </w:trPr>
        <w:tc>
          <w:tcPr>
            <w:tcW w:w="5020" w:type="dxa"/>
            <w:vAlign w:val="bottom"/>
            <w:vMerge w:val="restart"/>
          </w:tcPr>
          <w:p>
            <w:pPr>
              <w:spacing w:after="0"/>
              <w:rPr>
                <w:sz w:val="20"/>
                <w:szCs w:val="20"/>
                <w:color w:val="auto"/>
              </w:rPr>
            </w:pPr>
            <w:r>
              <w:rPr>
                <w:rFonts w:ascii="Arial" w:cs="Arial" w:eastAsia="Arial" w:hAnsi="Arial"/>
                <w:sz w:val="22"/>
                <w:szCs w:val="22"/>
                <w:color w:val="auto"/>
                <w:w w:val="97"/>
              </w:rPr>
              <w:t>Sales of products, ethanol and by-products segment:</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20" w:type="dxa"/>
            <w:vAlign w:val="bottom"/>
            <w:tcBorders>
              <w:bottom w:val="single" w:sz="8" w:color="E5FFFF"/>
            </w:tcBorders>
            <w:vMerge w:val="continue"/>
          </w:tcPr>
          <w:p>
            <w:pPr>
              <w:spacing w:after="0"/>
              <w:rPr>
                <w:sz w:val="23"/>
                <w:szCs w:val="23"/>
                <w:color w:val="auto"/>
              </w:rPr>
            </w:pPr>
          </w:p>
        </w:tc>
        <w:tc>
          <w:tcPr>
            <w:tcW w:w="72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72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153,990</w:t>
            </w: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32,524</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98"/>
              </w:rPr>
              <w:t>280,059</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93,121</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31,573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5,480</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62,691</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24,398</w:t>
            </w: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7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9,813</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1,313</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15,407</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4,501</w:t>
            </w:r>
          </w:p>
        </w:tc>
        <w:tc>
          <w:tcPr>
            <w:tcW w:w="0" w:type="dxa"/>
            <w:vAlign w:val="bottom"/>
          </w:tcPr>
          <w:p>
            <w:pPr>
              <w:spacing w:after="0"/>
              <w:rPr>
                <w:sz w:val="1"/>
                <w:szCs w:val="1"/>
                <w:color w:val="auto"/>
              </w:rPr>
            </w:pPr>
          </w:p>
        </w:tc>
      </w:tr>
      <w:tr>
        <w:trPr>
          <w:trHeight w:val="243"/>
        </w:trPr>
        <w:tc>
          <w:tcPr>
            <w:tcW w:w="502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1,934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209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4,227</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666</w:t>
            </w:r>
          </w:p>
        </w:tc>
        <w:tc>
          <w:tcPr>
            <w:tcW w:w="0" w:type="dxa"/>
            <w:vAlign w:val="bottom"/>
          </w:tcPr>
          <w:p>
            <w:pPr>
              <w:spacing w:after="0"/>
              <w:rPr>
                <w:sz w:val="1"/>
                <w:szCs w:val="1"/>
                <w:color w:val="auto"/>
              </w:rPr>
            </w:pPr>
          </w:p>
        </w:tc>
      </w:tr>
      <w:tr>
        <w:trPr>
          <w:trHeight w:val="243"/>
        </w:trPr>
        <w:tc>
          <w:tcPr>
            <w:tcW w:w="50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72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(1,638)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(2,764)</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(298)</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0"/>
                <w:szCs w:val="20"/>
                <w:color w:val="auto"/>
              </w:rPr>
            </w:pPr>
            <w:r>
              <w:rPr>
                <w:rFonts w:ascii="Arial" w:cs="Arial" w:eastAsia="Arial" w:hAnsi="Arial"/>
                <w:sz w:val="22"/>
                <w:szCs w:val="22"/>
                <w:color w:val="auto"/>
              </w:rPr>
              <w:t>Other</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100</w:t>
            </w: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50"/>
        </w:trPr>
        <w:tc>
          <w:tcPr>
            <w:tcW w:w="502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7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195,678</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39,242</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359,720</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122,477</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22"/>
                <w:szCs w:val="22"/>
                <w:color w:val="auto"/>
              </w:rPr>
              <w:t>Sales of products, refined coal segment:</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165</w:t>
            </w:r>
          </w:p>
        </w:tc>
        <w:tc>
          <w:tcPr>
            <w:tcW w:w="660" w:type="dxa"/>
            <w:vAlign w:val="bottom"/>
            <w:gridSpan w:val="2"/>
            <w:shd w:val="clear" w:color="auto" w:fill="E5FFFF"/>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85</w:t>
            </w:r>
          </w:p>
        </w:tc>
        <w:tc>
          <w:tcPr>
            <w:tcW w:w="44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227</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100</w:t>
            </w:r>
          </w:p>
        </w:tc>
        <w:tc>
          <w:tcPr>
            <w:tcW w:w="0" w:type="dxa"/>
            <w:vAlign w:val="bottom"/>
          </w:tcPr>
          <w:p>
            <w:pPr>
              <w:spacing w:after="0"/>
              <w:rPr>
                <w:sz w:val="1"/>
                <w:szCs w:val="1"/>
                <w:color w:val="auto"/>
              </w:rPr>
            </w:pPr>
          </w:p>
        </w:tc>
      </w:tr>
      <w:tr>
        <w:trPr>
          <w:trHeight w:val="20"/>
        </w:trPr>
        <w:tc>
          <w:tcPr>
            <w:tcW w:w="502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E5FFFF"/>
              <w:bottom w:val="single" w:sz="8" w:color="E5FFFF"/>
            </w:tcBorders>
            <w:vMerge w:val="restart"/>
          </w:tcPr>
          <w:p>
            <w:pPr>
              <w:jc w:val="right"/>
              <w:spacing w:after="0"/>
              <w:rPr>
                <w:sz w:val="20"/>
                <w:szCs w:val="20"/>
                <w:color w:val="auto"/>
              </w:rPr>
            </w:pPr>
            <w:r>
              <w:rPr>
                <w:rFonts w:ascii="Arial" w:cs="Arial" w:eastAsia="Arial" w:hAnsi="Arial"/>
                <w:sz w:val="22"/>
                <w:szCs w:val="22"/>
                <w:color w:val="auto"/>
              </w:rPr>
              <w:t>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2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02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6"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Ethanol and By-Products</w:t>
      </w:r>
    </w:p>
    <w:p>
      <w:pPr>
        <w:spacing w:after="0" w:line="239"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At July 31, 2021, investments in our ethanol business include equity investments in three ethanol limited liability companies, two of which we have a majority ownership interest in. The following table is a summary of ethanol gallons shipped at our plants: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300" w:type="dxa"/>
            <w:vAlign w:val="bottom"/>
            <w:tcBorders>
              <w:top w:val="single" w:sz="8" w:color="auto"/>
              <w:left w:val="single" w:sz="8" w:color="auto"/>
              <w:right w:val="single" w:sz="8" w:color="auto"/>
            </w:tcBorders>
          </w:tcPr>
          <w:p>
            <w:pPr>
              <w:spacing w:after="0"/>
              <w:rPr>
                <w:sz w:val="19"/>
                <w:szCs w:val="19"/>
                <w:color w:val="auto"/>
              </w:rPr>
            </w:pPr>
          </w:p>
        </w:tc>
        <w:tc>
          <w:tcPr>
            <w:tcW w:w="1600" w:type="dxa"/>
            <w:vAlign w:val="bottom"/>
            <w:tcBorders>
              <w:top w:val="single" w:sz="8" w:color="auto"/>
            </w:tcBorders>
          </w:tcPr>
          <w:p>
            <w:pPr>
              <w:jc w:val="center"/>
              <w:ind w:left="192"/>
              <w:spacing w:after="0" w:line="229" w:lineRule="exact"/>
              <w:rPr>
                <w:sz w:val="20"/>
                <w:szCs w:val="20"/>
                <w:color w:val="auto"/>
              </w:rPr>
            </w:pPr>
            <w:r>
              <w:rPr>
                <w:rFonts w:ascii="Arial" w:cs="Arial" w:eastAsia="Arial" w:hAnsi="Arial"/>
                <w:sz w:val="22"/>
                <w:szCs w:val="22"/>
                <w:b w:val="1"/>
                <w:bCs w:val="1"/>
                <w:color w:val="auto"/>
                <w:w w:val="92"/>
              </w:rPr>
              <w:t>Trailing 12</w:t>
            </w:r>
          </w:p>
        </w:tc>
        <w:tc>
          <w:tcPr>
            <w:tcW w:w="320" w:type="dxa"/>
            <w:vAlign w:val="bottom"/>
            <w:tcBorders>
              <w:top w:val="single" w:sz="8" w:color="auto"/>
              <w:right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94"/>
              </w:rPr>
              <w:t>REX’s</w:t>
            </w:r>
          </w:p>
        </w:tc>
        <w:tc>
          <w:tcPr>
            <w:tcW w:w="2140" w:type="dxa"/>
            <w:vAlign w:val="bottom"/>
            <w:tcBorders>
              <w:top w:val="single" w:sz="8" w:color="auto"/>
            </w:tcBorders>
          </w:tcPr>
          <w:p>
            <w:pPr>
              <w:jc w:val="center"/>
              <w:ind w:left="212"/>
              <w:spacing w:after="0" w:line="229" w:lineRule="exact"/>
              <w:rPr>
                <w:sz w:val="20"/>
                <w:szCs w:val="20"/>
                <w:color w:val="auto"/>
              </w:rPr>
            </w:pPr>
            <w:r>
              <w:rPr>
                <w:rFonts w:ascii="Arial" w:cs="Arial" w:eastAsia="Arial" w:hAnsi="Arial"/>
                <w:sz w:val="22"/>
                <w:szCs w:val="22"/>
                <w:b w:val="1"/>
                <w:bCs w:val="1"/>
                <w:color w:val="auto"/>
                <w:w w:val="91"/>
              </w:rPr>
              <w:t>Current Effective</w:t>
            </w:r>
          </w:p>
        </w:tc>
        <w:tc>
          <w:tcPr>
            <w:tcW w:w="320" w:type="dxa"/>
            <w:vAlign w:val="bottom"/>
            <w:tcBorders>
              <w:top w:val="single" w:sz="8" w:color="auto"/>
              <w:right w:val="single" w:sz="8" w:color="auto"/>
            </w:tcBorders>
          </w:tcPr>
          <w:p>
            <w:pPr>
              <w:spacing w:after="0"/>
              <w:rPr>
                <w:sz w:val="19"/>
                <w:szCs w:val="19"/>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60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9"/>
              </w:rPr>
              <w:t>Months</w:t>
            </w:r>
          </w:p>
        </w:tc>
        <w:tc>
          <w:tcPr>
            <w:tcW w:w="3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3"/>
              </w:rPr>
              <w:t>Current</w:t>
            </w:r>
          </w:p>
        </w:tc>
        <w:tc>
          <w:tcPr>
            <w:tcW w:w="214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89"/>
              </w:rPr>
              <w:t>Ownership of</w:t>
            </w:r>
          </w:p>
        </w:tc>
        <w:tc>
          <w:tcPr>
            <w:tcW w:w="32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ind w:left="2360"/>
              <w:spacing w:after="0" w:line="243" w:lineRule="exact"/>
              <w:rPr>
                <w:sz w:val="20"/>
                <w:szCs w:val="20"/>
                <w:color w:val="auto"/>
              </w:rPr>
            </w:pPr>
            <w:r>
              <w:rPr>
                <w:rFonts w:ascii="Arial" w:cs="Arial" w:eastAsia="Arial" w:hAnsi="Arial"/>
                <w:sz w:val="22"/>
                <w:szCs w:val="22"/>
                <w:b w:val="1"/>
                <w:bCs w:val="1"/>
                <w:color w:val="auto"/>
              </w:rPr>
              <w:t>Entity</w:t>
            </w:r>
          </w:p>
        </w:tc>
        <w:tc>
          <w:tcPr>
            <w:tcW w:w="160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91"/>
              </w:rPr>
              <w:t>Ethanol</w:t>
            </w:r>
          </w:p>
        </w:tc>
        <w:tc>
          <w:tcPr>
            <w:tcW w:w="3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Effective</w:t>
            </w:r>
          </w:p>
        </w:tc>
        <w:tc>
          <w:tcPr>
            <w:tcW w:w="214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2"/>
              </w:rPr>
              <w:t>Trailing 12</w:t>
            </w:r>
          </w:p>
        </w:tc>
        <w:tc>
          <w:tcPr>
            <w:tcW w:w="320" w:type="dxa"/>
            <w:vAlign w:val="bottom"/>
            <w:tcBorders>
              <w:right w:val="single" w:sz="8" w:color="auto"/>
            </w:tcBorders>
          </w:tcPr>
          <w:p>
            <w:pPr>
              <w:spacing w:after="0"/>
              <w:rPr>
                <w:sz w:val="21"/>
                <w:szCs w:val="21"/>
                <w:color w:val="auto"/>
              </w:rPr>
            </w:pPr>
          </w:p>
        </w:tc>
      </w:tr>
      <w:tr>
        <w:trPr>
          <w:trHeight w:val="243"/>
        </w:trPr>
        <w:tc>
          <w:tcPr>
            <w:tcW w:w="5300" w:type="dxa"/>
            <w:vAlign w:val="bottom"/>
            <w:tcBorders>
              <w:left w:val="single" w:sz="8" w:color="auto"/>
              <w:right w:val="single" w:sz="8" w:color="auto"/>
            </w:tcBorders>
          </w:tcPr>
          <w:p>
            <w:pPr>
              <w:spacing w:after="0"/>
              <w:rPr>
                <w:sz w:val="21"/>
                <w:szCs w:val="21"/>
                <w:color w:val="auto"/>
              </w:rPr>
            </w:pPr>
          </w:p>
        </w:tc>
        <w:tc>
          <w:tcPr>
            <w:tcW w:w="1600" w:type="dxa"/>
            <w:vAlign w:val="bottom"/>
          </w:tcPr>
          <w:p>
            <w:pPr>
              <w:jc w:val="center"/>
              <w:ind w:left="192"/>
              <w:spacing w:after="0" w:line="243" w:lineRule="exact"/>
              <w:rPr>
                <w:sz w:val="20"/>
                <w:szCs w:val="20"/>
                <w:color w:val="auto"/>
              </w:rPr>
            </w:pPr>
            <w:r>
              <w:rPr>
                <w:rFonts w:ascii="Arial" w:cs="Arial" w:eastAsia="Arial" w:hAnsi="Arial"/>
                <w:sz w:val="22"/>
                <w:szCs w:val="22"/>
                <w:b w:val="1"/>
                <w:bCs w:val="1"/>
                <w:color w:val="auto"/>
                <w:w w:val="86"/>
              </w:rPr>
              <w:t>Gallons</w:t>
            </w:r>
          </w:p>
        </w:tc>
        <w:tc>
          <w:tcPr>
            <w:tcW w:w="32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89"/>
              </w:rPr>
              <w:t>Ownership</w:t>
            </w:r>
          </w:p>
        </w:tc>
        <w:tc>
          <w:tcPr>
            <w:tcW w:w="2140" w:type="dxa"/>
            <w:vAlign w:val="bottom"/>
          </w:tcPr>
          <w:p>
            <w:pPr>
              <w:jc w:val="center"/>
              <w:ind w:left="212"/>
              <w:spacing w:after="0" w:line="243" w:lineRule="exact"/>
              <w:rPr>
                <w:sz w:val="20"/>
                <w:szCs w:val="20"/>
                <w:color w:val="auto"/>
              </w:rPr>
            </w:pPr>
            <w:r>
              <w:rPr>
                <w:rFonts w:ascii="Arial" w:cs="Arial" w:eastAsia="Arial" w:hAnsi="Arial"/>
                <w:sz w:val="22"/>
                <w:szCs w:val="22"/>
                <w:b w:val="1"/>
                <w:bCs w:val="1"/>
                <w:color w:val="auto"/>
                <w:w w:val="90"/>
              </w:rPr>
              <w:t>Months Ethanol</w:t>
            </w:r>
          </w:p>
        </w:tc>
        <w:tc>
          <w:tcPr>
            <w:tcW w:w="320" w:type="dxa"/>
            <w:vAlign w:val="bottom"/>
            <w:tcBorders>
              <w:right w:val="single" w:sz="8" w:color="auto"/>
            </w:tcBorders>
          </w:tcPr>
          <w:p>
            <w:pPr>
              <w:spacing w:after="0"/>
              <w:rPr>
                <w:sz w:val="21"/>
                <w:szCs w:val="21"/>
                <w:color w:val="auto"/>
              </w:rPr>
            </w:pPr>
          </w:p>
        </w:tc>
      </w:tr>
      <w:tr>
        <w:trPr>
          <w:trHeight w:val="282"/>
        </w:trPr>
        <w:tc>
          <w:tcPr>
            <w:tcW w:w="5300" w:type="dxa"/>
            <w:vAlign w:val="bottom"/>
            <w:tcBorders>
              <w:left w:val="single" w:sz="8" w:color="auto"/>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22"/>
                <w:szCs w:val="22"/>
                <w:b w:val="1"/>
                <w:bCs w:val="1"/>
                <w:color w:val="auto"/>
                <w:w w:val="87"/>
              </w:rPr>
              <w:t>Shipped</w:t>
            </w:r>
          </w:p>
        </w:tc>
        <w:tc>
          <w:tcPr>
            <w:tcW w:w="32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Interest</w:t>
            </w:r>
          </w:p>
        </w:tc>
        <w:tc>
          <w:tcPr>
            <w:tcW w:w="2140" w:type="dxa"/>
            <w:vAlign w:val="bottom"/>
            <w:tcBorders>
              <w:bottom w:val="single" w:sz="8" w:color="auto"/>
            </w:tcBorders>
          </w:tcPr>
          <w:p>
            <w:pPr>
              <w:jc w:val="center"/>
              <w:ind w:left="192"/>
              <w:spacing w:after="0"/>
              <w:rPr>
                <w:sz w:val="20"/>
                <w:szCs w:val="20"/>
                <w:color w:val="auto"/>
              </w:rPr>
            </w:pPr>
            <w:r>
              <w:rPr>
                <w:rFonts w:ascii="Arial" w:cs="Arial" w:eastAsia="Arial" w:hAnsi="Arial"/>
                <w:sz w:val="22"/>
                <w:szCs w:val="22"/>
                <w:b w:val="1"/>
                <w:bCs w:val="1"/>
                <w:color w:val="auto"/>
                <w:w w:val="87"/>
              </w:rPr>
              <w:t>Gallons Shipped</w:t>
            </w:r>
          </w:p>
        </w:tc>
        <w:tc>
          <w:tcPr>
            <w:tcW w:w="320" w:type="dxa"/>
            <w:vAlign w:val="bottom"/>
            <w:tcBorders>
              <w:bottom w:val="single" w:sz="8" w:color="auto"/>
              <w:right w:val="single" w:sz="8" w:color="auto"/>
            </w:tcBorders>
          </w:tcPr>
          <w:p>
            <w:pPr>
              <w:spacing w:after="0"/>
              <w:rPr>
                <w:sz w:val="24"/>
                <w:szCs w:val="24"/>
                <w:color w:val="auto"/>
              </w:rPr>
            </w:pPr>
          </w:p>
        </w:tc>
      </w:tr>
      <w:tr>
        <w:trPr>
          <w:trHeight w:val="252"/>
        </w:trPr>
        <w:tc>
          <w:tcPr>
            <w:tcW w:w="5300" w:type="dxa"/>
            <w:vAlign w:val="bottom"/>
            <w:tcBorders>
              <w:left w:val="single" w:sz="8" w:color="auto"/>
              <w:bottom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One Earth Energy, LLC</w:t>
            </w:r>
          </w:p>
        </w:tc>
        <w:tc>
          <w:tcPr>
            <w:tcW w:w="1920" w:type="dxa"/>
            <w:vAlign w:val="bottom"/>
            <w:tcBorders>
              <w:bottom w:val="single" w:sz="8" w:color="auto"/>
              <w:right w:val="single" w:sz="8" w:color="auto"/>
            </w:tcBorders>
            <w:gridSpan w:val="2"/>
          </w:tcPr>
          <w:p>
            <w:pPr>
              <w:jc w:val="right"/>
              <w:spacing w:after="0" w:line="251" w:lineRule="exact"/>
              <w:rPr>
                <w:sz w:val="20"/>
                <w:szCs w:val="20"/>
                <w:color w:val="auto"/>
              </w:rPr>
            </w:pPr>
            <w:r>
              <w:rPr>
                <w:rFonts w:ascii="Arial" w:cs="Arial" w:eastAsia="Arial" w:hAnsi="Arial"/>
                <w:sz w:val="22"/>
                <w:szCs w:val="22"/>
                <w:color w:val="auto"/>
              </w:rPr>
              <w:t>143.9 M</w:t>
            </w:r>
          </w:p>
        </w:tc>
        <w:tc>
          <w:tcPr>
            <w:tcW w:w="1560" w:type="dxa"/>
            <w:vAlign w:val="bottom"/>
            <w:tcBorders>
              <w:bottom w:val="single" w:sz="8" w:color="auto"/>
              <w:right w:val="single" w:sz="8" w:color="auto"/>
            </w:tcBorders>
          </w:tcPr>
          <w:p>
            <w:pPr>
              <w:jc w:val="right"/>
              <w:spacing w:after="0" w:line="251" w:lineRule="exact"/>
              <w:rPr>
                <w:sz w:val="20"/>
                <w:szCs w:val="20"/>
                <w:color w:val="auto"/>
              </w:rPr>
            </w:pPr>
            <w:r>
              <w:rPr>
                <w:rFonts w:ascii="Arial" w:cs="Arial" w:eastAsia="Arial" w:hAnsi="Arial"/>
                <w:sz w:val="22"/>
                <w:szCs w:val="22"/>
                <w:color w:val="auto"/>
              </w:rPr>
              <w:t>75.6%</w:t>
            </w:r>
          </w:p>
        </w:tc>
        <w:tc>
          <w:tcPr>
            <w:tcW w:w="2460" w:type="dxa"/>
            <w:vAlign w:val="bottom"/>
            <w:tcBorders>
              <w:bottom w:val="single" w:sz="8" w:color="auto"/>
              <w:right w:val="single" w:sz="8" w:color="auto"/>
            </w:tcBorders>
            <w:gridSpan w:val="2"/>
          </w:tcPr>
          <w:p>
            <w:pPr>
              <w:jc w:val="right"/>
              <w:spacing w:after="0" w:line="251" w:lineRule="exact"/>
              <w:rPr>
                <w:sz w:val="20"/>
                <w:szCs w:val="20"/>
                <w:color w:val="auto"/>
              </w:rPr>
            </w:pPr>
            <w:r>
              <w:rPr>
                <w:rFonts w:ascii="Arial" w:cs="Arial" w:eastAsia="Arial" w:hAnsi="Arial"/>
                <w:sz w:val="22"/>
                <w:szCs w:val="22"/>
                <w:color w:val="auto"/>
              </w:rPr>
              <w:t>108.8 M</w:t>
            </w:r>
          </w:p>
        </w:tc>
      </w:tr>
      <w:tr>
        <w:trPr>
          <w:trHeight w:val="250"/>
        </w:trPr>
        <w:tc>
          <w:tcPr>
            <w:tcW w:w="5300" w:type="dxa"/>
            <w:vAlign w:val="bottom"/>
            <w:tcBorders>
              <w:left w:val="single" w:sz="8" w:color="auto"/>
              <w:bottom w:val="single" w:sz="8" w:color="auto"/>
              <w:right w:val="single" w:sz="8" w:color="auto"/>
            </w:tcBorders>
          </w:tcPr>
          <w:p>
            <w:pPr>
              <w:ind w:left="120"/>
              <w:spacing w:after="0" w:line="250" w:lineRule="exact"/>
              <w:rPr>
                <w:sz w:val="20"/>
                <w:szCs w:val="20"/>
                <w:color w:val="auto"/>
              </w:rPr>
            </w:pPr>
            <w:r>
              <w:rPr>
                <w:rFonts w:ascii="Arial" w:cs="Arial" w:eastAsia="Arial" w:hAnsi="Arial"/>
                <w:sz w:val="22"/>
                <w:szCs w:val="22"/>
                <w:color w:val="auto"/>
              </w:rPr>
              <w:t>NuGen Energy, LLC</w:t>
            </w:r>
          </w:p>
        </w:tc>
        <w:tc>
          <w:tcPr>
            <w:tcW w:w="1920" w:type="dxa"/>
            <w:vAlign w:val="bottom"/>
            <w:tcBorders>
              <w:bottom w:val="single" w:sz="8" w:color="auto"/>
              <w:right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137.4 M</w:t>
            </w:r>
          </w:p>
        </w:tc>
        <w:tc>
          <w:tcPr>
            <w:tcW w:w="1560" w:type="dxa"/>
            <w:vAlign w:val="bottom"/>
            <w:tcBorders>
              <w:bottom w:val="single" w:sz="8" w:color="auto"/>
              <w:right w:val="single" w:sz="8" w:color="auto"/>
            </w:tcBorders>
          </w:tcPr>
          <w:p>
            <w:pPr>
              <w:jc w:val="right"/>
              <w:spacing w:after="0" w:line="250" w:lineRule="exact"/>
              <w:rPr>
                <w:sz w:val="20"/>
                <w:szCs w:val="20"/>
                <w:color w:val="auto"/>
              </w:rPr>
            </w:pPr>
            <w:r>
              <w:rPr>
                <w:rFonts w:ascii="Arial" w:cs="Arial" w:eastAsia="Arial" w:hAnsi="Arial"/>
                <w:sz w:val="22"/>
                <w:szCs w:val="22"/>
                <w:color w:val="auto"/>
              </w:rPr>
              <w:t>99.7%</w:t>
            </w:r>
          </w:p>
        </w:tc>
        <w:tc>
          <w:tcPr>
            <w:tcW w:w="2460" w:type="dxa"/>
            <w:vAlign w:val="bottom"/>
            <w:tcBorders>
              <w:bottom w:val="single" w:sz="8" w:color="auto"/>
              <w:right w:val="single" w:sz="8" w:color="auto"/>
            </w:tcBorders>
            <w:gridSpan w:val="2"/>
          </w:tcPr>
          <w:p>
            <w:pPr>
              <w:jc w:val="right"/>
              <w:spacing w:after="0" w:line="250" w:lineRule="exact"/>
              <w:rPr>
                <w:sz w:val="20"/>
                <w:szCs w:val="20"/>
                <w:color w:val="auto"/>
              </w:rPr>
            </w:pPr>
            <w:r>
              <w:rPr>
                <w:rFonts w:ascii="Arial" w:cs="Arial" w:eastAsia="Arial" w:hAnsi="Arial"/>
                <w:sz w:val="22"/>
                <w:szCs w:val="22"/>
                <w:color w:val="auto"/>
              </w:rPr>
              <w:t>137.0 M</w:t>
            </w:r>
          </w:p>
        </w:tc>
      </w:tr>
      <w:tr>
        <w:trPr>
          <w:trHeight w:val="229"/>
        </w:trPr>
        <w:tc>
          <w:tcPr>
            <w:tcW w:w="5300" w:type="dxa"/>
            <w:vAlign w:val="bottom"/>
            <w:tcBorders>
              <w:left w:val="single" w:sz="8" w:color="auto"/>
              <w:right w:val="single" w:sz="8" w:color="auto"/>
            </w:tcBorders>
          </w:tcPr>
          <w:p>
            <w:pPr>
              <w:ind w:left="120"/>
              <w:spacing w:after="0" w:line="228" w:lineRule="exact"/>
              <w:rPr>
                <w:sz w:val="20"/>
                <w:szCs w:val="20"/>
                <w:color w:val="auto"/>
              </w:rPr>
            </w:pPr>
            <w:r>
              <w:rPr>
                <w:rFonts w:ascii="Arial" w:cs="Arial" w:eastAsia="Arial" w:hAnsi="Arial"/>
                <w:sz w:val="22"/>
                <w:szCs w:val="22"/>
                <w:color w:val="auto"/>
              </w:rPr>
              <w:t>Big River Resources, LLC:</w:t>
            </w:r>
          </w:p>
        </w:tc>
        <w:tc>
          <w:tcPr>
            <w:tcW w:w="160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21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r>
      <w:tr>
        <w:trPr>
          <w:trHeight w:val="256"/>
        </w:trPr>
        <w:tc>
          <w:tcPr>
            <w:tcW w:w="5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Big River Resources W Burlington, LLC</w:t>
            </w:r>
          </w:p>
        </w:tc>
        <w:tc>
          <w:tcPr>
            <w:tcW w:w="1600" w:type="dxa"/>
            <w:vAlign w:val="bottom"/>
          </w:tcPr>
          <w:p>
            <w:pPr>
              <w:jc w:val="right"/>
              <w:spacing w:after="0"/>
              <w:rPr>
                <w:sz w:val="20"/>
                <w:szCs w:val="20"/>
                <w:color w:val="auto"/>
              </w:rPr>
            </w:pPr>
            <w:r>
              <w:rPr>
                <w:rFonts w:ascii="Arial" w:cs="Arial" w:eastAsia="Arial" w:hAnsi="Arial"/>
                <w:sz w:val="22"/>
                <w:szCs w:val="22"/>
                <w:color w:val="auto"/>
              </w:rPr>
              <w:t>108.5</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10.3%</w:t>
            </w:r>
          </w:p>
        </w:tc>
        <w:tc>
          <w:tcPr>
            <w:tcW w:w="2140" w:type="dxa"/>
            <w:vAlign w:val="bottom"/>
          </w:tcPr>
          <w:p>
            <w:pPr>
              <w:jc w:val="right"/>
              <w:spacing w:after="0"/>
              <w:rPr>
                <w:sz w:val="20"/>
                <w:szCs w:val="20"/>
                <w:color w:val="auto"/>
              </w:rPr>
            </w:pPr>
            <w:r>
              <w:rPr>
                <w:rFonts w:ascii="Arial" w:cs="Arial" w:eastAsia="Arial" w:hAnsi="Arial"/>
                <w:sz w:val="22"/>
                <w:szCs w:val="22"/>
                <w:color w:val="auto"/>
              </w:rPr>
              <w:t>11.2</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M</w:t>
            </w:r>
          </w:p>
        </w:tc>
      </w:tr>
      <w:tr>
        <w:trPr>
          <w:trHeight w:val="257"/>
        </w:trPr>
        <w:tc>
          <w:tcPr>
            <w:tcW w:w="5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Big River Resources Galva, LLC</w:t>
            </w:r>
          </w:p>
        </w:tc>
        <w:tc>
          <w:tcPr>
            <w:tcW w:w="1600" w:type="dxa"/>
            <w:vAlign w:val="bottom"/>
          </w:tcPr>
          <w:p>
            <w:pPr>
              <w:jc w:val="right"/>
              <w:spacing w:after="0"/>
              <w:rPr>
                <w:sz w:val="20"/>
                <w:szCs w:val="20"/>
                <w:color w:val="auto"/>
              </w:rPr>
            </w:pPr>
            <w:r>
              <w:rPr>
                <w:rFonts w:ascii="Arial" w:cs="Arial" w:eastAsia="Arial" w:hAnsi="Arial"/>
                <w:sz w:val="22"/>
                <w:szCs w:val="22"/>
                <w:color w:val="auto"/>
              </w:rPr>
              <w:t>119.6</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10.3%</w:t>
            </w:r>
          </w:p>
        </w:tc>
        <w:tc>
          <w:tcPr>
            <w:tcW w:w="2140" w:type="dxa"/>
            <w:vAlign w:val="bottom"/>
          </w:tcPr>
          <w:p>
            <w:pPr>
              <w:jc w:val="right"/>
              <w:spacing w:after="0"/>
              <w:rPr>
                <w:sz w:val="20"/>
                <w:szCs w:val="20"/>
                <w:color w:val="auto"/>
              </w:rPr>
            </w:pPr>
            <w:r>
              <w:rPr>
                <w:rFonts w:ascii="Arial" w:cs="Arial" w:eastAsia="Arial" w:hAnsi="Arial"/>
                <w:sz w:val="22"/>
                <w:szCs w:val="22"/>
                <w:color w:val="auto"/>
              </w:rPr>
              <w:t>12.3</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M</w:t>
            </w:r>
          </w:p>
        </w:tc>
      </w:tr>
      <w:tr>
        <w:trPr>
          <w:trHeight w:val="257"/>
        </w:trPr>
        <w:tc>
          <w:tcPr>
            <w:tcW w:w="530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Big River United Energy, LLC</w:t>
            </w:r>
          </w:p>
        </w:tc>
        <w:tc>
          <w:tcPr>
            <w:tcW w:w="1600" w:type="dxa"/>
            <w:vAlign w:val="bottom"/>
          </w:tcPr>
          <w:p>
            <w:pPr>
              <w:jc w:val="right"/>
              <w:spacing w:after="0"/>
              <w:rPr>
                <w:sz w:val="20"/>
                <w:szCs w:val="20"/>
                <w:color w:val="auto"/>
              </w:rPr>
            </w:pPr>
            <w:r>
              <w:rPr>
                <w:rFonts w:ascii="Arial" w:cs="Arial" w:eastAsia="Arial" w:hAnsi="Arial"/>
                <w:sz w:val="22"/>
                <w:szCs w:val="22"/>
                <w:color w:val="auto"/>
              </w:rPr>
              <w:t>126.4</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M</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5.7%</w:t>
            </w:r>
          </w:p>
        </w:tc>
        <w:tc>
          <w:tcPr>
            <w:tcW w:w="2140" w:type="dxa"/>
            <w:vAlign w:val="bottom"/>
          </w:tcPr>
          <w:p>
            <w:pPr>
              <w:jc w:val="right"/>
              <w:spacing w:after="0"/>
              <w:rPr>
                <w:sz w:val="20"/>
                <w:szCs w:val="20"/>
                <w:color w:val="auto"/>
              </w:rPr>
            </w:pPr>
            <w:r>
              <w:rPr>
                <w:rFonts w:ascii="Arial" w:cs="Arial" w:eastAsia="Arial" w:hAnsi="Arial"/>
                <w:sz w:val="22"/>
                <w:szCs w:val="22"/>
                <w:color w:val="auto"/>
              </w:rPr>
              <w:t>7.2</w:t>
            </w: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rPr>
              <w:t>M</w:t>
            </w:r>
          </w:p>
        </w:tc>
      </w:tr>
      <w:tr>
        <w:trPr>
          <w:trHeight w:val="276"/>
        </w:trPr>
        <w:tc>
          <w:tcPr>
            <w:tcW w:w="530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Big River Resources Boyceville, LLC</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62.6</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10.3%</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6.5</w:t>
            </w:r>
          </w:p>
        </w:tc>
        <w:tc>
          <w:tcPr>
            <w:tcW w:w="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M</w:t>
            </w:r>
          </w:p>
        </w:tc>
      </w:tr>
      <w:tr>
        <w:trPr>
          <w:trHeight w:val="252"/>
        </w:trPr>
        <w:tc>
          <w:tcPr>
            <w:tcW w:w="5300" w:type="dxa"/>
            <w:vAlign w:val="bottom"/>
            <w:tcBorders>
              <w:left w:val="single" w:sz="8" w:color="auto"/>
              <w:bottom w:val="single" w:sz="8" w:color="auto"/>
              <w:right w:val="single" w:sz="8" w:color="auto"/>
            </w:tcBorders>
          </w:tcPr>
          <w:p>
            <w:pPr>
              <w:ind w:left="120"/>
              <w:spacing w:after="0" w:line="251" w:lineRule="exact"/>
              <w:rPr>
                <w:sz w:val="20"/>
                <w:szCs w:val="20"/>
                <w:color w:val="auto"/>
              </w:rPr>
            </w:pPr>
            <w:r>
              <w:rPr>
                <w:rFonts w:ascii="Arial" w:cs="Arial" w:eastAsia="Arial" w:hAnsi="Arial"/>
                <w:sz w:val="22"/>
                <w:szCs w:val="22"/>
                <w:color w:val="auto"/>
              </w:rPr>
              <w:t>Total</w:t>
            </w:r>
          </w:p>
        </w:tc>
        <w:tc>
          <w:tcPr>
            <w:tcW w:w="160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2"/>
                <w:szCs w:val="22"/>
                <w:color w:val="auto"/>
              </w:rPr>
              <w:t>698.4</w:t>
            </w:r>
          </w:p>
        </w:tc>
        <w:tc>
          <w:tcPr>
            <w:tcW w:w="320" w:type="dxa"/>
            <w:vAlign w:val="bottom"/>
            <w:tcBorders>
              <w:bottom w:val="single" w:sz="8" w:color="auto"/>
              <w:right w:val="single" w:sz="8" w:color="auto"/>
            </w:tcBorders>
          </w:tcPr>
          <w:p>
            <w:pPr>
              <w:jc w:val="right"/>
              <w:spacing w:after="0" w:line="251" w:lineRule="exact"/>
              <w:rPr>
                <w:sz w:val="20"/>
                <w:szCs w:val="20"/>
                <w:color w:val="auto"/>
              </w:rPr>
            </w:pPr>
            <w:r>
              <w:rPr>
                <w:rFonts w:ascii="Arial" w:cs="Arial" w:eastAsia="Arial" w:hAnsi="Arial"/>
                <w:sz w:val="22"/>
                <w:szCs w:val="22"/>
                <w:color w:val="auto"/>
              </w:rPr>
              <w:t>M</w:t>
            </w:r>
          </w:p>
        </w:tc>
        <w:tc>
          <w:tcPr>
            <w:tcW w:w="1560" w:type="dxa"/>
            <w:vAlign w:val="bottom"/>
            <w:tcBorders>
              <w:bottom w:val="single" w:sz="8" w:color="auto"/>
              <w:right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22"/>
                <w:szCs w:val="22"/>
                <w:color w:val="auto"/>
              </w:rPr>
              <w:t>283.0</w:t>
            </w:r>
          </w:p>
        </w:tc>
        <w:tc>
          <w:tcPr>
            <w:tcW w:w="320" w:type="dxa"/>
            <w:vAlign w:val="bottom"/>
            <w:tcBorders>
              <w:bottom w:val="single" w:sz="8" w:color="auto"/>
              <w:right w:val="single" w:sz="8" w:color="auto"/>
            </w:tcBorders>
          </w:tcPr>
          <w:p>
            <w:pPr>
              <w:jc w:val="right"/>
              <w:spacing w:after="0" w:line="251" w:lineRule="exact"/>
              <w:rPr>
                <w:sz w:val="20"/>
                <w:szCs w:val="20"/>
                <w:color w:val="auto"/>
              </w:rPr>
            </w:pPr>
            <w:r>
              <w:rPr>
                <w:rFonts w:ascii="Arial" w:cs="Arial" w:eastAsia="Arial" w:hAnsi="Arial"/>
                <w:sz w:val="22"/>
                <w:szCs w:val="22"/>
                <w:color w:val="auto"/>
              </w:rPr>
              <w:t>M</w:t>
            </w:r>
          </w:p>
        </w:tc>
      </w:tr>
    </w:tbl>
    <w:p>
      <w:pPr>
        <w:spacing w:after="0" w:line="22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and foreign trade.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We expect our ethanol plants to produce approximately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1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We attempt to manage the risk related to the volatility of commodity prices by utilizing forward grain purchase, forward ethanol, distillers grains and corn oil sale contracts and commodity futures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4" w:name="page25"/>
    <w:bookmarkEnd w:id="24"/>
    <w:p>
      <w:pPr>
        <w:ind w:right="60"/>
        <w:spacing w:after="0" w:line="245" w:lineRule="auto"/>
        <w:rPr>
          <w:sz w:val="20"/>
          <w:szCs w:val="20"/>
          <w:color w:val="auto"/>
        </w:rPr>
      </w:pPr>
      <w:r>
        <w:rPr>
          <w:rFonts w:ascii="Arial" w:cs="Arial" w:eastAsia="Arial" w:hAnsi="Arial"/>
          <w:sz w:val="21"/>
          <w:szCs w:val="21"/>
          <w:color w:val="auto"/>
        </w:rPr>
        <w:t>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 However, the market for future ethanol sales contracts generally lags the spot 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in conjunction with certain of our grain procurement activities.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Refined Coal</w:t>
      </w:r>
    </w:p>
    <w:p>
      <w:pPr>
        <w:spacing w:after="0" w:line="239"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On August 10, 2017, we purchased the entire ownership interest of an entity that owns a refined coal facility, along with a minority partner, for approximately $12.0 million. We own 95.35% of the entity. We began operating the refined coal facility immediately after the acquisition. We expect that the revenues from the sale of refined coal produced in the facility will be subsidized by federal production tax credits through November 18, 2021, subject to meeting qualified emissions reductions as governed by Section 45 of the Internal Revenue Code. In order to maintain compliance with Section 45 of the Internal Revenue Code, we are required to test the effectiveness of our process with respect to emissions reductions every six months through an independent laboratory. Annually, the IRS publishes the amount of federal income tax credit earned per ton of refined coal produced and sold. We expect to earn credits at the rate of approximately $7.38 per ton of refined coal produced and sold during calendar year 2021. The tax credits can be earned for refined coal produced and sold by our facility through November 18, 2021. Absent the tax credits, our refined coal operations would not be profitable and we expect to cease operations at that time. At the conclusion of the operations we are obligated to remove the equipment from the site but do not expect the cost to be significant.</w:t>
      </w:r>
    </w:p>
    <w:p>
      <w:pPr>
        <w:spacing w:after="0" w:line="182"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The refined coal facility is located at the site of a utility-owned electrical generating power station, which is our refined coal operation’s sole customer. Refined coal production and sales vary depending on fluctuations in demand from the site host utility, which generally changes based upon weather conditions in the geographic markets, competing energy prices, lack of supplies and the state of the local economy. We have contracted with an experienced third party to operate and maintain the refined coal facility and to provide us with management reporting and operating data as required. We do not have any employees on site at the refined coal facility.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Energy</w:t>
      </w:r>
    </w:p>
    <w:p>
      <w:pPr>
        <w:spacing w:after="0" w:line="239"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During fiscal year 2013, we entered into a joint venture with Hytken HPGP, LLC (“Hytken”) to file and defend patents for eSteam technology relating to heavy oil and oil sands production methods, and to commercially exploit the technology to generate license fees, royalty income and development opportunities. The patented technology is an enhanced method of heavy oil recovery involving zero emissions downhole steam generation. We own 60% and Hytken owns 40% of the entity named Future Energy, LLC (“Future Energy”).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5" w:name="page26"/>
    <w:bookmarkEnd w:id="25"/>
    <w:p>
      <w:pPr>
        <w:ind w:right="60" w:firstLine="648"/>
        <w:spacing w:after="0" w:line="248" w:lineRule="auto"/>
        <w:rPr>
          <w:sz w:val="20"/>
          <w:szCs w:val="20"/>
          <w:color w:val="auto"/>
        </w:rPr>
      </w:pPr>
      <w:r>
        <w:rPr>
          <w:rFonts w:ascii="Arial" w:cs="Arial" w:eastAsia="Arial" w:hAnsi="Arial"/>
          <w:sz w:val="21"/>
          <w:szCs w:val="21"/>
          <w:color w:val="auto"/>
        </w:rPr>
        <w:t>We have agreed to fund direct patent expenses relating to patent applications and defense, annual annuity fees and maintenance on a country by country basis, with the right to terminate funding and transfer related patent rights to Hytken. We have funded all costs relating to new intellectual property, consultants, research and development, pilot field tests and equipment purchases with respect to the proposed commercialization stage of the technology. To date, we have paid and expensed approximately $2.5 million cumulatively to purchase our ownership interest and fund patent and other expenses. We have not yet tested or proven the commercial feasibility of the technology.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During the three months ended July 31, 2021, we did not change any of our critical accounting policies as disclosed in our 2020 Annual Report on Form 10-K as filed with the Securities and Exchange Commission on April 12, 2021.</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All references in this report to a particular fiscal year are to REX’s fiscal year ended January 31. For example, “fiscal year 2021” means the period February 1, 2021 to January 31, 2022.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Trends and Uncertainties</w:t>
      </w:r>
    </w:p>
    <w:p>
      <w:pPr>
        <w:spacing w:after="0" w:line="239" w:lineRule="exact"/>
        <w:rPr>
          <w:sz w:val="20"/>
          <w:szCs w:val="20"/>
          <w:color w:val="auto"/>
        </w:rPr>
      </w:pPr>
    </w:p>
    <w:p>
      <w:pPr>
        <w:jc w:val="both"/>
        <w:ind w:right="240" w:firstLine="648"/>
        <w:spacing w:after="0"/>
        <w:rPr>
          <w:sz w:val="20"/>
          <w:szCs w:val="20"/>
          <w:color w:val="auto"/>
        </w:rPr>
      </w:pPr>
      <w:r>
        <w:rPr>
          <w:rFonts w:ascii="Arial" w:cs="Arial" w:eastAsia="Arial" w:hAnsi="Arial"/>
          <w:sz w:val="22"/>
          <w:szCs w:val="22"/>
          <w:color w:val="auto"/>
        </w:rPr>
        <w:t>In recent years, operating results in our ethanol and by-products segment have been, at times affected by a weak margin environment including such factors as higher costs for corn, including increased basis over index pricing, lower availability of local corn, lower ethanol demand and the EPA granting small refiner waivers.</w:t>
      </w:r>
    </w:p>
    <w:p>
      <w:pPr>
        <w:spacing w:after="0" w:line="21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During the early months of 2020, COVID-19 spread into the United States and other countries. In an effort to contain the spread of this virus, there were various government mandated restrictions, in addition to voluntary privately implemented restrictions, including limiting public gatherings, retail store closures, restrictions on employees working and the quarantining of people who may have been exposed to the virus. This led to reduced demand for gasoline and ethanol, which consequently resulted in historically low ethanol pricing. As a result, we idled our NuGen and One Earth ethanol plants in March of 2020. In May of 2020, businesses and other activities slowly began to reopen, which led to an increase in demand for gasoline and ethanol, and in related prices. As a result, we resumed production operations at the One Earth ethanol plant in late May of 2020 and at NuGen in late June of 2020. In addition, actions by the Federal Reserve related to the COVID-19 outbreak, reduced interest rates. Given the amount of cash and short-term investments we have, this has reduced our interest income and could continue in future periods, depending on the length of time interest rates remain at these levels. The impacts of the COVID-19 outbreak on our business operations, including the recent Delta variant, cannot be reasonably estimated at this time, although a prolonged production stoppage at our plants could have a material adverse impact on our results of operations, financial condition and cash flows in future periods.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6" w:name="page27"/>
    <w:bookmarkEnd w:id="26"/>
    <w:p>
      <w:pPr>
        <w:jc w:val="both"/>
        <w:ind w:firstLine="648"/>
        <w:spacing w:after="0" w:line="279" w:lineRule="auto"/>
        <w:rPr>
          <w:sz w:val="20"/>
          <w:szCs w:val="20"/>
          <w:color w:val="auto"/>
        </w:rPr>
      </w:pPr>
      <w:r>
        <w:rPr>
          <w:rFonts w:ascii="Arial" w:cs="Arial" w:eastAsia="Arial" w:hAnsi="Arial"/>
          <w:sz w:val="19"/>
          <w:szCs w:val="19"/>
          <w:color w:val="auto"/>
        </w:rPr>
        <w:t>Congress passed the CARES Act in March 2020, which provided the United States department of Agriculture (“USDA”) with additional funding from the “Commodity Credit Corporation. The USDA is using this additional funding to provide direct payments to farmers, including farmers that we purchase corn from. Such direct payments to farmers could cause further delays in marketing decisions. Consequently, this could reduce the supply of available corn and could result in a price increase. In addition, China has been purchasing large quantities of corn, which has led to higher prices for corn. We have experienced an increase in the local basis price paid over Chicago Board of Trade for corn during the first six months of fiscal year 2021.</w:t>
      </w:r>
    </w:p>
    <w:p>
      <w:pPr>
        <w:spacing w:after="0" w:line="177"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Renewable Fuel Standard II (“RFS II”), established in October 2010, has been an important factor in the growth of ethanol usage in the United States. When it was originally established by Congress, RFS II required the volume of “conventional” or corn derived ethanol to be blended with gasoline to increase each year until it reached 15.0 billion gallons in 2015 and was to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On December 19, 2019, the EPA announced the final 2020 renewable volume obligation for conventional ethanol, which met the 15.0 billion gallons congressional target. The EPA has missed its deadline and has not yet released a draft renewable volume obligation rule for the 2021 volumes. On April 15, 2020, five state Governors sent a letter to the EPA requesting a general waiver of the RFS II requirements due to the drop in demand caused by COVID-19 travel restrictions. On October 21, 2020, 15 U.S. Senators sent a letter to the EPA requesting a general waiver of the RFS II requirements to reduce the 2021 renewable volume obligation, citing the reduced demand for fuels due to COVID-19.</w:t>
      </w:r>
    </w:p>
    <w:p>
      <w:pPr>
        <w:spacing w:after="0" w:line="213"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On June 25, 2021, the Supreme Court of the United States ruled in favor of small refiners and reversed a portion of the decision by the U.S. Court of Appeals for the 10th Circuit on small refiner waivers (SRWs). It only reversed the interpretation of “extension” of a waiver but not the economic hardship portion of the decision. It remains unclear how the Supreme Court decision may impact the EPA’s handling of SRWs.</w:t>
      </w:r>
    </w:p>
    <w:p>
      <w:pPr>
        <w:spacing w:after="0" w:line="212" w:lineRule="exact"/>
        <w:rPr>
          <w:sz w:val="20"/>
          <w:szCs w:val="20"/>
          <w:color w:val="auto"/>
        </w:rPr>
      </w:pPr>
    </w:p>
    <w:p>
      <w:pPr>
        <w:ind w:right="420" w:firstLine="648"/>
        <w:spacing w:after="0" w:line="238" w:lineRule="auto"/>
        <w:rPr>
          <w:sz w:val="20"/>
          <w:szCs w:val="20"/>
          <w:color w:val="auto"/>
        </w:rPr>
      </w:pPr>
      <w:r>
        <w:rPr>
          <w:rFonts w:ascii="Arial" w:cs="Arial" w:eastAsia="Arial" w:hAnsi="Arial"/>
          <w:sz w:val="22"/>
          <w:szCs w:val="22"/>
          <w:color w:val="auto"/>
        </w:rPr>
        <w:t>Throughout fiscal year 2020 and the first six months of fiscal year 2021, operating results in our refined coal segment were affected by inconsistent utility plant demand (our only customer). By November 18, 2021, we expect to cease these operations and the resulting earning of production tax credits, as based upon current legislation this facility will no longer be eligible to earn additional tax credits beyond that date.</w:t>
      </w:r>
    </w:p>
    <w:p>
      <w:pPr>
        <w:spacing w:after="0" w:line="212" w:lineRule="exact"/>
        <w:rPr>
          <w:sz w:val="20"/>
          <w:szCs w:val="20"/>
          <w:color w:val="auto"/>
        </w:rPr>
      </w:pPr>
    </w:p>
    <w:p>
      <w:pPr>
        <w:jc w:val="center"/>
        <w:ind w:right="260"/>
        <w:spacing w:after="0" w:line="430" w:lineRule="auto"/>
        <w:rPr>
          <w:sz w:val="20"/>
          <w:szCs w:val="20"/>
          <w:color w:val="auto"/>
        </w:rPr>
      </w:pPr>
      <w:r>
        <w:rPr>
          <w:rFonts w:ascii="Arial" w:cs="Arial" w:eastAsia="Arial" w:hAnsi="Arial"/>
          <w:sz w:val="22"/>
          <w:szCs w:val="22"/>
          <w:color w:val="auto"/>
        </w:rPr>
        <w:t>Should these trends and uncertainties continue, our future operating results are likely to be negatively impacted.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color w:val="auto"/>
        </w:rPr>
        <w:t>Comparison of Three and Six Months Ended July 31, 2021 and 2020</w:t>
      </w:r>
    </w:p>
    <w:p>
      <w:pPr>
        <w:spacing w:after="0" w:line="239"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The following sections discuss the results of operations for each of our business segments and corporate and other. Amounts in the corporate and other category include activities that are not separately reportable or related to a segment. We have two reportable segments: i) ethanol and by-products; and ii) refined coal. We evaluate the performance of each reportable segment using net income attributable to REX common shareholders. Segment profitability measures are determined using the same accounting policies used in the preparation of the consolidated financial statements. The following tables summarizes segment and other results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6"/>
          </w:tcPr>
          <w:p>
            <w:pPr>
              <w:ind w:left="160"/>
              <w:spacing w:after="0"/>
              <w:rPr>
                <w:sz w:val="20"/>
                <w:szCs w:val="20"/>
                <w:color w:val="auto"/>
              </w:rPr>
            </w:pPr>
            <w:r>
              <w:rPr>
                <w:rFonts w:ascii="Arial" w:cs="Arial" w:eastAsia="Arial" w:hAnsi="Arial"/>
                <w:sz w:val="22"/>
                <w:szCs w:val="22"/>
                <w:b w:val="1"/>
                <w:bCs w:val="1"/>
                <w:color w:val="auto"/>
              </w:rPr>
              <w:t>Six Months Ended</w:t>
            </w:r>
          </w:p>
        </w:tc>
      </w:tr>
      <w:tr>
        <w:trPr>
          <w:trHeight w:val="257"/>
        </w:trPr>
        <w:tc>
          <w:tcPr>
            <w:tcW w:w="40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4040" w:type="dxa"/>
            <w:vAlign w:val="bottom"/>
            <w:tcBorders>
              <w:bottom w:val="single" w:sz="8" w:color="E5FFFF"/>
            </w:tcBorders>
          </w:tcPr>
          <w:p>
            <w:pPr>
              <w:spacing w:after="0"/>
              <w:rPr>
                <w:sz w:val="23"/>
                <w:szCs w:val="23"/>
                <w:color w:val="auto"/>
              </w:rPr>
            </w:pPr>
          </w:p>
        </w:tc>
        <w:tc>
          <w:tcPr>
            <w:tcW w:w="170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20" w:type="dxa"/>
            <w:vAlign w:val="bottom"/>
            <w:tcBorders>
              <w:bottom w:val="single" w:sz="8" w:color="E5FFFF"/>
            </w:tcBorders>
          </w:tcPr>
          <w:p>
            <w:pPr>
              <w:spacing w:after="0"/>
              <w:rPr>
                <w:sz w:val="23"/>
                <w:szCs w:val="23"/>
                <w:color w:val="auto"/>
              </w:rPr>
            </w:pPr>
          </w:p>
        </w:tc>
        <w:tc>
          <w:tcPr>
            <w:tcW w:w="80" w:type="dxa"/>
            <w:vAlign w:val="bottom"/>
            <w:tcBorders>
              <w:bottom w:val="single" w:sz="8" w:color="E5FFFF"/>
            </w:tcBorders>
          </w:tcPr>
          <w:p>
            <w:pPr>
              <w:spacing w:after="0"/>
              <w:rPr>
                <w:sz w:val="23"/>
                <w:szCs w:val="23"/>
                <w:color w:val="auto"/>
              </w:rPr>
            </w:pPr>
          </w:p>
        </w:tc>
      </w:tr>
      <w:tr>
        <w:trPr>
          <w:trHeight w:val="237"/>
        </w:trPr>
        <w:tc>
          <w:tcPr>
            <w:tcW w:w="40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Net sales and revenue:</w:t>
            </w:r>
          </w:p>
        </w:tc>
        <w:tc>
          <w:tcPr>
            <w:tcW w:w="17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r>
      <w:tr>
        <w:trPr>
          <w:trHeight w:val="243"/>
        </w:trPr>
        <w:tc>
          <w:tcPr>
            <w:tcW w:w="404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195,678</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39,242</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w w:val="98"/>
              </w:rPr>
              <w:t>359,720</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w w:val="98"/>
              </w:rPr>
              <w:t>122,477</w:t>
            </w:r>
          </w:p>
        </w:tc>
        <w:tc>
          <w:tcPr>
            <w:tcW w:w="80" w:type="dxa"/>
            <w:vAlign w:val="bottom"/>
          </w:tcPr>
          <w:p>
            <w:pPr>
              <w:spacing w:after="0"/>
              <w:rPr>
                <w:sz w:val="21"/>
                <w:szCs w:val="21"/>
                <w:color w:val="auto"/>
              </w:rPr>
            </w:pPr>
          </w:p>
        </w:tc>
      </w:tr>
      <w:tr>
        <w:trPr>
          <w:trHeight w:val="310"/>
        </w:trPr>
        <w:tc>
          <w:tcPr>
            <w:tcW w:w="4040" w:type="dxa"/>
            <w:vAlign w:val="bottom"/>
            <w:shd w:val="clear" w:color="auto" w:fill="E5FFFF"/>
          </w:tcPr>
          <w:p>
            <w:pPr>
              <w:spacing w:after="0" w:line="311" w:lineRule="exact"/>
              <w:rPr>
                <w:sz w:val="20"/>
                <w:szCs w:val="20"/>
                <w:color w:val="auto"/>
              </w:rPr>
            </w:pPr>
            <w:r>
              <w:rPr>
                <w:rFonts w:ascii="Arial" w:cs="Arial" w:eastAsia="Arial" w:hAnsi="Arial"/>
                <w:sz w:val="22"/>
                <w:szCs w:val="22"/>
                <w:color w:val="auto"/>
              </w:rPr>
              <w:t xml:space="preserve">Refined coal </w:t>
            </w:r>
            <w:r>
              <w:rPr>
                <w:rFonts w:ascii="Arial" w:cs="Arial" w:eastAsia="Arial" w:hAnsi="Arial"/>
                <w:sz w:val="35"/>
                <w:szCs w:val="35"/>
                <w:color w:val="auto"/>
                <w:vertAlign w:val="superscript"/>
              </w:rPr>
              <w:t>1</w:t>
            </w:r>
          </w:p>
        </w:tc>
        <w:tc>
          <w:tcPr>
            <w:tcW w:w="170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165</w:t>
            </w:r>
          </w:p>
        </w:tc>
        <w:tc>
          <w:tcPr>
            <w:tcW w:w="46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85</w:t>
            </w:r>
          </w:p>
        </w:tc>
        <w:tc>
          <w:tcPr>
            <w:tcW w:w="440" w:type="dxa"/>
            <w:vAlign w:val="bottom"/>
            <w:shd w:val="clear" w:color="auto" w:fill="E5FFFF"/>
          </w:tcPr>
          <w:p>
            <w:pPr>
              <w:spacing w:after="0"/>
              <w:rPr>
                <w:sz w:val="24"/>
                <w:szCs w:val="24"/>
                <w:color w:val="auto"/>
              </w:rPr>
            </w:pPr>
          </w:p>
        </w:tc>
        <w:tc>
          <w:tcPr>
            <w:tcW w:w="200" w:type="dxa"/>
            <w:vAlign w:val="bottom"/>
            <w:shd w:val="clear" w:color="auto" w:fill="E5FFFF"/>
          </w:tcPr>
          <w:p>
            <w:pPr>
              <w:spacing w:after="0"/>
              <w:rPr>
                <w:sz w:val="24"/>
                <w:szCs w:val="24"/>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227</w:t>
            </w:r>
          </w:p>
        </w:tc>
        <w:tc>
          <w:tcPr>
            <w:tcW w:w="200" w:type="dxa"/>
            <w:vAlign w:val="bottom"/>
            <w:shd w:val="clear" w:color="auto" w:fill="E5FFFF"/>
          </w:tcPr>
          <w:p>
            <w:pPr>
              <w:spacing w:after="0"/>
              <w:rPr>
                <w:sz w:val="24"/>
                <w:szCs w:val="24"/>
                <w:color w:val="auto"/>
              </w:rPr>
            </w:pPr>
          </w:p>
        </w:tc>
        <w:tc>
          <w:tcPr>
            <w:tcW w:w="820" w:type="dxa"/>
            <w:vAlign w:val="bottom"/>
            <w:gridSpan w:val="2"/>
            <w:shd w:val="clear" w:color="auto" w:fill="E5FFFF"/>
          </w:tcPr>
          <w:p>
            <w:pPr>
              <w:jc w:val="right"/>
              <w:ind w:right="20"/>
              <w:spacing w:after="0"/>
              <w:rPr>
                <w:sz w:val="20"/>
                <w:szCs w:val="20"/>
                <w:color w:val="auto"/>
              </w:rPr>
            </w:pPr>
            <w:r>
              <w:rPr>
                <w:rFonts w:ascii="Arial" w:cs="Arial" w:eastAsia="Arial" w:hAnsi="Arial"/>
                <w:sz w:val="22"/>
                <w:szCs w:val="22"/>
                <w:color w:val="auto"/>
              </w:rPr>
              <w:t>100</w:t>
            </w:r>
          </w:p>
        </w:tc>
        <w:tc>
          <w:tcPr>
            <w:tcW w:w="80" w:type="dxa"/>
            <w:vAlign w:val="bottom"/>
            <w:shd w:val="clear" w:color="auto" w:fill="E5FFFF"/>
          </w:tcPr>
          <w:p>
            <w:pPr>
              <w:spacing w:after="0"/>
              <w:rPr>
                <w:sz w:val="24"/>
                <w:szCs w:val="24"/>
                <w:color w:val="auto"/>
              </w:rPr>
            </w:pPr>
          </w:p>
        </w:tc>
      </w:tr>
      <w:tr>
        <w:trPr>
          <w:trHeight w:val="250"/>
        </w:trPr>
        <w:tc>
          <w:tcPr>
            <w:tcW w:w="4040" w:type="dxa"/>
            <w:vAlign w:val="bottom"/>
          </w:tcPr>
          <w:p>
            <w:pPr>
              <w:spacing w:after="0" w:line="250" w:lineRule="exact"/>
              <w:rPr>
                <w:sz w:val="20"/>
                <w:szCs w:val="20"/>
                <w:color w:val="auto"/>
              </w:rPr>
            </w:pPr>
            <w:r>
              <w:rPr>
                <w:rFonts w:ascii="Arial" w:cs="Arial" w:eastAsia="Arial" w:hAnsi="Arial"/>
                <w:sz w:val="22"/>
                <w:szCs w:val="22"/>
                <w:color w:val="auto"/>
              </w:rPr>
              <w:t>Total net sales and revenue</w:t>
            </w:r>
          </w:p>
        </w:tc>
        <w:tc>
          <w:tcPr>
            <w:tcW w:w="17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195,843</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39,327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359,947</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8"/>
              </w:rPr>
              <w:t>122,577</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6" w:lineRule="exact"/>
        <w:rPr>
          <w:sz w:val="20"/>
          <w:szCs w:val="20"/>
          <w:color w:val="auto"/>
        </w:rPr>
      </w:pPr>
    </w:p>
    <w:p>
      <w:pPr>
        <w:ind w:right="660" w:firstLine="656"/>
        <w:spacing w:after="0" w:line="196" w:lineRule="auto"/>
        <w:tabs>
          <w:tab w:leader="none" w:pos="783" w:val="left"/>
        </w:tabs>
        <w:numPr>
          <w:ilvl w:val="0"/>
          <w:numId w:val="8"/>
        </w:numPr>
        <w:rPr>
          <w:rFonts w:ascii="Arial" w:cs="Arial" w:eastAsia="Arial" w:hAnsi="Arial"/>
          <w:sz w:val="34"/>
          <w:szCs w:val="34"/>
          <w:color w:val="auto"/>
          <w:vertAlign w:val="superscript"/>
        </w:rPr>
      </w:pPr>
      <w:r>
        <w:rPr>
          <w:rFonts w:ascii="Arial" w:cs="Arial" w:eastAsia="Arial" w:hAnsi="Arial"/>
          <w:sz w:val="21"/>
          <w:szCs w:val="21"/>
          <w:color w:val="auto"/>
        </w:rPr>
        <w:t>The Company records sales in the refined coal segment net of the cost of coal as the Company purchases the coal feedstock from the customer to which refined coal is sold.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E5FFFF"/>
            </w:tcBorders>
          </w:tcPr>
          <w:p>
            <w:pPr>
              <w:spacing w:after="0"/>
              <w:rPr>
                <w:sz w:val="23"/>
                <w:szCs w:val="23"/>
                <w:color w:val="auto"/>
              </w:rPr>
            </w:pPr>
          </w:p>
        </w:tc>
        <w:tc>
          <w:tcPr>
            <w:tcW w:w="12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5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Segment gross profit (loss):</w:t>
            </w:r>
          </w:p>
        </w:tc>
        <w:tc>
          <w:tcPr>
            <w:tcW w:w="12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40" w:type="dxa"/>
            <w:vAlign w:val="bottom"/>
            <w:shd w:val="clear" w:color="auto" w:fill="E5FFFF"/>
          </w:tcPr>
          <w:p>
            <w:pPr>
              <w:spacing w:after="0"/>
              <w:rPr>
                <w:sz w:val="20"/>
                <w:szCs w:val="20"/>
                <w:color w:val="auto"/>
              </w:rPr>
            </w:pP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2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8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14,155</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553</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33,631</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(7,670)</w:t>
            </w:r>
          </w:p>
        </w:tc>
        <w:tc>
          <w:tcPr>
            <w:tcW w:w="0" w:type="dxa"/>
            <w:vAlign w:val="bottom"/>
          </w:tcPr>
          <w:p>
            <w:pPr>
              <w:spacing w:after="0"/>
              <w:rPr>
                <w:sz w:val="1"/>
                <w:szCs w:val="1"/>
                <w:color w:val="auto"/>
              </w:rPr>
            </w:pPr>
          </w:p>
        </w:tc>
      </w:tr>
      <w:tr>
        <w:trPr>
          <w:trHeight w:val="257"/>
        </w:trPr>
        <w:tc>
          <w:tcPr>
            <w:tcW w:w="4500" w:type="dxa"/>
            <w:vAlign w:val="bottom"/>
            <w:shd w:val="clear" w:color="auto" w:fill="E5FFFF"/>
          </w:tcPr>
          <w:p>
            <w:pPr>
              <w:spacing w:after="0"/>
              <w:rPr>
                <w:sz w:val="20"/>
                <w:szCs w:val="20"/>
                <w:color w:val="auto"/>
              </w:rPr>
            </w:pPr>
            <w:r>
              <w:rPr>
                <w:rFonts w:ascii="Arial" w:cs="Arial" w:eastAsia="Arial" w:hAnsi="Arial"/>
                <w:sz w:val="22"/>
                <w:szCs w:val="22"/>
                <w:color w:val="auto"/>
              </w:rPr>
              <w:t>Refined coal</w:t>
            </w:r>
          </w:p>
        </w:tc>
        <w:tc>
          <w:tcPr>
            <w:tcW w:w="1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(3,081)</w:t>
            </w:r>
          </w:p>
        </w:tc>
        <w:tc>
          <w:tcPr>
            <w:tcW w:w="4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(1,884)</w:t>
            </w:r>
          </w:p>
        </w:tc>
        <w:tc>
          <w:tcPr>
            <w:tcW w:w="4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(4,755)</w:t>
            </w:r>
          </w:p>
        </w:tc>
        <w:tc>
          <w:tcPr>
            <w:tcW w:w="20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(2,991)</w:t>
            </w:r>
          </w:p>
        </w:tc>
        <w:tc>
          <w:tcPr>
            <w:tcW w:w="0" w:type="dxa"/>
            <w:vAlign w:val="bottom"/>
          </w:tcPr>
          <w:p>
            <w:pPr>
              <w:spacing w:after="0"/>
              <w:rPr>
                <w:sz w:val="1"/>
                <w:szCs w:val="1"/>
                <w:color w:val="auto"/>
              </w:rPr>
            </w:pPr>
          </w:p>
        </w:tc>
      </w:tr>
      <w:tr>
        <w:trPr>
          <w:trHeight w:val="250"/>
        </w:trPr>
        <w:tc>
          <w:tcPr>
            <w:tcW w:w="4500" w:type="dxa"/>
            <w:vAlign w:val="bottom"/>
          </w:tcPr>
          <w:p>
            <w:pPr>
              <w:spacing w:after="0" w:line="250" w:lineRule="exact"/>
              <w:rPr>
                <w:sz w:val="20"/>
                <w:szCs w:val="20"/>
                <w:color w:val="auto"/>
              </w:rPr>
            </w:pPr>
            <w:r>
              <w:rPr>
                <w:rFonts w:ascii="Arial" w:cs="Arial" w:eastAsia="Arial" w:hAnsi="Arial"/>
                <w:sz w:val="22"/>
                <w:szCs w:val="22"/>
                <w:color w:val="auto"/>
              </w:rPr>
              <w:t>Total gross profit (loss)</w:t>
            </w:r>
          </w:p>
        </w:tc>
        <w:tc>
          <w:tcPr>
            <w:tcW w:w="12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11,074</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(1,331)</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28,876</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95"/>
              </w:rPr>
              <w:t>(10,661)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Income (loss) before income taxes:</w:t>
            </w:r>
          </w:p>
        </w:tc>
        <w:tc>
          <w:tcPr>
            <w:tcW w:w="1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Ethanol and by-products</w:t>
            </w:r>
          </w:p>
        </w:tc>
        <w:tc>
          <w:tcPr>
            <w:tcW w:w="144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10,732</w:t>
            </w:r>
          </w:p>
        </w:tc>
        <w:tc>
          <w:tcPr>
            <w:tcW w:w="660" w:type="dxa"/>
            <w:vAlign w:val="bottom"/>
            <w:gridSpan w:val="2"/>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(3,259)</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21,820</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w w:val="95"/>
              </w:rPr>
              <w:t>(15,610)</w:t>
            </w:r>
          </w:p>
        </w:tc>
        <w:tc>
          <w:tcPr>
            <w:tcW w:w="0" w:type="dxa"/>
            <w:vAlign w:val="bottom"/>
          </w:tcPr>
          <w:p>
            <w:pPr>
              <w:spacing w:after="0"/>
              <w:rPr>
                <w:sz w:val="1"/>
                <w:szCs w:val="1"/>
                <w:color w:val="auto"/>
              </w:rPr>
            </w:pPr>
          </w:p>
        </w:tc>
      </w:tr>
      <w:tr>
        <w:trPr>
          <w:trHeight w:val="243"/>
        </w:trPr>
        <w:tc>
          <w:tcPr>
            <w:tcW w:w="4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Refined coal</w:t>
            </w:r>
          </w:p>
        </w:tc>
        <w:tc>
          <w:tcPr>
            <w:tcW w:w="12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(3,455)</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(2,118)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(5,260)</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(2,965)</w:t>
            </w:r>
          </w:p>
        </w:tc>
        <w:tc>
          <w:tcPr>
            <w:tcW w:w="0" w:type="dxa"/>
            <w:vAlign w:val="bottom"/>
          </w:tcPr>
          <w:p>
            <w:pPr>
              <w:spacing w:after="0"/>
              <w:rPr>
                <w:sz w:val="1"/>
                <w:szCs w:val="1"/>
                <w:color w:val="auto"/>
              </w:rPr>
            </w:pPr>
          </w:p>
        </w:tc>
      </w:tr>
      <w:tr>
        <w:trPr>
          <w:trHeight w:val="256"/>
        </w:trPr>
        <w:tc>
          <w:tcPr>
            <w:tcW w:w="4500" w:type="dxa"/>
            <w:vAlign w:val="bottom"/>
          </w:tcPr>
          <w:p>
            <w:pPr>
              <w:spacing w:after="0"/>
              <w:rPr>
                <w:sz w:val="20"/>
                <w:szCs w:val="20"/>
                <w:color w:val="auto"/>
              </w:rPr>
            </w:pPr>
            <w:r>
              <w:rPr>
                <w:rFonts w:ascii="Arial" w:cs="Arial" w:eastAsia="Arial" w:hAnsi="Arial"/>
                <w:sz w:val="22"/>
                <w:szCs w:val="22"/>
                <w:color w:val="auto"/>
              </w:rPr>
              <w:t>Corporate and other</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(902)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(702)</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(1,758)</w:t>
            </w: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(1,247)</w:t>
            </w:r>
          </w:p>
        </w:tc>
        <w:tc>
          <w:tcPr>
            <w:tcW w:w="0" w:type="dxa"/>
            <w:vAlign w:val="bottom"/>
          </w:tcPr>
          <w:p>
            <w:pPr>
              <w:spacing w:after="0"/>
              <w:rPr>
                <w:sz w:val="1"/>
                <w:szCs w:val="1"/>
                <w:color w:val="auto"/>
              </w:rPr>
            </w:pPr>
          </w:p>
        </w:tc>
      </w:tr>
      <w:tr>
        <w:trPr>
          <w:trHeight w:val="250"/>
        </w:trPr>
        <w:tc>
          <w:tcPr>
            <w:tcW w:w="45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 income (loss) before income taxes</w:t>
            </w:r>
          </w:p>
        </w:tc>
        <w:tc>
          <w:tcPr>
            <w:tcW w:w="12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6,375</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(6,079)</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14,802</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5"/>
              </w:rPr>
              <w:t>(19,822)</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22"/>
                <w:szCs w:val="22"/>
                <w:color w:val="auto"/>
              </w:rPr>
              <w:t>(Provision) benefit for income taxes: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5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Ethanol and by-products</w:t>
            </w:r>
          </w:p>
        </w:tc>
        <w:tc>
          <w:tcPr>
            <w:tcW w:w="144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(1,985)</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893</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(4,423)</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5,054</w:t>
            </w:r>
          </w:p>
        </w:tc>
        <w:tc>
          <w:tcPr>
            <w:tcW w:w="0" w:type="dxa"/>
            <w:vAlign w:val="bottom"/>
          </w:tcPr>
          <w:p>
            <w:pPr>
              <w:spacing w:after="0"/>
              <w:rPr>
                <w:sz w:val="1"/>
                <w:szCs w:val="1"/>
                <w:color w:val="auto"/>
              </w:rPr>
            </w:pPr>
          </w:p>
        </w:tc>
      </w:tr>
      <w:tr>
        <w:trPr>
          <w:trHeight w:val="243"/>
        </w:trPr>
        <w:tc>
          <w:tcPr>
            <w:tcW w:w="4500" w:type="dxa"/>
            <w:vAlign w:val="bottom"/>
          </w:tcPr>
          <w:p>
            <w:pPr>
              <w:spacing w:after="0" w:line="243" w:lineRule="exact"/>
              <w:rPr>
                <w:sz w:val="20"/>
                <w:szCs w:val="20"/>
                <w:color w:val="auto"/>
              </w:rPr>
            </w:pPr>
            <w:r>
              <w:rPr>
                <w:rFonts w:ascii="Arial" w:cs="Arial" w:eastAsia="Arial" w:hAnsi="Arial"/>
                <w:sz w:val="22"/>
                <w:szCs w:val="22"/>
                <w:color w:val="auto"/>
              </w:rPr>
              <w:t>Refined coal</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5,441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2,919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7,639</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3,878</w:t>
            </w:r>
          </w:p>
        </w:tc>
        <w:tc>
          <w:tcPr>
            <w:tcW w:w="0" w:type="dxa"/>
            <w:vAlign w:val="bottom"/>
          </w:tcPr>
          <w:p>
            <w:pPr>
              <w:spacing w:after="0"/>
              <w:rPr>
                <w:sz w:val="1"/>
                <w:szCs w:val="1"/>
                <w:color w:val="auto"/>
              </w:rPr>
            </w:pPr>
          </w:p>
        </w:tc>
      </w:tr>
      <w:tr>
        <w:trPr>
          <w:trHeight w:val="256"/>
        </w:trPr>
        <w:tc>
          <w:tcPr>
            <w:tcW w:w="4500" w:type="dxa"/>
            <w:vAlign w:val="bottom"/>
            <w:shd w:val="clear" w:color="auto" w:fill="E5FFFF"/>
          </w:tcPr>
          <w:p>
            <w:pPr>
              <w:spacing w:after="0"/>
              <w:rPr>
                <w:sz w:val="20"/>
                <w:szCs w:val="20"/>
                <w:color w:val="auto"/>
              </w:rPr>
            </w:pPr>
            <w:r>
              <w:rPr>
                <w:rFonts w:ascii="Arial" w:cs="Arial" w:eastAsia="Arial" w:hAnsi="Arial"/>
                <w:sz w:val="22"/>
                <w:szCs w:val="22"/>
                <w:color w:val="auto"/>
              </w:rPr>
              <w:t>Corporate and other</w:t>
            </w:r>
          </w:p>
        </w:tc>
        <w:tc>
          <w:tcPr>
            <w:tcW w:w="12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221</w:t>
            </w:r>
          </w:p>
        </w:tc>
        <w:tc>
          <w:tcPr>
            <w:tcW w:w="4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22"/>
                <w:szCs w:val="22"/>
                <w:color w:val="auto"/>
              </w:rPr>
              <w:t>234</w:t>
            </w:r>
          </w:p>
        </w:tc>
        <w:tc>
          <w:tcPr>
            <w:tcW w:w="44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240" w:type="dxa"/>
            <w:vAlign w:val="bottom"/>
            <w:gridSpan w:val="2"/>
            <w:shd w:val="clear" w:color="auto" w:fill="E5FFFF"/>
          </w:tcPr>
          <w:p>
            <w:pPr>
              <w:jc w:val="right"/>
              <w:ind w:right="440"/>
              <w:spacing w:after="0"/>
              <w:rPr>
                <w:sz w:val="20"/>
                <w:szCs w:val="20"/>
                <w:color w:val="auto"/>
              </w:rPr>
            </w:pPr>
            <w:r>
              <w:rPr>
                <w:rFonts w:ascii="Arial" w:cs="Arial" w:eastAsia="Arial" w:hAnsi="Arial"/>
                <w:sz w:val="22"/>
                <w:szCs w:val="22"/>
                <w:color w:val="auto"/>
              </w:rPr>
              <w:t>432</w:t>
            </w:r>
          </w:p>
        </w:tc>
        <w:tc>
          <w:tcPr>
            <w:tcW w:w="200" w:type="dxa"/>
            <w:vAlign w:val="bottom"/>
            <w:shd w:val="clear" w:color="auto" w:fill="E5FFFF"/>
          </w:tcPr>
          <w:p>
            <w:pPr>
              <w:spacing w:after="0"/>
              <w:rPr>
                <w:sz w:val="22"/>
                <w:szCs w:val="22"/>
                <w:color w:val="auto"/>
              </w:rPr>
            </w:pPr>
          </w:p>
        </w:tc>
        <w:tc>
          <w:tcPr>
            <w:tcW w:w="900" w:type="dxa"/>
            <w:vAlign w:val="bottom"/>
            <w:gridSpan w:val="2"/>
            <w:shd w:val="clear" w:color="auto" w:fill="E5FFFF"/>
          </w:tcPr>
          <w:p>
            <w:pPr>
              <w:jc w:val="right"/>
              <w:ind w:right="100"/>
              <w:spacing w:after="0"/>
              <w:rPr>
                <w:sz w:val="20"/>
                <w:szCs w:val="20"/>
                <w:color w:val="auto"/>
              </w:rPr>
            </w:pPr>
            <w:r>
              <w:rPr>
                <w:rFonts w:ascii="Arial" w:cs="Arial" w:eastAsia="Arial" w:hAnsi="Arial"/>
                <w:sz w:val="22"/>
                <w:szCs w:val="22"/>
                <w:color w:val="auto"/>
              </w:rPr>
              <w:t>427</w:t>
            </w:r>
          </w:p>
        </w:tc>
        <w:tc>
          <w:tcPr>
            <w:tcW w:w="0" w:type="dxa"/>
            <w:vAlign w:val="bottom"/>
          </w:tcPr>
          <w:p>
            <w:pPr>
              <w:spacing w:after="0"/>
              <w:rPr>
                <w:sz w:val="1"/>
                <w:szCs w:val="1"/>
                <w:color w:val="auto"/>
              </w:rPr>
            </w:pPr>
          </w:p>
        </w:tc>
      </w:tr>
      <w:tr>
        <w:trPr>
          <w:trHeight w:val="250"/>
        </w:trPr>
        <w:tc>
          <w:tcPr>
            <w:tcW w:w="4500" w:type="dxa"/>
            <w:vAlign w:val="bottom"/>
          </w:tcPr>
          <w:p>
            <w:pPr>
              <w:spacing w:after="0" w:line="250" w:lineRule="exact"/>
              <w:rPr>
                <w:sz w:val="20"/>
                <w:szCs w:val="20"/>
                <w:color w:val="auto"/>
              </w:rPr>
            </w:pPr>
            <w:r>
              <w:rPr>
                <w:rFonts w:ascii="Arial" w:cs="Arial" w:eastAsia="Arial" w:hAnsi="Arial"/>
                <w:sz w:val="22"/>
                <w:szCs w:val="22"/>
                <w:color w:val="auto"/>
              </w:rPr>
              <w:t>Total benefit for income taxes</w:t>
            </w:r>
          </w:p>
        </w:tc>
        <w:tc>
          <w:tcPr>
            <w:tcW w:w="12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3,677</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4,046</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3,648</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28</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5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500" w:type="dxa"/>
            <w:vAlign w:val="bottom"/>
            <w:tcBorders>
              <w:bottom w:val="single" w:sz="8" w:color="C0C0C0"/>
            </w:tcBorders>
          </w:tcPr>
          <w:p>
            <w:pPr>
              <w:spacing w:after="0"/>
              <w:rPr>
                <w:sz w:val="20"/>
                <w:szCs w:val="20"/>
                <w:color w:val="auto"/>
              </w:rPr>
            </w:pPr>
          </w:p>
        </w:tc>
        <w:tc>
          <w:tcPr>
            <w:tcW w:w="1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96"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Net income (loss) (net of noncontrolling interests):</w:t>
      </w:r>
    </w:p>
    <w:p>
      <w:pPr>
        <w:spacing w:after="0" w:line="238" w:lineRule="auto"/>
        <w:rPr>
          <w:sz w:val="20"/>
          <w:szCs w:val="20"/>
          <w:color w:val="auto"/>
        </w:rPr>
      </w:pPr>
      <w:r>
        <w:rPr>
          <w:rFonts w:ascii="Arial" w:cs="Arial" w:eastAsia="Arial" w:hAnsi="Arial"/>
          <w:sz w:val="22"/>
          <w:szCs w:val="22"/>
          <w:color w:val="auto"/>
        </w:rPr>
        <w:t>Ethanol and by-products</w:t>
      </w:r>
    </w:p>
    <w:p>
      <w:pPr>
        <w:spacing w:after="0" w:line="230" w:lineRule="auto"/>
        <w:rPr>
          <w:sz w:val="20"/>
          <w:szCs w:val="20"/>
          <w:color w:val="auto"/>
        </w:rPr>
      </w:pPr>
      <w:r>
        <w:rPr>
          <w:rFonts w:ascii="Arial" w:cs="Arial" w:eastAsia="Arial" w:hAnsi="Arial"/>
          <w:sz w:val="22"/>
          <w:szCs w:val="22"/>
          <w:color w:val="auto"/>
        </w:rPr>
        <w:t>Refined coal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Corporate and other</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Net income (loss) attributable to REX common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240" w:type="dxa"/>
            <w:vAlign w:val="bottom"/>
            <w:gridSpan w:val="4"/>
          </w:tcPr>
          <w:p>
            <w:pPr>
              <w:jc w:val="right"/>
              <w:ind w:right="272"/>
              <w:spacing w:after="0"/>
              <w:rPr>
                <w:sz w:val="20"/>
                <w:szCs w:val="20"/>
                <w:color w:val="auto"/>
              </w:rPr>
            </w:pPr>
            <w:r>
              <w:rPr>
                <w:rFonts w:ascii="Arial" w:cs="Arial" w:eastAsia="Arial" w:hAnsi="Arial"/>
                <w:sz w:val="22"/>
                <w:szCs w:val="22"/>
                <w:b w:val="1"/>
                <w:bCs w:val="1"/>
                <w:color w:val="auto"/>
                <w:w w:val="96"/>
              </w:rPr>
              <w:t>Six Months Ended</w:t>
            </w:r>
          </w:p>
        </w:tc>
      </w:tr>
      <w:tr>
        <w:trPr>
          <w:trHeight w:val="256"/>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r>
      <w:tr>
        <w:trPr>
          <w:trHeight w:val="458"/>
        </w:trPr>
        <w:tc>
          <w:tcPr>
            <w:tcW w:w="200" w:type="dxa"/>
            <w:vAlign w:val="bottom"/>
            <w:gridSpan w:val="2"/>
          </w:tcPr>
          <w:p>
            <w:pPr>
              <w:jc w:val="right"/>
              <w:spacing w:after="0"/>
              <w:rPr>
                <w:sz w:val="20"/>
                <w:szCs w:val="20"/>
                <w:color w:val="auto"/>
              </w:rPr>
            </w:pPr>
            <w:r>
              <w:rPr>
                <w:rFonts w:ascii="Arial" w:cs="Arial" w:eastAsia="Arial" w:hAnsi="Arial"/>
                <w:sz w:val="22"/>
                <w:szCs w:val="22"/>
                <w:color w:val="auto"/>
                <w:w w:val="81"/>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6,418</w:t>
            </w:r>
          </w:p>
        </w:tc>
        <w:tc>
          <w:tcPr>
            <w:tcW w:w="66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(2,178)</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14,374</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Pr>
          <w:p>
            <w:pPr>
              <w:jc w:val="right"/>
              <w:spacing w:after="0"/>
              <w:rPr>
                <w:sz w:val="20"/>
                <w:szCs w:val="20"/>
                <w:color w:val="auto"/>
              </w:rPr>
            </w:pPr>
            <w:r>
              <w:rPr>
                <w:rFonts w:ascii="Arial" w:cs="Arial" w:eastAsia="Arial" w:hAnsi="Arial"/>
                <w:sz w:val="22"/>
                <w:szCs w:val="22"/>
                <w:color w:val="auto"/>
              </w:rPr>
              <w:t>(9,611)</w:t>
            </w:r>
          </w:p>
        </w:tc>
      </w:tr>
      <w:tr>
        <w:trPr>
          <w:trHeight w:val="257"/>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2,139</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898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2,612</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1,048</w:t>
            </w:r>
          </w:p>
        </w:tc>
      </w:tr>
      <w:tr>
        <w:trPr>
          <w:trHeight w:val="264"/>
        </w:trPr>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(681)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(468)</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(1,326)</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(820)</w:t>
            </w:r>
          </w:p>
        </w:tc>
      </w:tr>
      <w:tr>
        <w:trPr>
          <w:trHeight w:val="250"/>
        </w:trPr>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7,876</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(1,748)</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15,660</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(9,383)</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-830580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-513715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-196215</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500"/>
            <w:col w:w="5500"/>
          </w:cols>
          <w:pgMar w:left="320" w:top="386" w:right="339" w:bottom="1440" w:gutter="0" w:footer="0" w:header="0"/>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summarizes net sales and revenue from the ethanol and by-products segment (amounts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E5FFFF"/>
            </w:tcBorders>
          </w:tcPr>
          <w:p>
            <w:pPr>
              <w:spacing w:after="0"/>
              <w:rPr>
                <w:sz w:val="23"/>
                <w:szCs w:val="23"/>
                <w:color w:val="auto"/>
              </w:rPr>
            </w:pPr>
          </w:p>
        </w:tc>
        <w:tc>
          <w:tcPr>
            <w:tcW w:w="130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130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153,990</w:t>
            </w: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32,524</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98"/>
              </w:rPr>
              <w:t>280,059</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93,121</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tcPr>
          <w:p>
            <w:pPr>
              <w:spacing w:after="0" w:line="243" w:lineRule="exact"/>
              <w:rPr>
                <w:sz w:val="20"/>
                <w:szCs w:val="20"/>
                <w:color w:val="auto"/>
              </w:rPr>
            </w:pPr>
            <w:r>
              <w:rPr>
                <w:rFonts w:ascii="Arial" w:cs="Arial" w:eastAsia="Arial" w:hAnsi="Arial"/>
                <w:sz w:val="22"/>
                <w:szCs w:val="22"/>
                <w:color w:val="auto"/>
              </w:rPr>
              <w:t>Dried distillers grains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31,573</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5,480</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62,691</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24,398</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Non-food grade corn oil</w:t>
            </w:r>
          </w:p>
        </w:tc>
        <w:tc>
          <w:tcPr>
            <w:tcW w:w="1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9,813</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1,313</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15,407</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4,501</w:t>
            </w:r>
          </w:p>
        </w:tc>
        <w:tc>
          <w:tcPr>
            <w:tcW w:w="0" w:type="dxa"/>
            <w:vAlign w:val="bottom"/>
          </w:tcPr>
          <w:p>
            <w:pPr>
              <w:spacing w:after="0"/>
              <w:rPr>
                <w:sz w:val="1"/>
                <w:szCs w:val="1"/>
                <w:color w:val="auto"/>
              </w:rPr>
            </w:pPr>
          </w:p>
        </w:tc>
      </w:tr>
      <w:tr>
        <w:trPr>
          <w:trHeight w:val="243"/>
        </w:trPr>
        <w:tc>
          <w:tcPr>
            <w:tcW w:w="4440" w:type="dxa"/>
            <w:vAlign w:val="bottom"/>
          </w:tcPr>
          <w:p>
            <w:pPr>
              <w:spacing w:after="0" w:line="243" w:lineRule="exact"/>
              <w:rPr>
                <w:sz w:val="20"/>
                <w:szCs w:val="20"/>
                <w:color w:val="auto"/>
              </w:rPr>
            </w:pPr>
            <w:r>
              <w:rPr>
                <w:rFonts w:ascii="Arial" w:cs="Arial" w:eastAsia="Arial" w:hAnsi="Arial"/>
                <w:sz w:val="22"/>
                <w:szCs w:val="22"/>
                <w:color w:val="auto"/>
              </w:rPr>
              <w:t>Modified distillers grains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1,934</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209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4,227</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666</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Derivative financial instruments losses</w:t>
            </w:r>
          </w:p>
        </w:tc>
        <w:tc>
          <w:tcPr>
            <w:tcW w:w="1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(1,638)</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(298)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(2,764)</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(298)</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0"/>
                <w:szCs w:val="20"/>
                <w:color w:val="auto"/>
              </w:rPr>
            </w:pPr>
            <w:r>
              <w:rPr>
                <w:rFonts w:ascii="Arial" w:cs="Arial" w:eastAsia="Arial" w:hAnsi="Arial"/>
                <w:sz w:val="22"/>
                <w:szCs w:val="22"/>
                <w:color w:val="auto"/>
              </w:rPr>
              <w:t>Other</w:t>
            </w: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22"/>
                <w:szCs w:val="22"/>
                <w:color w:val="auto"/>
              </w:rPr>
              <w:t>6</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2"/>
                <w:szCs w:val="22"/>
                <w:color w:val="auto"/>
              </w:rPr>
              <w:t>14</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100</w:t>
            </w: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50"/>
        </w:trPr>
        <w:tc>
          <w:tcPr>
            <w:tcW w:w="44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Arial" w:cs="Arial" w:eastAsia="Arial" w:hAnsi="Arial"/>
                <w:sz w:val="22"/>
                <w:szCs w:val="22"/>
                <w:color w:val="auto"/>
              </w:rPr>
              <w:t>Total</w:t>
            </w:r>
          </w:p>
        </w:tc>
        <w:tc>
          <w:tcPr>
            <w:tcW w:w="130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195,678</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rPr>
              <w:t>39,242</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81"/>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359,720</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Arial" w:cs="Arial" w:eastAsia="Arial" w:hAnsi="Arial"/>
                <w:sz w:val="22"/>
                <w:szCs w:val="22"/>
                <w:color w:val="auto"/>
                <w:w w:val="98"/>
              </w:rPr>
              <w:t>122,477</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22"/>
                <w:szCs w:val="22"/>
                <w:color w:val="auto"/>
              </w:rPr>
              <w:t>29</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4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40" w:type="dxa"/>
            <w:vAlign w:val="bottom"/>
            <w:tcBorders>
              <w:bottom w:val="single" w:sz="8" w:color="C0C0C0"/>
            </w:tcBorders>
          </w:tcPr>
          <w:p>
            <w:pPr>
              <w:spacing w:after="0"/>
              <w:rPr>
                <w:sz w:val="20"/>
                <w:szCs w:val="20"/>
                <w:color w:val="auto"/>
              </w:rPr>
            </w:pPr>
          </w:p>
        </w:tc>
        <w:tc>
          <w:tcPr>
            <w:tcW w:w="13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6" w:right="339" w:bottom="1440" w:gutter="0" w:footer="0" w:header="0"/>
          <w:type w:val="continuous"/>
        </w:sectPr>
      </w:pPr>
    </w:p>
    <w:bookmarkStart w:id="29" w:name="page30"/>
    <w:bookmarkEnd w:id="29"/>
    <w:p>
      <w:pPr>
        <w:ind w:left="660"/>
        <w:spacing w:after="0"/>
        <w:rPr>
          <w:sz w:val="20"/>
          <w:szCs w:val="20"/>
          <w:color w:val="auto"/>
        </w:rPr>
      </w:pPr>
      <w:r>
        <w:rPr>
          <w:rFonts w:ascii="Arial" w:cs="Arial" w:eastAsia="Arial" w:hAnsi="Arial"/>
          <w:sz w:val="22"/>
          <w:szCs w:val="22"/>
          <w:color w:val="auto"/>
        </w:rPr>
        <w:t>The following table summarizes selected data from the ethanol and by-products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Arial" w:cs="Arial" w:eastAsia="Arial" w:hAnsi="Arial"/>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Arial" w:cs="Arial" w:eastAsia="Arial" w:hAnsi="Arial"/>
                <w:sz w:val="22"/>
                <w:szCs w:val="22"/>
                <w:b w:val="1"/>
                <w:bCs w:val="1"/>
                <w:color w:val="auto"/>
              </w:rPr>
              <w:t>Six Months Ended</w:t>
            </w:r>
          </w:p>
        </w:tc>
      </w:tr>
      <w:tr>
        <w:trPr>
          <w:trHeight w:val="257"/>
        </w:trPr>
        <w:tc>
          <w:tcPr>
            <w:tcW w:w="5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440" w:type="dxa"/>
            <w:vAlign w:val="bottom"/>
            <w:tcBorders>
              <w:bottom w:val="single" w:sz="8" w:color="E5FFFF"/>
            </w:tcBorders>
          </w:tcPr>
          <w:p>
            <w:pPr>
              <w:spacing w:after="0"/>
              <w:rPr>
                <w:sz w:val="23"/>
                <w:szCs w:val="23"/>
                <w:color w:val="auto"/>
              </w:rPr>
            </w:pPr>
          </w:p>
        </w:tc>
        <w:tc>
          <w:tcPr>
            <w:tcW w:w="30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2021</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rPr>
              <w:t>2020</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b w:val="1"/>
                <w:bCs w:val="1"/>
                <w:color w:val="auto"/>
              </w:rPr>
              <w:t>2021</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22"/>
                <w:szCs w:val="22"/>
                <w:b w:val="1"/>
                <w:bCs w:val="1"/>
                <w:color w:val="auto"/>
                <w:w w:val="98"/>
              </w:rPr>
              <w:t>2020</w:t>
            </w:r>
          </w:p>
        </w:tc>
        <w:tc>
          <w:tcPr>
            <w:tcW w:w="100" w:type="dxa"/>
            <w:vAlign w:val="bottom"/>
            <w:tcBorders>
              <w:bottom w:val="single" w:sz="8" w:color="E5FFFF"/>
            </w:tcBorders>
          </w:tcPr>
          <w:p>
            <w:pPr>
              <w:spacing w:after="0"/>
              <w:rPr>
                <w:sz w:val="23"/>
                <w:szCs w:val="23"/>
                <w:color w:val="auto"/>
              </w:rPr>
            </w:pPr>
          </w:p>
        </w:tc>
      </w:tr>
      <w:tr>
        <w:trPr>
          <w:trHeight w:val="237"/>
        </w:trPr>
        <w:tc>
          <w:tcPr>
            <w:tcW w:w="544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w w:val="95"/>
              </w:rPr>
              <w:t>Average selling price per gallon of ethanol (net of hedging)</w:t>
            </w:r>
          </w:p>
        </w:tc>
        <w:tc>
          <w:tcPr>
            <w:tcW w:w="30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4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2.21</w:t>
            </w: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2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1.23</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w w:val="81"/>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2.02</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8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1.25</w:t>
            </w:r>
          </w:p>
        </w:tc>
        <w:tc>
          <w:tcPr>
            <w:tcW w:w="100" w:type="dxa"/>
            <w:vAlign w:val="bottom"/>
            <w:shd w:val="clear" w:color="auto" w:fill="E5FFFF"/>
          </w:tcPr>
          <w:p>
            <w:pPr>
              <w:spacing w:after="0"/>
              <w:rPr>
                <w:sz w:val="20"/>
                <w:szCs w:val="20"/>
                <w:color w:val="auto"/>
              </w:rPr>
            </w:pPr>
          </w:p>
        </w:tc>
      </w:tr>
      <w:tr>
        <w:trPr>
          <w:trHeight w:val="243"/>
        </w:trPr>
        <w:tc>
          <w:tcPr>
            <w:tcW w:w="5440" w:type="dxa"/>
            <w:vAlign w:val="bottom"/>
          </w:tcPr>
          <w:p>
            <w:pPr>
              <w:spacing w:after="0" w:line="243" w:lineRule="exact"/>
              <w:rPr>
                <w:sz w:val="20"/>
                <w:szCs w:val="20"/>
                <w:color w:val="auto"/>
              </w:rPr>
            </w:pPr>
            <w:r>
              <w:rPr>
                <w:rFonts w:ascii="Arial" w:cs="Arial" w:eastAsia="Arial" w:hAnsi="Arial"/>
                <w:sz w:val="22"/>
                <w:szCs w:val="22"/>
                <w:color w:val="auto"/>
              </w:rPr>
              <w:t>Gallons of ethanol sold (in millions)</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69.0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26.5</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139.0</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74.8</w:t>
            </w:r>
          </w:p>
        </w:tc>
      </w:tr>
      <w:tr>
        <w:trPr>
          <w:trHeight w:val="243"/>
        </w:trPr>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selling price per ton of dried distillers grains</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206.78</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135.54</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207.84</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143.24</w:t>
            </w:r>
          </w:p>
        </w:tc>
      </w:tr>
      <w:tr>
        <w:trPr>
          <w:trHeight w:val="243"/>
        </w:trPr>
        <w:tc>
          <w:tcPr>
            <w:tcW w:w="5440" w:type="dxa"/>
            <w:vAlign w:val="bottom"/>
          </w:tcPr>
          <w:p>
            <w:pPr>
              <w:spacing w:after="0" w:line="243" w:lineRule="exact"/>
              <w:rPr>
                <w:sz w:val="20"/>
                <w:szCs w:val="20"/>
                <w:color w:val="auto"/>
              </w:rPr>
            </w:pPr>
            <w:r>
              <w:rPr>
                <w:rFonts w:ascii="Arial" w:cs="Arial" w:eastAsia="Arial" w:hAnsi="Arial"/>
                <w:sz w:val="22"/>
                <w:szCs w:val="22"/>
                <w:color w:val="auto"/>
              </w:rPr>
              <w:t>Tons of dried distillers grains sold</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152,689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40,429</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w w:val="98"/>
              </w:rPr>
              <w:t>301,640</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w w:val="98"/>
              </w:rPr>
              <w:t>170,324</w:t>
            </w:r>
          </w:p>
        </w:tc>
      </w:tr>
      <w:tr>
        <w:trPr>
          <w:trHeight w:val="243"/>
        </w:trPr>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5"/>
              </w:rPr>
              <w:t>Average selling price per pound of non-food grade corn oil</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0.47</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0.24</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0.41</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0.25</w:t>
            </w:r>
          </w:p>
        </w:tc>
      </w:tr>
      <w:tr>
        <w:trPr>
          <w:trHeight w:val="243"/>
        </w:trPr>
        <w:tc>
          <w:tcPr>
            <w:tcW w:w="5440" w:type="dxa"/>
            <w:vAlign w:val="bottom"/>
          </w:tcPr>
          <w:p>
            <w:pPr>
              <w:spacing w:after="0" w:line="243" w:lineRule="exact"/>
              <w:rPr>
                <w:sz w:val="20"/>
                <w:szCs w:val="20"/>
                <w:color w:val="auto"/>
              </w:rPr>
            </w:pPr>
            <w:r>
              <w:rPr>
                <w:rFonts w:ascii="Arial" w:cs="Arial" w:eastAsia="Arial" w:hAnsi="Arial"/>
                <w:sz w:val="22"/>
                <w:szCs w:val="22"/>
                <w:color w:val="auto"/>
              </w:rPr>
              <w:t>Pounds of non-food grade corn oil sold (in millions)</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20.7</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37.8</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18.1</w:t>
            </w:r>
          </w:p>
        </w:tc>
      </w:tr>
      <w:tr>
        <w:trPr>
          <w:trHeight w:val="243"/>
        </w:trPr>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w w:val="99"/>
              </w:rPr>
              <w:t>Average selling price per ton of modified distillers grains</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90.54</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31.87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79.13</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49.32</w:t>
            </w:r>
          </w:p>
        </w:tc>
      </w:tr>
      <w:tr>
        <w:trPr>
          <w:trHeight w:val="243"/>
        </w:trPr>
        <w:tc>
          <w:tcPr>
            <w:tcW w:w="5440" w:type="dxa"/>
            <w:vAlign w:val="bottom"/>
          </w:tcPr>
          <w:p>
            <w:pPr>
              <w:spacing w:after="0" w:line="243" w:lineRule="exact"/>
              <w:rPr>
                <w:sz w:val="20"/>
                <w:szCs w:val="20"/>
                <w:color w:val="auto"/>
              </w:rPr>
            </w:pPr>
            <w:r>
              <w:rPr>
                <w:rFonts w:ascii="Arial" w:cs="Arial" w:eastAsia="Arial" w:hAnsi="Arial"/>
                <w:sz w:val="22"/>
                <w:szCs w:val="22"/>
                <w:color w:val="auto"/>
              </w:rPr>
              <w:t>Tons of modified distillers grains sold</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Arial" w:cs="Arial" w:eastAsia="Arial" w:hAnsi="Arial"/>
                <w:sz w:val="22"/>
                <w:szCs w:val="22"/>
                <w:color w:val="auto"/>
              </w:rPr>
              <w:t>21,361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Arial" w:cs="Arial" w:eastAsia="Arial" w:hAnsi="Arial"/>
                <w:sz w:val="22"/>
                <w:szCs w:val="22"/>
                <w:color w:val="auto"/>
              </w:rPr>
              <w:t>6,566</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Arial" w:cs="Arial" w:eastAsia="Arial" w:hAnsi="Arial"/>
                <w:sz w:val="22"/>
                <w:szCs w:val="22"/>
                <w:color w:val="auto"/>
              </w:rPr>
              <w:t>53,421</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13,507</w:t>
            </w:r>
          </w:p>
        </w:tc>
      </w:tr>
      <w:tr>
        <w:trPr>
          <w:trHeight w:val="243"/>
        </w:trPr>
        <w:tc>
          <w:tcPr>
            <w:tcW w:w="54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Average cost per bushel of grain</w:t>
            </w:r>
          </w:p>
        </w:tc>
        <w:tc>
          <w:tcPr>
            <w:tcW w:w="500" w:type="dxa"/>
            <w:vAlign w:val="bottom"/>
            <w:gridSpan w:val="2"/>
            <w:shd w:val="clear" w:color="auto" w:fill="E5FFFF"/>
          </w:tcPr>
          <w:p>
            <w:pPr>
              <w:jc w:val="right"/>
              <w:spacing w:after="0" w:line="243" w:lineRule="exact"/>
              <w:rPr>
                <w:sz w:val="20"/>
                <w:szCs w:val="20"/>
                <w:color w:val="auto"/>
              </w:rPr>
            </w:pPr>
            <w:r>
              <w:rPr>
                <w:rFonts w:ascii="Arial" w:cs="Arial" w:eastAsia="Arial" w:hAnsi="Arial"/>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6.45</w:t>
            </w:r>
          </w:p>
        </w:tc>
        <w:tc>
          <w:tcPr>
            <w:tcW w:w="660" w:type="dxa"/>
            <w:vAlign w:val="bottom"/>
            <w:gridSpan w:val="2"/>
            <w:shd w:val="clear" w:color="auto" w:fill="E5FFFF"/>
          </w:tcPr>
          <w:p>
            <w:pPr>
              <w:jc w:val="right"/>
              <w:ind w:right="3"/>
              <w:spacing w:after="0" w:line="243" w:lineRule="exact"/>
              <w:rPr>
                <w:sz w:val="20"/>
                <w:szCs w:val="20"/>
                <w:color w:val="auto"/>
              </w:rPr>
            </w:pPr>
            <w:r>
              <w:rPr>
                <w:rFonts w:ascii="Arial" w:cs="Arial" w:eastAsia="Arial" w:hAnsi="Arial"/>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3.63</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w w:val="81"/>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Arial" w:cs="Arial" w:eastAsia="Arial" w:hAnsi="Arial"/>
                <w:sz w:val="22"/>
                <w:szCs w:val="22"/>
                <w:color w:val="auto"/>
              </w:rPr>
              <w:t>5.86</w:t>
            </w:r>
          </w:p>
        </w:tc>
        <w:tc>
          <w:tcPr>
            <w:tcW w:w="20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3.86</w:t>
            </w:r>
          </w:p>
        </w:tc>
      </w:tr>
      <w:tr>
        <w:trPr>
          <w:trHeight w:val="274"/>
        </w:trPr>
        <w:tc>
          <w:tcPr>
            <w:tcW w:w="5440" w:type="dxa"/>
            <w:vAlign w:val="bottom"/>
          </w:tcPr>
          <w:p>
            <w:pPr>
              <w:spacing w:after="0"/>
              <w:rPr>
                <w:sz w:val="20"/>
                <w:szCs w:val="20"/>
                <w:color w:val="auto"/>
              </w:rPr>
            </w:pPr>
            <w:r>
              <w:rPr>
                <w:rFonts w:ascii="Arial" w:cs="Arial" w:eastAsia="Arial" w:hAnsi="Arial"/>
                <w:sz w:val="22"/>
                <w:szCs w:val="22"/>
                <w:color w:val="auto"/>
              </w:rPr>
              <w:t>Average cost of natural gas (per MmBtu)</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840" w:type="dxa"/>
            <w:vAlign w:val="bottom"/>
          </w:tcPr>
          <w:p>
            <w:pPr>
              <w:jc w:val="right"/>
              <w:spacing w:after="0"/>
              <w:rPr>
                <w:sz w:val="20"/>
                <w:szCs w:val="20"/>
                <w:color w:val="auto"/>
              </w:rPr>
            </w:pPr>
            <w:r>
              <w:rPr>
                <w:rFonts w:ascii="Arial" w:cs="Arial" w:eastAsia="Arial" w:hAnsi="Arial"/>
                <w:sz w:val="22"/>
                <w:szCs w:val="22"/>
                <w:color w:val="auto"/>
              </w:rPr>
              <w:t>3.30</w:t>
            </w:r>
          </w:p>
        </w:tc>
        <w:tc>
          <w:tcPr>
            <w:tcW w:w="660" w:type="dxa"/>
            <w:vAlign w:val="bottom"/>
            <w:gridSpan w:val="2"/>
          </w:tcPr>
          <w:p>
            <w:pPr>
              <w:jc w:val="right"/>
              <w:ind w:right="3"/>
              <w:spacing w:after="0"/>
              <w:rPr>
                <w:sz w:val="20"/>
                <w:szCs w:val="20"/>
                <w:color w:val="auto"/>
              </w:rPr>
            </w:pPr>
            <w:r>
              <w:rPr>
                <w:rFonts w:ascii="Arial" w:cs="Arial" w:eastAsia="Arial" w:hAnsi="Arial"/>
                <w:sz w:val="22"/>
                <w:szCs w:val="22"/>
                <w:color w:val="auto"/>
              </w:rPr>
              <w:t>$</w:t>
            </w:r>
          </w:p>
        </w:tc>
        <w:tc>
          <w:tcPr>
            <w:tcW w:w="820" w:type="dxa"/>
            <w:vAlign w:val="bottom"/>
          </w:tcPr>
          <w:p>
            <w:pPr>
              <w:jc w:val="right"/>
              <w:spacing w:after="0"/>
              <w:rPr>
                <w:sz w:val="20"/>
                <w:szCs w:val="20"/>
                <w:color w:val="auto"/>
              </w:rPr>
            </w:pPr>
            <w:r>
              <w:rPr>
                <w:rFonts w:ascii="Arial" w:cs="Arial" w:eastAsia="Arial" w:hAnsi="Arial"/>
                <w:sz w:val="22"/>
                <w:szCs w:val="22"/>
                <w:color w:val="auto"/>
              </w:rPr>
              <w:t>2.92</w:t>
            </w:r>
          </w:p>
        </w:tc>
        <w:tc>
          <w:tcPr>
            <w:tcW w:w="4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40" w:type="dxa"/>
            <w:vAlign w:val="bottom"/>
            <w:gridSpan w:val="2"/>
          </w:tcPr>
          <w:p>
            <w:pPr>
              <w:jc w:val="right"/>
              <w:ind w:right="440"/>
              <w:spacing w:after="0"/>
              <w:rPr>
                <w:sz w:val="20"/>
                <w:szCs w:val="20"/>
                <w:color w:val="auto"/>
              </w:rPr>
            </w:pPr>
            <w:r>
              <w:rPr>
                <w:rFonts w:ascii="Arial" w:cs="Arial" w:eastAsia="Arial" w:hAnsi="Arial"/>
                <w:sz w:val="22"/>
                <w:szCs w:val="22"/>
                <w:color w:val="auto"/>
              </w:rPr>
              <w:t>3.24</w:t>
            </w:r>
          </w:p>
        </w:tc>
        <w:tc>
          <w:tcPr>
            <w:tcW w:w="200" w:type="dxa"/>
            <w:vAlign w:val="bottom"/>
          </w:tcPr>
          <w:p>
            <w:pPr>
              <w:jc w:val="right"/>
              <w:ind w:right="3"/>
              <w:spacing w:after="0"/>
              <w:rPr>
                <w:sz w:val="20"/>
                <w:szCs w:val="20"/>
                <w:color w:val="auto"/>
              </w:rPr>
            </w:pPr>
            <w:r>
              <w:rPr>
                <w:rFonts w:ascii="Arial" w:cs="Arial" w:eastAsia="Arial" w:hAnsi="Arial"/>
                <w:sz w:val="19"/>
                <w:szCs w:val="19"/>
                <w:color w:val="auto"/>
                <w:w w:val="75"/>
              </w:rPr>
              <w:t>$</w:t>
            </w:r>
          </w:p>
        </w:tc>
        <w:tc>
          <w:tcPr>
            <w:tcW w:w="900" w:type="dxa"/>
            <w:vAlign w:val="bottom"/>
            <w:gridSpan w:val="2"/>
          </w:tcPr>
          <w:p>
            <w:pPr>
              <w:jc w:val="right"/>
              <w:ind w:right="100"/>
              <w:spacing w:after="0"/>
              <w:rPr>
                <w:sz w:val="20"/>
                <w:szCs w:val="20"/>
                <w:color w:val="auto"/>
              </w:rPr>
            </w:pPr>
            <w:r>
              <w:rPr>
                <w:rFonts w:ascii="Arial" w:cs="Arial" w:eastAsia="Arial" w:hAnsi="Arial"/>
                <w:sz w:val="22"/>
                <w:szCs w:val="22"/>
                <w:color w:val="auto"/>
              </w:rPr>
              <w:t>3.60</w:t>
            </w:r>
          </w:p>
        </w:tc>
      </w:tr>
    </w:tbl>
    <w:p>
      <w:pPr>
        <w:spacing w:after="0" w:line="190"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Net sales and revenue in the quarter ended July 31, 2021 increased approximately 398% compared to the prior year’s second quarter. Net sales and revenue in the first six months of fiscal year 2021 increased approximately 194%. We had significantly lower production and sales volumes in our ethanol and by-products segment during the first six months of fiscal year 2020, as diminished local availability of corn at the NuGen facility, the effects of the COVID-19 outbreak and lower ethanol pricing resulted in the idling of the NuGen and One Earth ethanol plants in March of 2020. We resumed production operations at One Earth in late May of 2020 and at NuGen in late June of 2020. Both of our consolidated plants produced at or near capacity during the first six months of fiscal year 2021.</w:t>
      </w:r>
    </w:p>
    <w:p>
      <w:pPr>
        <w:spacing w:after="0" w:line="211"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Ethanol sales increased in the second quarter of fiscal year 2021 compared to the second quarter of fiscal year 2020 as the number of gallons sold increased 160% and the average selling price per gallon increased 80% over the prior year second quarter. Ethanol sales increased in the first six months of fiscal year 2021 compared to the first six months of fiscal year 2020 as the number of gallons sold increased 86% and the average selling price per gallon increased 62% over the prior fiscal year. The increase in the ethanol selling price resulted primarily from an increase in demand and an increase in commodity prices.</w:t>
      </w:r>
    </w:p>
    <w:p>
      <w:pPr>
        <w:spacing w:after="0" w:line="17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9"/>
          <w:szCs w:val="19"/>
          <w:color w:val="auto"/>
        </w:rPr>
        <w:t>Dried distillers grains sales increased in the second quarter of fiscal year 2021 compared to the second quarter of fiscal year 2020 as the number of tons sold increased 278% and the average selling price per ton increased 53% over the prior year second quarter. Dried distillers grains sales increased in the first six months of fiscal year 2021 compared to the first six months of fiscal year 2020 as the number of tons sold increased 77% and the average selling price per ton increased 45% over the prior fiscal year. The increase in the dried distillers grains selling price resulted primarily from increased demand and an increase in corn prices as dried distillers grains prices often correlate with corn pricing.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0" w:name="page31"/>
    <w:bookmarkEnd w:id="30"/>
    <w:p>
      <w:pPr>
        <w:ind w:right="100" w:firstLine="648"/>
        <w:spacing w:after="0" w:line="235" w:lineRule="auto"/>
        <w:rPr>
          <w:sz w:val="20"/>
          <w:szCs w:val="20"/>
          <w:color w:val="auto"/>
        </w:rPr>
      </w:pPr>
      <w:r>
        <w:rPr>
          <w:rFonts w:ascii="Arial" w:cs="Arial" w:eastAsia="Arial" w:hAnsi="Arial"/>
          <w:sz w:val="22"/>
          <w:szCs w:val="22"/>
          <w:color w:val="auto"/>
        </w:rPr>
        <w:t>Non-food grade corn oil sales increased in the second quarter of fiscal year 2021 compared to the second quarter of fiscal year 2020 as the number of pounds sold increased 283% and the average selling price per pound increased 96% over the prior year second quarter. Non-food grade corn oil sales increased in the first six months of fiscal year 2021 compared to the first six months of fiscal year 2020 as the number of pounds sold increased 109% and the average selling price per pound increased 64% over the prior year fiscal year. The increase in the non-food grade corn oil selling price resulted primarily from an increase in demand from the biodiesel industry.</w:t>
      </w:r>
    </w:p>
    <w:p>
      <w:pPr>
        <w:spacing w:after="0" w:line="215"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Modified distillers grains sales increased in the second quarter of fiscal year 2021 compared to the second quarter of fiscal year 2020 as the number of tons sold increased 225% and the average selling price per ton increased 184% over the prior year second quarter. Modified distillers grains sales increased in the first six months of fiscal year 2021 compared to the first six months of fiscal year 2020 as the number of tons sold increased 296% and the average selling price per ton increased 60% over the prior year fiscal year. The increase in the modified distillers grains selling price resulted primarily from an increase in corn prices and increased local demand.</w:t>
      </w:r>
    </w:p>
    <w:p>
      <w:pPr>
        <w:spacing w:after="0" w:line="215"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Losses on derivative financial instruments, included in net sales and revenue, of approximately $1.6 million in the second quarter of fiscal year 2021 related to our risk management activities and were impacted by the increase in ethanol prices during that quarter. There were losses on derivative financial instruments of approximately $0.3 million during the second quarter of fiscal year 2020. Losses on derivative financial instruments, included in net sales and revenue, were approximately $2.8 million in the first six months of fiscal year 2021 compared to $0.3 million in the first six months of fiscal year 2020.</w:t>
      </w:r>
    </w:p>
    <w:p>
      <w:pPr>
        <w:spacing w:after="0" w:line="174"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Gross profit for the second quarter of fiscal year 2021 increased approximately $12.4 million compared to the prior year’s second quarter. This was primarily caused by significantly higher production and sales volumes in our ethanol and by-products segment during the second quarter of fiscal year 2021 compared to the reduced levels during the second quarter of fiscal year 2020 discussed above. The crush spread for the second quarter of fiscal year 2021 was approximately break-even per gallon of ethanol sold compared to $(0.04) per gallon of ethanol sold during the second quarter of fiscal year 2020. The selling price per gallon of ethanol sold increased 80% for the second quarter of fiscal year 2021 compared to the second quarter of fiscal year 2020, slightly outpacing the 78% increase in the cost per bushel of corn during the same periods. In addition, higher sales volumes discussed above and prices of by-products contributed to the increase in gross profit during the second quarter of fiscal year 2021 compared to the second quarter of fiscal year 2020. During the second quarter of fiscal year 2020 the impact from the COVID-19 outbreak and lower gasoline pricing resulted in lower ethanol and corn pricing which severely impacted operations and resulted in the consolidated ethanol plants being idled for a portion of the quarter.</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Grain accounted for approximately 86% ($156.2 million) of our cost of sales during the second quarter of fiscal year 2021 compared to approximately 68% ($26.1 million) during the second quarter of fiscal year 2020. Natural gas accounted for approximately 3% ($6.2 million) of our cost of sales during the second quarter of fiscal year 2021 compared to approximately 5% ($1.9 million) during the second quarter of fiscal year 2020. The grain and natural gas expenditure increases were primarily attributable to the higher production levels in the second quarter of fiscal year 2021 compared to the reduced production levels in the second quarter of fiscal year 2020 and the significant rise in corn prices during the second quarter of fiscal year 2021.</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1" w:name="page32"/>
    <w:bookmarkEnd w:id="31"/>
    <w:p>
      <w:pPr>
        <w:ind w:firstLine="648"/>
        <w:spacing w:after="0" w:line="273" w:lineRule="auto"/>
        <w:rPr>
          <w:sz w:val="20"/>
          <w:szCs w:val="20"/>
          <w:color w:val="auto"/>
        </w:rPr>
      </w:pPr>
      <w:r>
        <w:rPr>
          <w:rFonts w:ascii="Arial" w:cs="Arial" w:eastAsia="Arial" w:hAnsi="Arial"/>
          <w:sz w:val="19"/>
          <w:szCs w:val="19"/>
          <w:color w:val="auto"/>
        </w:rPr>
        <w:t>Gross profit for the first six months of fiscal year 2021 increased approximately $39.5 million compared to the first six months of the prior year. This was primarily the result of significantly higher production and sales volumes in our ethanol and by-products segment during the first six months of fiscal year 2021 compared to the reduced levels during the first six months of fiscal year 2020 discussed above. The crush spread for the first six months of fiscal year 2021 was approximately $0.02 per gallon of ethanol sold compared to $(0.08) per gallon of ethanol sold during the first six months of fiscal year 2020. The selling price per gallon of ethanol sold increased 62% for the first six months of fiscal year 2021 compared to the first six months of fiscal year 2020, outpacing the 52% increase in the cost per bushel of corn during the same periods. In addition, higher sales volumes discussed above and prices of by-products contributed to the increase in gross profit during the first six months of fiscal year 2021 compared to the first six months of fiscal year 2020. During the first six months of fiscal year 2020 the impact from the COVID-19 outbreak and lower gasoline pricing resulted in lower ethanol and corn pricing which severely impacted operations and resulted in the consolidated ethanol plants being idled for a portion of the year and the large gross loss.</w:t>
      </w:r>
    </w:p>
    <w:p>
      <w:pPr>
        <w:spacing w:after="0" w:line="182"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Grain accounted for approximately 85% ($278.2 million) of our cost of sales during the first six months of fiscal year 2021 compared to approximately 73% ($94.8 million) during the first six months of fiscal year 2020. Natural gas accounted for approximately 3% ($9.9 million) of our cost of sales during the first six months of fiscal year 2021 compared to approximately 6% ($7.3 million) during the first six months of fiscal year 2020. The grain increase was primarily attributable to the higher production levels in the first six months of fiscal year 2021 compared to the reduced production levels in the first six months of fiscal year 2020 and the significant rise in corn prices during the first six months of fiscal year 2021. The natural gas unit price decrease was primarily attributable to gains realized on the sales of unused natural gas during the first quarter of fiscal year 2021. The sales were a result of unusual and significant increases in the spot price of natural gas during portions of the first quarter of fiscal year 2021 which resulted in an opportunity for us to sell forward natural gas purchases at a gain.</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79"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SG&amp;A expenses were approximately $6.6 million for the second quarter of fiscal year 2021, significantly higher than the approximately $4.4 million of expenses for the second quarter of fiscal year 2020. SG&amp;A expenses were approximately $16.6 million for the first six months of fiscal year 2021, significantly higher than the approximately $9.0 million of expenses for the first six months of fiscal year 2020. A majority of the increase results from higher shipping costs as more sales contracts in our ethanol and by-products segment provided for shipping to be paid by us in the second quarter of fiscal year 2021 compared to the second quarter of fiscal year 2020. In addition, there was an increase in incentive compensation associated with higher profitability in fiscal year 2021.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2" w:name="page33"/>
    <w:bookmarkEnd w:id="32"/>
    <w:p>
      <w:pPr>
        <w:ind w:firstLine="648"/>
        <w:spacing w:after="0" w:line="275" w:lineRule="auto"/>
        <w:rPr>
          <w:sz w:val="20"/>
          <w:szCs w:val="20"/>
          <w:color w:val="auto"/>
        </w:rPr>
      </w:pPr>
      <w:r>
        <w:rPr>
          <w:rFonts w:ascii="Arial" w:cs="Arial" w:eastAsia="Arial" w:hAnsi="Arial"/>
          <w:sz w:val="19"/>
          <w:szCs w:val="19"/>
          <w:color w:val="auto"/>
        </w:rPr>
        <w:t>During the second quarter of fiscal year 2021, we recognized income of approximately $1.8 million compared to a loss of approximately $0.5 million for the second quarter of fiscal year 2020, from our equity investment in Big River, which is included in our ethanol and by-products segment results. We recognized income of approximately $2.4 million during the first six months of fiscal year 2021 compared to a loss of approximately $1.0 million during the first six months of fiscal year 2020. Big River has interests in four ethanol production plants that shipped approximately 417 million gallons in the trailing twelve months ended July 31, 2021 and has an effective ownership of ethanol gallons shipped for the same period of approximately 361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Interest and other income was approximately $39,000 for the second quarter of fiscal year 2021 versus approximately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$197,000 for the second quarter of fiscal year 2020. Interest and other income was approximately $82,000 for the first six months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fiscal year 2021 versus approximately $866,000 for the first six months of fiscal year 2020. Interest income decreased as yields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on our excess cash decreased in the first six months of fiscal year 2021 compared to the first six months of fiscal year 2020.</w:t>
      </w:r>
    </w:p>
    <w:p>
      <w:pPr>
        <w:spacing w:after="0" w:line="250"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As a result of the foregoing, income before income taxes was approximately $6.4 million for the second quarter of fiscal year 2021 versus a loss of approximately $6.1 million for the second quarter of fiscal year 2020. Income before income taxes was approximately $14.8 million versus a loss of approximately $19.8 million for the first six months of fiscal years 2021 and 2020, respectively.</w:t>
      </w:r>
    </w:p>
    <w:p>
      <w:pPr>
        <w:spacing w:after="0" w:line="212"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We determined that small changes in estimated “ordinary” income would result in significant changes in the estimated annual effective tax rate. Thus, the Company used a discrete effective tax rate method to calculate the provision or benefit for income taxes for the three and six months ended July 31, 2021 and 2020. Our income tax benefit was approximately $3.7 million and approximately $4.0 million for the three months ended July 31, 2021 and 2020, respectively, and was approximately $3.6 million and approximately $9.4 million for the six months ended July 31, 2021 and 2020, respectively We had a higher benefit in the prior year periods based upon pre-tax losses for those periods versus pre-tax income in the current periods. The benefit is also largely impacted by the level of tax credits generated from the refined coal operation. Through its refined coal operation, the Company earns production tax credits pursuant to IRC Section 45. The credits can be used to reduce future income tax liabilities for up to 20 years. Our income tax benefit for the first six months of fiscal year 2020 includes approximately $1.8 million related to the lengthening of a net operating loss carryback allowed by the CARES Act.</w:t>
      </w:r>
    </w:p>
    <w:p>
      <w:pPr>
        <w:spacing w:after="0" w:line="188" w:lineRule="exact"/>
        <w:rPr>
          <w:sz w:val="20"/>
          <w:szCs w:val="20"/>
          <w:color w:val="auto"/>
        </w:rPr>
      </w:pPr>
    </w:p>
    <w:p>
      <w:pPr>
        <w:ind w:right="400" w:firstLine="648"/>
        <w:spacing w:after="0" w:line="238" w:lineRule="auto"/>
        <w:rPr>
          <w:sz w:val="20"/>
          <w:szCs w:val="20"/>
          <w:color w:val="auto"/>
        </w:rPr>
      </w:pPr>
      <w:r>
        <w:rPr>
          <w:rFonts w:ascii="Arial" w:cs="Arial" w:eastAsia="Arial" w:hAnsi="Arial"/>
          <w:sz w:val="22"/>
          <w:szCs w:val="22"/>
          <w:color w:val="auto"/>
        </w:rPr>
        <w:t>As a result of the foregoing, net income was approximately $10.1 million for the second quarter of fiscal year 2021 compared to net loss of approximately $2.0 million for the second quarter of fiscal year 2020. Net income was approximately $18.5 million for the first six months of fiscal year 2021 compared to net loss of approximately $10.5 million for the first six months of fiscal year 2020.</w:t>
      </w:r>
    </w:p>
    <w:p>
      <w:pPr>
        <w:spacing w:after="0" w:line="212"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Income related to noncontrolling interests was approximately $2.2 million for the second quarter of fiscal year 2021 compared to a loss of $0.3 million for the second quarter of fiscal years 2020. Income related to noncontrolling interests was approximately $2.8 million for the six months of fiscal year 2021 compared to a loss of approximately $1.1 million for the first six months of fiscal years 2020. These amounts represent the other owners’ share of the income or loss of NuGen, One Earth and the refined coal entity.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33" w:name="page34"/>
    <w:bookmarkEnd w:id="33"/>
    <w:p>
      <w:pPr>
        <w:ind w:right="200" w:firstLine="648"/>
        <w:spacing w:after="0" w:line="235" w:lineRule="auto"/>
        <w:rPr>
          <w:sz w:val="20"/>
          <w:szCs w:val="20"/>
          <w:color w:val="auto"/>
        </w:rPr>
      </w:pPr>
      <w:r>
        <w:rPr>
          <w:rFonts w:ascii="Arial" w:cs="Arial" w:eastAsia="Arial" w:hAnsi="Arial"/>
          <w:sz w:val="22"/>
          <w:szCs w:val="22"/>
          <w:color w:val="auto"/>
        </w:rPr>
        <w:t>As a result of the foregoing, net income attributable to REX common shareholders for the second quarter of fiscal year 2021 was approximately $7.9 million, an increase of approximately $9.6 million from net loss attributable to REX common shareholders of approximately $1.7 million for the second quarter of fiscal year 2020. Net income attributable to REX common shareholders for the first six months of fiscal year 2021 was approximately $15.7 million, an increase of approximately $25.0 million from net loss attributable to REX common shareholders of approximately $9.4 million for the first six months of fiscal year 2020.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Net cash provided by operating activities was approximately $17.2 million for the first six months of fiscal year 2021, compared to cash used of approximately $9.0 million for the first six months of fiscal year 2020. For the first six months of fiscal year 2021, cash was provided by net income of approximately $18.5 million, adjusted for non-cash items of approximately $6.6 million, which consisted of depreciation, amortization of operating lease right-of-use assets, income from equity method investments, interest income from short-term investments, the deferred income tax provision and stock based compensation expense. An increase in the balance of accounts receivable used cash of approximately $9.8 million, primarily a result of the timing of products shipped and the receipt of customer payments at One Earth and NuGen in addition to higher sales and pricing. Inventories increased by approximately $3.9 million, primarily a result of the timing of receipt of raw materials and the shipment of finished goods, as well as an increase in the pricing of raw materials. A decrease in the balance of other assets of approximately $0.3 million primarily relates to changes in the carrying value of forward purchase contracts recorded at fair value. An increase in the balance of refundable income taxes of approximately $0.9 million primarily relates to estimated federal and state income tax payments made during fiscal year 2021. An increase in the balance of accounts payable provided cash of approximately $5.5 million, which was primarily a result of the timing of inventory receipts and vendor payments. An increase in the balance of other liabilities provided cash of approximately $0.9 million, which was primarily a result of operating lease payments.</w:t>
      </w:r>
    </w:p>
    <w:p>
      <w:pPr>
        <w:spacing w:after="0" w:line="221"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Net cash used in operating activities was approximately $9.0 million for the first six months of fiscal year 2020. For the first six months of fiscal year 2020, cash was used by a net loss of approximately $10.5 million, adjusted for non-cash items of approximately $9.3 million, which consisted of depreciation, amortization of operating lease right-of-use assets, loss from equity method investments, interest income from short-term investments, the deferred income tax provision and stock based compensation expense. We received dividends from Big River of approximately $2.0 million during the first six months of fiscal year 2020. A decrease in the balance of accounts receivable provided cash of approximately $3.2 million, which was primarily a result of the timing of customer shipments and payments as well as lower commodity prices. Inventories decreased by approximately $5.3 million, which was primarily a result of the timing of receipt of raw materials, shipments of finished goods and lower commodity prices. An increase in the balance of refundable income taxes of approximately $4.6 million primarily relates to a net operating loss we intend to carry back for federal income tax purposes. A decrease in the balance of accounts payable used cash of approximately $10.3 million, which was primarily a result of the timing of inventory receipts and vendor payments. A decrease in the balance of other liabilities used cash of approximately $2.9 million, which was primarily a result of payments of operating leases and incentive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4" w:name="page35"/>
    <w:bookmarkEnd w:id="34"/>
    <w:p>
      <w:pPr>
        <w:ind w:right="340" w:firstLine="648"/>
        <w:spacing w:after="0" w:line="328" w:lineRule="auto"/>
        <w:rPr>
          <w:sz w:val="20"/>
          <w:szCs w:val="20"/>
          <w:color w:val="auto"/>
        </w:rPr>
      </w:pPr>
      <w:r>
        <w:rPr>
          <w:rFonts w:ascii="Arial" w:cs="Arial" w:eastAsia="Arial" w:hAnsi="Arial"/>
          <w:sz w:val="19"/>
          <w:szCs w:val="19"/>
          <w:color w:val="auto"/>
        </w:rPr>
        <w:t>At July 31, 2021, working capital was approximately $246.0 million, compared to approximately $228.0 million at January 31, 2021. The ratio of current assets to current liabilities was 7.4 to 1 at July 1, 2021 and 8.4 to 1 at January 31, 2021.</w:t>
      </w:r>
    </w:p>
    <w:p>
      <w:pPr>
        <w:spacing w:after="0" w:line="132" w:lineRule="exact"/>
        <w:rPr>
          <w:sz w:val="20"/>
          <w:szCs w:val="20"/>
          <w:color w:val="auto"/>
        </w:rPr>
      </w:pPr>
    </w:p>
    <w:p>
      <w:pPr>
        <w:ind w:right="180" w:firstLine="648"/>
        <w:spacing w:after="0" w:line="274" w:lineRule="auto"/>
        <w:rPr>
          <w:sz w:val="20"/>
          <w:szCs w:val="20"/>
          <w:color w:val="auto"/>
        </w:rPr>
      </w:pPr>
      <w:r>
        <w:rPr>
          <w:rFonts w:ascii="Arial" w:cs="Arial" w:eastAsia="Arial" w:hAnsi="Arial"/>
          <w:sz w:val="19"/>
          <w:szCs w:val="19"/>
          <w:color w:val="auto"/>
        </w:rPr>
        <w:t>Cash of approximately $0.3 million was provided by investing activities for the first six months of fiscal year 2021, compared to approximately $12.4 million used during the first six months of fiscal year 2020. During the first six months of fiscal year 2021, we had capital expenditures of approximately $2.7 million, primarily for improvements at the One Earth and NuGen facilities. We expect capital expenditures to be in the range of approximately $3.0 million to $5.0 million for the remainder of fiscal year 2021. During the first six months of fiscal year 2021, we purchased certificates of deposit (classified as short-term investments) of approximately $49.3 million. During the first six months of fiscal year 2021, certificates of deposit (classified as short-term investments) of approximately $52.2 million matured. The certificates of deposit had maturities of less than one year. Depending on investment options available, we may elect to retain the funds, or a portion thereof, in cash investments, short-term investments or long-term investments.</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Cash of approximately $12.4 million was used in investing activities for the first six months of fiscal year 2020. During the first six months of fiscal year 2020, we had capital expenditures of approximately $5.7 million, primarily for the purchase of land at One Earth Energy. During the first six months of fiscal year 2020, we purchased certificates of deposit (classified as short-term investments) of approximately $45.5 million. During the first six months of fiscal year 2020, certificates of deposit (classified as short-term investments) of approximately $39.0 million matured.</w:t>
      </w:r>
    </w:p>
    <w:p>
      <w:pPr>
        <w:spacing w:after="0" w:line="205"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Cash of approximately $2.5 million was used in financing activities for the first six months of fiscal year 2021, compared to approximately $5.7 million for the first six months of fiscal year 2020. During the first six months of fiscal year 2021, we used cash of approximately $1.4 million to purchase approximately 17,000 shares of our common stock in open market transactions. We also made payments of approximately $1.3 million to noncontrolling interests holders.</w:t>
      </w:r>
    </w:p>
    <w:p>
      <w:pPr>
        <w:spacing w:after="0" w:line="201" w:lineRule="exact"/>
        <w:rPr>
          <w:sz w:val="20"/>
          <w:szCs w:val="20"/>
          <w:color w:val="auto"/>
        </w:rPr>
      </w:pPr>
    </w:p>
    <w:p>
      <w:pPr>
        <w:jc w:val="both"/>
        <w:ind w:right="40" w:firstLine="648"/>
        <w:spacing w:after="0" w:line="328" w:lineRule="auto"/>
        <w:rPr>
          <w:sz w:val="20"/>
          <w:szCs w:val="20"/>
          <w:color w:val="auto"/>
        </w:rPr>
      </w:pPr>
      <w:r>
        <w:rPr>
          <w:rFonts w:ascii="Arial" w:cs="Arial" w:eastAsia="Arial" w:hAnsi="Arial"/>
          <w:sz w:val="19"/>
          <w:szCs w:val="19"/>
          <w:color w:val="auto"/>
        </w:rPr>
        <w:t>Cash of approximately $5.7 million was used in financing activities for the first six months of fiscal year 2020 as we used cash of approximately $5.6 million to purchase approximately 109,000 shares of our common stock in open market transactions.</w:t>
      </w:r>
    </w:p>
    <w:p>
      <w:pPr>
        <w:spacing w:after="0" w:line="13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We are investigating various uses for our excess cash and short-term investments. We have historically had a stock buyback program and subsequent to the end of the fiscal 2021 second quarter completed a 500,000 share buyback authorization from the Board of Directors and obtained authorization to repurchase an additional 500,000 shares. We also plan to seek and evaluate investment opportunities including ethanol and/or energy related, carbon dioxide related, agricultural or other ventures we believe fit our investment criteria in addition to investing in highly liquid short-term securities.</w:t>
      </w:r>
    </w:p>
    <w:p>
      <w:pPr>
        <w:spacing w:after="0" w:line="17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We are working with the University of Illinois to explore the development of a carbon sequestration project to be located near the One Earth ethanol plant. The University of Illinois has received a United States Department of Energy award through the CarbonSAFE program, and, will evaluate the greenhouse gas storage potential by drilling a test well and performing seismic surveys. The seismic survey has been completed and the data is being sent for processing. Further work and research is needed to determine if this will be a feasible location for carbon sequestration and storage.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2" w:right="35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natural gas, logistical delays, our ethanol and refined coal plants operating efficiently and according to forecasts and projections, changes in the international, national or regional economies, weather, results of income tax audits, changes in income tax laws or regulations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2021 (File No. 001-09097).</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80" w:firstLine="495"/>
        <w:spacing w:after="0" w:line="252" w:lineRule="auto"/>
        <w:rPr>
          <w:sz w:val="20"/>
          <w:szCs w:val="20"/>
          <w:color w:val="auto"/>
        </w:rPr>
      </w:pPr>
      <w:r>
        <w:rPr>
          <w:rFonts w:ascii="Arial" w:cs="Arial" w:eastAsia="Arial" w:hAnsi="Arial"/>
          <w:sz w:val="21"/>
          <w:szCs w:val="21"/>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starting on July 31, 2021 is as follows, assuming normal operating capacity (amounts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22"/>
                <w:szCs w:val="22"/>
                <w:b w:val="1"/>
                <w:bCs w:val="1"/>
                <w:color w:val="auto"/>
              </w:rPr>
              <w:t>Estimated Total</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514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Commodity</w:t>
            </w:r>
          </w:p>
        </w:tc>
        <w:tc>
          <w:tcPr>
            <w:tcW w:w="1660" w:type="dxa"/>
            <w:vAlign w:val="bottom"/>
            <w:gridSpan w:val="2"/>
          </w:tcPr>
          <w:p>
            <w:pPr>
              <w:spacing w:after="0" w:line="243" w:lineRule="exact"/>
              <w:rPr>
                <w:sz w:val="20"/>
                <w:szCs w:val="20"/>
                <w:color w:val="auto"/>
              </w:rPr>
            </w:pPr>
            <w:r>
              <w:rPr>
                <w:rFonts w:ascii="Arial" w:cs="Arial" w:eastAsia="Arial" w:hAnsi="Arial"/>
                <w:sz w:val="22"/>
                <w:szCs w:val="22"/>
                <w:b w:val="1"/>
                <w:bCs w:val="1"/>
                <w:color w:val="auto"/>
              </w:rPr>
              <w:t>Volume for</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3"/>
          </w:tcPr>
          <w:p>
            <w:pPr>
              <w:spacing w:after="0" w:line="243" w:lineRule="exact"/>
              <w:rPr>
                <w:sz w:val="20"/>
                <w:szCs w:val="20"/>
                <w:color w:val="auto"/>
              </w:rPr>
            </w:pPr>
            <w:r>
              <w:rPr>
                <w:rFonts w:ascii="Arial" w:cs="Arial" w:eastAsia="Arial" w:hAnsi="Arial"/>
                <w:sz w:val="22"/>
                <w:szCs w:val="22"/>
                <w:b w:val="1"/>
                <w:bCs w:val="1"/>
                <w:color w:val="auto"/>
              </w:rPr>
              <w:t>Income From a 10%</w:t>
            </w:r>
          </w:p>
        </w:tc>
        <w:tc>
          <w:tcPr>
            <w:tcW w:w="0" w:type="dxa"/>
            <w:vAlign w:val="bottom"/>
          </w:tcPr>
          <w:p>
            <w:pPr>
              <w:spacing w:after="0"/>
              <w:rPr>
                <w:sz w:val="1"/>
                <w:szCs w:val="1"/>
                <w:color w:val="auto"/>
              </w:rPr>
            </w:pPr>
          </w:p>
        </w:tc>
      </w:tr>
      <w:tr>
        <w:trPr>
          <w:trHeight w:val="216"/>
        </w:trPr>
        <w:tc>
          <w:tcPr>
            <w:tcW w:w="5140" w:type="dxa"/>
            <w:vAlign w:val="bottom"/>
            <w:gridSpan w:val="2"/>
            <w:vMerge w:val="continue"/>
          </w:tcPr>
          <w:p>
            <w:pPr>
              <w:spacing w:after="0"/>
              <w:rPr>
                <w:sz w:val="18"/>
                <w:szCs w:val="18"/>
                <w:color w:val="auto"/>
              </w:rPr>
            </w:pPr>
          </w:p>
        </w:tc>
        <w:tc>
          <w:tcPr>
            <w:tcW w:w="1660" w:type="dxa"/>
            <w:vAlign w:val="bottom"/>
            <w:gridSpan w:val="2"/>
          </w:tcPr>
          <w:p>
            <w:pPr>
              <w:spacing w:after="0" w:line="197" w:lineRule="exact"/>
              <w:rPr>
                <w:sz w:val="20"/>
                <w:szCs w:val="20"/>
                <w:color w:val="auto"/>
              </w:rPr>
            </w:pPr>
            <w:r>
              <w:rPr>
                <w:rFonts w:ascii="Arial" w:cs="Arial" w:eastAsia="Arial" w:hAnsi="Arial"/>
                <w:sz w:val="22"/>
                <w:szCs w:val="22"/>
                <w:b w:val="1"/>
                <w:bCs w:val="1"/>
                <w:color w:val="auto"/>
              </w:rPr>
              <w:t>12 Months</w:t>
            </w:r>
          </w:p>
        </w:tc>
        <w:tc>
          <w:tcPr>
            <w:tcW w:w="2040" w:type="dxa"/>
            <w:vAlign w:val="bottom"/>
            <w:gridSpan w:val="3"/>
          </w:tcPr>
          <w:p>
            <w:pPr>
              <w:ind w:left="220"/>
              <w:spacing w:after="0" w:line="197" w:lineRule="exact"/>
              <w:rPr>
                <w:sz w:val="20"/>
                <w:szCs w:val="20"/>
                <w:color w:val="auto"/>
              </w:rPr>
            </w:pPr>
            <w:r>
              <w:rPr>
                <w:rFonts w:ascii="Arial" w:cs="Arial" w:eastAsia="Arial" w:hAnsi="Arial"/>
                <w:sz w:val="22"/>
                <w:szCs w:val="22"/>
                <w:b w:val="1"/>
                <w:bCs w:val="1"/>
                <w:color w:val="auto"/>
              </w:rPr>
              <w:t>Unit of Measure</w:t>
            </w:r>
          </w:p>
        </w:tc>
        <w:tc>
          <w:tcPr>
            <w:tcW w:w="2400" w:type="dxa"/>
            <w:vAlign w:val="bottom"/>
            <w:gridSpan w:val="3"/>
          </w:tcPr>
          <w:p>
            <w:pPr>
              <w:spacing w:after="0" w:line="197" w:lineRule="exact"/>
              <w:rPr>
                <w:sz w:val="20"/>
                <w:szCs w:val="20"/>
                <w:color w:val="auto"/>
              </w:rPr>
            </w:pPr>
            <w:r>
              <w:rPr>
                <w:rFonts w:ascii="Arial" w:cs="Arial" w:eastAsia="Arial" w:hAnsi="Arial"/>
                <w:sz w:val="22"/>
                <w:szCs w:val="22"/>
                <w:b w:val="1"/>
                <w:bCs w:val="1"/>
                <w:color w:val="auto"/>
                <w:w w:val="91"/>
              </w:rPr>
              <w:t>Adverse Change in Price</w:t>
            </w:r>
          </w:p>
        </w:tc>
        <w:tc>
          <w:tcPr>
            <w:tcW w:w="0" w:type="dxa"/>
            <w:vAlign w:val="bottom"/>
          </w:tcPr>
          <w:p>
            <w:pPr>
              <w:spacing w:after="0"/>
              <w:rPr>
                <w:sz w:val="1"/>
                <w:szCs w:val="1"/>
                <w:color w:val="auto"/>
              </w:rPr>
            </w:pPr>
          </w:p>
        </w:tc>
      </w:tr>
      <w:tr>
        <w:trPr>
          <w:trHeight w:val="34"/>
        </w:trPr>
        <w:tc>
          <w:tcPr>
            <w:tcW w:w="1100" w:type="dxa"/>
            <w:vAlign w:val="bottom"/>
            <w:tcBorders>
              <w:top w:val="single" w:sz="8" w:color="auto"/>
              <w:bottom w:val="single" w:sz="8" w:color="E5FFFF"/>
            </w:tcBorders>
          </w:tcPr>
          <w:p>
            <w:pPr>
              <w:spacing w:after="0"/>
              <w:rPr>
                <w:sz w:val="2"/>
                <w:szCs w:val="2"/>
                <w:color w:val="auto"/>
              </w:rPr>
            </w:pPr>
          </w:p>
        </w:tc>
        <w:tc>
          <w:tcPr>
            <w:tcW w:w="4040" w:type="dxa"/>
            <w:vAlign w:val="bottom"/>
            <w:tcBorders>
              <w:bottom w:val="single" w:sz="8" w:color="E5FF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E5FFFF"/>
            </w:tcBorders>
          </w:tcPr>
          <w:p>
            <w:pPr>
              <w:spacing w:after="0"/>
              <w:rPr>
                <w:sz w:val="2"/>
                <w:szCs w:val="2"/>
                <w:color w:val="auto"/>
              </w:rPr>
            </w:pPr>
          </w:p>
        </w:tc>
        <w:tc>
          <w:tcPr>
            <w:tcW w:w="220" w:type="dxa"/>
            <w:vAlign w:val="bottom"/>
            <w:tcBorders>
              <w:bottom w:val="single" w:sz="8" w:color="E5FF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E5FF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E5FF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gridSpan w:val="2"/>
            <w:shd w:val="clear" w:color="auto" w:fill="E5FFFF"/>
          </w:tcPr>
          <w:p>
            <w:pPr>
              <w:spacing w:after="0" w:line="237" w:lineRule="exact"/>
              <w:rPr>
                <w:sz w:val="20"/>
                <w:szCs w:val="20"/>
                <w:color w:val="auto"/>
              </w:rPr>
            </w:pPr>
            <w:r>
              <w:rPr>
                <w:rFonts w:ascii="Arial" w:cs="Arial" w:eastAsia="Arial" w:hAnsi="Arial"/>
                <w:sz w:val="22"/>
                <w:szCs w:val="22"/>
                <w:color w:val="auto"/>
              </w:rPr>
              <w:t>Ethanol</w:t>
            </w:r>
          </w:p>
        </w:tc>
        <w:tc>
          <w:tcPr>
            <w:tcW w:w="146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280,000</w:t>
            </w:r>
          </w:p>
        </w:tc>
        <w:tc>
          <w:tcPr>
            <w:tcW w:w="20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15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Gallons</w:t>
            </w:r>
          </w:p>
        </w:tc>
        <w:tc>
          <w:tcPr>
            <w:tcW w:w="320" w:type="dxa"/>
            <w:vAlign w:val="bottom"/>
            <w:shd w:val="clear" w:color="auto" w:fill="E5FFFF"/>
          </w:tcPr>
          <w:p>
            <w:pPr>
              <w:spacing w:after="0"/>
              <w:rPr>
                <w:sz w:val="20"/>
                <w:szCs w:val="20"/>
                <w:color w:val="auto"/>
              </w:rPr>
            </w:pPr>
          </w:p>
        </w:tc>
        <w:tc>
          <w:tcPr>
            <w:tcW w:w="900" w:type="dxa"/>
            <w:vAlign w:val="bottom"/>
            <w:shd w:val="clear" w:color="auto" w:fill="E5FFFF"/>
          </w:tcPr>
          <w:p>
            <w:pPr>
              <w:spacing w:after="0" w:line="237" w:lineRule="exact"/>
              <w:rPr>
                <w:sz w:val="20"/>
                <w:szCs w:val="20"/>
                <w:color w:val="auto"/>
              </w:rPr>
            </w:pPr>
            <w:r>
              <w:rPr>
                <w:rFonts w:ascii="Arial" w:cs="Arial" w:eastAsia="Arial" w:hAnsi="Arial"/>
                <w:sz w:val="22"/>
                <w:szCs w:val="22"/>
                <w:color w:val="auto"/>
              </w:rPr>
              <w:t>$</w:t>
            </w:r>
          </w:p>
        </w:tc>
        <w:tc>
          <w:tcPr>
            <w:tcW w:w="1400" w:type="dxa"/>
            <w:vAlign w:val="bottom"/>
            <w:shd w:val="clear" w:color="auto" w:fill="E5FFFF"/>
          </w:tcPr>
          <w:p>
            <w:pPr>
              <w:jc w:val="right"/>
              <w:spacing w:after="0" w:line="237" w:lineRule="exact"/>
              <w:rPr>
                <w:sz w:val="20"/>
                <w:szCs w:val="20"/>
                <w:color w:val="auto"/>
              </w:rPr>
            </w:pPr>
            <w:r>
              <w:rPr>
                <w:rFonts w:ascii="Arial" w:cs="Arial" w:eastAsia="Arial" w:hAnsi="Arial"/>
                <w:sz w:val="22"/>
                <w:szCs w:val="22"/>
                <w:color w:val="auto"/>
              </w:rPr>
              <w:t>62,678</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Corn</w:t>
            </w:r>
          </w:p>
        </w:tc>
        <w:tc>
          <w:tcPr>
            <w:tcW w:w="16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100,000</w:t>
            </w:r>
          </w:p>
        </w:tc>
        <w:tc>
          <w:tcPr>
            <w:tcW w:w="204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Bushels</w:t>
            </w:r>
          </w:p>
        </w:tc>
        <w:tc>
          <w:tcPr>
            <w:tcW w:w="9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5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57,302</w:t>
            </w:r>
          </w:p>
        </w:tc>
        <w:tc>
          <w:tcPr>
            <w:tcW w:w="0" w:type="dxa"/>
            <w:vAlign w:val="bottom"/>
          </w:tcPr>
          <w:p>
            <w:pPr>
              <w:spacing w:after="0"/>
              <w:rPr>
                <w:sz w:val="1"/>
                <w:szCs w:val="1"/>
                <w:color w:val="auto"/>
              </w:rPr>
            </w:pPr>
          </w:p>
        </w:tc>
      </w:tr>
      <w:tr>
        <w:trPr>
          <w:trHeight w:val="243"/>
        </w:trPr>
        <w:tc>
          <w:tcPr>
            <w:tcW w:w="51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Distillers Grains</w:t>
            </w:r>
          </w:p>
        </w:tc>
        <w:tc>
          <w:tcPr>
            <w:tcW w:w="166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770</w:t>
            </w:r>
          </w:p>
        </w:tc>
        <w:tc>
          <w:tcPr>
            <w:tcW w:w="2040" w:type="dxa"/>
            <w:vAlign w:val="bottom"/>
            <w:gridSpan w:val="3"/>
            <w:shd w:val="clear" w:color="auto" w:fill="E5FFFF"/>
          </w:tcPr>
          <w:p>
            <w:pPr>
              <w:ind w:left="220"/>
              <w:spacing w:after="0" w:line="243" w:lineRule="exact"/>
              <w:rPr>
                <w:sz w:val="20"/>
                <w:szCs w:val="20"/>
                <w:color w:val="auto"/>
              </w:rPr>
            </w:pPr>
            <w:r>
              <w:rPr>
                <w:rFonts w:ascii="Arial" w:cs="Arial" w:eastAsia="Arial" w:hAnsi="Arial"/>
                <w:sz w:val="22"/>
                <w:szCs w:val="22"/>
                <w:color w:val="auto"/>
              </w:rPr>
              <w:t>Tons</w:t>
            </w:r>
          </w:p>
        </w:tc>
        <w:tc>
          <w:tcPr>
            <w:tcW w:w="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5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12,548</w:t>
            </w:r>
          </w:p>
        </w:tc>
        <w:tc>
          <w:tcPr>
            <w:tcW w:w="0" w:type="dxa"/>
            <w:vAlign w:val="bottom"/>
          </w:tcPr>
          <w:p>
            <w:pPr>
              <w:spacing w:after="0"/>
              <w:rPr>
                <w:sz w:val="1"/>
                <w:szCs w:val="1"/>
                <w:color w:val="auto"/>
              </w:rPr>
            </w:pPr>
          </w:p>
        </w:tc>
      </w:tr>
      <w:tr>
        <w:trPr>
          <w:trHeight w:val="243"/>
        </w:trPr>
        <w:tc>
          <w:tcPr>
            <w:tcW w:w="5140" w:type="dxa"/>
            <w:vAlign w:val="bottom"/>
            <w:gridSpan w:val="2"/>
          </w:tcPr>
          <w:p>
            <w:pPr>
              <w:spacing w:after="0" w:line="243" w:lineRule="exact"/>
              <w:rPr>
                <w:sz w:val="20"/>
                <w:szCs w:val="20"/>
                <w:color w:val="auto"/>
              </w:rPr>
            </w:pPr>
            <w:r>
              <w:rPr>
                <w:rFonts w:ascii="Arial" w:cs="Arial" w:eastAsia="Arial" w:hAnsi="Arial"/>
                <w:sz w:val="22"/>
                <w:szCs w:val="22"/>
                <w:color w:val="auto"/>
              </w:rPr>
              <w:t>Non-food grade Corn Oil</w:t>
            </w:r>
          </w:p>
        </w:tc>
        <w:tc>
          <w:tcPr>
            <w:tcW w:w="166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77,750</w:t>
            </w:r>
          </w:p>
        </w:tc>
        <w:tc>
          <w:tcPr>
            <w:tcW w:w="204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Pounds</w:t>
            </w:r>
          </w:p>
        </w:tc>
        <w:tc>
          <w:tcPr>
            <w:tcW w:w="900" w:type="dxa"/>
            <w:vAlign w:val="bottom"/>
          </w:tcPr>
          <w:p>
            <w:pPr>
              <w:spacing w:after="0" w:line="243" w:lineRule="exact"/>
              <w:rPr>
                <w:sz w:val="20"/>
                <w:szCs w:val="20"/>
                <w:color w:val="auto"/>
              </w:rPr>
            </w:pPr>
            <w:r>
              <w:rPr>
                <w:rFonts w:ascii="Arial" w:cs="Arial" w:eastAsia="Arial" w:hAnsi="Arial"/>
                <w:sz w:val="22"/>
                <w:szCs w:val="22"/>
                <w:color w:val="auto"/>
              </w:rPr>
              <w:t>$</w:t>
            </w:r>
          </w:p>
        </w:tc>
        <w:tc>
          <w:tcPr>
            <w:tcW w:w="15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3,905</w:t>
            </w:r>
          </w:p>
        </w:tc>
        <w:tc>
          <w:tcPr>
            <w:tcW w:w="0" w:type="dxa"/>
            <w:vAlign w:val="bottom"/>
          </w:tcPr>
          <w:p>
            <w:pPr>
              <w:spacing w:after="0"/>
              <w:rPr>
                <w:sz w:val="1"/>
                <w:szCs w:val="1"/>
                <w:color w:val="auto"/>
              </w:rPr>
            </w:pPr>
          </w:p>
        </w:tc>
      </w:tr>
      <w:tr>
        <w:trPr>
          <w:trHeight w:val="243"/>
        </w:trPr>
        <w:tc>
          <w:tcPr>
            <w:tcW w:w="514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color w:val="auto"/>
              </w:rPr>
              <w:t>Natural Gas</w:t>
            </w:r>
          </w:p>
        </w:tc>
        <w:tc>
          <w:tcPr>
            <w:tcW w:w="1660" w:type="dxa"/>
            <w:vAlign w:val="bottom"/>
            <w:gridSpan w:val="2"/>
            <w:shd w:val="clear" w:color="auto" w:fill="E5FFFF"/>
          </w:tcPr>
          <w:p>
            <w:pPr>
              <w:jc w:val="right"/>
              <w:ind w:right="200"/>
              <w:spacing w:after="0" w:line="243" w:lineRule="exact"/>
              <w:rPr>
                <w:sz w:val="20"/>
                <w:szCs w:val="20"/>
                <w:color w:val="auto"/>
              </w:rPr>
            </w:pPr>
            <w:r>
              <w:rPr>
                <w:rFonts w:ascii="Arial" w:cs="Arial" w:eastAsia="Arial" w:hAnsi="Arial"/>
                <w:sz w:val="22"/>
                <w:szCs w:val="22"/>
                <w:color w:val="auto"/>
              </w:rPr>
              <w:t>7,400</w:t>
            </w:r>
          </w:p>
        </w:tc>
        <w:tc>
          <w:tcPr>
            <w:tcW w:w="2040" w:type="dxa"/>
            <w:vAlign w:val="bottom"/>
            <w:gridSpan w:val="3"/>
            <w:shd w:val="clear" w:color="auto" w:fill="E5FFFF"/>
          </w:tcPr>
          <w:p>
            <w:pPr>
              <w:ind w:left="220"/>
              <w:spacing w:after="0" w:line="243" w:lineRule="exact"/>
              <w:rPr>
                <w:sz w:val="20"/>
                <w:szCs w:val="20"/>
                <w:color w:val="auto"/>
              </w:rPr>
            </w:pPr>
            <w:r>
              <w:rPr>
                <w:rFonts w:ascii="Arial" w:cs="Arial" w:eastAsia="Arial" w:hAnsi="Arial"/>
                <w:sz w:val="22"/>
                <w:szCs w:val="22"/>
                <w:color w:val="auto"/>
              </w:rPr>
              <w:t>MmBtu</w:t>
            </w:r>
          </w:p>
        </w:tc>
        <w:tc>
          <w:tcPr>
            <w:tcW w:w="90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w:t>
            </w:r>
          </w:p>
        </w:tc>
        <w:tc>
          <w:tcPr>
            <w:tcW w:w="1500" w:type="dxa"/>
            <w:vAlign w:val="bottom"/>
            <w:gridSpan w:val="2"/>
            <w:shd w:val="clear" w:color="auto" w:fill="E5FFFF"/>
          </w:tcPr>
          <w:p>
            <w:pPr>
              <w:jc w:val="right"/>
              <w:ind w:right="100"/>
              <w:spacing w:after="0" w:line="243" w:lineRule="exact"/>
              <w:rPr>
                <w:sz w:val="20"/>
                <w:szCs w:val="20"/>
                <w:color w:val="auto"/>
              </w:rPr>
            </w:pPr>
            <w:r>
              <w:rPr>
                <w:rFonts w:ascii="Arial" w:cs="Arial" w:eastAsia="Arial" w:hAnsi="Arial"/>
                <w:sz w:val="22"/>
                <w:szCs w:val="22"/>
                <w:color w:val="auto"/>
              </w:rPr>
              <w:t>800</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9"/>
          <w:szCs w:val="19"/>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7" w:name="page38"/>
    <w:bookmarkEnd w:id="37"/>
    <w:p>
      <w:pPr>
        <w:ind w:left="4280"/>
        <w:spacing w:after="0"/>
        <w:rPr>
          <w:sz w:val="20"/>
          <w:szCs w:val="20"/>
          <w:color w:val="auto"/>
        </w:rPr>
      </w:pPr>
      <w:r>
        <w:rPr>
          <w:rFonts w:ascii="Arial" w:cs="Arial" w:eastAsia="Arial" w:hAnsi="Arial"/>
          <w:sz w:val="22"/>
          <w:szCs w:val="22"/>
          <w:b w:val="1"/>
          <w:bCs w:val="1"/>
          <w:color w:val="auto"/>
        </w:rPr>
        <w:t>PART II. OTHER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23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We are not party to any legal proceedings that we believe would, individually or in the aggregate, have a material adverse effect on our financial condition, results of operations or cash flows.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239"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There have been no material changes to the risk factors discussed in our Annual Report on Form 10-K for the year ended January 31, 2021.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exhibits are filed with this report:</w:t>
      </w:r>
    </w:p>
    <w:p>
      <w:pPr>
        <w:spacing w:after="0" w:line="233" w:lineRule="exact"/>
        <w:rPr>
          <w:sz w:val="20"/>
          <w:szCs w:val="20"/>
          <w:color w:val="auto"/>
        </w:rPr>
      </w:pPr>
    </w:p>
    <w:p>
      <w:pPr>
        <w:ind w:left="1260" w:hanging="496"/>
        <w:spacing w:after="0"/>
        <w:tabs>
          <w:tab w:leader="none" w:pos="1260" w:val="left"/>
        </w:tabs>
        <w:numPr>
          <w:ilvl w:val="0"/>
          <w:numId w:val="9"/>
        </w:numPr>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Rule 13a-14(a)/15d-14(a) Certifications</w:t>
        </w:r>
      </w:hyperlink>
    </w:p>
    <w:p>
      <w:pPr>
        <w:spacing w:after="0" w:line="233" w:lineRule="exact"/>
        <w:rPr>
          <w:rFonts w:ascii="Arial" w:cs="Arial" w:eastAsia="Arial" w:hAnsi="Arial"/>
          <w:sz w:val="22"/>
          <w:szCs w:val="22"/>
          <w:u w:val="single" w:color="auto"/>
          <w:color w:val="0000EE"/>
        </w:rPr>
      </w:pPr>
    </w:p>
    <w:p>
      <w:pPr>
        <w:ind w:left="1260" w:hanging="496"/>
        <w:spacing w:after="0"/>
        <w:tabs>
          <w:tab w:leader="none" w:pos="1260" w:val="left"/>
        </w:tabs>
        <w:numPr>
          <w:ilvl w:val="0"/>
          <w:numId w:val="9"/>
        </w:numPr>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Section 1350 Certifications</w:t>
        </w:r>
      </w:hyperlink>
    </w:p>
    <w:p>
      <w:pPr>
        <w:spacing w:after="0" w:line="233" w:lineRule="exact"/>
        <w:rPr>
          <w:rFonts w:ascii="Arial" w:cs="Arial" w:eastAsia="Arial" w:hAnsi="Arial"/>
          <w:sz w:val="22"/>
          <w:szCs w:val="22"/>
          <w:color w:val="auto"/>
        </w:rPr>
      </w:pPr>
    </w:p>
    <w:p>
      <w:pPr>
        <w:jc w:val="both"/>
        <w:ind w:left="1260" w:hanging="604"/>
        <w:spacing w:after="0" w:line="287" w:lineRule="auto"/>
        <w:tabs>
          <w:tab w:leader="none" w:pos="126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following information from REX American Resources Corporation Quarterly Report on Form 10-Q for the quarter ended July 31, 2021, formatted in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116" w:lineRule="exact"/>
        <w:rPr>
          <w:rFonts w:ascii="Arial" w:cs="Arial" w:eastAsia="Arial" w:hAnsi="Arial"/>
          <w:sz w:val="22"/>
          <w:szCs w:val="22"/>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520" w:type="dxa"/>
            <w:vAlign w:val="bottom"/>
            <w:gridSpan w:val="3"/>
          </w:tcPr>
          <w:p>
            <w:pPr>
              <w:ind w:left="1900"/>
              <w:spacing w:after="0"/>
              <w:rPr>
                <w:sz w:val="20"/>
                <w:szCs w:val="20"/>
                <w:color w:val="auto"/>
              </w:rPr>
            </w:pPr>
            <w:r>
              <w:rPr>
                <w:rFonts w:ascii="Arial" w:cs="Arial" w:eastAsia="Arial" w:hAnsi="Arial"/>
                <w:sz w:val="22"/>
                <w:szCs w:val="22"/>
                <w:color w:val="auto"/>
              </w:rPr>
              <w:t>REX American Resources Corporation</w:t>
            </w:r>
          </w:p>
        </w:tc>
      </w:tr>
      <w:tr>
        <w:trPr>
          <w:trHeight w:val="274"/>
        </w:trPr>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720" w:type="dxa"/>
            <w:vAlign w:val="bottom"/>
            <w:gridSpan w:val="2"/>
          </w:tcPr>
          <w:p>
            <w:pPr>
              <w:ind w:left="1900"/>
              <w:spacing w:after="0"/>
              <w:rPr>
                <w:sz w:val="20"/>
                <w:szCs w:val="20"/>
                <w:color w:val="auto"/>
              </w:rPr>
            </w:pPr>
            <w:r>
              <w:rPr>
                <w:rFonts w:ascii="Arial" w:cs="Arial" w:eastAsia="Arial" w:hAnsi="Arial"/>
                <w:sz w:val="22"/>
                <w:szCs w:val="22"/>
                <w:color w:val="auto"/>
              </w:rPr>
              <w:t>Registrant</w:t>
            </w:r>
          </w:p>
        </w:tc>
        <w:tc>
          <w:tcPr>
            <w:tcW w:w="2800" w:type="dxa"/>
            <w:vAlign w:val="bottom"/>
          </w:tcPr>
          <w:p>
            <w:pPr>
              <w:spacing w:after="0"/>
              <w:rPr>
                <w:sz w:val="23"/>
                <w:szCs w:val="23"/>
                <w:color w:val="auto"/>
              </w:rPr>
            </w:pPr>
          </w:p>
        </w:tc>
      </w:tr>
      <w:tr>
        <w:trPr>
          <w:trHeight w:val="488"/>
        </w:trPr>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3"/>
          </w:tcPr>
          <w:p>
            <w:pPr>
              <w:jc w:val="center"/>
              <w:ind w:right="1080"/>
              <w:spacing w:after="0"/>
              <w:rPr>
                <w:sz w:val="20"/>
                <w:szCs w:val="20"/>
                <w:color w:val="auto"/>
              </w:rPr>
            </w:pPr>
            <w:r>
              <w:rPr>
                <w:rFonts w:ascii="Arial" w:cs="Arial" w:eastAsia="Arial" w:hAnsi="Arial"/>
                <w:sz w:val="22"/>
                <w:szCs w:val="22"/>
                <w:b w:val="1"/>
                <w:bCs w:val="1"/>
                <w:color w:val="auto"/>
                <w:w w:val="88"/>
              </w:rPr>
              <w:t>Signature</w:t>
            </w:r>
          </w:p>
        </w:tc>
        <w:tc>
          <w:tcPr>
            <w:tcW w:w="340" w:type="dxa"/>
            <w:vAlign w:val="bottom"/>
          </w:tcPr>
          <w:p>
            <w:pPr>
              <w:spacing w:after="0"/>
              <w:rPr>
                <w:sz w:val="24"/>
                <w:szCs w:val="24"/>
                <w:color w:val="auto"/>
              </w:rPr>
            </w:pPr>
          </w:p>
        </w:tc>
        <w:tc>
          <w:tcPr>
            <w:tcW w:w="4380" w:type="dxa"/>
            <w:vAlign w:val="bottom"/>
            <w:tcBorders>
              <w:bottom w:val="single" w:sz="8" w:color="auto"/>
            </w:tcBorders>
          </w:tcPr>
          <w:p>
            <w:pPr>
              <w:ind w:left="1980"/>
              <w:spacing w:after="0"/>
              <w:rPr>
                <w:sz w:val="20"/>
                <w:szCs w:val="20"/>
                <w:color w:val="auto"/>
              </w:rPr>
            </w:pPr>
            <w:r>
              <w:rPr>
                <w:rFonts w:ascii="Arial" w:cs="Arial" w:eastAsia="Arial" w:hAnsi="Arial"/>
                <w:sz w:val="22"/>
                <w:szCs w:val="22"/>
                <w:b w:val="1"/>
                <w:bCs w:val="1"/>
                <w:color w:val="auto"/>
              </w:rPr>
              <w:t>Title</w:t>
            </w:r>
          </w:p>
        </w:tc>
        <w:tc>
          <w:tcPr>
            <w:tcW w:w="340" w:type="dxa"/>
            <w:vAlign w:val="bottom"/>
          </w:tcPr>
          <w:p>
            <w:pPr>
              <w:spacing w:after="0"/>
              <w:rPr>
                <w:sz w:val="24"/>
                <w:szCs w:val="24"/>
                <w:color w:val="auto"/>
              </w:rPr>
            </w:pPr>
          </w:p>
        </w:tc>
        <w:tc>
          <w:tcPr>
            <w:tcW w:w="2800" w:type="dxa"/>
            <w:vAlign w:val="bottom"/>
            <w:tcBorders>
              <w:bottom w:val="single" w:sz="8" w:color="auto"/>
            </w:tcBorders>
          </w:tcPr>
          <w:p>
            <w:pPr>
              <w:jc w:val="right"/>
              <w:ind w:right="1072"/>
              <w:spacing w:after="0"/>
              <w:rPr>
                <w:sz w:val="20"/>
                <w:szCs w:val="20"/>
                <w:color w:val="auto"/>
              </w:rPr>
            </w:pPr>
            <w:r>
              <w:rPr>
                <w:rFonts w:ascii="Arial" w:cs="Arial" w:eastAsia="Arial" w:hAnsi="Arial"/>
                <w:sz w:val="22"/>
                <w:szCs w:val="22"/>
                <w:b w:val="1"/>
                <w:bCs w:val="1"/>
                <w:color w:val="auto"/>
              </w:rPr>
              <w:t>Date</w:t>
            </w:r>
          </w:p>
        </w:tc>
      </w:tr>
      <w:tr>
        <w:trPr>
          <w:trHeight w:val="441"/>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/s/ Zafar Rizvi</w:t>
            </w:r>
          </w:p>
        </w:tc>
        <w:tc>
          <w:tcPr>
            <w:tcW w:w="1060" w:type="dxa"/>
            <w:vAlign w:val="bottom"/>
            <w:gridSpan w:val="2"/>
          </w:tcPr>
          <w:p>
            <w:pPr>
              <w:spacing w:after="0"/>
              <w:rPr>
                <w:sz w:val="24"/>
                <w:szCs w:val="24"/>
                <w:color w:val="auto"/>
              </w:rPr>
            </w:pPr>
          </w:p>
        </w:tc>
        <w:tc>
          <w:tcPr>
            <w:tcW w:w="5060" w:type="dxa"/>
            <w:vAlign w:val="bottom"/>
            <w:gridSpan w:val="3"/>
          </w:tcPr>
          <w:p>
            <w:pPr>
              <w:ind w:left="340"/>
              <w:spacing w:after="0"/>
              <w:rPr>
                <w:sz w:val="20"/>
                <w:szCs w:val="20"/>
                <w:color w:val="auto"/>
              </w:rPr>
            </w:pPr>
            <w:r>
              <w:rPr>
                <w:rFonts w:ascii="Arial" w:cs="Arial" w:eastAsia="Arial" w:hAnsi="Arial"/>
                <w:sz w:val="22"/>
                <w:szCs w:val="22"/>
                <w:color w:val="auto"/>
              </w:rPr>
              <w:t>Chief Executive Officer and President</w:t>
            </w:r>
          </w:p>
        </w:tc>
        <w:tc>
          <w:tcPr>
            <w:tcW w:w="2800" w:type="dxa"/>
            <w:vAlign w:val="bottom"/>
          </w:tcPr>
          <w:p>
            <w:pPr>
              <w:spacing w:after="0"/>
              <w:rPr>
                <w:sz w:val="24"/>
                <w:szCs w:val="24"/>
                <w:color w:val="auto"/>
              </w:rPr>
            </w:pPr>
          </w:p>
        </w:tc>
      </w:tr>
      <w:tr>
        <w:trPr>
          <w:trHeight w:val="273"/>
        </w:trPr>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300" w:type="dxa"/>
            <w:vAlign w:val="bottom"/>
            <w:gridSpan w:val="3"/>
          </w:tcPr>
          <w:p>
            <w:pPr>
              <w:jc w:val="center"/>
              <w:ind w:right="1080"/>
              <w:spacing w:after="0"/>
              <w:rPr>
                <w:sz w:val="20"/>
                <w:szCs w:val="20"/>
                <w:color w:val="auto"/>
              </w:rPr>
            </w:pPr>
            <w:r>
              <w:rPr>
                <w:rFonts w:ascii="Arial" w:cs="Arial" w:eastAsia="Arial" w:hAnsi="Arial"/>
                <w:sz w:val="22"/>
                <w:szCs w:val="22"/>
                <w:color w:val="auto"/>
                <w:w w:val="95"/>
              </w:rPr>
              <w:t>(Zafar Rizvi)</w:t>
            </w:r>
          </w:p>
        </w:tc>
        <w:tc>
          <w:tcPr>
            <w:tcW w:w="340" w:type="dxa"/>
            <w:vAlign w:val="bottom"/>
          </w:tcPr>
          <w:p>
            <w:pPr>
              <w:spacing w:after="0"/>
              <w:rPr>
                <w:sz w:val="23"/>
                <w:szCs w:val="23"/>
                <w:color w:val="auto"/>
              </w:rPr>
            </w:pPr>
          </w:p>
        </w:tc>
        <w:tc>
          <w:tcPr>
            <w:tcW w:w="4720" w:type="dxa"/>
            <w:vAlign w:val="bottom"/>
            <w:gridSpan w:val="2"/>
          </w:tcPr>
          <w:p>
            <w:pPr>
              <w:ind w:left="100"/>
              <w:spacing w:after="0"/>
              <w:rPr>
                <w:sz w:val="20"/>
                <w:szCs w:val="20"/>
                <w:color w:val="auto"/>
              </w:rPr>
            </w:pPr>
            <w:r>
              <w:rPr>
                <w:rFonts w:ascii="Arial" w:cs="Arial" w:eastAsia="Arial" w:hAnsi="Arial"/>
                <w:sz w:val="22"/>
                <w:szCs w:val="22"/>
                <w:color w:val="auto"/>
              </w:rPr>
              <w:t>(Chief Executive Officer)</w:t>
            </w:r>
          </w:p>
        </w:tc>
        <w:tc>
          <w:tcPr>
            <w:tcW w:w="2800" w:type="dxa"/>
            <w:vAlign w:val="bottom"/>
          </w:tcPr>
          <w:p>
            <w:pPr>
              <w:jc w:val="right"/>
              <w:ind w:right="1072"/>
              <w:spacing w:after="0"/>
              <w:rPr>
                <w:sz w:val="20"/>
                <w:szCs w:val="20"/>
                <w:color w:val="auto"/>
              </w:rPr>
            </w:pPr>
            <w:r>
              <w:rPr>
                <w:rFonts w:ascii="Arial" w:cs="Arial" w:eastAsia="Arial" w:hAnsi="Arial"/>
                <w:sz w:val="22"/>
                <w:szCs w:val="22"/>
                <w:color w:val="auto"/>
                <w:w w:val="85"/>
              </w:rPr>
              <w:t>September 3, 2021</w:t>
            </w:r>
          </w:p>
        </w:tc>
      </w:tr>
      <w:tr>
        <w:trPr>
          <w:trHeight w:val="435"/>
        </w:trPr>
        <w:tc>
          <w:tcPr>
            <w:tcW w:w="560" w:type="dxa"/>
            <w:vAlign w:val="bottom"/>
          </w:tcPr>
          <w:p>
            <w:pPr>
              <w:spacing w:after="0"/>
              <w:rPr>
                <w:sz w:val="24"/>
                <w:szCs w:val="2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9"/>
              </w:rPr>
              <w:t>/s/ Douglas L. Bruggeman</w:t>
            </w:r>
          </w:p>
        </w:tc>
        <w:tc>
          <w:tcPr>
            <w:tcW w:w="540" w:type="dxa"/>
            <w:vAlign w:val="bottom"/>
          </w:tcPr>
          <w:p>
            <w:pPr>
              <w:spacing w:after="0"/>
              <w:rPr>
                <w:sz w:val="24"/>
                <w:szCs w:val="24"/>
                <w:color w:val="auto"/>
              </w:rPr>
            </w:pPr>
          </w:p>
        </w:tc>
        <w:tc>
          <w:tcPr>
            <w:tcW w:w="5060" w:type="dxa"/>
            <w:vAlign w:val="bottom"/>
            <w:gridSpan w:val="3"/>
          </w:tcPr>
          <w:p>
            <w:pPr>
              <w:ind w:left="340"/>
              <w:spacing w:after="0"/>
              <w:rPr>
                <w:sz w:val="20"/>
                <w:szCs w:val="20"/>
                <w:color w:val="auto"/>
              </w:rPr>
            </w:pPr>
            <w:r>
              <w:rPr>
                <w:rFonts w:ascii="Arial" w:cs="Arial" w:eastAsia="Arial" w:hAnsi="Arial"/>
                <w:sz w:val="22"/>
                <w:szCs w:val="22"/>
                <w:color w:val="auto"/>
              </w:rPr>
              <w:t>Vice President, Finance and Treasurer</w:t>
            </w:r>
          </w:p>
        </w:tc>
        <w:tc>
          <w:tcPr>
            <w:tcW w:w="2800" w:type="dxa"/>
            <w:vAlign w:val="bottom"/>
          </w:tcPr>
          <w:p>
            <w:pPr>
              <w:spacing w:after="0"/>
              <w:rPr>
                <w:sz w:val="24"/>
                <w:szCs w:val="24"/>
                <w:color w:val="auto"/>
              </w:rPr>
            </w:pPr>
          </w:p>
        </w:tc>
      </w:tr>
      <w:tr>
        <w:trPr>
          <w:trHeight w:val="274"/>
        </w:trPr>
        <w:tc>
          <w:tcPr>
            <w:tcW w:w="560" w:type="dxa"/>
            <w:vAlign w:val="bottom"/>
          </w:tcPr>
          <w:p>
            <w:pPr>
              <w:spacing w:after="0"/>
              <w:rPr>
                <w:sz w:val="23"/>
                <w:szCs w:val="23"/>
                <w:color w:val="auto"/>
              </w:rPr>
            </w:pPr>
          </w:p>
        </w:tc>
        <w:tc>
          <w:tcPr>
            <w:tcW w:w="2820" w:type="dxa"/>
            <w:vAlign w:val="bottom"/>
            <w:gridSpan w:val="4"/>
          </w:tcPr>
          <w:p>
            <w:pPr>
              <w:jc w:val="center"/>
              <w:ind w:right="540"/>
              <w:spacing w:after="0"/>
              <w:rPr>
                <w:sz w:val="20"/>
                <w:szCs w:val="20"/>
                <w:color w:val="auto"/>
              </w:rPr>
            </w:pPr>
            <w:r>
              <w:rPr>
                <w:rFonts w:ascii="Arial" w:cs="Arial" w:eastAsia="Arial" w:hAnsi="Arial"/>
                <w:sz w:val="22"/>
                <w:szCs w:val="22"/>
                <w:color w:val="auto"/>
                <w:w w:val="90"/>
              </w:rPr>
              <w:t>(Douglas L. Bruggeman)</w:t>
            </w:r>
          </w:p>
        </w:tc>
        <w:tc>
          <w:tcPr>
            <w:tcW w:w="340" w:type="dxa"/>
            <w:vAlign w:val="bottom"/>
          </w:tcPr>
          <w:p>
            <w:pPr>
              <w:spacing w:after="0"/>
              <w:rPr>
                <w:sz w:val="23"/>
                <w:szCs w:val="23"/>
                <w:color w:val="auto"/>
              </w:rPr>
            </w:pPr>
          </w:p>
        </w:tc>
        <w:tc>
          <w:tcPr>
            <w:tcW w:w="4720" w:type="dxa"/>
            <w:vAlign w:val="bottom"/>
            <w:gridSpan w:val="2"/>
          </w:tcPr>
          <w:p>
            <w:pPr>
              <w:ind w:left="100"/>
              <w:spacing w:after="0"/>
              <w:rPr>
                <w:sz w:val="20"/>
                <w:szCs w:val="20"/>
                <w:color w:val="auto"/>
              </w:rPr>
            </w:pPr>
            <w:r>
              <w:rPr>
                <w:rFonts w:ascii="Arial" w:cs="Arial" w:eastAsia="Arial" w:hAnsi="Arial"/>
                <w:sz w:val="22"/>
                <w:szCs w:val="22"/>
                <w:color w:val="auto"/>
              </w:rPr>
              <w:t>(Chief Financial Officer)</w:t>
            </w:r>
          </w:p>
        </w:tc>
        <w:tc>
          <w:tcPr>
            <w:tcW w:w="2800" w:type="dxa"/>
            <w:vAlign w:val="bottom"/>
          </w:tcPr>
          <w:p>
            <w:pPr>
              <w:jc w:val="right"/>
              <w:ind w:right="1072"/>
              <w:spacing w:after="0"/>
              <w:rPr>
                <w:sz w:val="20"/>
                <w:szCs w:val="20"/>
                <w:color w:val="auto"/>
              </w:rPr>
            </w:pPr>
            <w:r>
              <w:rPr>
                <w:rFonts w:ascii="Arial" w:cs="Arial" w:eastAsia="Arial" w:hAnsi="Arial"/>
                <w:sz w:val="22"/>
                <w:szCs w:val="22"/>
                <w:color w:val="auto"/>
                <w:w w:val="85"/>
              </w:rPr>
              <w:t>September 3, 2021</w:t>
            </w:r>
          </w:p>
        </w:tc>
      </w:tr>
      <w:tr>
        <w:trPr>
          <w:trHeight w:val="432"/>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20" w:type="dxa"/>
            <w:vAlign w:val="bottom"/>
            <w:gridSpan w:val="2"/>
          </w:tcPr>
          <w:p>
            <w:pPr>
              <w:jc w:val="right"/>
              <w:ind w:right="2252"/>
              <w:spacing w:after="0"/>
              <w:rPr>
                <w:sz w:val="20"/>
                <w:szCs w:val="20"/>
                <w:color w:val="auto"/>
              </w:rPr>
            </w:pPr>
            <w:r>
              <w:rPr>
                <w:rFonts w:ascii="Arial" w:cs="Arial" w:eastAsia="Arial" w:hAnsi="Arial"/>
                <w:sz w:val="22"/>
                <w:szCs w:val="22"/>
                <w:color w:val="auto"/>
              </w:rPr>
              <w:t>39</w:t>
            </w:r>
          </w:p>
        </w:tc>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40"/>
        </w:trPr>
        <w:tc>
          <w:tcPr>
            <w:tcW w:w="5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124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3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8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31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Zafar Rizvi, certify that:</w:t>
      </w:r>
    </w:p>
    <w:p>
      <w:pPr>
        <w:spacing w:after="0" w:line="229" w:lineRule="exact"/>
        <w:rPr>
          <w:sz w:val="20"/>
          <w:szCs w:val="20"/>
          <w:color w:val="auto"/>
        </w:rPr>
      </w:pPr>
    </w:p>
    <w:p>
      <w:pPr>
        <w:ind w:left="1020" w:hanging="364"/>
        <w:spacing w:after="0"/>
        <w:tabs>
          <w:tab w:leader="none" w:pos="10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REX American Resources Corporation;</w:t>
      </w:r>
    </w:p>
    <w:p>
      <w:pPr>
        <w:spacing w:after="0" w:line="229" w:lineRule="exact"/>
        <w:rPr>
          <w:rFonts w:ascii="Arial" w:cs="Arial" w:eastAsia="Arial" w:hAnsi="Arial"/>
          <w:sz w:val="20"/>
          <w:szCs w:val="20"/>
          <w:color w:val="auto"/>
        </w:rPr>
      </w:pPr>
    </w:p>
    <w:p>
      <w:pPr>
        <w:ind w:right="60" w:firstLine="656"/>
        <w:spacing w:after="0" w:line="250" w:lineRule="auto"/>
        <w:tabs>
          <w:tab w:leader="none" w:pos="1017" w:val="left"/>
        </w:tabs>
        <w:numPr>
          <w:ilvl w:val="0"/>
          <w:numId w:val="1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right="340" w:firstLine="656"/>
        <w:spacing w:after="0" w:line="250" w:lineRule="auto"/>
        <w:tabs>
          <w:tab w:leader="none" w:pos="1017" w:val="left"/>
        </w:tabs>
        <w:numPr>
          <w:ilvl w:val="0"/>
          <w:numId w:val="1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right="40" w:firstLine="656"/>
        <w:spacing w:after="0" w:line="275" w:lineRule="auto"/>
        <w:tabs>
          <w:tab w:leader="none" w:pos="101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jc w:val="both"/>
        <w:ind w:left="660" w:right="160" w:firstLine="320"/>
        <w:spacing w:after="0" w:line="291" w:lineRule="auto"/>
        <w:tabs>
          <w:tab w:leader="none" w:pos="13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660" w:right="40" w:firstLine="320"/>
        <w:spacing w:after="0" w:line="269" w:lineRule="auto"/>
        <w:tabs>
          <w:tab w:leader="none" w:pos="13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ind w:left="660" w:right="40" w:firstLine="320"/>
        <w:spacing w:after="0" w:line="250" w:lineRule="auto"/>
        <w:tabs>
          <w:tab w:leader="none" w:pos="1361" w:val="left"/>
        </w:tabs>
        <w:numPr>
          <w:ilvl w:val="1"/>
          <w:numId w:val="1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660" w:firstLine="320"/>
        <w:spacing w:after="0" w:line="269" w:lineRule="auto"/>
        <w:tabs>
          <w:tab w:leader="none" w:pos="1340" w:val="left"/>
        </w:tabs>
        <w:numPr>
          <w:ilvl w:val="1"/>
          <w:numId w:val="1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jc w:val="both"/>
        <w:ind w:left="-656" w:right="540" w:firstLine="656"/>
        <w:spacing w:after="0" w:line="250" w:lineRule="auto"/>
        <w:tabs>
          <w:tab w:leader="none" w:pos="361"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4" w:firstLine="320"/>
        <w:spacing w:after="0" w:line="250" w:lineRule="auto"/>
        <w:tabs>
          <w:tab w:leader="none" w:pos="705" w:val="left"/>
        </w:tabs>
        <w:numPr>
          <w:ilvl w:val="1"/>
          <w:numId w:val="1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4" w:right="660" w:firstLine="320"/>
        <w:spacing w:after="0" w:line="260" w:lineRule="auto"/>
        <w:tabs>
          <w:tab w:leader="none" w:pos="684" w:val="left"/>
        </w:tabs>
        <w:numPr>
          <w:ilvl w:val="1"/>
          <w:numId w:val="1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Date: September 3, 2021</w:t>
      </w:r>
    </w:p>
    <w:p>
      <w:pPr>
        <w:spacing w:after="0" w:line="229"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/s/ Zafar Rizvi</w:t>
      </w:r>
    </w:p>
    <w:p>
      <w:pPr>
        <w:spacing w:after="0" w:line="15"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Zafar Rizvi</w:t>
      </w:r>
    </w:p>
    <w:p>
      <w:pPr>
        <w:ind w:left="3884"/>
        <w:spacing w:after="0"/>
        <w:rPr>
          <w:sz w:val="20"/>
          <w:szCs w:val="20"/>
          <w:color w:val="auto"/>
        </w:rPr>
      </w:pPr>
      <w:r>
        <w:rPr>
          <w:rFonts w:ascii="Arial" w:cs="Arial" w:eastAsia="Arial" w:hAnsi="Arial"/>
          <w:sz w:val="20"/>
          <w:szCs w:val="20"/>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222885</wp:posOffset>
            </wp:positionV>
            <wp:extent cx="71323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24"/>
          </w:cols>
          <w:pgMar w:left="976" w:top="1041" w:right="39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 Douglas L. Bruggeman, certify that:</w:t>
      </w:r>
    </w:p>
    <w:p>
      <w:pPr>
        <w:spacing w:after="0" w:line="229"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REX American Resources Corporation;</w:t>
      </w:r>
    </w:p>
    <w:p>
      <w:pPr>
        <w:spacing w:after="0" w:line="229" w:lineRule="exact"/>
        <w:rPr>
          <w:rFonts w:ascii="Arial" w:cs="Arial" w:eastAsia="Arial" w:hAnsi="Arial"/>
          <w:sz w:val="20"/>
          <w:szCs w:val="20"/>
          <w:color w:val="auto"/>
        </w:rPr>
      </w:pPr>
    </w:p>
    <w:p>
      <w:pPr>
        <w:ind w:right="60" w:firstLine="656"/>
        <w:spacing w:after="0" w:line="250" w:lineRule="auto"/>
        <w:tabs>
          <w:tab w:leader="none" w:pos="1017"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right="340" w:firstLine="656"/>
        <w:spacing w:after="0" w:line="250" w:lineRule="auto"/>
        <w:tabs>
          <w:tab w:leader="none" w:pos="1017" w:val="left"/>
        </w:tabs>
        <w:numPr>
          <w:ilvl w:val="0"/>
          <w:numId w:val="1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ind w:right="40" w:firstLine="656"/>
        <w:spacing w:after="0" w:line="275" w:lineRule="auto"/>
        <w:tabs>
          <w:tab w:leader="none" w:pos="10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w:t>
      </w:r>
    </w:p>
    <w:p>
      <w:pPr>
        <w:spacing w:after="0"/>
        <w:rPr>
          <w:rFonts w:ascii="Arial" w:cs="Arial" w:eastAsia="Arial" w:hAnsi="Arial"/>
          <w:sz w:val="18"/>
          <w:szCs w:val="18"/>
          <w:color w:val="auto"/>
        </w:rPr>
      </w:pPr>
      <w:r>
        <w:rPr>
          <w:rFonts w:ascii="Arial" w:cs="Arial" w:eastAsia="Arial" w:hAnsi="Arial"/>
          <w:sz w:val="20"/>
          <w:szCs w:val="20"/>
          <w:color w:val="auto"/>
        </w:rPr>
        <w:t>13a-15(f) and 15d-15(f)) for the registrant and have:</w:t>
      </w:r>
    </w:p>
    <w:p>
      <w:pPr>
        <w:spacing w:after="0" w:line="213" w:lineRule="exact"/>
        <w:rPr>
          <w:rFonts w:ascii="Arial" w:cs="Arial" w:eastAsia="Arial" w:hAnsi="Arial"/>
          <w:sz w:val="18"/>
          <w:szCs w:val="18"/>
          <w:color w:val="auto"/>
        </w:rPr>
      </w:pPr>
    </w:p>
    <w:p>
      <w:pPr>
        <w:ind w:left="660" w:right="160" w:firstLine="320"/>
        <w:spacing w:after="0" w:line="291" w:lineRule="auto"/>
        <w:tabs>
          <w:tab w:leader="none" w:pos="125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320"/>
        <w:spacing w:after="0" w:line="269" w:lineRule="auto"/>
        <w:tabs>
          <w:tab w:leader="none" w:pos="1264" w:val="left"/>
        </w:tabs>
        <w:numPr>
          <w:ilvl w:val="1"/>
          <w:numId w:val="1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9"/>
          <w:szCs w:val="19"/>
          <w:color w:val="auto"/>
        </w:rPr>
      </w:pPr>
    </w:p>
    <w:p>
      <w:pPr>
        <w:ind w:left="660" w:right="100" w:firstLine="320"/>
        <w:spacing w:after="0" w:line="250" w:lineRule="auto"/>
        <w:tabs>
          <w:tab w:leader="none" w:pos="1253" w:val="left"/>
        </w:tabs>
        <w:numPr>
          <w:ilvl w:val="1"/>
          <w:numId w:val="1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660" w:firstLine="320"/>
        <w:spacing w:after="0" w:line="269" w:lineRule="auto"/>
        <w:tabs>
          <w:tab w:leader="none" w:pos="1264" w:val="left"/>
        </w:tabs>
        <w:numPr>
          <w:ilvl w:val="1"/>
          <w:numId w:val="13"/>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left="-656" w:right="540" w:firstLine="656"/>
        <w:spacing w:after="0" w:line="250" w:lineRule="auto"/>
        <w:tabs>
          <w:tab w:leader="none" w:pos="36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4" w:firstLine="644"/>
        <w:spacing w:after="0" w:line="250" w:lineRule="auto"/>
        <w:tabs>
          <w:tab w:leader="none" w:pos="921" w:val="left"/>
        </w:tabs>
        <w:numPr>
          <w:ilvl w:val="1"/>
          <w:numId w:val="14"/>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4" w:right="400" w:firstLine="644"/>
        <w:spacing w:after="0" w:line="260" w:lineRule="auto"/>
        <w:tabs>
          <w:tab w:leader="none" w:pos="932" w:val="left"/>
        </w:tabs>
        <w:numPr>
          <w:ilvl w:val="1"/>
          <w:numId w:val="1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Date: September 3, 2021</w:t>
      </w:r>
    </w:p>
    <w:p>
      <w:pPr>
        <w:spacing w:after="0" w:line="229"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/s/ Douglas L. Bruggeman</w:t>
      </w:r>
    </w:p>
    <w:p>
      <w:pPr>
        <w:spacing w:after="0" w:line="15" w:lineRule="exact"/>
        <w:rPr>
          <w:sz w:val="20"/>
          <w:szCs w:val="20"/>
          <w:color w:val="auto"/>
        </w:rPr>
      </w:pPr>
    </w:p>
    <w:p>
      <w:pPr>
        <w:ind w:left="3884"/>
        <w:spacing w:after="0"/>
        <w:rPr>
          <w:sz w:val="20"/>
          <w:szCs w:val="20"/>
          <w:color w:val="auto"/>
        </w:rPr>
      </w:pPr>
      <w:r>
        <w:rPr>
          <w:rFonts w:ascii="Arial" w:cs="Arial" w:eastAsia="Arial" w:hAnsi="Arial"/>
          <w:sz w:val="20"/>
          <w:szCs w:val="20"/>
          <w:color w:val="auto"/>
        </w:rPr>
        <w:t>Douglas L. Bruggeman</w:t>
      </w:r>
    </w:p>
    <w:p>
      <w:pPr>
        <w:ind w:left="3884"/>
        <w:spacing w:after="0"/>
        <w:rPr>
          <w:sz w:val="20"/>
          <w:szCs w:val="20"/>
          <w:color w:val="auto"/>
        </w:rPr>
      </w:pPr>
      <w:r>
        <w:rPr>
          <w:rFonts w:ascii="Arial" w:cs="Arial" w:eastAsia="Arial" w:hAnsi="Arial"/>
          <w:sz w:val="20"/>
          <w:szCs w:val="20"/>
          <w:i w:val="1"/>
          <w:iCs w:val="1"/>
          <w:color w:val="auto"/>
        </w:rPr>
        <w:t>Vice President, Finance, Treasurer and</w:t>
      </w:r>
    </w:p>
    <w:p>
      <w:pPr>
        <w:ind w:left="3884"/>
        <w:spacing w:after="0"/>
        <w:rPr>
          <w:sz w:val="20"/>
          <w:szCs w:val="20"/>
          <w:color w:val="auto"/>
        </w:rPr>
      </w:pPr>
      <w:r>
        <w:rPr>
          <w:rFonts w:ascii="Arial" w:cs="Arial" w:eastAsia="Arial" w:hAnsi="Arial"/>
          <w:sz w:val="20"/>
          <w:szCs w:val="20"/>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222885</wp:posOffset>
            </wp:positionV>
            <wp:extent cx="71323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24"/>
          </w:cols>
          <w:pgMar w:left="976" w:top="811" w:right="3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32</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REX American Resources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 AS ADOPTED BY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1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9"/>
          <w:szCs w:val="19"/>
          <w:color w:val="auto"/>
        </w:rPr>
        <w:t>The undersigned officers of REX American Resources Corporation (the “Company”) hereby certify, to their knowledge, that the Company’s Quarterly Report on Form 10-Q for the period ended July 31</w:t>
      </w:r>
      <w:r>
        <w:rPr>
          <w:rFonts w:ascii="Arial" w:cs="Arial" w:eastAsia="Arial" w:hAnsi="Arial"/>
          <w:sz w:val="20"/>
          <w:szCs w:val="20"/>
          <w:color w:val="auto"/>
        </w:rPr>
        <w:t>,</w:t>
      </w:r>
      <w:r>
        <w:rPr>
          <w:rFonts w:ascii="Arial" w:cs="Arial" w:eastAsia="Arial" w:hAnsi="Arial"/>
          <w:sz w:val="19"/>
          <w:szCs w:val="19"/>
          <w:color w:val="auto"/>
        </w:rPr>
        <w:t xml:space="preserve"> 2021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7" w:lineRule="exact"/>
        <w:rPr>
          <w:sz w:val="20"/>
          <w:szCs w:val="20"/>
          <w:color w:val="auto"/>
        </w:rPr>
      </w:pPr>
    </w:p>
    <w:p>
      <w:pPr>
        <w:ind w:right="180" w:firstLine="648"/>
        <w:spacing w:after="0" w:line="246" w:lineRule="auto"/>
        <w:rPr>
          <w:sz w:val="20"/>
          <w:szCs w:val="20"/>
          <w:color w:val="auto"/>
        </w:rPr>
      </w:pPr>
      <w:r>
        <w:rPr>
          <w:rFonts w:ascii="Arial" w:cs="Arial" w:eastAsia="Arial" w:hAnsi="Arial"/>
          <w:sz w:val="20"/>
          <w:szCs w:val="20"/>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/s/Zafar Rizvi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Zafar Rizvi</w:t>
      </w:r>
    </w:p>
    <w:p>
      <w:pPr>
        <w:spacing w:after="0"/>
        <w:rPr>
          <w:sz w:val="20"/>
          <w:szCs w:val="20"/>
          <w:color w:val="auto"/>
        </w:rPr>
      </w:pPr>
      <w:r>
        <w:rPr>
          <w:rFonts w:ascii="Arial" w:cs="Arial" w:eastAsia="Arial" w:hAnsi="Arial"/>
          <w:sz w:val="20"/>
          <w:szCs w:val="20"/>
          <w:i w:val="1"/>
          <w:iCs w:val="1"/>
          <w:color w:val="auto"/>
        </w:rPr>
        <w:t>Chief Executive Officer and President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Douglas L. Bruggeman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Douglas L. Bruggeman</w:t>
      </w:r>
    </w:p>
    <w:p>
      <w:pPr>
        <w:spacing w:after="0"/>
        <w:rPr>
          <w:sz w:val="20"/>
          <w:szCs w:val="20"/>
          <w:color w:val="auto"/>
        </w:rPr>
      </w:pPr>
      <w:r>
        <w:rPr>
          <w:rFonts w:ascii="Arial" w:cs="Arial" w:eastAsia="Arial" w:hAnsi="Arial"/>
          <w:sz w:val="20"/>
          <w:szCs w:val="20"/>
          <w:i w:val="1"/>
          <w:iCs w:val="1"/>
          <w:color w:val="auto"/>
        </w:rPr>
        <w:t>Vice President, Finance, Treasurer and</w:t>
      </w:r>
    </w:p>
    <w:p>
      <w:pPr>
        <w:spacing w:after="0"/>
        <w:rPr>
          <w:sz w:val="20"/>
          <w:szCs w:val="20"/>
          <w:color w:val="auto"/>
        </w:rPr>
      </w:pPr>
      <w:r>
        <w:rPr>
          <w:rFonts w:ascii="Arial" w:cs="Arial" w:eastAsia="Arial" w:hAnsi="Arial"/>
          <w:sz w:val="20"/>
          <w:szCs w:val="20"/>
          <w:i w:val="1"/>
          <w:iCs w:val="1"/>
          <w:color w:val="auto"/>
        </w:rPr>
        <w:t>Chief Financial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1"/>
      <w:numFmt w:val="decimal"/>
      <w:start w:val="3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2021-09-03T12:00:51Z</dcterms:created>
  <dcterms:modified xsi:type="dcterms:W3CDTF">2021-09-03T12:00:51Z</dcterms:modified>
</cp:coreProperties>
</file>