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7" w:lineRule="exact"/>
        <w:rPr>
          <w:sz w:val="24"/>
          <w:szCs w:val="24"/>
          <w:color w:val="auto"/>
        </w:rPr>
      </w:pPr>
    </w:p>
    <w:p>
      <w:pPr>
        <w:ind w:left="460" w:right="1620" w:hanging="452"/>
        <w:spacing w:after="0" w:line="261"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July 31,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46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-7620</wp:posOffset>
            </wp:positionV>
            <wp:extent cx="1237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328"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332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420" w:space="720"/>
            <w:col w:w="5100"/>
          </w:cols>
          <w:pgMar w:left="320" w:top="513" w:right="339" w:bottom="1440" w:gutter="0" w:footer="0" w:header="0"/>
          <w:type w:val="continuous"/>
        </w:sectPr>
      </w:pPr>
    </w:p>
    <w:p>
      <w:pPr>
        <w:spacing w:after="0" w:line="30"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32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44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34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240" w:space="720"/>
            <w:col w:w="4280"/>
          </w:cols>
          <w:pgMar w:left="320" w:top="513"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7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408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78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598805</wp:posOffset>
            </wp:positionH>
            <wp:positionV relativeFrom="paragraph">
              <wp:posOffset>134620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060" w:space="500"/>
            <w:col w:w="7680"/>
          </w:cols>
          <w:pgMar w:left="320" w:top="513" w:right="339" w:bottom="1440" w:gutter="0" w:footer="0" w:header="0"/>
          <w:type w:val="continuous"/>
        </w:sectPr>
      </w:pPr>
    </w:p>
    <w:p>
      <w:pPr>
        <w:spacing w:after="0" w:line="240"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20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1000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type w:val="continuous"/>
        </w:sectPr>
      </w:pP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00" w:space="720"/>
            <w:col w:w="3920"/>
          </w:cols>
          <w:pgMar w:left="320" w:top="513" w:right="33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August 31, 2023, the registrant had 17,503,745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REX AMERICAN RESOURCES CORPORATION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PART I. FINANCIAL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0000EE"/>
                <w:w w:val="89"/>
              </w:rPr>
              <w:t>Item 1.</w:t>
            </w:r>
          </w:p>
        </w:tc>
        <w:tc>
          <w:tcPr>
            <w:tcW w:w="400" w:type="dxa"/>
            <w:vAlign w:val="bottom"/>
            <w:gridSpan w:val="2"/>
          </w:tcPr>
          <w:p>
            <w:pPr>
              <w:spacing w:after="0"/>
              <w:rPr>
                <w:sz w:val="21"/>
                <w:szCs w:val="21"/>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Financial Statements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Consolidated Balance Sheets</w:t>
            </w:r>
          </w:p>
        </w:tc>
        <w:tc>
          <w:tcPr>
            <w:tcW w:w="134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tcBorders>
              <w:bottom w:val="single" w:sz="8" w:color="0000EE"/>
            </w:tcBorders>
            <w:gridSpan w:val="10"/>
          </w:tcPr>
          <w:p>
            <w:pPr>
              <w:spacing w:after="0" w:line="223" w:lineRule="exact"/>
              <w:rPr>
                <w:sz w:val="20"/>
                <w:szCs w:val="20"/>
                <w:color w:val="auto"/>
              </w:rPr>
            </w:pPr>
            <w:r>
              <w:rPr>
                <w:rFonts w:ascii="Arial" w:cs="Arial" w:eastAsia="Arial" w:hAnsi="Arial"/>
                <w:sz w:val="22"/>
                <w:szCs w:val="22"/>
                <w:color w:val="0000EE"/>
                <w:w w:val="87"/>
              </w:rPr>
              <w:t>Consolidated Statements of Operations</w:t>
            </w:r>
          </w:p>
        </w:tc>
        <w:tc>
          <w:tcPr>
            <w:tcW w:w="5500" w:type="dxa"/>
            <w:vAlign w:val="bottom"/>
            <w:gridSpan w:val="5"/>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80" w:type="dxa"/>
            <w:vAlign w:val="bottom"/>
            <w:gridSpan w:val="15"/>
          </w:tcPr>
          <w:p>
            <w:pPr>
              <w:spacing w:after="0" w:line="223" w:lineRule="exact"/>
              <w:rPr>
                <w:sz w:val="20"/>
                <w:szCs w:val="20"/>
                <w:color w:val="auto"/>
              </w:rPr>
            </w:pPr>
            <w:r>
              <w:rPr>
                <w:rFonts w:ascii="Arial" w:cs="Arial" w:eastAsia="Arial" w:hAnsi="Arial"/>
                <w:sz w:val="22"/>
                <w:szCs w:val="22"/>
                <w:color w:val="0000EE"/>
              </w:rPr>
              <w:t>Consolidated Statements of Equity</w:t>
            </w: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80" w:type="dxa"/>
            <w:vAlign w:val="bottom"/>
            <w:gridSpan w:val="15"/>
          </w:tcPr>
          <w:p>
            <w:pPr>
              <w:spacing w:after="0" w:line="223" w:lineRule="exact"/>
              <w:rPr>
                <w:sz w:val="20"/>
                <w:szCs w:val="20"/>
                <w:color w:val="auto"/>
              </w:rPr>
            </w:pPr>
            <w:r>
              <w:rPr>
                <w:rFonts w:ascii="Arial" w:cs="Arial" w:eastAsia="Arial" w:hAnsi="Arial"/>
                <w:sz w:val="22"/>
                <w:szCs w:val="22"/>
                <w:color w:val="0000EE"/>
              </w:rPr>
              <w:t>Consolidated Statements of Cash Flows</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80" w:type="dxa"/>
            <w:vAlign w:val="bottom"/>
            <w:gridSpan w:val="15"/>
          </w:tcPr>
          <w:p>
            <w:pPr>
              <w:spacing w:after="0" w:line="223" w:lineRule="exact"/>
              <w:rPr>
                <w:sz w:val="20"/>
                <w:szCs w:val="20"/>
                <w:color w:val="auto"/>
              </w:rPr>
            </w:pPr>
            <w:r>
              <w:rPr>
                <w:rFonts w:ascii="Arial" w:cs="Arial" w:eastAsia="Arial" w:hAnsi="Arial"/>
                <w:sz w:val="22"/>
                <w:szCs w:val="22"/>
                <w:color w:val="0000EE"/>
              </w:rPr>
              <w:t>Notes to Consolidated Financial Statements</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20" w:type="dxa"/>
            <w:vAlign w:val="bottom"/>
            <w:gridSpan w:val="2"/>
          </w:tcPr>
          <w:p>
            <w:pPr>
              <w:spacing w:after="0"/>
              <w:rPr>
                <w:sz w:val="20"/>
                <w:szCs w:val="20"/>
                <w:color w:val="auto"/>
              </w:rPr>
            </w:pPr>
            <w:r>
              <w:rPr>
                <w:rFonts w:ascii="Arial" w:cs="Arial" w:eastAsia="Arial" w:hAnsi="Arial"/>
                <w:sz w:val="22"/>
                <w:szCs w:val="22"/>
                <w:color w:val="0000EE"/>
              </w:rPr>
              <w:t>Item 2.</w:t>
            </w:r>
          </w:p>
        </w:tc>
        <w:tc>
          <w:tcPr>
            <w:tcW w:w="200" w:type="dxa"/>
            <w:vAlign w:val="bottom"/>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Management’s Discussion and Analysis of Financial Condition and Results of Operations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5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Quantitative and Qualitative Disclosures About Market Risk</w:t>
            </w:r>
          </w:p>
        </w:tc>
        <w:tc>
          <w:tcPr>
            <w:tcW w:w="134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3660" w:type="dxa"/>
            <w:vAlign w:val="bottom"/>
            <w:tcBorders>
              <w:left w:val="single" w:sz="8" w:color="0000EE"/>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4.</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Controls and Procedures</w:t>
            </w:r>
          </w:p>
        </w:tc>
        <w:tc>
          <w:tcPr>
            <w:tcW w:w="134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40" w:type="dxa"/>
            <w:vAlign w:val="bottom"/>
            <w:tcBorders>
              <w:bottom w:val="single" w:sz="8" w:color="0000EE"/>
            </w:tcBorders>
            <w:gridSpan w:val="9"/>
          </w:tcPr>
          <w:p>
            <w:pPr>
              <w:spacing w:after="0"/>
              <w:rPr>
                <w:sz w:val="20"/>
                <w:szCs w:val="20"/>
                <w:color w:val="auto"/>
              </w:rPr>
            </w:pPr>
            <w:r>
              <w:rPr>
                <w:rFonts w:ascii="Arial" w:cs="Arial" w:eastAsia="Arial" w:hAnsi="Arial"/>
                <w:sz w:val="22"/>
                <w:szCs w:val="22"/>
                <w:color w:val="0000EE"/>
                <w:w w:val="94"/>
              </w:rPr>
              <w:t>PART II. OTHER INFORMATION</w:t>
            </w:r>
          </w:p>
        </w:tc>
        <w:tc>
          <w:tcPr>
            <w:tcW w:w="6760" w:type="dxa"/>
            <w:vAlign w:val="bottom"/>
            <w:gridSpan w:val="9"/>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1.</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Legal Proceedings</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4"/>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20" w:type="dxa"/>
            <w:vAlign w:val="bottom"/>
            <w:gridSpan w:val="2"/>
          </w:tcPr>
          <w:p>
            <w:pPr>
              <w:spacing w:after="0"/>
              <w:rPr>
                <w:sz w:val="20"/>
                <w:szCs w:val="20"/>
                <w:color w:val="auto"/>
              </w:rPr>
            </w:pPr>
            <w:r>
              <w:rPr>
                <w:rFonts w:ascii="Arial" w:cs="Arial" w:eastAsia="Arial" w:hAnsi="Arial"/>
                <w:sz w:val="22"/>
                <w:szCs w:val="22"/>
                <w:color w:val="0000EE"/>
                <w:w w:val="97"/>
              </w:rPr>
              <w:t>Item 1A.</w:t>
            </w:r>
          </w:p>
        </w:tc>
        <w:tc>
          <w:tcPr>
            <w:tcW w:w="200" w:type="dxa"/>
            <w:vAlign w:val="bottom"/>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Risk Factors</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Unregistered Sales of Equity Securities and Use of Proceeds</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4"/>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3.</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Defaults upon Senior Securities</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4"/>
            <w:shd w:val="clear" w:color="auto" w:fill="0000EE"/>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4.</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Mine Safety Disclosures</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5.</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Other Information</w:t>
            </w:r>
          </w:p>
        </w:tc>
        <w:tc>
          <w:tcPr>
            <w:tcW w:w="13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300" w:type="dxa"/>
            <w:vAlign w:val="bottom"/>
            <w:gridSpan w:val="1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6.</w:t>
            </w:r>
          </w:p>
        </w:tc>
        <w:tc>
          <w:tcPr>
            <w:tcW w:w="400" w:type="dxa"/>
            <w:vAlign w:val="bottom"/>
            <w:gridSpan w:val="2"/>
          </w:tcPr>
          <w:p>
            <w:pPr>
              <w:spacing w:after="0"/>
              <w:rPr>
                <w:sz w:val="24"/>
                <w:szCs w:val="24"/>
                <w:color w:val="auto"/>
              </w:rPr>
            </w:pPr>
          </w:p>
        </w:tc>
        <w:tc>
          <w:tcPr>
            <w:tcW w:w="8880" w:type="dxa"/>
            <w:vAlign w:val="bottom"/>
            <w:gridSpan w:val="15"/>
          </w:tcPr>
          <w:p>
            <w:pPr>
              <w:spacing w:after="0"/>
              <w:rPr>
                <w:sz w:val="20"/>
                <w:szCs w:val="20"/>
                <w:color w:val="auto"/>
              </w:rPr>
            </w:pPr>
            <w:r>
              <w:rPr>
                <w:rFonts w:ascii="Arial" w:cs="Arial" w:eastAsia="Arial" w:hAnsi="Arial"/>
                <w:sz w:val="22"/>
                <w:szCs w:val="22"/>
                <w:color w:val="0000EE"/>
              </w:rPr>
              <w:t>Exhibits</w:t>
            </w:r>
          </w:p>
        </w:tc>
        <w:tc>
          <w:tcPr>
            <w:tcW w:w="134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463"/>
        </w:trPr>
        <w:tc>
          <w:tcPr>
            <w:tcW w:w="6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500" w:type="dxa"/>
            <w:vAlign w:val="bottom"/>
            <w:gridSpan w:val="11"/>
          </w:tcPr>
          <w:p>
            <w:pPr>
              <w:jc w:val="right"/>
              <w:ind w:right="560"/>
              <w:spacing w:after="0"/>
              <w:rPr>
                <w:sz w:val="20"/>
                <w:szCs w:val="20"/>
                <w:color w:val="auto"/>
              </w:rPr>
            </w:pPr>
            <w:r>
              <w:rPr>
                <w:rFonts w:ascii="Arial" w:cs="Arial" w:eastAsia="Arial" w:hAnsi="Arial"/>
                <w:sz w:val="22"/>
                <w:szCs w:val="22"/>
                <w:color w:val="auto"/>
              </w:rPr>
              <w:t>2</w:t>
            </w: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898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9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July 31,</w:t>
            </w:r>
          </w:p>
        </w:tc>
        <w:tc>
          <w:tcPr>
            <w:tcW w:w="1020" w:type="dxa"/>
            <w:vAlign w:val="bottom"/>
            <w:gridSpan w:val="5"/>
          </w:tcPr>
          <w:p>
            <w:pPr>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898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102,166</w:t>
            </w:r>
          </w:p>
        </w:tc>
        <w:tc>
          <w:tcPr>
            <w:tcW w:w="1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69,612</w:t>
            </w: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182,209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211,331</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31,998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45,960</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48,744</w:t>
            </w: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5,654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17,947</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10"/>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387,943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135,144</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135,497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12,713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19,554</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23,179</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37,582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33,045</w:t>
            </w:r>
          </w:p>
        </w:tc>
        <w:tc>
          <w:tcPr>
            <w:tcW w:w="0" w:type="dxa"/>
            <w:vAlign w:val="bottom"/>
          </w:tcPr>
          <w:p>
            <w:pPr>
              <w:spacing w:after="0"/>
              <w:rPr>
                <w:sz w:val="1"/>
                <w:szCs w:val="1"/>
                <w:color w:val="auto"/>
              </w:rPr>
            </w:pPr>
          </w:p>
        </w:tc>
      </w:tr>
      <w:tr>
        <w:trPr>
          <w:trHeight w:val="223"/>
        </w:trPr>
        <w:tc>
          <w:tcPr>
            <w:tcW w:w="898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592,936</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579,579</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payable – trade (includes $1.2 million and $1.5 million with related parties at July 31, 2023 and January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360"/>
              <w:spacing w:after="0"/>
              <w:rPr>
                <w:sz w:val="20"/>
                <w:szCs w:val="20"/>
                <w:color w:val="auto"/>
              </w:rPr>
            </w:pPr>
            <w:r>
              <w:rPr>
                <w:rFonts w:ascii="Arial" w:cs="Arial" w:eastAsia="Arial" w:hAnsi="Arial"/>
                <w:sz w:val="18"/>
                <w:szCs w:val="18"/>
                <w:color w:val="auto"/>
              </w:rPr>
              <w:t>31, 2023,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22,100</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5,095</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5,180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20,346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09"/>
        </w:trPr>
        <w:tc>
          <w:tcPr>
            <w:tcW w:w="89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47,541</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54,599</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1,097</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7,605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3,144</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3,034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4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13,986</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REX shareholders’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655,117</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640,826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(192,037)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(193,721)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REX shareholders’ equity</w:t>
            </w: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466,560</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447,982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66,989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63,012</w:t>
            </w:r>
          </w:p>
        </w:tc>
        <w:tc>
          <w:tcPr>
            <w:tcW w:w="0" w:type="dxa"/>
            <w:vAlign w:val="bottom"/>
          </w:tcPr>
          <w:p>
            <w:pPr>
              <w:spacing w:after="0"/>
              <w:rPr>
                <w:sz w:val="1"/>
                <w:szCs w:val="1"/>
                <w:color w:val="auto"/>
              </w:rPr>
            </w:pPr>
          </w:p>
        </w:tc>
      </w:tr>
      <w:tr>
        <w:trPr>
          <w:trHeight w:val="210"/>
        </w:trPr>
        <w:tc>
          <w:tcPr>
            <w:tcW w:w="8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533,549</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510,994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592,936</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75"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Operations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Three Months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Ended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July 31,</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July 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211,977</w:t>
            </w:r>
          </w:p>
        </w:tc>
        <w:tc>
          <w:tcPr>
            <w:tcW w:w="46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240,328</w:t>
            </w: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424,691</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434,556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w w:val="92"/>
              </w:rPr>
              <w:t>Cost of sales (includes $26,399 and $35,319 with related parties for the quarters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4"/>
              </w:rPr>
              <w:t>July 31, 2023 and 2022, respectively, and $59,887 and $66,077 with related parties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40" w:type="dxa"/>
            <w:vAlign w:val="bottom"/>
          </w:tcPr>
          <w:p>
            <w:pPr>
              <w:ind w:left="180"/>
              <w:spacing w:after="0"/>
              <w:rPr>
                <w:sz w:val="20"/>
                <w:szCs w:val="20"/>
                <w:color w:val="auto"/>
              </w:rPr>
            </w:pPr>
            <w:r>
              <w:rPr>
                <w:rFonts w:ascii="Arial" w:cs="Arial" w:eastAsia="Arial" w:hAnsi="Arial"/>
                <w:sz w:val="18"/>
                <w:szCs w:val="18"/>
                <w:color w:val="auto"/>
              </w:rPr>
              <w:t>for the six months ended July 31, 2023 and 2022, respectively)</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193,625</w:t>
            </w:r>
          </w:p>
        </w:tc>
        <w:tc>
          <w:tcPr>
            <w:tcW w:w="14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226,225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396,173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408,545</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18,352</w:t>
            </w:r>
          </w:p>
        </w:tc>
        <w:tc>
          <w:tcPr>
            <w:tcW w:w="14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14,103</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28,518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26,011</w:t>
            </w:r>
          </w:p>
        </w:tc>
        <w:tc>
          <w:tcPr>
            <w:tcW w:w="0" w:type="dxa"/>
            <w:vAlign w:val="bottom"/>
          </w:tcPr>
          <w:p>
            <w:pPr>
              <w:spacing w:after="0"/>
              <w:rPr>
                <w:sz w:val="1"/>
                <w:szCs w:val="1"/>
                <w:color w:val="auto"/>
              </w:rPr>
            </w:pPr>
          </w:p>
        </w:tc>
      </w:tr>
      <w:tr>
        <w:trPr>
          <w:trHeight w:val="432"/>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(8,618)</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(6,667)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(14,387)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(11,866)</w:t>
            </w:r>
          </w:p>
        </w:tc>
        <w:tc>
          <w:tcPr>
            <w:tcW w:w="0" w:type="dxa"/>
            <w:vAlign w:val="bottom"/>
          </w:tcPr>
          <w:p>
            <w:pPr>
              <w:spacing w:after="0"/>
              <w:rPr>
                <w:sz w:val="1"/>
                <w:szCs w:val="1"/>
                <w:color w:val="auto"/>
              </w:rPr>
            </w:pPr>
          </w:p>
        </w:tc>
      </w:tr>
      <w:tr>
        <w:trPr>
          <w:trHeight w:val="216"/>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3,047</w:t>
            </w:r>
          </w:p>
        </w:tc>
        <w:tc>
          <w:tcPr>
            <w:tcW w:w="14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3,598</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4,537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3,271</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16,052</w:t>
            </w:r>
          </w:p>
        </w:tc>
        <w:tc>
          <w:tcPr>
            <w:tcW w:w="14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19,215</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24,740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12,284</w:t>
            </w:r>
          </w:p>
        </w:tc>
        <w:tc>
          <w:tcPr>
            <w:tcW w:w="14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18,984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(3,229)</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23"/>
        </w:trPr>
        <w:tc>
          <w:tcPr>
            <w:tcW w:w="6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9,055</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11,170</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14,291</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17,460</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17,772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17,427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17,777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spacing w:after="0"/>
              <w:rPr>
                <w:sz w:val="20"/>
                <w:szCs w:val="20"/>
                <w:color w:val="auto"/>
              </w:rPr>
            </w:pPr>
            <w:r>
              <w:rPr>
                <w:rFonts w:ascii="Arial" w:cs="Arial" w:eastAsia="Arial" w:hAnsi="Arial"/>
                <w:sz w:val="18"/>
                <w:szCs w:val="18"/>
                <w:color w:val="auto"/>
                <w:w w:val="98"/>
              </w:rPr>
              <w:t>Basic and diluted net income per share attributable to REX common shareholders</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0.63</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0.82</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July 31,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REX Shareholders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9"/>
              </w:rPr>
              <w:t>Paid-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0"/>
              </w:rPr>
              <w:t>Issued</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9"/>
                <w:szCs w:val="9"/>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w:t>
            </w:r>
          </w:p>
        </w:tc>
        <w:tc>
          <w:tcPr>
            <w:tcW w:w="74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8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3"/>
                <w:szCs w:val="13"/>
                <w:color w:val="auto"/>
              </w:rPr>
            </w:pPr>
          </w:p>
        </w:tc>
        <w:tc>
          <w:tcPr>
            <w:tcW w:w="660" w:type="dxa"/>
            <w:vAlign w:val="bottom"/>
            <w:tcBorders>
              <w:top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90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Capital</w:t>
            </w:r>
          </w:p>
        </w:tc>
        <w:tc>
          <w:tcPr>
            <w:tcW w:w="7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3"/>
                <w:szCs w:val="13"/>
                <w:color w:val="auto"/>
              </w:rPr>
            </w:pPr>
          </w:p>
        </w:tc>
        <w:tc>
          <w:tcPr>
            <w:tcW w:w="6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432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Balance at January 31, 2023</w:t>
            </w:r>
          </w:p>
        </w:tc>
        <w:tc>
          <w:tcPr>
            <w:tcW w:w="50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Arial" w:cs="Arial" w:eastAsia="Arial" w:hAnsi="Arial"/>
                <w:sz w:val="14"/>
                <w:szCs w:val="14"/>
                <w:color w:val="auto"/>
              </w:rPr>
              <w:t>29,853</w:t>
            </w:r>
          </w:p>
        </w:tc>
        <w:tc>
          <w:tcPr>
            <w:tcW w:w="30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299</w:t>
            </w:r>
          </w:p>
        </w:tc>
        <w:tc>
          <w:tcPr>
            <w:tcW w:w="280" w:type="dxa"/>
            <w:vAlign w:val="bottom"/>
            <w:tcBorders>
              <w:top w:val="single" w:sz="8" w:color="E5FFFF"/>
            </w:tcBorders>
            <w:shd w:val="clear" w:color="auto" w:fill="E5FFFF"/>
          </w:tcPr>
          <w:p>
            <w:pPr>
              <w:spacing w:after="0"/>
              <w:rPr>
                <w:sz w:val="12"/>
                <w:szCs w:val="12"/>
                <w:color w:val="auto"/>
              </w:rPr>
            </w:pPr>
          </w:p>
        </w:tc>
        <w:tc>
          <w:tcPr>
            <w:tcW w:w="52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Arial" w:cs="Arial" w:eastAsia="Arial" w:hAnsi="Arial"/>
                <w:sz w:val="14"/>
                <w:szCs w:val="14"/>
                <w:color w:val="auto"/>
              </w:rPr>
              <w:t>12,463</w:t>
            </w:r>
          </w:p>
        </w:tc>
        <w:tc>
          <w:tcPr>
            <w:tcW w:w="14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92"/>
              </w:rPr>
              <w:t>$ (193,721)</w:t>
            </w:r>
          </w:p>
        </w:tc>
        <w:tc>
          <w:tcPr>
            <w:tcW w:w="14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578</w:t>
            </w:r>
          </w:p>
        </w:tc>
        <w:tc>
          <w:tcPr>
            <w:tcW w:w="30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94"/>
              </w:rPr>
              <w:t>640,826</w:t>
            </w:r>
          </w:p>
        </w:tc>
        <w:tc>
          <w:tcPr>
            <w:tcW w:w="14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63,012</w:t>
            </w:r>
          </w:p>
        </w:tc>
        <w:tc>
          <w:tcPr>
            <w:tcW w:w="14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5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89"/>
              </w:rPr>
              <w:t>$ 510,994</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432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5,236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1,464</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6,700</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(716)</w:t>
            </w:r>
          </w:p>
        </w:tc>
        <w:tc>
          <w:tcPr>
            <w:tcW w:w="84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4"/>
                <w:szCs w:val="14"/>
                <w:color w:val="auto"/>
              </w:rPr>
              <w:t>Issuance of equity awards and stock based compensation expense</w:t>
            </w:r>
          </w:p>
        </w:tc>
        <w:tc>
          <w:tcPr>
            <w:tcW w:w="8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2023</w:t>
            </w:r>
          </w:p>
        </w:tc>
        <w:tc>
          <w:tcPr>
            <w:tcW w:w="800" w:type="dxa"/>
            <w:vAlign w:val="bottom"/>
            <w:gridSpan w:val="3"/>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29,853</w:t>
            </w:r>
          </w:p>
        </w:tc>
        <w:tc>
          <w:tcPr>
            <w:tcW w:w="16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299</w:t>
            </w:r>
          </w:p>
        </w:tc>
        <w:tc>
          <w:tcPr>
            <w:tcW w:w="660" w:type="dxa"/>
            <w:vAlign w:val="bottom"/>
            <w:gridSpan w:val="3"/>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12,463</w:t>
            </w:r>
          </w:p>
        </w:tc>
        <w:tc>
          <w:tcPr>
            <w:tcW w:w="980" w:type="dxa"/>
            <w:vAlign w:val="bottom"/>
            <w:gridSpan w:val="3"/>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(193,660)</w:t>
            </w: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940</w:t>
            </w:r>
          </w:p>
        </w:tc>
        <w:tc>
          <w:tcPr>
            <w:tcW w:w="100" w:type="dxa"/>
            <w:vAlign w:val="bottom"/>
            <w:shd w:val="clear" w:color="auto" w:fill="E5FFFF"/>
          </w:tcPr>
          <w:p>
            <w:pPr>
              <w:spacing w:after="0"/>
              <w:rPr>
                <w:sz w:val="12"/>
                <w:szCs w:val="12"/>
                <w:color w:val="auto"/>
              </w:rPr>
            </w:pPr>
          </w:p>
        </w:tc>
        <w:tc>
          <w:tcPr>
            <w:tcW w:w="6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w w:val="94"/>
              </w:rPr>
              <w:t>646,062</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63,760</w:t>
            </w:r>
          </w:p>
        </w:tc>
        <w:tc>
          <w:tcPr>
            <w:tcW w:w="84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517,401</w:t>
            </w:r>
          </w:p>
        </w:tc>
        <w:tc>
          <w:tcPr>
            <w:tcW w:w="0" w:type="dxa"/>
            <w:vAlign w:val="bottom"/>
          </w:tcPr>
          <w:p>
            <w:pPr>
              <w:spacing w:after="0"/>
              <w:rPr>
                <w:sz w:val="1"/>
                <w:szCs w:val="1"/>
                <w:color w:val="auto"/>
              </w:rPr>
            </w:pPr>
          </w:p>
        </w:tc>
      </w:tr>
      <w:tr>
        <w:trPr>
          <w:trHeight w:val="312"/>
        </w:trPr>
        <w:tc>
          <w:tcPr>
            <w:tcW w:w="432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9,055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3,229</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12,284</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E5FFFF"/>
          </w:tcPr>
          <w:p>
            <w:pPr>
              <w:spacing w:after="0"/>
              <w:rPr>
                <w:sz w:val="20"/>
                <w:szCs w:val="20"/>
                <w:color w:val="auto"/>
              </w:rPr>
            </w:pPr>
            <w:r>
              <w:rPr>
                <w:rFonts w:ascii="Arial" w:cs="Arial" w:eastAsia="Arial" w:hAnsi="Arial"/>
                <w:sz w:val="14"/>
                <w:szCs w:val="14"/>
                <w:color w:val="auto"/>
              </w:rPr>
              <w:t>Issuance of equity awards and stock based compensation expense</w:t>
            </w:r>
          </w:p>
        </w:tc>
        <w:tc>
          <w:tcPr>
            <w:tcW w:w="80" w:type="dxa"/>
            <w:vAlign w:val="bottom"/>
            <w:shd w:val="clear" w:color="auto" w:fill="E5FFFF"/>
          </w:tcPr>
          <w:p>
            <w:pPr>
              <w:spacing w:after="0"/>
              <w:rPr>
                <w:sz w:val="14"/>
                <w:szCs w:val="14"/>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54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(113)</w:t>
            </w:r>
          </w:p>
        </w:tc>
        <w:tc>
          <w:tcPr>
            <w:tcW w:w="980" w:type="dxa"/>
            <w:vAlign w:val="bottom"/>
            <w:gridSpan w:val="3"/>
            <w:shd w:val="clear" w:color="auto" w:fill="E5FFFF"/>
          </w:tcPr>
          <w:p>
            <w:pPr>
              <w:jc w:val="right"/>
              <w:ind w:right="140"/>
              <w:spacing w:after="0"/>
              <w:rPr>
                <w:sz w:val="20"/>
                <w:szCs w:val="20"/>
                <w:color w:val="auto"/>
              </w:rPr>
            </w:pPr>
            <w:r>
              <w:rPr>
                <w:rFonts w:ascii="Arial" w:cs="Arial" w:eastAsia="Arial" w:hAnsi="Arial"/>
                <w:sz w:val="14"/>
                <w:szCs w:val="14"/>
                <w:color w:val="auto"/>
              </w:rPr>
              <w:t>1,623</w:t>
            </w: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w w:val="96"/>
              </w:rPr>
              <w:t>2,241</w:t>
            </w:r>
          </w:p>
        </w:tc>
        <w:tc>
          <w:tcPr>
            <w:tcW w:w="100" w:type="dxa"/>
            <w:vAlign w:val="bottom"/>
            <w:shd w:val="clear" w:color="auto" w:fill="E5FFFF"/>
          </w:tcPr>
          <w:p>
            <w:pPr>
              <w:spacing w:after="0"/>
              <w:rPr>
                <w:sz w:val="14"/>
                <w:szCs w:val="14"/>
                <w:color w:val="auto"/>
              </w:rPr>
            </w:pPr>
          </w:p>
        </w:tc>
        <w:tc>
          <w:tcPr>
            <w:tcW w:w="64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4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Balance at July 31, 2023</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29,853</w:t>
            </w:r>
          </w:p>
        </w:tc>
        <w:tc>
          <w:tcPr>
            <w:tcW w:w="3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299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12,350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(192,037)</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3,181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655,117</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66,989</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$ 533,549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Continued on the following page</w:t>
            </w: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REX Shareholders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Common Shares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Treasury</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23"/>
                <w:szCs w:val="23"/>
                <w:color w:val="auto"/>
              </w:rPr>
            </w:pPr>
          </w:p>
        </w:tc>
        <w:tc>
          <w:tcPr>
            <w:tcW w:w="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left="128"/>
              <w:spacing w:after="0"/>
              <w:rPr>
                <w:sz w:val="20"/>
                <w:szCs w:val="20"/>
                <w:color w:val="auto"/>
              </w:rPr>
            </w:pPr>
            <w:r>
              <w:rPr>
                <w:rFonts w:ascii="Arial" w:cs="Arial" w:eastAsia="Arial" w:hAnsi="Arial"/>
                <w:sz w:val="14"/>
                <w:szCs w:val="14"/>
                <w:b w:val="1"/>
                <w:bCs w:val="1"/>
                <w:color w:val="auto"/>
                <w:w w:val="90"/>
              </w:rPr>
              <w:t>Issued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6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top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w w:val="98"/>
              </w:rPr>
              <w:t>Shares</w:t>
            </w: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3"/>
                <w:szCs w:val="13"/>
                <w:color w:val="auto"/>
              </w:rPr>
            </w:pPr>
          </w:p>
        </w:tc>
        <w:tc>
          <w:tcPr>
            <w:tcW w:w="7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6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50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Balance at January 31, 2022</w:t>
            </w:r>
          </w:p>
        </w:tc>
        <w:tc>
          <w:tcPr>
            <w:tcW w:w="52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Arial" w:cs="Arial" w:eastAsia="Arial" w:hAnsi="Arial"/>
                <w:sz w:val="14"/>
                <w:szCs w:val="14"/>
                <w:color w:val="auto"/>
              </w:rPr>
              <w:t>29,853</w:t>
            </w:r>
          </w:p>
        </w:tc>
        <w:tc>
          <w:tcPr>
            <w:tcW w:w="14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8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299</w:t>
            </w:r>
          </w:p>
        </w:tc>
        <w:tc>
          <w:tcPr>
            <w:tcW w:w="80" w:type="dxa"/>
            <w:vAlign w:val="bottom"/>
            <w:tcBorders>
              <w:top w:val="single" w:sz="8" w:color="E5FFFF"/>
            </w:tcBorders>
            <w:shd w:val="clear" w:color="auto" w:fill="E5FFFF"/>
          </w:tcPr>
          <w:p>
            <w:pPr>
              <w:spacing w:after="0"/>
              <w:rPr>
                <w:sz w:val="12"/>
                <w:szCs w:val="12"/>
                <w:color w:val="auto"/>
              </w:rPr>
            </w:pPr>
          </w:p>
        </w:tc>
        <w:tc>
          <w:tcPr>
            <w:tcW w:w="200" w:type="dxa"/>
            <w:vAlign w:val="bottom"/>
            <w:tcBorders>
              <w:top w:val="single" w:sz="8" w:color="E5FFFF"/>
            </w:tcBorders>
            <w:shd w:val="clear" w:color="auto" w:fill="E5FFFF"/>
          </w:tcPr>
          <w:p>
            <w:pPr>
              <w:spacing w:after="0"/>
              <w:rPr>
                <w:sz w:val="12"/>
                <w:szCs w:val="12"/>
                <w:color w:val="auto"/>
              </w:rPr>
            </w:pPr>
          </w:p>
        </w:tc>
        <w:tc>
          <w:tcPr>
            <w:tcW w:w="52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Arial" w:cs="Arial" w:eastAsia="Arial" w:hAnsi="Arial"/>
                <w:sz w:val="14"/>
                <w:szCs w:val="14"/>
                <w:color w:val="auto"/>
              </w:rPr>
              <w:t>12,092</w:t>
            </w:r>
          </w:p>
        </w:tc>
        <w:tc>
          <w:tcPr>
            <w:tcW w:w="300" w:type="dxa"/>
            <w:vAlign w:val="bottom"/>
            <w:tcBorders>
              <w:top w:val="single" w:sz="8" w:color="E5FFFF"/>
            </w:tcBorders>
            <w:shd w:val="clear" w:color="auto" w:fill="E5FFFF"/>
          </w:tcPr>
          <w:p>
            <w:pPr>
              <w:spacing w:after="0"/>
              <w:rPr>
                <w:sz w:val="12"/>
                <w:szCs w:val="12"/>
                <w:color w:val="auto"/>
              </w:rPr>
            </w:pP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92"/>
              </w:rPr>
              <w:t>$ (181,114)</w:t>
            </w:r>
          </w:p>
        </w:tc>
        <w:tc>
          <w:tcPr>
            <w:tcW w:w="30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94"/>
              </w:rPr>
              <w:t>611,607</w:t>
            </w:r>
          </w:p>
        </w:tc>
        <w:tc>
          <w:tcPr>
            <w:tcW w:w="14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56,770</w:t>
            </w:r>
          </w:p>
        </w:tc>
        <w:tc>
          <w:tcPr>
            <w:tcW w:w="30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5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86"/>
              </w:rPr>
              <w:t>$ 487,562</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5040" w:type="dxa"/>
            <w:vAlign w:val="bottom"/>
          </w:tcPr>
          <w:p>
            <w:pPr>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5,182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1,804</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6,986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1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10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5040" w:type="dxa"/>
            <w:vAlign w:val="bottom"/>
          </w:tcPr>
          <w:p>
            <w:pPr>
              <w:spacing w:after="0"/>
              <w:rPr>
                <w:sz w:val="20"/>
                <w:szCs w:val="20"/>
                <w:color w:val="auto"/>
              </w:rPr>
            </w:pPr>
            <w:r>
              <w:rPr>
                <w:rFonts w:ascii="Arial" w:cs="Arial" w:eastAsia="Arial" w:hAnsi="Arial"/>
                <w:sz w:val="14"/>
                <w:szCs w:val="14"/>
                <w:color w:val="auto"/>
              </w:rPr>
              <w:t>Issuance of equity awards and stock based compensation expense</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2022</w:t>
            </w:r>
          </w:p>
        </w:tc>
        <w:tc>
          <w:tcPr>
            <w:tcW w:w="660" w:type="dxa"/>
            <w:vAlign w:val="bottom"/>
            <w:gridSpan w:val="3"/>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29,853</w:t>
            </w: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gridSpan w:val="2"/>
            <w:shd w:val="clear" w:color="auto" w:fill="E5FFFF"/>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1020" w:type="dxa"/>
            <w:vAlign w:val="bottom"/>
            <w:gridSpan w:val="4"/>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12,092</w:t>
            </w:r>
          </w:p>
        </w:tc>
        <w:tc>
          <w:tcPr>
            <w:tcW w:w="98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(181,106)</w:t>
            </w:r>
          </w:p>
        </w:tc>
        <w:tc>
          <w:tcPr>
            <w:tcW w:w="100" w:type="dxa"/>
            <w:vAlign w:val="bottom"/>
            <w:shd w:val="clear" w:color="auto" w:fill="E5FFFF"/>
          </w:tcPr>
          <w:p>
            <w:pPr>
              <w:spacing w:after="0"/>
              <w:rPr>
                <w:sz w:val="12"/>
                <w:szCs w:val="12"/>
                <w:color w:val="auto"/>
              </w:rPr>
            </w:pPr>
          </w:p>
        </w:tc>
        <w:tc>
          <w:tcPr>
            <w:tcW w:w="6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w w:val="94"/>
              </w:rPr>
              <w:t>616,825</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10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58,573</w:t>
            </w:r>
          </w:p>
        </w:tc>
        <w:tc>
          <w:tcPr>
            <w:tcW w:w="60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494,591</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5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11,170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3,715</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14,885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1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20" w:type="dxa"/>
            <w:vAlign w:val="bottom"/>
            <w:gridSpan w:val="4"/>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222</w:t>
            </w:r>
          </w:p>
        </w:tc>
        <w:tc>
          <w:tcPr>
            <w:tcW w:w="980" w:type="dxa"/>
            <w:vAlign w:val="bottom"/>
            <w:gridSpan w:val="2"/>
            <w:shd w:val="clear" w:color="auto" w:fill="E5FFFF"/>
          </w:tcPr>
          <w:p>
            <w:pPr>
              <w:jc w:val="right"/>
              <w:ind w:right="300"/>
              <w:spacing w:after="0" w:line="149" w:lineRule="exact"/>
              <w:rPr>
                <w:sz w:val="20"/>
                <w:szCs w:val="20"/>
                <w:color w:val="auto"/>
              </w:rPr>
            </w:pPr>
            <w:r>
              <w:rPr>
                <w:rFonts w:ascii="Arial" w:cs="Arial" w:eastAsia="Arial" w:hAnsi="Arial"/>
                <w:sz w:val="14"/>
                <w:szCs w:val="14"/>
                <w:color w:val="auto"/>
              </w:rPr>
              <w:t>(6,193)</w:t>
            </w: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00" w:type="dxa"/>
            <w:vAlign w:val="bottom"/>
            <w:gridSpan w:val="3"/>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(6,193)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504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(1,632)</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(1,632)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E5FFFF"/>
          </w:tcPr>
          <w:p>
            <w:pPr>
              <w:spacing w:after="0"/>
              <w:rPr>
                <w:sz w:val="20"/>
                <w:szCs w:val="20"/>
                <w:color w:val="auto"/>
              </w:rPr>
            </w:pPr>
            <w:r>
              <w:rPr>
                <w:rFonts w:ascii="Arial" w:cs="Arial" w:eastAsia="Arial" w:hAnsi="Arial"/>
                <w:sz w:val="14"/>
                <w:szCs w:val="14"/>
                <w:color w:val="auto"/>
              </w:rPr>
              <w:t>Issuance of equity awards and stock based compensation expense</w:t>
            </w:r>
          </w:p>
        </w:tc>
        <w:tc>
          <w:tcPr>
            <w:tcW w:w="120" w:type="dxa"/>
            <w:vAlign w:val="bottom"/>
            <w:shd w:val="clear" w:color="auto" w:fill="E5FFFF"/>
          </w:tcPr>
          <w:p>
            <w:pPr>
              <w:spacing w:after="0"/>
              <w:rPr>
                <w:sz w:val="14"/>
                <w:szCs w:val="14"/>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FFFF"/>
          </w:tcPr>
          <w:p>
            <w:pPr>
              <w:spacing w:after="0"/>
              <w:rPr>
                <w:sz w:val="14"/>
                <w:szCs w:val="14"/>
                <w:color w:val="auto"/>
              </w:rPr>
            </w:pPr>
          </w:p>
        </w:tc>
        <w:tc>
          <w:tcPr>
            <w:tcW w:w="320" w:type="dxa"/>
            <w:vAlign w:val="bottom"/>
            <w:gridSpan w:val="2"/>
            <w:shd w:val="clear" w:color="auto" w:fill="E5FFFF"/>
          </w:tcPr>
          <w:p>
            <w:pPr>
              <w:spacing w:after="0"/>
              <w:rPr>
                <w:sz w:val="14"/>
                <w:szCs w:val="14"/>
                <w:color w:val="auto"/>
              </w:rPr>
            </w:pPr>
          </w:p>
        </w:tc>
        <w:tc>
          <w:tcPr>
            <w:tcW w:w="70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(101)</w:t>
            </w:r>
          </w:p>
        </w:tc>
        <w:tc>
          <w:tcPr>
            <w:tcW w:w="98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E5FFFF"/>
          </w:tcPr>
          <w:p>
            <w:pPr>
              <w:spacing w:after="0"/>
              <w:rPr>
                <w:sz w:val="14"/>
                <w:szCs w:val="14"/>
                <w:color w:val="auto"/>
              </w:rPr>
            </w:pPr>
          </w:p>
        </w:tc>
        <w:tc>
          <w:tcPr>
            <w:tcW w:w="64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1,486</w:t>
            </w: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0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E5FFFF"/>
          </w:tcPr>
          <w:p>
            <w:pPr>
              <w:jc w:val="right"/>
              <w:ind w:right="20"/>
              <w:spacing w:after="0"/>
              <w:rPr>
                <w:sz w:val="20"/>
                <w:szCs w:val="20"/>
                <w:color w:val="auto"/>
              </w:rPr>
            </w:pPr>
            <w:r>
              <w:rPr>
                <w:rFonts w:ascii="Arial" w:cs="Arial" w:eastAsia="Arial" w:hAnsi="Arial"/>
                <w:sz w:val="14"/>
                <w:szCs w:val="14"/>
                <w:color w:val="auto"/>
              </w:rPr>
              <w:t>1,789</w:t>
            </w: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 at July 31, 2022</w:t>
            </w: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29,853</w:t>
            </w:r>
          </w:p>
        </w:tc>
        <w:tc>
          <w:tcPr>
            <w:tcW w:w="140" w:type="dxa"/>
            <w:vAlign w:val="bottom"/>
          </w:tcPr>
          <w:p>
            <w:pPr>
              <w:spacing w:after="0"/>
              <w:rPr>
                <w:sz w:val="24"/>
                <w:szCs w:val="24"/>
                <w:color w:val="auto"/>
              </w:rPr>
            </w:pP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299</w:t>
            </w:r>
          </w:p>
        </w:tc>
        <w:tc>
          <w:tcPr>
            <w:tcW w:w="1020" w:type="dxa"/>
            <w:vAlign w:val="bottom"/>
            <w:gridSpan w:val="4"/>
          </w:tcPr>
          <w:p>
            <w:pPr>
              <w:jc w:val="right"/>
              <w:ind w:right="300"/>
              <w:spacing w:after="0"/>
              <w:rPr>
                <w:sz w:val="20"/>
                <w:szCs w:val="20"/>
                <w:color w:val="auto"/>
              </w:rPr>
            </w:pPr>
            <w:r>
              <w:rPr>
                <w:rFonts w:ascii="Arial" w:cs="Arial" w:eastAsia="Arial" w:hAnsi="Arial"/>
                <w:sz w:val="14"/>
                <w:szCs w:val="14"/>
                <w:color w:val="auto"/>
              </w:rPr>
              <w:t>12,213</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 (186,996)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629,481</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60,656</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w w:val="89"/>
              </w:rPr>
              <w:t>$ 503,440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right="5500"/>
        <w:spacing w:after="0" w:line="275"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Cash Flows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2080" w:type="dxa"/>
            <w:vAlign w:val="bottom"/>
            <w:gridSpan w:val="7"/>
          </w:tcPr>
          <w:p>
            <w:pPr>
              <w:ind w:left="2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9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July 31,</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6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18,984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8,915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2,671</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Interest income from investments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(3,967)</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Deferred income tax</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3,892</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Loss on sale of property and equipment – net</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2,784</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(7,703)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(5,153)</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(2,153)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(12,595)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(8,173)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w w:val="90"/>
              </w:rPr>
              <w:t>(194,400)</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w w:val="90"/>
              </w:rPr>
              <w:t>(189,988)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Sale of short-term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227,490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Proceeds from sale of real estate and property and equipment</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24,907</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0"/>
              </w:rPr>
              <w:t>(167,042)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Treasury stock acquired</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(6,193)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(716)</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(7,826)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0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32,828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(174,097)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71,347</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232,068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1,029</w:t>
            </w: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bottom w:val="single" w:sz="8" w:color="E5FFFF"/>
            </w:tcBorders>
            <w:vMerge w:val="restart"/>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60" w:type="dxa"/>
            <w:vAlign w:val="bottom"/>
            <w:tcBorders>
              <w:bottom w:val="single" w:sz="8" w:color="E5FF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06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 cash financing activities – Stock awards issued</w:t>
            </w: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965</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1,539</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w:t>
            </w:r>
          </w:p>
        </w:tc>
        <w:tc>
          <w:tcPr>
            <w:tcW w:w="4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102,166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NOTES TO UNAUDITED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July 31, 2023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Financial Statements</w:t>
      </w:r>
    </w:p>
    <w:p>
      <w:pPr>
        <w:spacing w:after="0" w:line="239"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References to the Company – References to “REX” or the “Company” in the consolidated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2023 included in these financial statements has been derived from the audited consolidated financial statements included in the Company’s Annual Report on Form 10-K for the year ended January 31, 2023 (fiscal year 2022). These unaudited consolidated financial statements should be read in conjunction with the consolidated financial statements and the notes thereto included in the Company’s Annual Report on Form 10-K for the year ended January 31, 2023. The results of operations for the interim periods are not necessarily indicative of the results to be expected for the year.</w:t>
      </w:r>
    </w:p>
    <w:p>
      <w:pPr>
        <w:spacing w:after="0" w:line="176" w:lineRule="exact"/>
        <w:rPr>
          <w:sz w:val="20"/>
          <w:szCs w:val="20"/>
          <w:color w:val="auto"/>
        </w:rPr>
      </w:pPr>
    </w:p>
    <w:p>
      <w:pPr>
        <w:ind w:right="200" w:firstLine="648"/>
        <w:spacing w:after="0" w:line="237" w:lineRule="auto"/>
        <w:rPr>
          <w:sz w:val="20"/>
          <w:szCs w:val="20"/>
          <w:color w:val="auto"/>
        </w:rPr>
      </w:pPr>
      <w:r>
        <w:rPr>
          <w:rFonts w:ascii="Arial" w:cs="Arial" w:eastAsia="Arial" w:hAnsi="Arial"/>
          <w:sz w:val="22"/>
          <w:szCs w:val="22"/>
          <w:b w:val="1"/>
          <w:bCs w:val="1"/>
          <w:color w:val="auto"/>
        </w:rPr>
        <w:t xml:space="preserve">Basis of Consolidation </w:t>
      </w:r>
      <w:r>
        <w:rPr>
          <w:rFonts w:ascii="Arial" w:cs="Arial" w:eastAsia="Arial" w:hAnsi="Arial"/>
          <w:sz w:val="22"/>
          <w:szCs w:val="22"/>
          <w:color w:val="auto"/>
        </w:rPr>
        <w:t>– The consolidated financial statements in this report include the operating results and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209" w:lineRule="exact"/>
        <w:rPr>
          <w:sz w:val="20"/>
          <w:szCs w:val="20"/>
          <w:color w:val="auto"/>
        </w:rPr>
      </w:pPr>
    </w:p>
    <w:p>
      <w:pPr>
        <w:jc w:val="both"/>
        <w:ind w:right="400" w:firstLine="648"/>
        <w:spacing w:after="0" w:line="243" w:lineRule="auto"/>
        <w:rPr>
          <w:sz w:val="20"/>
          <w:szCs w:val="20"/>
          <w:color w:val="auto"/>
        </w:rPr>
      </w:pPr>
      <w:r>
        <w:rPr>
          <w:rFonts w:ascii="Arial" w:cs="Arial" w:eastAsia="Arial" w:hAnsi="Arial"/>
          <w:sz w:val="22"/>
          <w:szCs w:val="22"/>
          <w:b w:val="1"/>
          <w:bCs w:val="1"/>
          <w:color w:val="auto"/>
        </w:rPr>
        <w:t xml:space="preserve">Stock Split </w:t>
      </w:r>
      <w:r>
        <w:rPr>
          <w:rFonts w:ascii="Arial" w:cs="Arial" w:eastAsia="Arial" w:hAnsi="Arial"/>
          <w:sz w:val="22"/>
          <w:szCs w:val="22"/>
          <w:color w:val="auto"/>
        </w:rPr>
        <w:t>– On June 21, 2022, the Board of Directors of the Company adopted resolutions declaring a three-for-one</w:t>
      </w:r>
      <w:r>
        <w:rPr>
          <w:rFonts w:ascii="Arial" w:cs="Arial" w:eastAsia="Arial" w:hAnsi="Arial"/>
          <w:sz w:val="22"/>
          <w:szCs w:val="22"/>
          <w:b w:val="1"/>
          <w:bCs w:val="1"/>
          <w:color w:val="auto"/>
        </w:rPr>
        <w:t xml:space="preserve"> </w:t>
      </w:r>
      <w:r>
        <w:rPr>
          <w:rFonts w:ascii="Arial" w:cs="Arial" w:eastAsia="Arial" w:hAnsi="Arial"/>
          <w:sz w:val="22"/>
          <w:szCs w:val="22"/>
          <w:color w:val="auto"/>
        </w:rPr>
        <w:t>split of the Company’s Common Stock to be effectuated in the form of a 200% stock dividend, payable on August 5, 2022 to stockholders of record at the close of business on July 29, 2022.</w:t>
      </w:r>
    </w:p>
    <w:p>
      <w:pPr>
        <w:spacing w:after="0" w:line="204" w:lineRule="exact"/>
        <w:rPr>
          <w:sz w:val="20"/>
          <w:szCs w:val="20"/>
          <w:color w:val="auto"/>
        </w:rPr>
      </w:pPr>
    </w:p>
    <w:p>
      <w:pPr>
        <w:ind w:right="140" w:firstLine="648"/>
        <w:spacing w:after="0" w:line="243" w:lineRule="auto"/>
        <w:rPr>
          <w:sz w:val="20"/>
          <w:szCs w:val="20"/>
          <w:color w:val="auto"/>
        </w:rPr>
      </w:pPr>
      <w:r>
        <w:rPr>
          <w:rFonts w:ascii="Arial" w:cs="Arial" w:eastAsia="Arial" w:hAnsi="Arial"/>
          <w:sz w:val="22"/>
          <w:szCs w:val="22"/>
          <w:b w:val="1"/>
          <w:bCs w:val="1"/>
          <w:color w:val="auto"/>
        </w:rPr>
        <w:t xml:space="preserve">Nature of Operations </w:t>
      </w:r>
      <w:r>
        <w:rPr>
          <w:rFonts w:ascii="Arial" w:cs="Arial" w:eastAsia="Arial" w:hAnsi="Arial"/>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interim consolidated condensed financial statements have been prepared in accordance with the accounting policies described in the notes to the consolidated financial statements included in the Company’s fiscal year 2022 Annual Report on Form 10-K. While management believes that the procedures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9"/>
          <w:szCs w:val="19"/>
          <w:color w:val="auto"/>
        </w:rPr>
        <w:t>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120" w:firstLine="648"/>
        <w:spacing w:after="0" w:line="257" w:lineRule="auto"/>
        <w:rPr>
          <w:sz w:val="20"/>
          <w:szCs w:val="20"/>
          <w:color w:val="auto"/>
        </w:rPr>
      </w:pPr>
      <w:r>
        <w:rPr>
          <w:rFonts w:ascii="Arial" w:cs="Arial" w:eastAsia="Arial" w:hAnsi="Arial"/>
          <w:sz w:val="21"/>
          <w:szCs w:val="21"/>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Cost of sales includes depreciation, costs of raw materials, third-party freight charges, purchasing and receiving costs, inspection costs, other distribution expenses, warehousing costs, plant repair and maintenance costs, plant management, certain compensation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SG&amp;A expenses.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Accounting Principles</w:t>
      </w:r>
    </w:p>
    <w:p>
      <w:pPr>
        <w:spacing w:after="0" w:line="23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Effective for the second quarter of fiscal year 2023, the Company changed the method of accounting for shipping and handling costs for products sold to customers from recorded within “Selling, general and administrative expenses” to recorded within “Cost of sales” on the accompanying Consolidated Statements of Operations. While both presentations are allowable under accounting principles generally accepted in the United States of America, the Company believes that this change in classification is preferable because it improves the comparability of gross margin between periods and among industry peers.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9" w:name="page10"/>
    <w:bookmarkEnd w:id="9"/>
    <w:p>
      <w:pPr>
        <w:ind w:right="100" w:firstLine="405"/>
        <w:spacing w:after="0" w:line="250" w:lineRule="auto"/>
        <w:rPr>
          <w:sz w:val="20"/>
          <w:szCs w:val="20"/>
          <w:color w:val="auto"/>
        </w:rPr>
      </w:pPr>
      <w:r>
        <w:rPr>
          <w:rFonts w:ascii="Arial" w:cs="Arial" w:eastAsia="Arial" w:hAnsi="Arial"/>
          <w:sz w:val="22"/>
          <w:szCs w:val="22"/>
          <w:color w:val="auto"/>
        </w:rPr>
        <w:t>The following tables show the effect of the retrospective change to the Consolidated Statements of Operations previously presented:</w:t>
      </w:r>
    </w:p>
    <w:p>
      <w:pPr>
        <w:spacing w:after="0" w:line="196"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ind w:left="7440"/>
        <w:spacing w:after="0"/>
        <w:rPr>
          <w:sz w:val="20"/>
          <w:szCs w:val="20"/>
          <w:color w:val="auto"/>
        </w:rPr>
      </w:pPr>
      <w:r>
        <w:rPr>
          <w:rFonts w:ascii="Arial" w:cs="Arial" w:eastAsia="Arial" w:hAnsi="Arial"/>
          <w:sz w:val="22"/>
          <w:szCs w:val="22"/>
          <w:b w:val="1"/>
          <w:bCs w:val="1"/>
          <w:color w:val="auto"/>
        </w:rPr>
        <w:t>April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6"/>
              </w:rPr>
              <w:t>As Previously</w:t>
            </w:r>
          </w:p>
        </w:tc>
        <w:tc>
          <w:tcPr>
            <w:tcW w:w="28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8"/>
              </w:rPr>
              <w:t>Effect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As Currently</w:t>
            </w:r>
          </w:p>
        </w:tc>
      </w:tr>
      <w:tr>
        <w:trPr>
          <w:trHeight w:val="270"/>
        </w:trPr>
        <w:tc>
          <w:tcPr>
            <w:tcW w:w="60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Reported</w:t>
            </w:r>
          </w:p>
        </w:tc>
        <w:tc>
          <w:tcPr>
            <w:tcW w:w="28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6"/>
              </w:rPr>
              <w:t>Change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1"/>
              </w:rPr>
              <w:t>Reported</w:t>
            </w:r>
          </w:p>
        </w:tc>
      </w:tr>
      <w:tr>
        <w:trPr>
          <w:trHeight w:val="237"/>
        </w:trPr>
        <w:tc>
          <w:tcPr>
            <w:tcW w:w="606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Cost of sales</w:t>
            </w:r>
          </w:p>
        </w:tc>
        <w:tc>
          <w:tcPr>
            <w:tcW w:w="128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$197,685</w:t>
            </w:r>
          </w:p>
        </w:tc>
        <w:tc>
          <w:tcPr>
            <w:tcW w:w="280" w:type="dxa"/>
            <w:vAlign w:val="bottom"/>
            <w:tcBorders>
              <w:top w:val="single" w:sz="8" w:color="E5FFFF"/>
            </w:tcBorders>
            <w:shd w:val="clear" w:color="auto" w:fill="E5FFFF"/>
          </w:tcPr>
          <w:p>
            <w:pPr>
              <w:spacing w:after="0"/>
              <w:rPr>
                <w:sz w:val="20"/>
                <w:szCs w:val="20"/>
                <w:color w:val="auto"/>
              </w:rPr>
            </w:pPr>
          </w:p>
        </w:tc>
        <w:tc>
          <w:tcPr>
            <w:tcW w:w="980" w:type="dxa"/>
            <w:vAlign w:val="bottom"/>
            <w:tcBorders>
              <w:top w:val="single" w:sz="8" w:color="auto"/>
            </w:tcBorders>
            <w:shd w:val="clear" w:color="auto" w:fill="E5FFFF"/>
          </w:tcPr>
          <w:p>
            <w:pPr>
              <w:jc w:val="right"/>
              <w:ind w:right="72"/>
              <w:spacing w:after="0" w:line="237" w:lineRule="exact"/>
              <w:rPr>
                <w:sz w:val="20"/>
                <w:szCs w:val="20"/>
                <w:color w:val="auto"/>
              </w:rPr>
            </w:pPr>
            <w:r>
              <w:rPr>
                <w:rFonts w:ascii="Arial" w:cs="Arial" w:eastAsia="Arial" w:hAnsi="Arial"/>
                <w:sz w:val="22"/>
                <w:szCs w:val="22"/>
                <w:color w:val="auto"/>
              </w:rPr>
              <w:t>$4,863</w:t>
            </w:r>
          </w:p>
        </w:tc>
        <w:tc>
          <w:tcPr>
            <w:tcW w:w="300" w:type="dxa"/>
            <w:vAlign w:val="bottom"/>
            <w:tcBorders>
              <w:top w:val="single" w:sz="8" w:color="E5FFFF"/>
            </w:tcBorders>
            <w:shd w:val="clear" w:color="auto" w:fill="E5FFFF"/>
          </w:tcPr>
          <w:p>
            <w:pPr>
              <w:spacing w:after="0"/>
              <w:rPr>
                <w:sz w:val="20"/>
                <w:szCs w:val="20"/>
                <w:color w:val="auto"/>
              </w:rPr>
            </w:pPr>
          </w:p>
        </w:tc>
        <w:tc>
          <w:tcPr>
            <w:tcW w:w="120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$202,548</w:t>
            </w:r>
          </w:p>
        </w:tc>
      </w:tr>
      <w:tr>
        <w:trPr>
          <w:trHeight w:val="496"/>
        </w:trPr>
        <w:tc>
          <w:tcPr>
            <w:tcW w:w="6060" w:type="dxa"/>
            <w:vAlign w:val="bottom"/>
          </w:tcPr>
          <w:p>
            <w:pPr>
              <w:ind w:left="100"/>
              <w:spacing w:after="0"/>
              <w:rPr>
                <w:sz w:val="20"/>
                <w:szCs w:val="20"/>
                <w:color w:val="auto"/>
              </w:rPr>
            </w:pPr>
            <w:r>
              <w:rPr>
                <w:rFonts w:ascii="Arial" w:cs="Arial" w:eastAsia="Arial" w:hAnsi="Arial"/>
                <w:sz w:val="22"/>
                <w:szCs w:val="22"/>
                <w:color w:val="auto"/>
              </w:rPr>
              <w:t>Gross profit</w:t>
            </w:r>
          </w:p>
        </w:tc>
        <w:tc>
          <w:tcPr>
            <w:tcW w:w="1280" w:type="dxa"/>
            <w:vAlign w:val="bottom"/>
          </w:tcPr>
          <w:p>
            <w:pPr>
              <w:jc w:val="center"/>
              <w:spacing w:after="0"/>
              <w:rPr>
                <w:sz w:val="20"/>
                <w:szCs w:val="20"/>
                <w:color w:val="auto"/>
              </w:rPr>
            </w:pPr>
            <w:r>
              <w:rPr>
                <w:rFonts w:ascii="Arial" w:cs="Arial" w:eastAsia="Arial" w:hAnsi="Arial"/>
                <w:sz w:val="22"/>
                <w:szCs w:val="22"/>
                <w:color w:val="auto"/>
                <w:w w:val="87"/>
              </w:rPr>
              <w:t>$15,029</w:t>
            </w:r>
          </w:p>
        </w:tc>
        <w:tc>
          <w:tcPr>
            <w:tcW w:w="1260" w:type="dxa"/>
            <w:vAlign w:val="bottom"/>
            <w:gridSpan w:val="2"/>
          </w:tcPr>
          <w:p>
            <w:pPr>
              <w:jc w:val="right"/>
              <w:ind w:right="12"/>
              <w:spacing w:after="0"/>
              <w:rPr>
                <w:sz w:val="20"/>
                <w:szCs w:val="20"/>
                <w:color w:val="auto"/>
              </w:rPr>
            </w:pPr>
            <w:r>
              <w:rPr>
                <w:rFonts w:ascii="Arial" w:cs="Arial" w:eastAsia="Arial" w:hAnsi="Arial"/>
                <w:sz w:val="22"/>
                <w:szCs w:val="22"/>
                <w:color w:val="auto"/>
              </w:rPr>
              <w:t>$(4,863)</w:t>
            </w:r>
          </w:p>
        </w:tc>
        <w:tc>
          <w:tcPr>
            <w:tcW w:w="3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$10,166</w:t>
            </w:r>
          </w:p>
        </w:tc>
      </w:tr>
      <w:tr>
        <w:trPr>
          <w:trHeight w:val="233"/>
        </w:trPr>
        <w:tc>
          <w:tcPr>
            <w:tcW w:w="6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60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Selling, general and administrative</w:t>
            </w:r>
          </w:p>
        </w:tc>
        <w:tc>
          <w:tcPr>
            <w:tcW w:w="12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9"/>
              </w:rPr>
              <w:t>$(10,632)</w:t>
            </w:r>
          </w:p>
        </w:tc>
        <w:tc>
          <w:tcPr>
            <w:tcW w:w="1260" w:type="dxa"/>
            <w:vAlign w:val="bottom"/>
            <w:gridSpan w:val="2"/>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$4,863</w:t>
            </w:r>
          </w:p>
        </w:tc>
        <w:tc>
          <w:tcPr>
            <w:tcW w:w="300" w:type="dxa"/>
            <w:vAlign w:val="bottom"/>
            <w:shd w:val="clear" w:color="auto" w:fill="E5FFFF"/>
          </w:tcPr>
          <w:p>
            <w:pPr>
              <w:spacing w:after="0"/>
              <w:rPr>
                <w:sz w:val="21"/>
                <w:szCs w:val="21"/>
                <w:color w:val="auto"/>
              </w:rPr>
            </w:pPr>
          </w:p>
        </w:tc>
        <w:tc>
          <w:tcPr>
            <w:tcW w:w="120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0"/>
              </w:rPr>
              <w:t>$(5,769)</w:t>
            </w:r>
          </w:p>
        </w:tc>
      </w:tr>
      <w:tr>
        <w:trPr>
          <w:trHeight w:val="459"/>
        </w:trPr>
        <w:tc>
          <w:tcPr>
            <w:tcW w:w="606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Arial" w:cs="Arial" w:eastAsia="Arial" w:hAnsi="Arial"/>
                <w:sz w:val="22"/>
                <w:szCs w:val="22"/>
                <w:b w:val="1"/>
                <w:bCs w:val="1"/>
                <w:color w:val="auto"/>
                <w:w w:val="90"/>
              </w:rPr>
              <w:t>Three Months Ended</w:t>
            </w:r>
          </w:p>
        </w:tc>
      </w:tr>
      <w:tr>
        <w:trPr>
          <w:trHeight w:val="280"/>
        </w:trPr>
        <w:tc>
          <w:tcPr>
            <w:tcW w:w="6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22"/>
                <w:szCs w:val="22"/>
                <w:b w:val="1"/>
                <w:bCs w:val="1"/>
                <w:color w:val="auto"/>
                <w:w w:val="89"/>
              </w:rPr>
              <w:t>July 31, 2022</w:t>
            </w:r>
          </w:p>
        </w:tc>
        <w:tc>
          <w:tcPr>
            <w:tcW w:w="1200" w:type="dxa"/>
            <w:vAlign w:val="bottom"/>
          </w:tcPr>
          <w:p>
            <w:pPr>
              <w:spacing w:after="0"/>
              <w:rPr>
                <w:sz w:val="24"/>
                <w:szCs w:val="24"/>
                <w:color w:val="auto"/>
              </w:rPr>
            </w:pPr>
          </w:p>
        </w:tc>
      </w:tr>
      <w:tr>
        <w:trPr>
          <w:trHeight w:val="449"/>
        </w:trPr>
        <w:tc>
          <w:tcPr>
            <w:tcW w:w="60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6"/>
              </w:rPr>
              <w:t>As Previously</w:t>
            </w:r>
          </w:p>
        </w:tc>
        <w:tc>
          <w:tcPr>
            <w:tcW w:w="28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8"/>
              </w:rPr>
              <w:t>Effect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As Currently</w:t>
            </w:r>
          </w:p>
        </w:tc>
      </w:tr>
      <w:tr>
        <w:trPr>
          <w:trHeight w:val="270"/>
        </w:trPr>
        <w:tc>
          <w:tcPr>
            <w:tcW w:w="60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Reported</w:t>
            </w:r>
          </w:p>
        </w:tc>
        <w:tc>
          <w:tcPr>
            <w:tcW w:w="28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6"/>
              </w:rPr>
              <w:t>Change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1"/>
              </w:rPr>
              <w:t>Reported</w:t>
            </w:r>
          </w:p>
        </w:tc>
      </w:tr>
      <w:tr>
        <w:trPr>
          <w:trHeight w:val="237"/>
        </w:trPr>
        <w:tc>
          <w:tcPr>
            <w:tcW w:w="606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Cost of sales</w:t>
            </w:r>
          </w:p>
        </w:tc>
        <w:tc>
          <w:tcPr>
            <w:tcW w:w="128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$223,744</w:t>
            </w:r>
          </w:p>
        </w:tc>
        <w:tc>
          <w:tcPr>
            <w:tcW w:w="280" w:type="dxa"/>
            <w:vAlign w:val="bottom"/>
            <w:tcBorders>
              <w:top w:val="single" w:sz="8" w:color="E5FFFF"/>
            </w:tcBorders>
            <w:shd w:val="clear" w:color="auto" w:fill="E5FFFF"/>
          </w:tcPr>
          <w:p>
            <w:pPr>
              <w:spacing w:after="0"/>
              <w:rPr>
                <w:sz w:val="20"/>
                <w:szCs w:val="20"/>
                <w:color w:val="auto"/>
              </w:rPr>
            </w:pPr>
          </w:p>
        </w:tc>
        <w:tc>
          <w:tcPr>
            <w:tcW w:w="980" w:type="dxa"/>
            <w:vAlign w:val="bottom"/>
            <w:tcBorders>
              <w:top w:val="single" w:sz="8" w:color="auto"/>
            </w:tcBorders>
            <w:shd w:val="clear" w:color="auto" w:fill="E5FFFF"/>
          </w:tcPr>
          <w:p>
            <w:pPr>
              <w:jc w:val="right"/>
              <w:ind w:right="72"/>
              <w:spacing w:after="0" w:line="237" w:lineRule="exact"/>
              <w:rPr>
                <w:sz w:val="20"/>
                <w:szCs w:val="20"/>
                <w:color w:val="auto"/>
              </w:rPr>
            </w:pPr>
            <w:r>
              <w:rPr>
                <w:rFonts w:ascii="Arial" w:cs="Arial" w:eastAsia="Arial" w:hAnsi="Arial"/>
                <w:sz w:val="22"/>
                <w:szCs w:val="22"/>
                <w:color w:val="auto"/>
              </w:rPr>
              <w:t>$2,481</w:t>
            </w:r>
          </w:p>
        </w:tc>
        <w:tc>
          <w:tcPr>
            <w:tcW w:w="300" w:type="dxa"/>
            <w:vAlign w:val="bottom"/>
            <w:tcBorders>
              <w:top w:val="single" w:sz="8" w:color="E5FFFF"/>
            </w:tcBorders>
            <w:shd w:val="clear" w:color="auto" w:fill="E5FFFF"/>
          </w:tcPr>
          <w:p>
            <w:pPr>
              <w:spacing w:after="0"/>
              <w:rPr>
                <w:sz w:val="20"/>
                <w:szCs w:val="20"/>
                <w:color w:val="auto"/>
              </w:rPr>
            </w:pPr>
          </w:p>
        </w:tc>
        <w:tc>
          <w:tcPr>
            <w:tcW w:w="120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$226,225</w:t>
            </w:r>
          </w:p>
        </w:tc>
      </w:tr>
      <w:tr>
        <w:trPr>
          <w:trHeight w:val="496"/>
        </w:trPr>
        <w:tc>
          <w:tcPr>
            <w:tcW w:w="6060" w:type="dxa"/>
            <w:vAlign w:val="bottom"/>
          </w:tcPr>
          <w:p>
            <w:pPr>
              <w:ind w:left="100"/>
              <w:spacing w:after="0"/>
              <w:rPr>
                <w:sz w:val="20"/>
                <w:szCs w:val="20"/>
                <w:color w:val="auto"/>
              </w:rPr>
            </w:pPr>
            <w:r>
              <w:rPr>
                <w:rFonts w:ascii="Arial" w:cs="Arial" w:eastAsia="Arial" w:hAnsi="Arial"/>
                <w:sz w:val="22"/>
                <w:szCs w:val="22"/>
                <w:color w:val="auto"/>
              </w:rPr>
              <w:t>Gross profit</w:t>
            </w:r>
          </w:p>
        </w:tc>
        <w:tc>
          <w:tcPr>
            <w:tcW w:w="1280" w:type="dxa"/>
            <w:vAlign w:val="bottom"/>
          </w:tcPr>
          <w:p>
            <w:pPr>
              <w:jc w:val="center"/>
              <w:spacing w:after="0"/>
              <w:rPr>
                <w:sz w:val="20"/>
                <w:szCs w:val="20"/>
                <w:color w:val="auto"/>
              </w:rPr>
            </w:pPr>
            <w:r>
              <w:rPr>
                <w:rFonts w:ascii="Arial" w:cs="Arial" w:eastAsia="Arial" w:hAnsi="Arial"/>
                <w:sz w:val="22"/>
                <w:szCs w:val="22"/>
                <w:color w:val="auto"/>
                <w:w w:val="87"/>
              </w:rPr>
              <w:t>$16,584</w:t>
            </w:r>
          </w:p>
        </w:tc>
        <w:tc>
          <w:tcPr>
            <w:tcW w:w="1260" w:type="dxa"/>
            <w:vAlign w:val="bottom"/>
            <w:gridSpan w:val="2"/>
          </w:tcPr>
          <w:p>
            <w:pPr>
              <w:jc w:val="right"/>
              <w:ind w:right="12"/>
              <w:spacing w:after="0"/>
              <w:rPr>
                <w:sz w:val="20"/>
                <w:szCs w:val="20"/>
                <w:color w:val="auto"/>
              </w:rPr>
            </w:pPr>
            <w:r>
              <w:rPr>
                <w:rFonts w:ascii="Arial" w:cs="Arial" w:eastAsia="Arial" w:hAnsi="Arial"/>
                <w:sz w:val="22"/>
                <w:szCs w:val="22"/>
                <w:color w:val="auto"/>
              </w:rPr>
              <w:t>$(2,481)</w:t>
            </w:r>
          </w:p>
        </w:tc>
        <w:tc>
          <w:tcPr>
            <w:tcW w:w="3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$14,103</w:t>
            </w:r>
          </w:p>
        </w:tc>
      </w:tr>
      <w:tr>
        <w:trPr>
          <w:trHeight w:val="233"/>
        </w:trPr>
        <w:tc>
          <w:tcPr>
            <w:tcW w:w="6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60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Selling, general and administrative</w:t>
            </w:r>
          </w:p>
        </w:tc>
        <w:tc>
          <w:tcPr>
            <w:tcW w:w="12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0"/>
              </w:rPr>
              <w:t>$(9,148)</w:t>
            </w:r>
          </w:p>
        </w:tc>
        <w:tc>
          <w:tcPr>
            <w:tcW w:w="1260" w:type="dxa"/>
            <w:vAlign w:val="bottom"/>
            <w:gridSpan w:val="2"/>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$2,481</w:t>
            </w:r>
          </w:p>
        </w:tc>
        <w:tc>
          <w:tcPr>
            <w:tcW w:w="300" w:type="dxa"/>
            <w:vAlign w:val="bottom"/>
            <w:shd w:val="clear" w:color="auto" w:fill="E5FFFF"/>
          </w:tcPr>
          <w:p>
            <w:pPr>
              <w:spacing w:after="0"/>
              <w:rPr>
                <w:sz w:val="21"/>
                <w:szCs w:val="21"/>
                <w:color w:val="auto"/>
              </w:rPr>
            </w:pPr>
          </w:p>
        </w:tc>
        <w:tc>
          <w:tcPr>
            <w:tcW w:w="120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0"/>
              </w:rPr>
              <w:t>$(6,667)</w:t>
            </w:r>
          </w:p>
        </w:tc>
      </w:tr>
      <w:tr>
        <w:trPr>
          <w:trHeight w:val="459"/>
        </w:trPr>
        <w:tc>
          <w:tcPr>
            <w:tcW w:w="606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Arial" w:cs="Arial" w:eastAsia="Arial" w:hAnsi="Arial"/>
                <w:sz w:val="22"/>
                <w:szCs w:val="22"/>
                <w:b w:val="1"/>
                <w:bCs w:val="1"/>
                <w:color w:val="auto"/>
                <w:w w:val="90"/>
              </w:rPr>
              <w:t>Six Months Ended</w:t>
            </w:r>
          </w:p>
        </w:tc>
      </w:tr>
      <w:tr>
        <w:trPr>
          <w:trHeight w:val="280"/>
        </w:trPr>
        <w:tc>
          <w:tcPr>
            <w:tcW w:w="6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22"/>
                <w:szCs w:val="22"/>
                <w:b w:val="1"/>
                <w:bCs w:val="1"/>
                <w:color w:val="auto"/>
                <w:w w:val="89"/>
              </w:rPr>
              <w:t>July 31, 2022</w:t>
            </w:r>
          </w:p>
        </w:tc>
        <w:tc>
          <w:tcPr>
            <w:tcW w:w="1200" w:type="dxa"/>
            <w:vAlign w:val="bottom"/>
          </w:tcPr>
          <w:p>
            <w:pPr>
              <w:spacing w:after="0"/>
              <w:rPr>
                <w:sz w:val="24"/>
                <w:szCs w:val="24"/>
                <w:color w:val="auto"/>
              </w:rPr>
            </w:pPr>
          </w:p>
        </w:tc>
      </w:tr>
      <w:tr>
        <w:trPr>
          <w:trHeight w:val="449"/>
        </w:trPr>
        <w:tc>
          <w:tcPr>
            <w:tcW w:w="60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6"/>
              </w:rPr>
              <w:t>As Previously</w:t>
            </w:r>
          </w:p>
        </w:tc>
        <w:tc>
          <w:tcPr>
            <w:tcW w:w="28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8"/>
              </w:rPr>
              <w:t>Effect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As Currently</w:t>
            </w:r>
          </w:p>
        </w:tc>
      </w:tr>
      <w:tr>
        <w:trPr>
          <w:trHeight w:val="270"/>
        </w:trPr>
        <w:tc>
          <w:tcPr>
            <w:tcW w:w="60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Reported</w:t>
            </w:r>
          </w:p>
        </w:tc>
        <w:tc>
          <w:tcPr>
            <w:tcW w:w="28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6"/>
              </w:rPr>
              <w:t>Change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1"/>
              </w:rPr>
              <w:t>Reported</w:t>
            </w:r>
          </w:p>
        </w:tc>
      </w:tr>
      <w:tr>
        <w:trPr>
          <w:trHeight w:val="237"/>
        </w:trPr>
        <w:tc>
          <w:tcPr>
            <w:tcW w:w="606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Cost of sales</w:t>
            </w:r>
          </w:p>
        </w:tc>
        <w:tc>
          <w:tcPr>
            <w:tcW w:w="128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$406,060</w:t>
            </w:r>
          </w:p>
        </w:tc>
        <w:tc>
          <w:tcPr>
            <w:tcW w:w="280" w:type="dxa"/>
            <w:vAlign w:val="bottom"/>
            <w:tcBorders>
              <w:top w:val="single" w:sz="8" w:color="E5FFFF"/>
            </w:tcBorders>
            <w:shd w:val="clear" w:color="auto" w:fill="E5FFFF"/>
          </w:tcPr>
          <w:p>
            <w:pPr>
              <w:spacing w:after="0"/>
              <w:rPr>
                <w:sz w:val="20"/>
                <w:szCs w:val="20"/>
                <w:color w:val="auto"/>
              </w:rPr>
            </w:pPr>
          </w:p>
        </w:tc>
        <w:tc>
          <w:tcPr>
            <w:tcW w:w="980" w:type="dxa"/>
            <w:vAlign w:val="bottom"/>
            <w:tcBorders>
              <w:top w:val="single" w:sz="8" w:color="auto"/>
            </w:tcBorders>
            <w:shd w:val="clear" w:color="auto" w:fill="E5FFFF"/>
          </w:tcPr>
          <w:p>
            <w:pPr>
              <w:jc w:val="right"/>
              <w:ind w:right="72"/>
              <w:spacing w:after="0" w:line="237" w:lineRule="exact"/>
              <w:rPr>
                <w:sz w:val="20"/>
                <w:szCs w:val="20"/>
                <w:color w:val="auto"/>
              </w:rPr>
            </w:pPr>
            <w:r>
              <w:rPr>
                <w:rFonts w:ascii="Arial" w:cs="Arial" w:eastAsia="Arial" w:hAnsi="Arial"/>
                <w:sz w:val="22"/>
                <w:szCs w:val="22"/>
                <w:color w:val="auto"/>
              </w:rPr>
              <w:t>$2,485</w:t>
            </w:r>
          </w:p>
        </w:tc>
        <w:tc>
          <w:tcPr>
            <w:tcW w:w="300" w:type="dxa"/>
            <w:vAlign w:val="bottom"/>
            <w:tcBorders>
              <w:top w:val="single" w:sz="8" w:color="E5FFFF"/>
            </w:tcBorders>
            <w:shd w:val="clear" w:color="auto" w:fill="E5FFFF"/>
          </w:tcPr>
          <w:p>
            <w:pPr>
              <w:spacing w:after="0"/>
              <w:rPr>
                <w:sz w:val="20"/>
                <w:szCs w:val="20"/>
                <w:color w:val="auto"/>
              </w:rPr>
            </w:pPr>
          </w:p>
        </w:tc>
        <w:tc>
          <w:tcPr>
            <w:tcW w:w="1200" w:type="dxa"/>
            <w:vAlign w:val="bottom"/>
            <w:tcBorders>
              <w:top w:val="single" w:sz="8" w:color="auto"/>
            </w:tcBorders>
            <w:shd w:val="clear" w:color="auto" w:fill="E5FFFF"/>
          </w:tcPr>
          <w:p>
            <w:pPr>
              <w:jc w:val="center"/>
              <w:spacing w:after="0" w:line="237" w:lineRule="exact"/>
              <w:rPr>
                <w:sz w:val="20"/>
                <w:szCs w:val="20"/>
                <w:color w:val="auto"/>
              </w:rPr>
            </w:pPr>
            <w:r>
              <w:rPr>
                <w:rFonts w:ascii="Arial" w:cs="Arial" w:eastAsia="Arial" w:hAnsi="Arial"/>
                <w:sz w:val="22"/>
                <w:szCs w:val="22"/>
                <w:color w:val="auto"/>
                <w:w w:val="87"/>
              </w:rPr>
              <w:t>$408,545</w:t>
            </w:r>
          </w:p>
        </w:tc>
      </w:tr>
      <w:tr>
        <w:trPr>
          <w:trHeight w:val="496"/>
        </w:trPr>
        <w:tc>
          <w:tcPr>
            <w:tcW w:w="6060" w:type="dxa"/>
            <w:vAlign w:val="bottom"/>
          </w:tcPr>
          <w:p>
            <w:pPr>
              <w:ind w:left="100"/>
              <w:spacing w:after="0"/>
              <w:rPr>
                <w:sz w:val="20"/>
                <w:szCs w:val="20"/>
                <w:color w:val="auto"/>
              </w:rPr>
            </w:pPr>
            <w:r>
              <w:rPr>
                <w:rFonts w:ascii="Arial" w:cs="Arial" w:eastAsia="Arial" w:hAnsi="Arial"/>
                <w:sz w:val="22"/>
                <w:szCs w:val="22"/>
                <w:color w:val="auto"/>
              </w:rPr>
              <w:t>Gross profit</w:t>
            </w:r>
          </w:p>
        </w:tc>
        <w:tc>
          <w:tcPr>
            <w:tcW w:w="1280" w:type="dxa"/>
            <w:vAlign w:val="bottom"/>
          </w:tcPr>
          <w:p>
            <w:pPr>
              <w:jc w:val="center"/>
              <w:spacing w:after="0"/>
              <w:rPr>
                <w:sz w:val="20"/>
                <w:szCs w:val="20"/>
                <w:color w:val="auto"/>
              </w:rPr>
            </w:pPr>
            <w:r>
              <w:rPr>
                <w:rFonts w:ascii="Arial" w:cs="Arial" w:eastAsia="Arial" w:hAnsi="Arial"/>
                <w:sz w:val="22"/>
                <w:szCs w:val="22"/>
                <w:color w:val="auto"/>
                <w:w w:val="87"/>
              </w:rPr>
              <w:t>$28,496</w:t>
            </w:r>
          </w:p>
        </w:tc>
        <w:tc>
          <w:tcPr>
            <w:tcW w:w="1260" w:type="dxa"/>
            <w:vAlign w:val="bottom"/>
            <w:gridSpan w:val="2"/>
          </w:tcPr>
          <w:p>
            <w:pPr>
              <w:jc w:val="right"/>
              <w:ind w:right="12"/>
              <w:spacing w:after="0"/>
              <w:rPr>
                <w:sz w:val="20"/>
                <w:szCs w:val="20"/>
                <w:color w:val="auto"/>
              </w:rPr>
            </w:pPr>
            <w:r>
              <w:rPr>
                <w:rFonts w:ascii="Arial" w:cs="Arial" w:eastAsia="Arial" w:hAnsi="Arial"/>
                <w:sz w:val="22"/>
                <w:szCs w:val="22"/>
                <w:color w:val="auto"/>
              </w:rPr>
              <w:t>$(2,485)</w:t>
            </w:r>
          </w:p>
        </w:tc>
        <w:tc>
          <w:tcPr>
            <w:tcW w:w="3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5"/>
              </w:rPr>
              <w:t>$26,011</w:t>
            </w:r>
          </w:p>
        </w:tc>
      </w:tr>
      <w:tr>
        <w:trPr>
          <w:trHeight w:val="233"/>
        </w:trPr>
        <w:tc>
          <w:tcPr>
            <w:tcW w:w="6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60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Selling, general and administrative</w:t>
            </w:r>
          </w:p>
        </w:tc>
        <w:tc>
          <w:tcPr>
            <w:tcW w:w="12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9"/>
              </w:rPr>
              <w:t>$(14,351)</w:t>
            </w:r>
          </w:p>
        </w:tc>
        <w:tc>
          <w:tcPr>
            <w:tcW w:w="1260" w:type="dxa"/>
            <w:vAlign w:val="bottom"/>
            <w:gridSpan w:val="2"/>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$2,485</w:t>
            </w:r>
          </w:p>
        </w:tc>
        <w:tc>
          <w:tcPr>
            <w:tcW w:w="300" w:type="dxa"/>
            <w:vAlign w:val="bottom"/>
            <w:shd w:val="clear" w:color="auto" w:fill="E5FFFF"/>
          </w:tcPr>
          <w:p>
            <w:pPr>
              <w:spacing w:after="0"/>
              <w:rPr>
                <w:sz w:val="21"/>
                <w:szCs w:val="21"/>
                <w:color w:val="auto"/>
              </w:rPr>
            </w:pPr>
          </w:p>
        </w:tc>
        <w:tc>
          <w:tcPr>
            <w:tcW w:w="120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9"/>
              </w:rPr>
              <w:t>$(11,866)</w:t>
            </w:r>
          </w:p>
        </w:tc>
      </w:tr>
      <w:tr>
        <w:trPr>
          <w:trHeight w:val="496"/>
        </w:trPr>
        <w:tc>
          <w:tcPr>
            <w:tcW w:w="6060" w:type="dxa"/>
            <w:vAlign w:val="bottom"/>
          </w:tcPr>
          <w:p>
            <w:pPr>
              <w:spacing w:after="0"/>
              <w:rPr>
                <w:sz w:val="20"/>
                <w:szCs w:val="20"/>
                <w:color w:val="auto"/>
              </w:rPr>
            </w:pPr>
            <w:r>
              <w:rPr>
                <w:rFonts w:ascii="Arial" w:cs="Arial" w:eastAsia="Arial" w:hAnsi="Arial"/>
                <w:sz w:val="22"/>
                <w:szCs w:val="22"/>
                <w:b w:val="1"/>
                <w:bCs w:val="1"/>
                <w:color w:val="auto"/>
              </w:rPr>
              <w:t>Financial Instruments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1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Certain of the forward corn purchase and ethanol, distillers grains and distillers corn oil sale contracts are accounted for under the “normal purchases and normal sales” scope exemption of Accounting Standards Codification (“ASC”) 815, “</w:t>
      </w:r>
      <w:r>
        <w:rPr>
          <w:rFonts w:ascii="Arial" w:cs="Arial" w:eastAsia="Arial" w:hAnsi="Arial"/>
          <w:sz w:val="22"/>
          <w:szCs w:val="22"/>
          <w:i w:val="1"/>
          <w:iCs w:val="1"/>
          <w:color w:val="auto"/>
        </w:rPr>
        <w:t>Derivatives and Hedging</w:t>
      </w:r>
      <w:r>
        <w:rPr>
          <w:rFonts w:ascii="Arial" w:cs="Arial" w:eastAsia="Arial" w:hAnsi="Arial"/>
          <w:sz w:val="22"/>
          <w:szCs w:val="22"/>
          <w:color w:val="auto"/>
        </w:rPr>
        <w:t>” (“ASC 815”) because these arrangements</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402" w:right="57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are for purchases of corn that will be delivered in quantities expected to be used by the Company and sales of ethanol, distillers grains and distillers corn oil in quantities expected to be produced by the Company over a reasonable period of time in the normal course of business.</w:t>
      </w:r>
    </w:p>
    <w:p>
      <w:pPr>
        <w:spacing w:after="0" w:line="21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$6.4 million and $1.1 million and received no refunds during the six months ended July 31, 2023 and 2022, respectively.</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As of July 31, 2023, and January 31, 2023, total unrecognized tax benefits were approximately $19,034,000. Accrued penalties and interest were approximately $57,000 and approximately $55,000 at July 31, 2023 and January 31, 2023, respectively. If the Company were to prevail on all unrecognized tax benefits recorded, the provision for income taxes would be reduced by approximately $18.9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inventory write-downs of approximately $0.2 million and $0.7 million in cost of sales at July 31, 2023 and January 31, 2023, respectively. Fluctuations in the write-down of inventory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generally relate to the levels and composition of such inventory and changes in commodity prices at a given point in time.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inventory are as follows as of the dates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22"/>
                <w:szCs w:val="22"/>
                <w:b w:val="1"/>
                <w:bCs w:val="1"/>
                <w:color w:val="auto"/>
              </w:rPr>
              <w:t>July 31,</w:t>
            </w:r>
          </w:p>
        </w:tc>
        <w:tc>
          <w:tcPr>
            <w:tcW w:w="114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87"/>
              </w:rPr>
              <w:t>January 31,</w:t>
            </w:r>
          </w:p>
        </w:tc>
      </w:tr>
      <w:tr>
        <w:trPr>
          <w:trHeight w:val="270"/>
        </w:trPr>
        <w:tc>
          <w:tcPr>
            <w:tcW w:w="444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89"/>
              </w:rPr>
              <w:t>2023</w:t>
            </w:r>
          </w:p>
        </w:tc>
        <w:tc>
          <w:tcPr>
            <w:tcW w:w="36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2023</w:t>
            </w:r>
          </w:p>
        </w:tc>
        <w:tc>
          <w:tcPr>
            <w:tcW w:w="40" w:type="dxa"/>
            <w:vAlign w:val="bottom"/>
            <w:tcBorders>
              <w:bottom w:val="single" w:sz="8" w:color="E5FFFF"/>
            </w:tcBorders>
          </w:tcPr>
          <w:p>
            <w:pPr>
              <w:spacing w:after="0"/>
              <w:rPr>
                <w:sz w:val="23"/>
                <w:szCs w:val="23"/>
                <w:color w:val="auto"/>
              </w:rPr>
            </w:pPr>
          </w:p>
        </w:tc>
      </w:tr>
      <w:tr>
        <w:trPr>
          <w:trHeight w:val="237"/>
        </w:trPr>
        <w:tc>
          <w:tcPr>
            <w:tcW w:w="444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Ethanol and other finished goods</w:t>
            </w:r>
          </w:p>
        </w:tc>
        <w:tc>
          <w:tcPr>
            <w:tcW w:w="16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6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7,072</w:t>
            </w:r>
          </w:p>
        </w:tc>
        <w:tc>
          <w:tcPr>
            <w:tcW w:w="36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19"/>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12,695</w:t>
            </w:r>
          </w:p>
        </w:tc>
        <w:tc>
          <w:tcPr>
            <w:tcW w:w="40" w:type="dxa"/>
            <w:vAlign w:val="bottom"/>
            <w:shd w:val="clear" w:color="auto" w:fill="E5FFFF"/>
          </w:tcPr>
          <w:p>
            <w:pPr>
              <w:spacing w:after="0"/>
              <w:rPr>
                <w:sz w:val="20"/>
                <w:szCs w:val="20"/>
                <w:color w:val="auto"/>
              </w:rPr>
            </w:pPr>
          </w:p>
        </w:tc>
      </w:tr>
      <w:tr>
        <w:trPr>
          <w:trHeight w:val="243"/>
        </w:trPr>
        <w:tc>
          <w:tcPr>
            <w:tcW w:w="4440" w:type="dxa"/>
            <w:vAlign w:val="bottom"/>
          </w:tcPr>
          <w:p>
            <w:pPr>
              <w:ind w:left="100"/>
              <w:spacing w:after="0" w:line="243" w:lineRule="exact"/>
              <w:rPr>
                <w:sz w:val="20"/>
                <w:szCs w:val="20"/>
                <w:color w:val="auto"/>
              </w:rPr>
            </w:pPr>
            <w:r>
              <w:rPr>
                <w:rFonts w:ascii="Arial" w:cs="Arial" w:eastAsia="Arial" w:hAnsi="Arial"/>
                <w:sz w:val="22"/>
                <w:szCs w:val="22"/>
                <w:color w:val="auto"/>
              </w:rPr>
              <w:t>Work in process</w:t>
            </w:r>
          </w:p>
        </w:tc>
        <w:tc>
          <w:tcPr>
            <w:tcW w:w="160" w:type="dxa"/>
            <w:vAlign w:val="bottom"/>
          </w:tcPr>
          <w:p>
            <w:pPr>
              <w:spacing w:after="0"/>
              <w:rPr>
                <w:sz w:val="21"/>
                <w:szCs w:val="21"/>
                <w:color w:val="auto"/>
              </w:rPr>
            </w:pPr>
          </w:p>
        </w:tc>
        <w:tc>
          <w:tcPr>
            <w:tcW w:w="100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7,297</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10,194</w:t>
            </w:r>
          </w:p>
        </w:tc>
        <w:tc>
          <w:tcPr>
            <w:tcW w:w="40" w:type="dxa"/>
            <w:vAlign w:val="bottom"/>
          </w:tcPr>
          <w:p>
            <w:pPr>
              <w:spacing w:after="0"/>
              <w:rPr>
                <w:sz w:val="21"/>
                <w:szCs w:val="21"/>
                <w:color w:val="auto"/>
              </w:rPr>
            </w:pPr>
          </w:p>
        </w:tc>
      </w:tr>
      <w:tr>
        <w:trPr>
          <w:trHeight w:val="243"/>
        </w:trPr>
        <w:tc>
          <w:tcPr>
            <w:tcW w:w="44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Corn and other raw materials</w:t>
            </w:r>
          </w:p>
        </w:tc>
        <w:tc>
          <w:tcPr>
            <w:tcW w:w="1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360"/>
              <w:spacing w:after="0" w:line="243" w:lineRule="exact"/>
              <w:rPr>
                <w:sz w:val="20"/>
                <w:szCs w:val="20"/>
                <w:color w:val="auto"/>
              </w:rPr>
            </w:pPr>
            <w:r>
              <w:rPr>
                <w:rFonts w:ascii="Arial" w:cs="Arial" w:eastAsia="Arial" w:hAnsi="Arial"/>
                <w:sz w:val="22"/>
                <w:szCs w:val="22"/>
                <w:color w:val="auto"/>
                <w:w w:val="92"/>
              </w:rPr>
              <w:t>31,591</w:t>
            </w: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25,855</w:t>
            </w:r>
          </w:p>
        </w:tc>
        <w:tc>
          <w:tcPr>
            <w:tcW w:w="40" w:type="dxa"/>
            <w:vAlign w:val="bottom"/>
            <w:shd w:val="clear" w:color="auto" w:fill="E5FFFF"/>
          </w:tcPr>
          <w:p>
            <w:pPr>
              <w:spacing w:after="0"/>
              <w:rPr>
                <w:sz w:val="21"/>
                <w:szCs w:val="21"/>
                <w:color w:val="auto"/>
              </w:rPr>
            </w:pPr>
          </w:p>
        </w:tc>
      </w:tr>
      <w:tr>
        <w:trPr>
          <w:trHeight w:val="237"/>
        </w:trPr>
        <w:tc>
          <w:tcPr>
            <w:tcW w:w="4440" w:type="dxa"/>
            <w:vAlign w:val="bottom"/>
          </w:tcPr>
          <w:p>
            <w:pPr>
              <w:ind w:left="100"/>
              <w:spacing w:after="0" w:line="237"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2"/>
              </w:rPr>
              <w:t>45,960</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48,744</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In accordance with ASC 360-10 “</w:t>
      </w:r>
      <w:r>
        <w:rPr>
          <w:rFonts w:ascii="Arial" w:cs="Arial" w:eastAsia="Arial" w:hAnsi="Arial"/>
          <w:sz w:val="22"/>
          <w:szCs w:val="22"/>
          <w:i w:val="1"/>
          <w:iCs w:val="1"/>
          <w:color w:val="auto"/>
        </w:rPr>
        <w:t>Impairment or Disposal of Long-Lived Assets</w:t>
      </w:r>
      <w:r>
        <w:rPr>
          <w:rFonts w:ascii="Arial" w:cs="Arial" w:eastAsia="Arial" w:hAnsi="Arial"/>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six months of fiscal years 2023 or 2022.</w:t>
      </w:r>
    </w:p>
    <w:p>
      <w:pPr>
        <w:spacing w:after="0" w:line="21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8"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The Company periodically evaluates its investments for impairment due to declines in market value considered to be other than temporary. Such impairment evaluations include general economic and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2" w:name="page13"/>
    <w:bookmarkEnd w:id="12"/>
    <w:p>
      <w:pPr>
        <w:ind w:right="60"/>
        <w:spacing w:after="0" w:line="328" w:lineRule="auto"/>
        <w:rPr>
          <w:sz w:val="20"/>
          <w:szCs w:val="20"/>
          <w:color w:val="auto"/>
        </w:rPr>
      </w:pPr>
      <w:r>
        <w:rPr>
          <w:rFonts w:ascii="Arial" w:cs="Arial" w:eastAsia="Arial" w:hAnsi="Arial"/>
          <w:sz w:val="19"/>
          <w:szCs w:val="19"/>
          <w:color w:val="auto"/>
        </w:rPr>
        <w:t>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32"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Short-term investments, consisting of U.S. government obligations and certificates of deposit, are considered held to maturity, and therefore are carried at amortized historical cost.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tables shows disaggregated revenue by product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20" w:type="dxa"/>
            <w:vAlign w:val="bottom"/>
            <w:gridSpan w:val="4"/>
          </w:tcPr>
          <w:p>
            <w:pPr>
              <w:jc w:val="right"/>
              <w:ind w:right="480"/>
              <w:spacing w:after="0"/>
              <w:rPr>
                <w:sz w:val="20"/>
                <w:szCs w:val="20"/>
                <w:color w:val="auto"/>
              </w:rPr>
            </w:pPr>
            <w:r>
              <w:rPr>
                <w:rFonts w:ascii="Arial" w:cs="Arial" w:eastAsia="Arial" w:hAnsi="Arial"/>
                <w:sz w:val="22"/>
                <w:szCs w:val="22"/>
                <w:b w:val="1"/>
                <w:bCs w:val="1"/>
                <w:color w:val="auto"/>
                <w:w w:val="97"/>
              </w:rPr>
              <w:t>Three Months Ended</w:t>
            </w:r>
          </w:p>
        </w:tc>
        <w:tc>
          <w:tcPr>
            <w:tcW w:w="340" w:type="dxa"/>
            <w:vAlign w:val="bottom"/>
          </w:tcPr>
          <w:p>
            <w:pPr>
              <w:spacing w:after="0"/>
              <w:rPr>
                <w:sz w:val="21"/>
                <w:szCs w:val="21"/>
                <w:color w:val="auto"/>
              </w:rPr>
            </w:pPr>
          </w:p>
        </w:tc>
        <w:tc>
          <w:tcPr>
            <w:tcW w:w="2380" w:type="dxa"/>
            <w:vAlign w:val="bottom"/>
            <w:gridSpan w:val="5"/>
          </w:tcPr>
          <w:p>
            <w:pPr>
              <w:jc w:val="center"/>
              <w:ind w:right="120"/>
              <w:spacing w:after="0"/>
              <w:rPr>
                <w:sz w:val="20"/>
                <w:szCs w:val="20"/>
                <w:color w:val="auto"/>
              </w:rPr>
            </w:pPr>
            <w:r>
              <w:rPr>
                <w:rFonts w:ascii="Arial" w:cs="Arial" w:eastAsia="Arial" w:hAnsi="Arial"/>
                <w:sz w:val="22"/>
                <w:szCs w:val="22"/>
                <w:b w:val="1"/>
                <w:bCs w:val="1"/>
                <w:color w:val="auto"/>
                <w:w w:val="89"/>
              </w:rPr>
              <w:t>Six Months Ended</w:t>
            </w:r>
          </w:p>
        </w:tc>
      </w:tr>
      <w:tr>
        <w:trPr>
          <w:trHeight w:val="243"/>
        </w:trPr>
        <w:tc>
          <w:tcPr>
            <w:tcW w:w="4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20" w:type="dxa"/>
            <w:vAlign w:val="bottom"/>
            <w:gridSpan w:val="4"/>
          </w:tcPr>
          <w:p>
            <w:pPr>
              <w:jc w:val="right"/>
              <w:ind w:right="1120"/>
              <w:spacing w:after="0" w:line="243" w:lineRule="exact"/>
              <w:rPr>
                <w:sz w:val="20"/>
                <w:szCs w:val="20"/>
                <w:color w:val="auto"/>
              </w:rPr>
            </w:pPr>
            <w:r>
              <w:rPr>
                <w:rFonts w:ascii="Arial" w:cs="Arial" w:eastAsia="Arial" w:hAnsi="Arial"/>
                <w:sz w:val="22"/>
                <w:szCs w:val="22"/>
                <w:b w:val="1"/>
                <w:bCs w:val="1"/>
                <w:color w:val="auto"/>
              </w:rPr>
              <w:t>July 31,</w:t>
            </w:r>
          </w:p>
        </w:tc>
        <w:tc>
          <w:tcPr>
            <w:tcW w:w="340" w:type="dxa"/>
            <w:vAlign w:val="bottom"/>
          </w:tcPr>
          <w:p>
            <w:pPr>
              <w:spacing w:after="0"/>
              <w:rPr>
                <w:sz w:val="21"/>
                <w:szCs w:val="21"/>
                <w:color w:val="auto"/>
              </w:rPr>
            </w:pPr>
          </w:p>
        </w:tc>
        <w:tc>
          <w:tcPr>
            <w:tcW w:w="2380" w:type="dxa"/>
            <w:vAlign w:val="bottom"/>
            <w:gridSpan w:val="5"/>
          </w:tcPr>
          <w:p>
            <w:pPr>
              <w:jc w:val="center"/>
              <w:ind w:right="100"/>
              <w:spacing w:after="0" w:line="243" w:lineRule="exact"/>
              <w:rPr>
                <w:sz w:val="20"/>
                <w:szCs w:val="20"/>
                <w:color w:val="auto"/>
              </w:rPr>
            </w:pPr>
            <w:r>
              <w:rPr>
                <w:rFonts w:ascii="Arial" w:cs="Arial" w:eastAsia="Arial" w:hAnsi="Arial"/>
                <w:sz w:val="22"/>
                <w:szCs w:val="22"/>
                <w:b w:val="1"/>
                <w:bCs w:val="1"/>
                <w:color w:val="auto"/>
                <w:w w:val="89"/>
              </w:rPr>
              <w:t>July 31,</w:t>
            </w:r>
          </w:p>
        </w:tc>
      </w:tr>
      <w:tr>
        <w:trPr>
          <w:trHeight w:val="270"/>
        </w:trPr>
        <w:tc>
          <w:tcPr>
            <w:tcW w:w="4960" w:type="dxa"/>
            <w:vAlign w:val="bottom"/>
          </w:tcPr>
          <w:p>
            <w:pPr>
              <w:spacing w:after="0"/>
              <w:rPr>
                <w:sz w:val="23"/>
                <w:szCs w:val="23"/>
                <w:color w:val="auto"/>
              </w:rPr>
            </w:pPr>
          </w:p>
        </w:tc>
        <w:tc>
          <w:tcPr>
            <w:tcW w:w="176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2023</w:t>
            </w:r>
          </w:p>
        </w:tc>
        <w:tc>
          <w:tcPr>
            <w:tcW w:w="66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b w:val="1"/>
                <w:bCs w:val="1"/>
                <w:color w:val="auto"/>
              </w:rPr>
              <w:t>2022</w:t>
            </w:r>
          </w:p>
        </w:tc>
        <w:tc>
          <w:tcPr>
            <w:tcW w:w="340" w:type="dxa"/>
            <w:vAlign w:val="bottom"/>
          </w:tcPr>
          <w:p>
            <w:pPr>
              <w:spacing w:after="0"/>
              <w:rPr>
                <w:sz w:val="23"/>
                <w:szCs w:val="23"/>
                <w:color w:val="auto"/>
              </w:rPr>
            </w:pPr>
          </w:p>
        </w:tc>
        <w:tc>
          <w:tcPr>
            <w:tcW w:w="1140" w:type="dxa"/>
            <w:vAlign w:val="bottom"/>
            <w:gridSpan w:val="2"/>
          </w:tcPr>
          <w:p>
            <w:pPr>
              <w:jc w:val="right"/>
              <w:ind w:right="72"/>
              <w:spacing w:after="0"/>
              <w:rPr>
                <w:sz w:val="20"/>
                <w:szCs w:val="20"/>
                <w:color w:val="auto"/>
              </w:rPr>
            </w:pPr>
            <w:r>
              <w:rPr>
                <w:rFonts w:ascii="Arial" w:cs="Arial" w:eastAsia="Arial" w:hAnsi="Arial"/>
                <w:sz w:val="22"/>
                <w:szCs w:val="22"/>
                <w:b w:val="1"/>
                <w:bCs w:val="1"/>
                <w:color w:val="auto"/>
              </w:rPr>
              <w:t>2023</w:t>
            </w:r>
          </w:p>
        </w:tc>
        <w:tc>
          <w:tcPr>
            <w:tcW w:w="6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22"/>
                <w:szCs w:val="22"/>
                <w:b w:val="1"/>
                <w:bCs w:val="1"/>
                <w:color w:val="auto"/>
              </w:rPr>
              <w:t>2022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96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Sales of products</w:t>
            </w:r>
          </w:p>
        </w:tc>
        <w:tc>
          <w:tcPr>
            <w:tcW w:w="94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66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E5FFFF"/>
            </w:tcBorders>
            <w:shd w:val="clear" w:color="auto" w:fill="E5FFFF"/>
          </w:tcPr>
          <w:p>
            <w:pPr>
              <w:spacing w:after="0"/>
              <w:rPr>
                <w:sz w:val="20"/>
                <w:szCs w:val="20"/>
                <w:color w:val="auto"/>
              </w:rPr>
            </w:pPr>
          </w:p>
        </w:tc>
        <w:tc>
          <w:tcPr>
            <w:tcW w:w="34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spacing w:after="0"/>
              <w:rPr>
                <w:sz w:val="20"/>
                <w:szCs w:val="20"/>
                <w:color w:val="auto"/>
              </w:rPr>
            </w:pPr>
          </w:p>
        </w:tc>
        <w:tc>
          <w:tcPr>
            <w:tcW w:w="66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r>
      <w:tr>
        <w:trPr>
          <w:trHeight w:val="243"/>
        </w:trPr>
        <w:tc>
          <w:tcPr>
            <w:tcW w:w="4960" w:type="dxa"/>
            <w:vAlign w:val="bottom"/>
          </w:tcPr>
          <w:p>
            <w:pPr>
              <w:ind w:left="100"/>
              <w:spacing w:after="0" w:line="243" w:lineRule="exact"/>
              <w:rPr>
                <w:sz w:val="20"/>
                <w:szCs w:val="20"/>
                <w:color w:val="auto"/>
              </w:rPr>
            </w:pPr>
            <w:r>
              <w:rPr>
                <w:rFonts w:ascii="Arial" w:cs="Arial" w:eastAsia="Arial" w:hAnsi="Arial"/>
                <w:sz w:val="22"/>
                <w:szCs w:val="22"/>
                <w:color w:val="auto"/>
              </w:rPr>
              <w:t>Ethanol</w:t>
            </w:r>
          </w:p>
        </w:tc>
        <w:tc>
          <w:tcPr>
            <w:tcW w:w="1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$167,360</w:t>
            </w:r>
          </w:p>
        </w:tc>
        <w:tc>
          <w:tcPr>
            <w:tcW w:w="660" w:type="dxa"/>
            <w:vAlign w:val="bottom"/>
          </w:tcPr>
          <w:p>
            <w:pPr>
              <w:spacing w:after="0"/>
              <w:rPr>
                <w:sz w:val="21"/>
                <w:szCs w:val="21"/>
                <w:color w:val="auto"/>
              </w:rPr>
            </w:pPr>
          </w:p>
        </w:tc>
        <w:tc>
          <w:tcPr>
            <w:tcW w:w="11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w w:val="84"/>
              </w:rPr>
              <w:t>$190,807</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$324,908</w:t>
            </w:r>
          </w:p>
        </w:tc>
        <w:tc>
          <w:tcPr>
            <w:tcW w:w="66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7"/>
              </w:rPr>
              <w:t>$337,269</w:t>
            </w:r>
          </w:p>
        </w:tc>
        <w:tc>
          <w:tcPr>
            <w:tcW w:w="80" w:type="dxa"/>
            <w:vAlign w:val="bottom"/>
          </w:tcPr>
          <w:p>
            <w:pPr>
              <w:spacing w:after="0"/>
              <w:rPr>
                <w:sz w:val="21"/>
                <w:szCs w:val="21"/>
                <w:color w:val="auto"/>
              </w:rPr>
            </w:pPr>
          </w:p>
        </w:tc>
      </w:tr>
      <w:tr>
        <w:trPr>
          <w:trHeight w:val="243"/>
        </w:trPr>
        <w:tc>
          <w:tcPr>
            <w:tcW w:w="49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Dried distillers grains</w:t>
            </w:r>
          </w:p>
        </w:tc>
        <w:tc>
          <w:tcPr>
            <w:tcW w:w="1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31,943</w:t>
            </w:r>
          </w:p>
        </w:tc>
        <w:tc>
          <w:tcPr>
            <w:tcW w:w="66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34,261</w:t>
            </w:r>
          </w:p>
        </w:tc>
        <w:tc>
          <w:tcPr>
            <w:tcW w:w="11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71,649</w:t>
            </w:r>
          </w:p>
        </w:tc>
        <w:tc>
          <w:tcPr>
            <w:tcW w:w="6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66,158</w:t>
            </w:r>
          </w:p>
        </w:tc>
        <w:tc>
          <w:tcPr>
            <w:tcW w:w="80" w:type="dxa"/>
            <w:vAlign w:val="bottom"/>
            <w:shd w:val="clear" w:color="auto" w:fill="E5FFFF"/>
          </w:tcPr>
          <w:p>
            <w:pPr>
              <w:spacing w:after="0"/>
              <w:rPr>
                <w:sz w:val="21"/>
                <w:szCs w:val="21"/>
                <w:color w:val="auto"/>
              </w:rPr>
            </w:pPr>
          </w:p>
        </w:tc>
      </w:tr>
      <w:tr>
        <w:trPr>
          <w:trHeight w:val="243"/>
        </w:trPr>
        <w:tc>
          <w:tcPr>
            <w:tcW w:w="4960" w:type="dxa"/>
            <w:vAlign w:val="bottom"/>
          </w:tcPr>
          <w:p>
            <w:pPr>
              <w:ind w:left="100"/>
              <w:spacing w:after="0" w:line="243" w:lineRule="exact"/>
              <w:rPr>
                <w:sz w:val="20"/>
                <w:szCs w:val="20"/>
                <w:color w:val="auto"/>
              </w:rPr>
            </w:pPr>
            <w:r>
              <w:rPr>
                <w:rFonts w:ascii="Arial" w:cs="Arial" w:eastAsia="Arial" w:hAnsi="Arial"/>
                <w:sz w:val="22"/>
                <w:szCs w:val="22"/>
                <w:color w:val="auto"/>
              </w:rPr>
              <w:t>Distillers corn oil</w:t>
            </w:r>
          </w:p>
        </w:tc>
        <w:tc>
          <w:tcPr>
            <w:tcW w:w="1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11,419</w:t>
            </w:r>
          </w:p>
        </w:tc>
        <w:tc>
          <w:tcPr>
            <w:tcW w:w="660" w:type="dxa"/>
            <w:vAlign w:val="bottom"/>
          </w:tcPr>
          <w:p>
            <w:pPr>
              <w:spacing w:after="0"/>
              <w:rPr>
                <w:sz w:val="21"/>
                <w:szCs w:val="21"/>
                <w:color w:val="auto"/>
              </w:rPr>
            </w:pPr>
          </w:p>
        </w:tc>
        <w:tc>
          <w:tcPr>
            <w:tcW w:w="11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14,223</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24,500</w:t>
            </w:r>
          </w:p>
        </w:tc>
        <w:tc>
          <w:tcPr>
            <w:tcW w:w="66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25,325</w:t>
            </w:r>
          </w:p>
        </w:tc>
        <w:tc>
          <w:tcPr>
            <w:tcW w:w="80" w:type="dxa"/>
            <w:vAlign w:val="bottom"/>
          </w:tcPr>
          <w:p>
            <w:pPr>
              <w:spacing w:after="0"/>
              <w:rPr>
                <w:sz w:val="21"/>
                <w:szCs w:val="21"/>
                <w:color w:val="auto"/>
              </w:rPr>
            </w:pPr>
          </w:p>
        </w:tc>
      </w:tr>
      <w:tr>
        <w:trPr>
          <w:trHeight w:val="243"/>
        </w:trPr>
        <w:tc>
          <w:tcPr>
            <w:tcW w:w="49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Modified distillers grains</w:t>
            </w:r>
          </w:p>
        </w:tc>
        <w:tc>
          <w:tcPr>
            <w:tcW w:w="1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1,090</w:t>
            </w:r>
          </w:p>
        </w:tc>
        <w:tc>
          <w:tcPr>
            <w:tcW w:w="66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2,456</w:t>
            </w:r>
          </w:p>
        </w:tc>
        <w:tc>
          <w:tcPr>
            <w:tcW w:w="11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2,656</w:t>
            </w:r>
          </w:p>
        </w:tc>
        <w:tc>
          <w:tcPr>
            <w:tcW w:w="6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6,811</w:t>
            </w:r>
          </w:p>
        </w:tc>
        <w:tc>
          <w:tcPr>
            <w:tcW w:w="80" w:type="dxa"/>
            <w:vAlign w:val="bottom"/>
            <w:shd w:val="clear" w:color="auto" w:fill="E5FFFF"/>
          </w:tcPr>
          <w:p>
            <w:pPr>
              <w:spacing w:after="0"/>
              <w:rPr>
                <w:sz w:val="21"/>
                <w:szCs w:val="21"/>
                <w:color w:val="auto"/>
              </w:rPr>
            </w:pPr>
          </w:p>
        </w:tc>
      </w:tr>
      <w:tr>
        <w:trPr>
          <w:trHeight w:val="243"/>
        </w:trPr>
        <w:tc>
          <w:tcPr>
            <w:tcW w:w="4960" w:type="dxa"/>
            <w:vAlign w:val="bottom"/>
          </w:tcPr>
          <w:p>
            <w:pPr>
              <w:ind w:left="100"/>
              <w:spacing w:after="0" w:line="243" w:lineRule="exact"/>
              <w:rPr>
                <w:sz w:val="20"/>
                <w:szCs w:val="20"/>
                <w:color w:val="auto"/>
              </w:rPr>
            </w:pPr>
            <w:r>
              <w:rPr>
                <w:rFonts w:ascii="Arial" w:cs="Arial" w:eastAsia="Arial" w:hAnsi="Arial"/>
                <w:sz w:val="22"/>
                <w:szCs w:val="22"/>
                <w:color w:val="auto"/>
              </w:rPr>
              <w:t>Derivative financial instrument gains (losses)</w:t>
            </w:r>
          </w:p>
        </w:tc>
        <w:tc>
          <w:tcPr>
            <w:tcW w:w="1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130</w:t>
            </w:r>
          </w:p>
        </w:tc>
        <w:tc>
          <w:tcPr>
            <w:tcW w:w="660" w:type="dxa"/>
            <w:vAlign w:val="bottom"/>
          </w:tcPr>
          <w:p>
            <w:pPr>
              <w:spacing w:after="0"/>
              <w:rPr>
                <w:sz w:val="21"/>
                <w:szCs w:val="21"/>
                <w:color w:val="auto"/>
              </w:rPr>
            </w:pPr>
          </w:p>
        </w:tc>
        <w:tc>
          <w:tcPr>
            <w:tcW w:w="11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(1,474)</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860</w:t>
            </w:r>
          </w:p>
        </w:tc>
        <w:tc>
          <w:tcPr>
            <w:tcW w:w="66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(1,152)</w:t>
            </w:r>
          </w:p>
        </w:tc>
        <w:tc>
          <w:tcPr>
            <w:tcW w:w="80" w:type="dxa"/>
            <w:vAlign w:val="bottom"/>
          </w:tcPr>
          <w:p>
            <w:pPr>
              <w:spacing w:after="0"/>
              <w:rPr>
                <w:sz w:val="21"/>
                <w:szCs w:val="21"/>
                <w:color w:val="auto"/>
              </w:rPr>
            </w:pPr>
          </w:p>
        </w:tc>
      </w:tr>
      <w:tr>
        <w:trPr>
          <w:trHeight w:val="243"/>
        </w:trPr>
        <w:tc>
          <w:tcPr>
            <w:tcW w:w="496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Other</w:t>
            </w:r>
          </w:p>
        </w:tc>
        <w:tc>
          <w:tcPr>
            <w:tcW w:w="1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35</w:t>
            </w:r>
          </w:p>
        </w:tc>
        <w:tc>
          <w:tcPr>
            <w:tcW w:w="66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55</w:t>
            </w:r>
          </w:p>
        </w:tc>
        <w:tc>
          <w:tcPr>
            <w:tcW w:w="11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118</w:t>
            </w:r>
          </w:p>
        </w:tc>
        <w:tc>
          <w:tcPr>
            <w:tcW w:w="6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145</w:t>
            </w:r>
          </w:p>
        </w:tc>
        <w:tc>
          <w:tcPr>
            <w:tcW w:w="80" w:type="dxa"/>
            <w:vAlign w:val="bottom"/>
            <w:shd w:val="clear" w:color="auto" w:fill="E5FFFF"/>
          </w:tcPr>
          <w:p>
            <w:pPr>
              <w:spacing w:after="0"/>
              <w:rPr>
                <w:sz w:val="21"/>
                <w:szCs w:val="21"/>
                <w:color w:val="auto"/>
              </w:rPr>
            </w:pPr>
          </w:p>
        </w:tc>
      </w:tr>
      <w:tr>
        <w:trPr>
          <w:trHeight w:val="250"/>
        </w:trPr>
        <w:tc>
          <w:tcPr>
            <w:tcW w:w="4960" w:type="dxa"/>
            <w:vAlign w:val="bottom"/>
          </w:tcPr>
          <w:p>
            <w:pPr>
              <w:ind w:left="100"/>
              <w:spacing w:after="0" w:line="250" w:lineRule="exact"/>
              <w:rPr>
                <w:sz w:val="20"/>
                <w:szCs w:val="20"/>
                <w:color w:val="auto"/>
              </w:rPr>
            </w:pPr>
            <w:r>
              <w:rPr>
                <w:rFonts w:ascii="Arial" w:cs="Arial" w:eastAsia="Arial" w:hAnsi="Arial"/>
                <w:sz w:val="22"/>
                <w:szCs w:val="22"/>
                <w:color w:val="auto"/>
              </w:rPr>
              <w:t>Total</w:t>
            </w:r>
          </w:p>
        </w:tc>
        <w:tc>
          <w:tcPr>
            <w:tcW w:w="94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211,977</w:t>
            </w:r>
          </w:p>
        </w:tc>
        <w:tc>
          <w:tcPr>
            <w:tcW w:w="6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240,328</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424,691</w:t>
            </w:r>
          </w:p>
        </w:tc>
        <w:tc>
          <w:tcPr>
            <w:tcW w:w="6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434,556</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At July 31, 2023,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 w:name="page14"/>
    <w:bookmarkEnd w:id="13"/>
    <w:p>
      <w:pPr>
        <w:ind w:right="540" w:firstLine="648"/>
        <w:spacing w:after="0" w:line="250" w:lineRule="auto"/>
        <w:rPr>
          <w:sz w:val="20"/>
          <w:szCs w:val="20"/>
          <w:color w:val="auto"/>
        </w:rPr>
      </w:pPr>
      <w:r>
        <w:rPr>
          <w:rFonts w:ascii="Arial" w:cs="Arial" w:eastAsia="Arial" w:hAnsi="Arial"/>
          <w:sz w:val="22"/>
          <w:szCs w:val="22"/>
          <w:color w:val="auto"/>
        </w:rPr>
        <w:t>The components of lease expense, classified as SG&amp;A expenses on the Consolidated Statement of Operations are as follows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4"/>
          </w:tcPr>
          <w:p>
            <w:pPr>
              <w:jc w:val="right"/>
              <w:ind w:right="52"/>
              <w:spacing w:after="0"/>
              <w:rPr>
                <w:sz w:val="20"/>
                <w:szCs w:val="20"/>
                <w:color w:val="auto"/>
              </w:rPr>
            </w:pPr>
            <w:r>
              <w:rPr>
                <w:rFonts w:ascii="Arial" w:cs="Arial" w:eastAsia="Arial" w:hAnsi="Arial"/>
                <w:sz w:val="22"/>
                <w:szCs w:val="22"/>
                <w:b w:val="1"/>
                <w:bCs w:val="1"/>
                <w:color w:val="auto"/>
                <w:w w:val="90"/>
              </w:rPr>
              <w:t>Three Months Ended</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Arial" w:cs="Arial" w:eastAsia="Arial" w:hAnsi="Arial"/>
                <w:sz w:val="22"/>
                <w:szCs w:val="22"/>
                <w:b w:val="1"/>
                <w:bCs w:val="1"/>
                <w:color w:val="auto"/>
              </w:rPr>
              <w:t>Six Months Ended</w:t>
            </w:r>
          </w:p>
        </w:tc>
      </w:tr>
      <w:tr>
        <w:trPr>
          <w:trHeight w:val="243"/>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3"/>
              <w:spacing w:after="0" w:line="243" w:lineRule="exact"/>
              <w:rPr>
                <w:sz w:val="20"/>
                <w:szCs w:val="20"/>
                <w:color w:val="auto"/>
              </w:rPr>
            </w:pPr>
            <w:r>
              <w:rPr>
                <w:rFonts w:ascii="Arial" w:cs="Arial" w:eastAsia="Arial" w:hAnsi="Arial"/>
                <w:sz w:val="22"/>
                <w:szCs w:val="22"/>
                <w:b w:val="1"/>
                <w:bCs w:val="1"/>
                <w:color w:val="auto"/>
              </w:rPr>
              <w:t>July 31,</w:t>
            </w: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July 31,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98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3"/>
              </w:rPr>
              <w:t>2023</w:t>
            </w:r>
          </w:p>
        </w:tc>
        <w:tc>
          <w:tcPr>
            <w:tcW w:w="680" w:type="dxa"/>
            <w:vAlign w:val="bottom"/>
            <w:tcBorders>
              <w:bottom w:val="single" w:sz="8" w:color="E5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93"/>
              </w:rPr>
              <w:t>2022</w:t>
            </w:r>
          </w:p>
        </w:tc>
        <w:tc>
          <w:tcPr>
            <w:tcW w:w="68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w w:val="93"/>
              </w:rPr>
              <w:t>2023</w:t>
            </w:r>
          </w:p>
        </w:tc>
        <w:tc>
          <w:tcPr>
            <w:tcW w:w="660" w:type="dxa"/>
            <w:vAlign w:val="bottom"/>
            <w:tcBorders>
              <w:bottom w:val="single" w:sz="8" w:color="E5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89"/>
              </w:rPr>
              <w:t>2022</w:t>
            </w:r>
          </w:p>
        </w:tc>
        <w:tc>
          <w:tcPr>
            <w:tcW w:w="100" w:type="dxa"/>
            <w:vAlign w:val="bottom"/>
            <w:tcBorders>
              <w:bottom w:val="single" w:sz="8" w:color="E5FFFF"/>
            </w:tcBorders>
          </w:tcPr>
          <w:p>
            <w:pPr>
              <w:spacing w:after="0"/>
              <w:rPr>
                <w:sz w:val="23"/>
                <w:szCs w:val="23"/>
                <w:color w:val="auto"/>
              </w:rPr>
            </w:pPr>
          </w:p>
        </w:tc>
      </w:tr>
      <w:tr>
        <w:trPr>
          <w:trHeight w:val="237"/>
        </w:trPr>
        <w:tc>
          <w:tcPr>
            <w:tcW w:w="598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Operating lease expense</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1,431</w:t>
            </w:r>
          </w:p>
        </w:tc>
        <w:tc>
          <w:tcPr>
            <w:tcW w:w="680" w:type="dxa"/>
            <w:vAlign w:val="bottom"/>
            <w:shd w:val="clear" w:color="auto" w:fill="E5FFFF"/>
          </w:tcPr>
          <w:p>
            <w:pPr>
              <w:spacing w:after="0"/>
              <w:rPr>
                <w:sz w:val="20"/>
                <w:szCs w:val="20"/>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1,991</w:t>
            </w:r>
          </w:p>
        </w:tc>
        <w:tc>
          <w:tcPr>
            <w:tcW w:w="68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3,192</w:t>
            </w:r>
          </w:p>
        </w:tc>
        <w:tc>
          <w:tcPr>
            <w:tcW w:w="660" w:type="dxa"/>
            <w:vAlign w:val="bottom"/>
            <w:shd w:val="clear" w:color="auto" w:fill="E5FFFF"/>
          </w:tcPr>
          <w:p>
            <w:pPr>
              <w:spacing w:after="0"/>
              <w:rPr>
                <w:sz w:val="20"/>
                <w:szCs w:val="20"/>
                <w:color w:val="auto"/>
              </w:rPr>
            </w:pPr>
          </w:p>
        </w:tc>
        <w:tc>
          <w:tcPr>
            <w:tcW w:w="1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6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3,601</w:t>
            </w:r>
          </w:p>
        </w:tc>
        <w:tc>
          <w:tcPr>
            <w:tcW w:w="100" w:type="dxa"/>
            <w:vAlign w:val="bottom"/>
            <w:shd w:val="clear" w:color="auto" w:fill="E5FFFF"/>
          </w:tcPr>
          <w:p>
            <w:pPr>
              <w:spacing w:after="0"/>
              <w:rPr>
                <w:sz w:val="20"/>
                <w:szCs w:val="20"/>
                <w:color w:val="auto"/>
              </w:rPr>
            </w:pPr>
          </w:p>
        </w:tc>
      </w:tr>
      <w:tr>
        <w:trPr>
          <w:trHeight w:val="243"/>
        </w:trPr>
        <w:tc>
          <w:tcPr>
            <w:tcW w:w="5980" w:type="dxa"/>
            <w:vAlign w:val="bottom"/>
          </w:tcPr>
          <w:p>
            <w:pPr>
              <w:ind w:left="100"/>
              <w:spacing w:after="0" w:line="243" w:lineRule="exact"/>
              <w:rPr>
                <w:sz w:val="20"/>
                <w:szCs w:val="20"/>
                <w:color w:val="auto"/>
              </w:rPr>
            </w:pPr>
            <w:r>
              <w:rPr>
                <w:rFonts w:ascii="Arial" w:cs="Arial" w:eastAsia="Arial" w:hAnsi="Arial"/>
                <w:sz w:val="22"/>
                <w:szCs w:val="22"/>
                <w:color w:val="auto"/>
              </w:rPr>
              <w:t>Variable lease expense</w:t>
            </w:r>
          </w:p>
        </w:tc>
        <w:tc>
          <w:tcPr>
            <w:tcW w:w="12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271</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660"/>
              <w:spacing w:after="0" w:line="243" w:lineRule="exact"/>
              <w:rPr>
                <w:sz w:val="20"/>
                <w:szCs w:val="20"/>
                <w:color w:val="auto"/>
              </w:rPr>
            </w:pPr>
            <w:r>
              <w:rPr>
                <w:rFonts w:ascii="Arial" w:cs="Arial" w:eastAsia="Arial" w:hAnsi="Arial"/>
                <w:sz w:val="22"/>
                <w:szCs w:val="22"/>
                <w:color w:val="auto"/>
              </w:rPr>
              <w:t>303</w:t>
            </w:r>
          </w:p>
        </w:tc>
        <w:tc>
          <w:tcPr>
            <w:tcW w:w="140" w:type="dxa"/>
            <w:vAlign w:val="bottom"/>
          </w:tcPr>
          <w:p>
            <w:pPr>
              <w:spacing w:after="0"/>
              <w:rPr>
                <w:sz w:val="21"/>
                <w:szCs w:val="21"/>
                <w:color w:val="auto"/>
              </w:rPr>
            </w:pPr>
          </w:p>
        </w:tc>
        <w:tc>
          <w:tcPr>
            <w:tcW w:w="7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665</w:t>
            </w:r>
          </w:p>
        </w:tc>
      </w:tr>
      <w:tr>
        <w:trPr>
          <w:trHeight w:val="237"/>
        </w:trPr>
        <w:tc>
          <w:tcPr>
            <w:tcW w:w="598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Total lease expense</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1,492</w:t>
            </w:r>
          </w:p>
        </w:tc>
        <w:tc>
          <w:tcPr>
            <w:tcW w:w="68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2,262</w:t>
            </w:r>
          </w:p>
        </w:tc>
        <w:tc>
          <w:tcPr>
            <w:tcW w:w="68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3,495</w:t>
            </w:r>
          </w:p>
        </w:tc>
        <w:tc>
          <w:tcPr>
            <w:tcW w:w="6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4,266</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July 31, 2023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Years Ended January 31,</w:t>
            </w:r>
          </w:p>
        </w:tc>
        <w:tc>
          <w:tcPr>
            <w:tcW w:w="50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43"/>
        </w:trPr>
        <w:tc>
          <w:tcPr>
            <w:tcW w:w="296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Arial" w:cs="Arial" w:eastAsia="Arial" w:hAnsi="Arial"/>
                <w:sz w:val="22"/>
                <w:szCs w:val="22"/>
                <w:b w:val="1"/>
                <w:bCs w:val="1"/>
                <w:color w:val="auto"/>
                <w:w w:val="98"/>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E5FFFF"/>
            </w:tcBorders>
          </w:tcPr>
          <w:p>
            <w:pPr>
              <w:spacing w:after="0" w:line="20" w:lineRule="exact"/>
              <w:rPr>
                <w:sz w:val="1"/>
                <w:szCs w:val="1"/>
                <w:color w:val="auto"/>
              </w:rPr>
            </w:pPr>
          </w:p>
        </w:tc>
        <w:tc>
          <w:tcPr>
            <w:tcW w:w="64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gridSpan w:val="2"/>
            <w:shd w:val="clear" w:color="auto" w:fill="E5FFFF"/>
          </w:tcPr>
          <w:p>
            <w:pPr>
              <w:spacing w:after="0" w:line="224" w:lineRule="exact"/>
              <w:rPr>
                <w:sz w:val="20"/>
                <w:szCs w:val="20"/>
                <w:color w:val="auto"/>
              </w:rPr>
            </w:pPr>
            <w:r>
              <w:rPr>
                <w:rFonts w:ascii="Arial" w:cs="Arial" w:eastAsia="Arial" w:hAnsi="Arial"/>
                <w:sz w:val="22"/>
                <w:szCs w:val="22"/>
                <w:color w:val="auto"/>
              </w:rPr>
              <w:t>Remainder of 2024</w:t>
            </w:r>
          </w:p>
        </w:tc>
        <w:tc>
          <w:tcPr>
            <w:tcW w:w="500" w:type="dxa"/>
            <w:vAlign w:val="bottom"/>
            <w:shd w:val="clear" w:color="auto" w:fill="E5FFFF"/>
          </w:tcPr>
          <w:p>
            <w:pPr>
              <w:spacing w:after="0"/>
              <w:rPr>
                <w:sz w:val="19"/>
                <w:szCs w:val="19"/>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24" w:lineRule="exact"/>
              <w:rPr>
                <w:sz w:val="20"/>
                <w:szCs w:val="20"/>
                <w:color w:val="auto"/>
              </w:rPr>
            </w:pPr>
            <w:r>
              <w:rPr>
                <w:rFonts w:ascii="Arial" w:cs="Arial" w:eastAsia="Arial" w:hAnsi="Arial"/>
                <w:sz w:val="22"/>
                <w:szCs w:val="22"/>
                <w:color w:val="auto"/>
              </w:rPr>
              <w:t>2,853</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4,477</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2026</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2,325</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2027</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2,276</w:t>
            </w: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2028</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1,846</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491</w:t>
            </w:r>
          </w:p>
        </w:tc>
        <w:tc>
          <w:tcPr>
            <w:tcW w:w="0" w:type="dxa"/>
            <w:vAlign w:val="bottom"/>
          </w:tcPr>
          <w:p>
            <w:pPr>
              <w:spacing w:after="0"/>
              <w:rPr>
                <w:sz w:val="1"/>
                <w:szCs w:val="1"/>
                <w:color w:val="auto"/>
              </w:rPr>
            </w:pPr>
          </w:p>
        </w:tc>
      </w:tr>
      <w:tr>
        <w:trPr>
          <w:trHeight w:val="236"/>
        </w:trPr>
        <w:tc>
          <w:tcPr>
            <w:tcW w:w="296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50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14,268</w:t>
            </w:r>
          </w:p>
        </w:tc>
        <w:tc>
          <w:tcPr>
            <w:tcW w:w="4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Arial" w:cs="Arial" w:eastAsia="Arial" w:hAnsi="Arial"/>
                <w:sz w:val="22"/>
                <w:szCs w:val="22"/>
                <w:color w:val="auto"/>
              </w:rPr>
              <w:t>Less: present value discount</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1,568</w:t>
            </w:r>
          </w:p>
        </w:tc>
        <w:tc>
          <w:tcPr>
            <w:tcW w:w="0" w:type="dxa"/>
            <w:vAlign w:val="bottom"/>
          </w:tcPr>
          <w:p>
            <w:pPr>
              <w:spacing w:after="0"/>
              <w:rPr>
                <w:sz w:val="1"/>
                <w:szCs w:val="1"/>
                <w:color w:val="auto"/>
              </w:rPr>
            </w:pPr>
          </w:p>
        </w:tc>
      </w:tr>
      <w:tr>
        <w:trPr>
          <w:trHeight w:val="250"/>
        </w:trPr>
        <w:tc>
          <w:tcPr>
            <w:tcW w:w="296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5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12,700</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At July 31, 2023, the weighted average remaining lease term is 3.4 years, and the weighted average discount rate is 5.53% for the outstanding leases. At January 31, 2023, the weighted average remaining lease term was 3.7 years, and the weighted average discount rate was 5.51% for the outstanding leases.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4"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4" w:name="page15"/>
    <w:bookmarkEnd w:id="14"/>
    <w:p>
      <w:pPr>
        <w:ind w:right="10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20" w:firstLine="8"/>
        <w:spacing w:after="0" w:line="28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July 31, 2023 are summarized below (amounts in thousands):</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5300" w:type="dxa"/>
            <w:vAlign w:val="bottom"/>
            <w:vMerge w:val="restart"/>
          </w:tcPr>
          <w:p>
            <w:pPr>
              <w:spacing w:after="0"/>
              <w:rPr>
                <w:sz w:val="20"/>
                <w:szCs w:val="20"/>
                <w:color w:val="auto"/>
              </w:rPr>
            </w:pPr>
            <w:r>
              <w:rPr>
                <w:rFonts w:ascii="Arial" w:cs="Arial" w:eastAsia="Arial" w:hAnsi="Arial"/>
                <w:sz w:val="22"/>
                <w:szCs w:val="22"/>
                <w:color w:val="auto"/>
              </w:rPr>
              <w:t>Commodity futures asset (1)</w:t>
            </w:r>
          </w:p>
        </w:tc>
        <w:tc>
          <w:tcPr>
            <w:tcW w:w="840" w:type="dxa"/>
            <w:vAlign w:val="bottom"/>
            <w:gridSpan w:val="3"/>
          </w:tcPr>
          <w:p>
            <w:pPr>
              <w:spacing w:after="0"/>
              <w:rPr>
                <w:sz w:val="20"/>
                <w:szCs w:val="20"/>
                <w:color w:val="auto"/>
              </w:rPr>
            </w:pPr>
            <w:r>
              <w:rPr>
                <w:rFonts w:ascii="Arial" w:cs="Arial" w:eastAsia="Arial" w:hAnsi="Arial"/>
                <w:sz w:val="22"/>
                <w:szCs w:val="22"/>
                <w:b w:val="1"/>
                <w:bCs w:val="1"/>
                <w:color w:val="auto"/>
              </w:rPr>
              <w:t>Level 1</w:t>
            </w:r>
          </w:p>
        </w:tc>
        <w:tc>
          <w:tcPr>
            <w:tcW w:w="180" w:type="dxa"/>
            <w:vAlign w:val="bottom"/>
          </w:tcPr>
          <w:p>
            <w:pPr>
              <w:spacing w:after="0"/>
              <w:rPr>
                <w:sz w:val="23"/>
                <w:szCs w:val="23"/>
                <w:color w:val="auto"/>
              </w:rPr>
            </w:pPr>
          </w:p>
        </w:tc>
        <w:tc>
          <w:tcPr>
            <w:tcW w:w="700" w:type="dxa"/>
            <w:vAlign w:val="bottom"/>
            <w:gridSpan w:val="2"/>
          </w:tcPr>
          <w:p>
            <w:pPr>
              <w:ind w:left="20"/>
              <w:spacing w:after="0"/>
              <w:rPr>
                <w:sz w:val="20"/>
                <w:szCs w:val="20"/>
                <w:color w:val="auto"/>
              </w:rPr>
            </w:pPr>
            <w:r>
              <w:rPr>
                <w:rFonts w:ascii="Arial" w:cs="Arial" w:eastAsia="Arial" w:hAnsi="Arial"/>
                <w:sz w:val="22"/>
                <w:szCs w:val="22"/>
                <w:b w:val="1"/>
                <w:bCs w:val="1"/>
                <w:color w:val="auto"/>
                <w:w w:val="88"/>
              </w:rPr>
              <w:t>Level 2</w:t>
            </w:r>
          </w:p>
        </w:tc>
        <w:tc>
          <w:tcPr>
            <w:tcW w:w="1360" w:type="dxa"/>
            <w:vAlign w:val="bottom"/>
            <w:gridSpan w:val="4"/>
          </w:tcPr>
          <w:p>
            <w:pPr>
              <w:ind w:left="360"/>
              <w:spacing w:after="0"/>
              <w:rPr>
                <w:sz w:val="20"/>
                <w:szCs w:val="20"/>
                <w:color w:val="auto"/>
              </w:rPr>
            </w:pPr>
            <w:r>
              <w:rPr>
                <w:rFonts w:ascii="Arial" w:cs="Arial" w:eastAsia="Arial" w:hAnsi="Arial"/>
                <w:sz w:val="22"/>
                <w:szCs w:val="22"/>
                <w:b w:val="1"/>
                <w:bCs w:val="1"/>
                <w:color w:val="auto"/>
              </w:rPr>
              <w:t>Level 3</w:t>
            </w:r>
          </w:p>
        </w:tc>
        <w:tc>
          <w:tcPr>
            <w:tcW w:w="1000" w:type="dxa"/>
            <w:vAlign w:val="bottom"/>
            <w:gridSpan w:val="3"/>
          </w:tcPr>
          <w:p>
            <w:pPr>
              <w:spacing w:after="0"/>
              <w:rPr>
                <w:sz w:val="20"/>
                <w:szCs w:val="20"/>
                <w:color w:val="auto"/>
              </w:rPr>
            </w:pPr>
            <w:r>
              <w:rPr>
                <w:rFonts w:ascii="Arial" w:cs="Arial" w:eastAsia="Arial" w:hAnsi="Arial"/>
                <w:sz w:val="22"/>
                <w:szCs w:val="22"/>
                <w:b w:val="1"/>
                <w:bCs w:val="1"/>
                <w:color w:val="auto"/>
                <w:w w:val="93"/>
              </w:rPr>
              <w:t>Fair Value</w:t>
            </w:r>
          </w:p>
        </w:tc>
        <w:tc>
          <w:tcPr>
            <w:tcW w:w="0" w:type="dxa"/>
            <w:vAlign w:val="bottom"/>
          </w:tcPr>
          <w:p>
            <w:pPr>
              <w:spacing w:after="0"/>
              <w:rPr>
                <w:sz w:val="1"/>
                <w:szCs w:val="1"/>
                <w:color w:val="auto"/>
              </w:rPr>
            </w:pPr>
          </w:p>
        </w:tc>
      </w:tr>
      <w:tr>
        <w:trPr>
          <w:trHeight w:val="268"/>
        </w:trPr>
        <w:tc>
          <w:tcPr>
            <w:tcW w:w="5300" w:type="dxa"/>
            <w:vAlign w:val="bottom"/>
            <w:vMerge w:val="continue"/>
          </w:tcPr>
          <w:p>
            <w:pPr>
              <w:spacing w:after="0"/>
              <w:rPr>
                <w:sz w:val="23"/>
                <w:szCs w:val="23"/>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75"/>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5,673</w:t>
            </w:r>
          </w:p>
        </w:tc>
        <w:tc>
          <w:tcPr>
            <w:tcW w:w="360" w:type="dxa"/>
            <w:vAlign w:val="bottom"/>
          </w:tcPr>
          <w:p>
            <w:pPr>
              <w:spacing w:after="0"/>
              <w:rPr>
                <w:sz w:val="23"/>
                <w:szCs w:val="23"/>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5,673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5300" w:type="dxa"/>
            <w:vAlign w:val="bottom"/>
          </w:tcPr>
          <w:p>
            <w:pPr>
              <w:spacing w:after="0"/>
              <w:rPr>
                <w:sz w:val="20"/>
                <w:szCs w:val="20"/>
                <w:color w:val="auto"/>
              </w:rPr>
            </w:pPr>
            <w:r>
              <w:rPr>
                <w:rFonts w:ascii="Arial" w:cs="Arial" w:eastAsia="Arial" w:hAnsi="Arial"/>
                <w:sz w:val="22"/>
                <w:szCs w:val="22"/>
                <w:color w:val="auto"/>
              </w:rPr>
              <w:t>Forward purchase contracts liability (2)</w:t>
            </w:r>
          </w:p>
        </w:tc>
        <w:tc>
          <w:tcPr>
            <w:tcW w:w="360" w:type="dxa"/>
            <w:vAlign w:val="bottom"/>
          </w:tcPr>
          <w:p>
            <w:pPr>
              <w:spacing w:after="0"/>
              <w:rPr>
                <w:sz w:val="20"/>
                <w:szCs w:val="20"/>
                <w:color w:val="auto"/>
              </w:rPr>
            </w:pPr>
            <w:r>
              <w:rPr>
                <w:rFonts w:ascii="Arial" w:cs="Arial" w:eastAsia="Arial" w:hAnsi="Arial"/>
                <w:sz w:val="22"/>
                <w:szCs w:val="22"/>
                <w:color w:val="auto"/>
              </w:rPr>
              <w:t>$</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9"/>
                <w:szCs w:val="19"/>
                <w:color w:val="auto"/>
                <w:w w:val="75"/>
              </w:rPr>
              <w:t>$</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10,707</w:t>
            </w:r>
          </w:p>
        </w:tc>
        <w:tc>
          <w:tcPr>
            <w:tcW w:w="700" w:type="dxa"/>
            <w:vAlign w:val="bottom"/>
            <w:gridSpan w:val="2"/>
          </w:tcPr>
          <w:p>
            <w:pPr>
              <w:ind w:left="360"/>
              <w:spacing w:after="0"/>
              <w:rPr>
                <w:sz w:val="20"/>
                <w:szCs w:val="20"/>
                <w:color w:val="auto"/>
              </w:rPr>
            </w:pPr>
            <w:r>
              <w:rPr>
                <w:rFonts w:ascii="Arial" w:cs="Arial" w:eastAsia="Arial" w:hAnsi="Arial"/>
                <w:sz w:val="22"/>
                <w:szCs w:val="22"/>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22"/>
                <w:szCs w:val="22"/>
                <w:color w:val="auto"/>
              </w:rPr>
              <w:t>10,707</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2023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22"/>
                <w:szCs w:val="22"/>
                <w:b w:val="1"/>
                <w:bCs w:val="1"/>
                <w:color w:val="auto"/>
              </w:rPr>
              <w:t>Level 1</w:t>
            </w:r>
          </w:p>
        </w:tc>
        <w:tc>
          <w:tcPr>
            <w:tcW w:w="1180" w:type="dxa"/>
            <w:vAlign w:val="bottom"/>
            <w:gridSpan w:val="4"/>
          </w:tcPr>
          <w:p>
            <w:pPr>
              <w:ind w:left="160"/>
              <w:spacing w:after="0"/>
              <w:rPr>
                <w:sz w:val="20"/>
                <w:szCs w:val="20"/>
                <w:color w:val="auto"/>
              </w:rPr>
            </w:pPr>
            <w:r>
              <w:rPr>
                <w:rFonts w:ascii="Arial" w:cs="Arial" w:eastAsia="Arial" w:hAnsi="Arial"/>
                <w:sz w:val="22"/>
                <w:szCs w:val="22"/>
                <w:b w:val="1"/>
                <w:bCs w:val="1"/>
                <w:color w:val="auto"/>
              </w:rPr>
              <w:t>Level 2</w:t>
            </w:r>
          </w:p>
        </w:tc>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Level 3</w:t>
            </w:r>
          </w:p>
        </w:tc>
        <w:tc>
          <w:tcPr>
            <w:tcW w:w="1080" w:type="dxa"/>
            <w:vAlign w:val="bottom"/>
            <w:gridSpan w:val="3"/>
          </w:tcPr>
          <w:p>
            <w:pPr>
              <w:spacing w:after="0"/>
              <w:rPr>
                <w:sz w:val="20"/>
                <w:szCs w:val="20"/>
                <w:color w:val="auto"/>
              </w:rPr>
            </w:pPr>
            <w:r>
              <w:rPr>
                <w:rFonts w:ascii="Arial" w:cs="Arial" w:eastAsia="Arial" w:hAnsi="Arial"/>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544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Forward purchase contracts asset (1)</w:t>
            </w:r>
          </w:p>
        </w:tc>
        <w:tc>
          <w:tcPr>
            <w:tcW w:w="34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1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4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105</w:t>
            </w:r>
          </w:p>
        </w:tc>
        <w:tc>
          <w:tcPr>
            <w:tcW w:w="360" w:type="dxa"/>
            <w:vAlign w:val="bottom"/>
            <w:tcBorders>
              <w:top w:val="single" w:sz="8" w:color="E5FFFF"/>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360" w:type="dxa"/>
            <w:vAlign w:val="bottom"/>
            <w:tcBorders>
              <w:top w:val="single" w:sz="8" w:color="E5FFFF"/>
            </w:tcBorders>
            <w:shd w:val="clear" w:color="auto" w:fill="E5FFFF"/>
          </w:tcPr>
          <w:p>
            <w:pPr>
              <w:spacing w:after="0"/>
              <w:rPr>
                <w:sz w:val="20"/>
                <w:szCs w:val="20"/>
                <w:color w:val="auto"/>
              </w:rPr>
            </w:pPr>
          </w:p>
        </w:tc>
        <w:tc>
          <w:tcPr>
            <w:tcW w:w="38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6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105</w:t>
            </w:r>
          </w:p>
        </w:tc>
        <w:tc>
          <w:tcPr>
            <w:tcW w:w="100" w:type="dxa"/>
            <w:vAlign w:val="bottom"/>
            <w:tcBorders>
              <w:top w:val="single" w:sz="8" w:color="E5FFFF"/>
              <w:left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100"/>
              <w:spacing w:after="0"/>
              <w:rPr>
                <w:sz w:val="20"/>
                <w:szCs w:val="20"/>
                <w:color w:val="auto"/>
              </w:rPr>
            </w:pPr>
            <w:r>
              <w:rPr>
                <w:rFonts w:ascii="Arial" w:cs="Arial" w:eastAsia="Arial" w:hAnsi="Arial"/>
                <w:sz w:val="22"/>
                <w:szCs w:val="22"/>
                <w:color w:val="auto"/>
              </w:rPr>
              <w:t>Commodity futures asset (1)</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22"/>
                <w:szCs w:val="22"/>
                <w:color w:val="auto"/>
              </w:rPr>
              <w:t>80</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5FFFF"/>
          </w:tcPr>
          <w:p>
            <w:pPr>
              <w:ind w:left="100"/>
              <w:spacing w:after="0"/>
              <w:rPr>
                <w:sz w:val="20"/>
                <w:szCs w:val="20"/>
                <w:color w:val="auto"/>
              </w:rPr>
            </w:pPr>
            <w:r>
              <w:rPr>
                <w:rFonts w:ascii="Arial" w:cs="Arial" w:eastAsia="Arial" w:hAnsi="Arial"/>
                <w:sz w:val="22"/>
                <w:szCs w:val="22"/>
                <w:color w:val="auto"/>
              </w:rPr>
              <w:t>Total assets</w:t>
            </w: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40" w:type="dxa"/>
            <w:vAlign w:val="bottom"/>
            <w:vMerge w:val="continue"/>
            <w:shd w:val="clear" w:color="auto" w:fill="E5FFFF"/>
          </w:tcPr>
          <w:p>
            <w:pPr>
              <w:spacing w:after="0"/>
              <w:rPr>
                <w:sz w:val="24"/>
                <w:szCs w:val="24"/>
                <w:color w:val="auto"/>
              </w:rPr>
            </w:pPr>
          </w:p>
        </w:tc>
        <w:tc>
          <w:tcPr>
            <w:tcW w:w="340" w:type="dxa"/>
            <w:vAlign w:val="bottom"/>
            <w:shd w:val="clear" w:color="auto" w:fill="E5FFFF"/>
          </w:tcPr>
          <w:p>
            <w:pPr>
              <w:spacing w:after="0"/>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360"/>
              <w:spacing w:after="0"/>
              <w:rPr>
                <w:sz w:val="20"/>
                <w:szCs w:val="20"/>
                <w:color w:val="auto"/>
              </w:rPr>
            </w:pPr>
            <w:r>
              <w:rPr>
                <w:rFonts w:ascii="Arial" w:cs="Arial" w:eastAsia="Arial" w:hAnsi="Arial"/>
                <w:sz w:val="22"/>
                <w:szCs w:val="22"/>
                <w:color w:val="auto"/>
              </w:rPr>
              <w:t>185</w:t>
            </w:r>
          </w:p>
        </w:tc>
        <w:tc>
          <w:tcPr>
            <w:tcW w:w="340" w:type="dxa"/>
            <w:vAlign w:val="bottom"/>
            <w:shd w:val="clear" w:color="auto" w:fill="E5FFFF"/>
          </w:tcPr>
          <w:p>
            <w:pPr>
              <w:spacing w:after="0"/>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185</w:t>
            </w:r>
          </w:p>
        </w:tc>
        <w:tc>
          <w:tcPr>
            <w:tcW w:w="100" w:type="dxa"/>
            <w:vAlign w:val="bottom"/>
            <w:tcBorders>
              <w:left w:val="single" w:sz="8" w:color="E5FFFF"/>
            </w:tcBorders>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ind w:left="100"/>
              <w:spacing w:after="0"/>
              <w:rPr>
                <w:sz w:val="20"/>
                <w:szCs w:val="20"/>
                <w:color w:val="auto"/>
              </w:rPr>
            </w:pPr>
            <w:r>
              <w:rPr>
                <w:rFonts w:ascii="Arial" w:cs="Arial" w:eastAsia="Arial" w:hAnsi="Arial"/>
                <w:sz w:val="22"/>
                <w:szCs w:val="22"/>
                <w:color w:val="auto"/>
              </w:rPr>
              <w:t>Forward purchase contracts liability (2)</w:t>
            </w:r>
          </w:p>
        </w:tc>
        <w:tc>
          <w:tcPr>
            <w:tcW w:w="340" w:type="dxa"/>
            <w:vAlign w:val="bottom"/>
          </w:tcPr>
          <w:p>
            <w:pPr>
              <w:spacing w:after="0"/>
              <w:rPr>
                <w:sz w:val="20"/>
                <w:szCs w:val="20"/>
                <w:color w:val="auto"/>
              </w:rPr>
            </w:pPr>
            <w:r>
              <w:rPr>
                <w:rFonts w:ascii="Arial" w:cs="Arial" w:eastAsia="Arial" w:hAnsi="Arial"/>
                <w:sz w:val="22"/>
                <w:szCs w:val="22"/>
                <w:color w:val="auto"/>
              </w:rPr>
              <w: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400" w:type="dxa"/>
            <w:vAlign w:val="bottom"/>
            <w:gridSpan w:val="2"/>
          </w:tcPr>
          <w:p>
            <w:pPr>
              <w:ind w:left="160"/>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22"/>
                <w:szCs w:val="22"/>
                <w:color w:val="auto"/>
              </w:rPr>
              <w:t>355</w:t>
            </w:r>
          </w:p>
        </w:tc>
        <w:tc>
          <w:tcPr>
            <w:tcW w:w="340" w:type="dxa"/>
            <w:vAlign w:val="bottom"/>
          </w:tcPr>
          <w:p>
            <w:pPr>
              <w:spacing w:after="0"/>
              <w:rPr>
                <w:sz w:val="20"/>
                <w:szCs w:val="20"/>
                <w:color w:val="auto"/>
              </w:rPr>
            </w:pPr>
            <w:r>
              <w:rPr>
                <w:rFonts w:ascii="Arial" w:cs="Arial" w:eastAsia="Arial" w:hAnsi="Arial"/>
                <w:sz w:val="22"/>
                <w:szCs w:val="22"/>
                <w:color w:val="auto"/>
              </w:rPr>
              <w: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40" w:type="dxa"/>
            <w:vAlign w:val="bottom"/>
            <w:shd w:val="clear" w:color="auto" w:fill="E5FFFF"/>
          </w:tcPr>
          <w:p>
            <w:pPr>
              <w:ind w:left="100"/>
              <w:spacing w:after="0"/>
              <w:rPr>
                <w:sz w:val="20"/>
                <w:szCs w:val="20"/>
                <w:color w:val="auto"/>
              </w:rPr>
            </w:pPr>
            <w:r>
              <w:rPr>
                <w:rFonts w:ascii="Arial" w:cs="Arial" w:eastAsia="Arial" w:hAnsi="Arial"/>
                <w:sz w:val="22"/>
                <w:szCs w:val="22"/>
                <w:color w:val="auto"/>
              </w:rPr>
              <w:t>Commodity futures liability (2)</w:t>
            </w: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360"/>
              <w:spacing w:after="0"/>
              <w:rPr>
                <w:sz w:val="20"/>
                <w:szCs w:val="20"/>
                <w:color w:val="auto"/>
              </w:rPr>
            </w:pPr>
            <w:r>
              <w:rPr>
                <w:rFonts w:ascii="Arial" w:cs="Arial" w:eastAsia="Arial" w:hAnsi="Arial"/>
                <w:sz w:val="22"/>
                <w:szCs w:val="22"/>
                <w:color w:val="auto"/>
              </w:rPr>
              <w:t>67</w:t>
            </w: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67</w:t>
            </w:r>
          </w:p>
        </w:tc>
        <w:tc>
          <w:tcPr>
            <w:tcW w:w="100" w:type="dxa"/>
            <w:vAlign w:val="bottom"/>
            <w:tcBorders>
              <w:left w:val="single" w:sz="8" w:color="E5FFFF"/>
            </w:tcBorders>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00"/>
              <w:spacing w:after="0"/>
              <w:rPr>
                <w:sz w:val="20"/>
                <w:szCs w:val="20"/>
                <w:color w:val="auto"/>
              </w:rPr>
            </w:pPr>
            <w:r>
              <w:rPr>
                <w:rFonts w:ascii="Arial" w:cs="Arial" w:eastAsia="Arial" w:hAnsi="Arial"/>
                <w:sz w:val="22"/>
                <w:szCs w:val="22"/>
                <w:color w:val="auto"/>
              </w:rPr>
              <w:t>Total liabilities</w:t>
            </w: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40" w:type="dxa"/>
            <w:vAlign w:val="bottom"/>
            <w:vMerge w:val="continue"/>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22"/>
                <w:szCs w:val="22"/>
                <w:color w:val="auto"/>
              </w:rPr>
              <w:t>422</w:t>
            </w:r>
          </w:p>
        </w:tc>
        <w:tc>
          <w:tcPr>
            <w:tcW w:w="340" w:type="dxa"/>
            <w:vAlign w:val="bottom"/>
          </w:tcPr>
          <w:p>
            <w:pPr>
              <w:spacing w:after="0"/>
              <w:rPr>
                <w:sz w:val="20"/>
                <w:szCs w:val="20"/>
                <w:color w:val="auto"/>
              </w:rPr>
            </w:pPr>
            <w:r>
              <w:rPr>
                <w:rFonts w:ascii="Arial" w:cs="Arial" w:eastAsia="Arial" w:hAnsi="Arial"/>
                <w:sz w:val="22"/>
                <w:szCs w:val="22"/>
                <w:color w:val="auto"/>
              </w:rPr>
              <w: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260" w:hanging="9"/>
        <w:spacing w:after="0" w:line="239" w:lineRule="auto"/>
        <w:tabs>
          <w:tab w:leader="none" w:pos="61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contracts and commodity futures assets are included in “Prepaid expenses and other” on the accompanying Consolidated Balance Sheets.</w:t>
      </w:r>
    </w:p>
    <w:p>
      <w:pPr>
        <w:ind w:left="260" w:right="20" w:hanging="9"/>
        <w:spacing w:after="0" w:line="236" w:lineRule="auto"/>
        <w:tabs>
          <w:tab w:leader="none" w:pos="59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commodity futures and forward purchase contracts liabilities are included in “Accrued expenses and other current liabilities” on the accompanying Consolidated Balance Sheets.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July 31, 2023 or January 31, 2023.</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22"/>
                <w:szCs w:val="22"/>
                <w:b w:val="1"/>
                <w:bCs w:val="1"/>
                <w:color w:val="auto"/>
              </w:rPr>
              <w:t>July 31,</w:t>
            </w:r>
          </w:p>
        </w:tc>
        <w:tc>
          <w:tcPr>
            <w:tcW w:w="1140" w:type="dxa"/>
            <w:vAlign w:val="bottom"/>
            <w:gridSpan w:val="3"/>
          </w:tcPr>
          <w:p>
            <w:pPr>
              <w:spacing w:after="0"/>
              <w:rPr>
                <w:sz w:val="20"/>
                <w:szCs w:val="20"/>
                <w:color w:val="auto"/>
              </w:rPr>
            </w:pPr>
            <w:r>
              <w:rPr>
                <w:rFonts w:ascii="Arial" w:cs="Arial" w:eastAsia="Arial" w:hAnsi="Arial"/>
                <w:sz w:val="22"/>
                <w:szCs w:val="22"/>
                <w:b w:val="1"/>
                <w:bCs w:val="1"/>
                <w:color w:val="auto"/>
                <w:w w:val="92"/>
              </w:rPr>
              <w:t>January 31,</w:t>
            </w:r>
          </w:p>
        </w:tc>
      </w:tr>
      <w:tr>
        <w:trPr>
          <w:trHeight w:val="270"/>
        </w:trPr>
        <w:tc>
          <w:tcPr>
            <w:tcW w:w="432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2023</w:t>
            </w:r>
          </w:p>
        </w:tc>
        <w:tc>
          <w:tcPr>
            <w:tcW w:w="320" w:type="dxa"/>
            <w:vAlign w:val="bottom"/>
            <w:tcBorders>
              <w:bottom w:val="single" w:sz="8" w:color="E5FF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2023</w:t>
            </w:r>
          </w:p>
        </w:tc>
        <w:tc>
          <w:tcPr>
            <w:tcW w:w="40" w:type="dxa"/>
            <w:vAlign w:val="bottom"/>
            <w:tcBorders>
              <w:bottom w:val="single" w:sz="8" w:color="E5FFFF"/>
            </w:tcBorders>
          </w:tcPr>
          <w:p>
            <w:pPr>
              <w:spacing w:after="0"/>
              <w:rPr>
                <w:sz w:val="23"/>
                <w:szCs w:val="23"/>
                <w:color w:val="auto"/>
              </w:rPr>
            </w:pPr>
          </w:p>
        </w:tc>
      </w:tr>
      <w:tr>
        <w:trPr>
          <w:trHeight w:val="237"/>
        </w:trPr>
        <w:tc>
          <w:tcPr>
            <w:tcW w:w="432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Land and improvements</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31,130</w:t>
            </w:r>
          </w:p>
        </w:tc>
        <w:tc>
          <w:tcPr>
            <w:tcW w:w="3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30,194</w:t>
            </w:r>
          </w:p>
        </w:tc>
        <w:tc>
          <w:tcPr>
            <w:tcW w:w="40" w:type="dxa"/>
            <w:vAlign w:val="bottom"/>
            <w:shd w:val="clear" w:color="auto" w:fill="E5FFFF"/>
          </w:tcPr>
          <w:p>
            <w:pPr>
              <w:spacing w:after="0"/>
              <w:rPr>
                <w:sz w:val="20"/>
                <w:szCs w:val="20"/>
                <w:color w:val="auto"/>
              </w:rPr>
            </w:pPr>
          </w:p>
        </w:tc>
      </w:tr>
      <w:tr>
        <w:trPr>
          <w:trHeight w:val="243"/>
        </w:trPr>
        <w:tc>
          <w:tcPr>
            <w:tcW w:w="4320" w:type="dxa"/>
            <w:vAlign w:val="bottom"/>
          </w:tcPr>
          <w:p>
            <w:pPr>
              <w:ind w:left="100"/>
              <w:spacing w:after="0" w:line="243" w:lineRule="exact"/>
              <w:rPr>
                <w:sz w:val="20"/>
                <w:szCs w:val="20"/>
                <w:color w:val="auto"/>
              </w:rPr>
            </w:pPr>
            <w:r>
              <w:rPr>
                <w:rFonts w:ascii="Arial" w:cs="Arial" w:eastAsia="Arial" w:hAnsi="Arial"/>
                <w:sz w:val="22"/>
                <w:szCs w:val="22"/>
                <w:color w:val="auto"/>
              </w:rPr>
              <w:t>Buildings and improvements</w:t>
            </w:r>
          </w:p>
        </w:tc>
        <w:tc>
          <w:tcPr>
            <w:tcW w:w="100" w:type="dxa"/>
            <w:vAlign w:val="bottom"/>
          </w:tcPr>
          <w:p>
            <w:pPr>
              <w:spacing w:after="0"/>
              <w:rPr>
                <w:sz w:val="21"/>
                <w:szCs w:val="21"/>
                <w:color w:val="auto"/>
              </w:rPr>
            </w:pPr>
          </w:p>
        </w:tc>
        <w:tc>
          <w:tcPr>
            <w:tcW w:w="11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23,784</w:t>
            </w: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23,707</w:t>
            </w:r>
          </w:p>
        </w:tc>
        <w:tc>
          <w:tcPr>
            <w:tcW w:w="40" w:type="dxa"/>
            <w:vAlign w:val="bottom"/>
          </w:tcPr>
          <w:p>
            <w:pPr>
              <w:spacing w:after="0"/>
              <w:rPr>
                <w:sz w:val="21"/>
                <w:szCs w:val="21"/>
                <w:color w:val="auto"/>
              </w:rPr>
            </w:pPr>
          </w:p>
        </w:tc>
      </w:tr>
      <w:tr>
        <w:trPr>
          <w:trHeight w:val="243"/>
        </w:trPr>
        <w:tc>
          <w:tcPr>
            <w:tcW w:w="432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Machinery, equipment, and fixtures</w:t>
            </w:r>
          </w:p>
        </w:tc>
        <w:tc>
          <w:tcPr>
            <w:tcW w:w="10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320"/>
              <w:spacing w:after="0" w:line="243" w:lineRule="exact"/>
              <w:rPr>
                <w:sz w:val="20"/>
                <w:szCs w:val="20"/>
                <w:color w:val="auto"/>
              </w:rPr>
            </w:pPr>
            <w:r>
              <w:rPr>
                <w:rFonts w:ascii="Arial" w:cs="Arial" w:eastAsia="Arial" w:hAnsi="Arial"/>
                <w:sz w:val="22"/>
                <w:szCs w:val="22"/>
                <w:color w:val="auto"/>
              </w:rPr>
              <w:t>303,730</w:t>
            </w: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299,665</w:t>
            </w:r>
          </w:p>
        </w:tc>
        <w:tc>
          <w:tcPr>
            <w:tcW w:w="40" w:type="dxa"/>
            <w:vAlign w:val="bottom"/>
            <w:shd w:val="clear" w:color="auto" w:fill="E5FFFF"/>
          </w:tcPr>
          <w:p>
            <w:pPr>
              <w:spacing w:after="0"/>
              <w:rPr>
                <w:sz w:val="21"/>
                <w:szCs w:val="21"/>
                <w:color w:val="auto"/>
              </w:rPr>
            </w:pPr>
          </w:p>
        </w:tc>
      </w:tr>
      <w:tr>
        <w:trPr>
          <w:trHeight w:val="243"/>
        </w:trPr>
        <w:tc>
          <w:tcPr>
            <w:tcW w:w="4320" w:type="dxa"/>
            <w:vAlign w:val="bottom"/>
          </w:tcPr>
          <w:p>
            <w:pPr>
              <w:ind w:left="100"/>
              <w:spacing w:after="0" w:line="243" w:lineRule="exact"/>
              <w:rPr>
                <w:sz w:val="20"/>
                <w:szCs w:val="20"/>
                <w:color w:val="auto"/>
              </w:rPr>
            </w:pPr>
            <w:r>
              <w:rPr>
                <w:rFonts w:ascii="Arial" w:cs="Arial" w:eastAsia="Arial" w:hAnsi="Arial"/>
                <w:sz w:val="22"/>
                <w:szCs w:val="22"/>
                <w:color w:val="auto"/>
              </w:rPr>
              <w:t>Construction in progress</w:t>
            </w:r>
          </w:p>
        </w:tc>
        <w:tc>
          <w:tcPr>
            <w:tcW w:w="100" w:type="dxa"/>
            <w:vAlign w:val="bottom"/>
          </w:tcPr>
          <w:p>
            <w:pPr>
              <w:spacing w:after="0"/>
              <w:rPr>
                <w:sz w:val="21"/>
                <w:szCs w:val="21"/>
                <w:color w:val="auto"/>
              </w:rPr>
            </w:pPr>
          </w:p>
        </w:tc>
        <w:tc>
          <w:tcPr>
            <w:tcW w:w="11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13,162</w:t>
            </w: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10,255</w:t>
            </w:r>
          </w:p>
        </w:tc>
        <w:tc>
          <w:tcPr>
            <w:tcW w:w="40" w:type="dxa"/>
            <w:vAlign w:val="bottom"/>
          </w:tcPr>
          <w:p>
            <w:pPr>
              <w:spacing w:after="0"/>
              <w:rPr>
                <w:sz w:val="21"/>
                <w:szCs w:val="21"/>
                <w:color w:val="auto"/>
              </w:rPr>
            </w:pPr>
          </w:p>
        </w:tc>
      </w:tr>
      <w:tr>
        <w:trPr>
          <w:trHeight w:val="236"/>
        </w:trPr>
        <w:tc>
          <w:tcPr>
            <w:tcW w:w="432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8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371,806</w:t>
            </w:r>
          </w:p>
        </w:tc>
        <w:tc>
          <w:tcPr>
            <w:tcW w:w="32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9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363,821</w:t>
            </w: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4320" w:type="dxa"/>
            <w:vAlign w:val="bottom"/>
          </w:tcPr>
          <w:p>
            <w:pPr>
              <w:ind w:left="100"/>
              <w:spacing w:after="0" w:line="243" w:lineRule="exact"/>
              <w:rPr>
                <w:sz w:val="20"/>
                <w:szCs w:val="20"/>
                <w:color w:val="auto"/>
              </w:rPr>
            </w:pPr>
            <w:r>
              <w:rPr>
                <w:rFonts w:ascii="Arial" w:cs="Arial" w:eastAsia="Arial" w:hAnsi="Arial"/>
                <w:sz w:val="22"/>
                <w:szCs w:val="22"/>
                <w:color w:val="auto"/>
              </w:rPr>
              <w:t>Less: Accumulated depreciation</w:t>
            </w:r>
          </w:p>
        </w:tc>
        <w:tc>
          <w:tcPr>
            <w:tcW w:w="100" w:type="dxa"/>
            <w:vAlign w:val="bottom"/>
          </w:tcPr>
          <w:p>
            <w:pPr>
              <w:spacing w:after="0"/>
              <w:rPr>
                <w:sz w:val="21"/>
                <w:szCs w:val="21"/>
                <w:color w:val="auto"/>
              </w:rPr>
            </w:pPr>
          </w:p>
        </w:tc>
        <w:tc>
          <w:tcPr>
            <w:tcW w:w="11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w w:val="89"/>
              </w:rPr>
              <w:t>(236,662)</w:t>
            </w: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w w:val="95"/>
              </w:rPr>
              <w:t>(228,324)</w:t>
            </w:r>
          </w:p>
        </w:tc>
        <w:tc>
          <w:tcPr>
            <w:tcW w:w="40" w:type="dxa"/>
            <w:vAlign w:val="bottom"/>
          </w:tcPr>
          <w:p>
            <w:pPr>
              <w:spacing w:after="0"/>
              <w:rPr>
                <w:sz w:val="21"/>
                <w:szCs w:val="21"/>
                <w:color w:val="auto"/>
              </w:rPr>
            </w:pPr>
          </w:p>
        </w:tc>
      </w:tr>
      <w:tr>
        <w:trPr>
          <w:trHeight w:val="237"/>
        </w:trPr>
        <w:tc>
          <w:tcPr>
            <w:tcW w:w="432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Total</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135,144</w:t>
            </w:r>
          </w:p>
        </w:tc>
        <w:tc>
          <w:tcPr>
            <w:tcW w:w="32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135,497</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Other Assets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other assets are as follows for the periods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22"/>
                <w:szCs w:val="22"/>
                <w:b w:val="1"/>
                <w:bCs w:val="1"/>
                <w:color w:val="auto"/>
                <w:w w:val="89"/>
              </w:rPr>
              <w:t>July 31,</w:t>
            </w:r>
          </w:p>
        </w:tc>
        <w:tc>
          <w:tcPr>
            <w:tcW w:w="1140" w:type="dxa"/>
            <w:vAlign w:val="bottom"/>
            <w:gridSpan w:val="3"/>
          </w:tcPr>
          <w:p>
            <w:pPr>
              <w:spacing w:after="0"/>
              <w:rPr>
                <w:sz w:val="20"/>
                <w:szCs w:val="20"/>
                <w:color w:val="auto"/>
              </w:rPr>
            </w:pPr>
            <w:r>
              <w:rPr>
                <w:rFonts w:ascii="Arial" w:cs="Arial" w:eastAsia="Arial" w:hAnsi="Arial"/>
                <w:sz w:val="22"/>
                <w:szCs w:val="22"/>
                <w:b w:val="1"/>
                <w:bCs w:val="1"/>
                <w:color w:val="auto"/>
                <w:w w:val="92"/>
              </w:rPr>
              <w:t>January 31,</w:t>
            </w:r>
          </w:p>
        </w:tc>
      </w:tr>
      <w:tr>
        <w:trPr>
          <w:trHeight w:val="270"/>
        </w:trPr>
        <w:tc>
          <w:tcPr>
            <w:tcW w:w="4480" w:type="dxa"/>
            <w:vAlign w:val="bottom"/>
            <w:tcBorders>
              <w:bottom w:val="single" w:sz="8" w:color="E5FFFF"/>
            </w:tcBorders>
          </w:tcPr>
          <w:p>
            <w:pPr>
              <w:spacing w:after="0"/>
              <w:rPr>
                <w:sz w:val="23"/>
                <w:szCs w:val="23"/>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2023</w:t>
            </w:r>
          </w:p>
        </w:tc>
        <w:tc>
          <w:tcPr>
            <w:tcW w:w="36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2023</w:t>
            </w:r>
          </w:p>
        </w:tc>
        <w:tc>
          <w:tcPr>
            <w:tcW w:w="40" w:type="dxa"/>
            <w:vAlign w:val="bottom"/>
            <w:tcBorders>
              <w:bottom w:val="single" w:sz="8" w:color="E5FFFF"/>
            </w:tcBorders>
          </w:tcPr>
          <w:p>
            <w:pPr>
              <w:spacing w:after="0"/>
              <w:rPr>
                <w:sz w:val="23"/>
                <w:szCs w:val="23"/>
                <w:color w:val="auto"/>
              </w:rPr>
            </w:pPr>
          </w:p>
        </w:tc>
      </w:tr>
      <w:tr>
        <w:trPr>
          <w:trHeight w:val="237"/>
        </w:trPr>
        <w:tc>
          <w:tcPr>
            <w:tcW w:w="448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Deferred taxes</w:t>
            </w:r>
          </w:p>
        </w:tc>
        <w:tc>
          <w:tcPr>
            <w:tcW w:w="7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$ 18,018</w:t>
            </w:r>
          </w:p>
        </w:tc>
        <w:tc>
          <w:tcPr>
            <w:tcW w:w="3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21,964</w:t>
            </w:r>
          </w:p>
        </w:tc>
        <w:tc>
          <w:tcPr>
            <w:tcW w:w="40" w:type="dxa"/>
            <w:vAlign w:val="bottom"/>
            <w:shd w:val="clear" w:color="auto" w:fill="E5FFFF"/>
          </w:tcPr>
          <w:p>
            <w:pPr>
              <w:spacing w:after="0"/>
              <w:rPr>
                <w:sz w:val="20"/>
                <w:szCs w:val="20"/>
                <w:color w:val="auto"/>
              </w:rPr>
            </w:pPr>
          </w:p>
        </w:tc>
      </w:tr>
      <w:tr>
        <w:trPr>
          <w:trHeight w:val="243"/>
        </w:trPr>
        <w:tc>
          <w:tcPr>
            <w:tcW w:w="4480" w:type="dxa"/>
            <w:vAlign w:val="bottom"/>
          </w:tcPr>
          <w:p>
            <w:pPr>
              <w:ind w:left="100"/>
              <w:spacing w:after="0" w:line="243" w:lineRule="exact"/>
              <w:rPr>
                <w:sz w:val="20"/>
                <w:szCs w:val="20"/>
                <w:color w:val="auto"/>
              </w:rPr>
            </w:pPr>
            <w:r>
              <w:rPr>
                <w:rFonts w:ascii="Arial" w:cs="Arial" w:eastAsia="Arial" w:hAnsi="Arial"/>
                <w:sz w:val="22"/>
                <w:szCs w:val="22"/>
                <w:color w:val="auto"/>
              </w:rPr>
              <w:t>Other</w:t>
            </w:r>
          </w:p>
        </w:tc>
        <w:tc>
          <w:tcPr>
            <w:tcW w:w="112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1,536</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1,215</w:t>
            </w:r>
          </w:p>
        </w:tc>
        <w:tc>
          <w:tcPr>
            <w:tcW w:w="40" w:type="dxa"/>
            <w:vAlign w:val="bottom"/>
          </w:tcPr>
          <w:p>
            <w:pPr>
              <w:spacing w:after="0"/>
              <w:rPr>
                <w:sz w:val="21"/>
                <w:szCs w:val="21"/>
                <w:color w:val="auto"/>
              </w:rPr>
            </w:pPr>
          </w:p>
        </w:tc>
      </w:tr>
      <w:tr>
        <w:trPr>
          <w:trHeight w:val="237"/>
        </w:trPr>
        <w:tc>
          <w:tcPr>
            <w:tcW w:w="448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Total</w:t>
            </w:r>
          </w:p>
        </w:tc>
        <w:tc>
          <w:tcPr>
            <w:tcW w:w="7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$ 19,554</w:t>
            </w:r>
          </w:p>
        </w:tc>
        <w:tc>
          <w:tcPr>
            <w:tcW w:w="3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23,179</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spacing w:after="0"/>
              <w:rPr>
                <w:sz w:val="20"/>
                <w:szCs w:val="20"/>
                <w:color w:val="auto"/>
              </w:rPr>
            </w:pPr>
            <w:r>
              <w:rPr>
                <w:rFonts w:ascii="Arial" w:cs="Arial" w:eastAsia="Arial" w:hAnsi="Arial"/>
                <w:sz w:val="22"/>
                <w:szCs w:val="22"/>
                <w:b w:val="1"/>
                <w:bCs w:val="1"/>
                <w:color w:val="auto"/>
              </w:rPr>
              <w:t>July 31,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2"/>
                <w:szCs w:val="22"/>
                <w:b w:val="1"/>
                <w:bCs w:val="1"/>
                <w:color w:val="auto"/>
                <w:w w:val="87"/>
              </w:rPr>
              <w:t>January 31,</w:t>
            </w:r>
          </w:p>
        </w:tc>
        <w:tc>
          <w:tcPr>
            <w:tcW w:w="4500" w:type="dxa"/>
            <w:vAlign w:val="bottom"/>
          </w:tcPr>
          <w:p>
            <w:pPr>
              <w:spacing w:after="0"/>
              <w:rPr>
                <w:sz w:val="21"/>
                <w:szCs w:val="21"/>
                <w:color w:val="auto"/>
              </w:rPr>
            </w:pPr>
          </w:p>
        </w:tc>
      </w:tr>
      <w:tr>
        <w:trPr>
          <w:trHeight w:val="270"/>
        </w:trPr>
        <w:tc>
          <w:tcPr>
            <w:tcW w:w="432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2023</w:t>
            </w:r>
          </w:p>
        </w:tc>
        <w:tc>
          <w:tcPr>
            <w:tcW w:w="32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2023</w:t>
            </w:r>
          </w:p>
        </w:tc>
        <w:tc>
          <w:tcPr>
            <w:tcW w:w="4500" w:type="dxa"/>
            <w:vAlign w:val="bottom"/>
          </w:tcPr>
          <w:p>
            <w:pPr>
              <w:spacing w:after="0"/>
              <w:rPr>
                <w:sz w:val="23"/>
                <w:szCs w:val="23"/>
                <w:color w:val="auto"/>
              </w:rPr>
            </w:pPr>
          </w:p>
        </w:tc>
      </w:tr>
      <w:tr>
        <w:trPr>
          <w:trHeight w:val="236"/>
        </w:trPr>
        <w:tc>
          <w:tcPr>
            <w:tcW w:w="4320" w:type="dxa"/>
            <w:vAlign w:val="bottom"/>
            <w:shd w:val="clear" w:color="auto" w:fill="E5FFFF"/>
          </w:tcPr>
          <w:p>
            <w:pPr>
              <w:ind w:left="120"/>
              <w:spacing w:after="0" w:line="237" w:lineRule="exact"/>
              <w:rPr>
                <w:sz w:val="20"/>
                <w:szCs w:val="20"/>
                <w:color w:val="auto"/>
              </w:rPr>
            </w:pPr>
            <w:r>
              <w:rPr>
                <w:rFonts w:ascii="Arial" w:cs="Arial" w:eastAsia="Arial" w:hAnsi="Arial"/>
                <w:sz w:val="22"/>
                <w:szCs w:val="22"/>
                <w:color w:val="auto"/>
              </w:rPr>
              <w:t>Accrued payroll and related items</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2,820</w:t>
            </w:r>
          </w:p>
        </w:tc>
        <w:tc>
          <w:tcPr>
            <w:tcW w:w="3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w w:val="81"/>
              </w:rPr>
              <w:t>$</w:t>
            </w:r>
          </w:p>
        </w:tc>
        <w:tc>
          <w:tcPr>
            <w:tcW w:w="1140" w:type="dxa"/>
            <w:vAlign w:val="bottom"/>
            <w:tcBorders>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4,428</w:t>
            </w:r>
          </w:p>
        </w:tc>
        <w:tc>
          <w:tcPr>
            <w:tcW w:w="4500" w:type="dxa"/>
            <w:vAlign w:val="bottom"/>
          </w:tcPr>
          <w:p>
            <w:pPr>
              <w:spacing w:after="0"/>
              <w:rPr>
                <w:sz w:val="20"/>
                <w:szCs w:val="20"/>
                <w:color w:val="auto"/>
              </w:rPr>
            </w:pPr>
          </w:p>
        </w:tc>
      </w:tr>
      <w:tr>
        <w:trPr>
          <w:trHeight w:val="243"/>
        </w:trPr>
        <w:tc>
          <w:tcPr>
            <w:tcW w:w="4320" w:type="dxa"/>
            <w:vAlign w:val="bottom"/>
          </w:tcPr>
          <w:p>
            <w:pPr>
              <w:ind w:left="120"/>
              <w:spacing w:after="0" w:line="243" w:lineRule="exact"/>
              <w:rPr>
                <w:sz w:val="20"/>
                <w:szCs w:val="20"/>
                <w:color w:val="auto"/>
              </w:rPr>
            </w:pPr>
            <w:r>
              <w:rPr>
                <w:rFonts w:ascii="Arial" w:cs="Arial" w:eastAsia="Arial" w:hAnsi="Arial"/>
                <w:sz w:val="22"/>
                <w:szCs w:val="22"/>
                <w:color w:val="auto"/>
              </w:rPr>
              <w:t>Accrued utility charges</w:t>
            </w:r>
          </w:p>
        </w:tc>
        <w:tc>
          <w:tcPr>
            <w:tcW w:w="1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2,507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4,116</w:t>
            </w:r>
          </w:p>
        </w:tc>
        <w:tc>
          <w:tcPr>
            <w:tcW w:w="4500" w:type="dxa"/>
            <w:vAlign w:val="bottom"/>
          </w:tcPr>
          <w:p>
            <w:pPr>
              <w:spacing w:after="0"/>
              <w:rPr>
                <w:sz w:val="21"/>
                <w:szCs w:val="21"/>
                <w:color w:val="auto"/>
              </w:rPr>
            </w:pPr>
          </w:p>
        </w:tc>
      </w:tr>
      <w:tr>
        <w:trPr>
          <w:trHeight w:val="243"/>
        </w:trPr>
        <w:tc>
          <w:tcPr>
            <w:tcW w:w="4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transportation related items</w:t>
            </w: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1,311</w:t>
            </w:r>
          </w:p>
        </w:tc>
        <w:tc>
          <w:tcPr>
            <w:tcW w:w="4500" w:type="dxa"/>
            <w:vAlign w:val="bottom"/>
          </w:tcPr>
          <w:p>
            <w:pPr>
              <w:spacing w:after="0"/>
              <w:rPr>
                <w:sz w:val="21"/>
                <w:szCs w:val="21"/>
                <w:color w:val="auto"/>
              </w:rPr>
            </w:pPr>
          </w:p>
        </w:tc>
      </w:tr>
      <w:tr>
        <w:trPr>
          <w:trHeight w:val="243"/>
        </w:trPr>
        <w:tc>
          <w:tcPr>
            <w:tcW w:w="4320" w:type="dxa"/>
            <w:vAlign w:val="bottom"/>
          </w:tcPr>
          <w:p>
            <w:pPr>
              <w:ind w:left="120"/>
              <w:spacing w:after="0" w:line="243" w:lineRule="exact"/>
              <w:rPr>
                <w:sz w:val="20"/>
                <w:szCs w:val="20"/>
                <w:color w:val="auto"/>
              </w:rPr>
            </w:pPr>
            <w:r>
              <w:rPr>
                <w:rFonts w:ascii="Arial" w:cs="Arial" w:eastAsia="Arial" w:hAnsi="Arial"/>
                <w:sz w:val="22"/>
                <w:szCs w:val="22"/>
                <w:color w:val="auto"/>
              </w:rPr>
              <w:t>Accrued real estate taxes</w:t>
            </w:r>
          </w:p>
        </w:tc>
        <w:tc>
          <w:tcPr>
            <w:tcW w:w="1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2,463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1,850</w:t>
            </w:r>
          </w:p>
        </w:tc>
        <w:tc>
          <w:tcPr>
            <w:tcW w:w="4500" w:type="dxa"/>
            <w:vAlign w:val="bottom"/>
          </w:tcPr>
          <w:p>
            <w:pPr>
              <w:spacing w:after="0"/>
              <w:rPr>
                <w:sz w:val="21"/>
                <w:szCs w:val="21"/>
                <w:color w:val="auto"/>
              </w:rPr>
            </w:pPr>
          </w:p>
        </w:tc>
      </w:tr>
      <w:tr>
        <w:trPr>
          <w:trHeight w:val="243"/>
        </w:trPr>
        <w:tc>
          <w:tcPr>
            <w:tcW w:w="4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Commodity futures</w:t>
            </w: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67</w:t>
            </w:r>
          </w:p>
        </w:tc>
        <w:tc>
          <w:tcPr>
            <w:tcW w:w="4500" w:type="dxa"/>
            <w:vAlign w:val="bottom"/>
          </w:tcPr>
          <w:p>
            <w:pPr>
              <w:spacing w:after="0"/>
              <w:rPr>
                <w:sz w:val="21"/>
                <w:szCs w:val="21"/>
                <w:color w:val="auto"/>
              </w:rPr>
            </w:pPr>
          </w:p>
        </w:tc>
      </w:tr>
      <w:tr>
        <w:trPr>
          <w:trHeight w:val="243"/>
        </w:trPr>
        <w:tc>
          <w:tcPr>
            <w:tcW w:w="4320" w:type="dxa"/>
            <w:vAlign w:val="bottom"/>
          </w:tcPr>
          <w:p>
            <w:pPr>
              <w:ind w:left="120"/>
              <w:spacing w:after="0" w:line="243" w:lineRule="exact"/>
              <w:rPr>
                <w:sz w:val="20"/>
                <w:szCs w:val="20"/>
                <w:color w:val="auto"/>
              </w:rPr>
            </w:pPr>
            <w:r>
              <w:rPr>
                <w:rFonts w:ascii="Arial" w:cs="Arial" w:eastAsia="Arial" w:hAnsi="Arial"/>
                <w:sz w:val="22"/>
                <w:szCs w:val="22"/>
                <w:color w:val="auto"/>
              </w:rPr>
              <w:t>Forward purchase contracts</w:t>
            </w:r>
          </w:p>
        </w:tc>
        <w:tc>
          <w:tcPr>
            <w:tcW w:w="1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10,707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355</w:t>
            </w:r>
          </w:p>
        </w:tc>
        <w:tc>
          <w:tcPr>
            <w:tcW w:w="4500" w:type="dxa"/>
            <w:vAlign w:val="bottom"/>
          </w:tcPr>
          <w:p>
            <w:pPr>
              <w:spacing w:after="0"/>
              <w:rPr>
                <w:sz w:val="21"/>
                <w:szCs w:val="21"/>
                <w:color w:val="auto"/>
              </w:rPr>
            </w:pPr>
          </w:p>
        </w:tc>
      </w:tr>
      <w:tr>
        <w:trPr>
          <w:trHeight w:val="243"/>
        </w:trPr>
        <w:tc>
          <w:tcPr>
            <w:tcW w:w="4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income taxes</w:t>
            </w: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64</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2,049</w:t>
            </w:r>
          </w:p>
        </w:tc>
        <w:tc>
          <w:tcPr>
            <w:tcW w:w="4500" w:type="dxa"/>
            <w:vAlign w:val="bottom"/>
          </w:tcPr>
          <w:p>
            <w:pPr>
              <w:spacing w:after="0"/>
              <w:rPr>
                <w:sz w:val="21"/>
                <w:szCs w:val="21"/>
                <w:color w:val="auto"/>
              </w:rPr>
            </w:pPr>
          </w:p>
        </w:tc>
      </w:tr>
      <w:tr>
        <w:trPr>
          <w:trHeight w:val="257"/>
        </w:trPr>
        <w:tc>
          <w:tcPr>
            <w:tcW w:w="4320" w:type="dxa"/>
            <w:vAlign w:val="bottom"/>
            <w:tcBorders>
              <w:bottom w:val="single" w:sz="8" w:color="E5FFFF"/>
            </w:tcBorders>
          </w:tcPr>
          <w:p>
            <w:pPr>
              <w:ind w:left="120"/>
              <w:spacing w:after="0"/>
              <w:rPr>
                <w:sz w:val="20"/>
                <w:szCs w:val="20"/>
                <w:color w:val="auto"/>
              </w:rPr>
            </w:pPr>
            <w:r>
              <w:rPr>
                <w:rFonts w:ascii="Arial" w:cs="Arial" w:eastAsia="Arial" w:hAnsi="Arial"/>
                <w:sz w:val="22"/>
                <w:szCs w:val="22"/>
                <w:color w:val="auto"/>
              </w:rPr>
              <w:t>Other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1,255</w:t>
            </w:r>
          </w:p>
        </w:tc>
        <w:tc>
          <w:tcPr>
            <w:tcW w:w="32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1,152</w:t>
            </w:r>
          </w:p>
        </w:tc>
        <w:tc>
          <w:tcPr>
            <w:tcW w:w="4500" w:type="dxa"/>
            <w:vAlign w:val="bottom"/>
          </w:tcPr>
          <w:p>
            <w:pPr>
              <w:spacing w:after="0"/>
              <w:rPr>
                <w:sz w:val="22"/>
                <w:szCs w:val="22"/>
                <w:color w:val="auto"/>
              </w:rPr>
            </w:pPr>
          </w:p>
        </w:tc>
      </w:tr>
      <w:tr>
        <w:trPr>
          <w:trHeight w:val="250"/>
        </w:trPr>
        <w:tc>
          <w:tcPr>
            <w:tcW w:w="4320" w:type="dxa"/>
            <w:vAlign w:val="bottom"/>
            <w:tcBorders>
              <w:bottom w:val="single" w:sz="8" w:color="E5FFFF"/>
            </w:tcBorders>
            <w:shd w:val="clear" w:color="auto" w:fill="E5FFFF"/>
          </w:tcPr>
          <w:p>
            <w:pPr>
              <w:ind w:left="120"/>
              <w:spacing w:after="0" w:line="250" w:lineRule="exact"/>
              <w:rPr>
                <w:sz w:val="20"/>
                <w:szCs w:val="20"/>
                <w:color w:val="auto"/>
              </w:rPr>
            </w:pPr>
            <w:r>
              <w:rPr>
                <w:rFonts w:ascii="Arial" w:cs="Arial" w:eastAsia="Arial" w:hAnsi="Arial"/>
                <w:sz w:val="22"/>
                <w:szCs w:val="22"/>
                <w:color w:val="auto"/>
              </w:rPr>
              <w:t>Total</w:t>
            </w: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20,346</w:t>
            </w:r>
          </w:p>
        </w:tc>
        <w:tc>
          <w:tcPr>
            <w:tcW w:w="32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15,328</w:t>
            </w:r>
          </w:p>
        </w:tc>
        <w:tc>
          <w:tcPr>
            <w:tcW w:w="450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3"/>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22"/>
                <w:szCs w:val="22"/>
                <w:color w:val="auto"/>
              </w:rPr>
              <w:t>16</w:t>
            </w:r>
          </w:p>
        </w:tc>
        <w:tc>
          <w:tcPr>
            <w:tcW w:w="4500" w:type="dxa"/>
            <w:vAlign w:val="bottom"/>
          </w:tcPr>
          <w:p>
            <w:pPr>
              <w:spacing w:after="0"/>
              <w:rPr>
                <w:sz w:val="24"/>
                <w:szCs w:val="24"/>
                <w:color w:val="auto"/>
              </w:rPr>
            </w:pPr>
          </w:p>
        </w:tc>
      </w:tr>
      <w:tr>
        <w:trPr>
          <w:trHeight w:val="240"/>
        </w:trPr>
        <w:tc>
          <w:tcPr>
            <w:tcW w:w="43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7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tcPr>
          <w:p>
            <w:pPr>
              <w:jc w:val="center"/>
              <w:ind w:left="92"/>
              <w:spacing w:after="0"/>
              <w:rPr>
                <w:sz w:val="20"/>
                <w:szCs w:val="20"/>
                <w:color w:val="auto"/>
              </w:rPr>
            </w:pPr>
            <w:r>
              <w:rPr>
                <w:rFonts w:ascii="Arial" w:cs="Arial" w:eastAsia="Arial" w:hAnsi="Arial"/>
                <w:sz w:val="22"/>
                <w:szCs w:val="22"/>
                <w:b w:val="1"/>
                <w:bCs w:val="1"/>
                <w:color w:val="auto"/>
                <w:w w:val="86"/>
              </w:rPr>
              <w:t>Asset Derivatives</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1"/>
              </w:rPr>
              <w:t>Liability Derivatives</w:t>
            </w: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tcPr>
          <w:p>
            <w:pPr>
              <w:jc w:val="center"/>
              <w:ind w:left="92"/>
              <w:spacing w:after="0" w:line="243" w:lineRule="exact"/>
              <w:rPr>
                <w:sz w:val="20"/>
                <w:szCs w:val="20"/>
                <w:color w:val="auto"/>
              </w:rPr>
            </w:pPr>
            <w:r>
              <w:rPr>
                <w:rFonts w:ascii="Arial" w:cs="Arial" w:eastAsia="Arial" w:hAnsi="Arial"/>
                <w:sz w:val="22"/>
                <w:szCs w:val="22"/>
                <w:b w:val="1"/>
                <w:bCs w:val="1"/>
                <w:color w:val="auto"/>
                <w:w w:val="93"/>
              </w:rPr>
              <w:t>Fair Value</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tcPr>
          <w:p>
            <w:pPr>
              <w:jc w:val="center"/>
              <w:ind w:left="532"/>
              <w:spacing w:after="0" w:line="243" w:lineRule="exact"/>
              <w:rPr>
                <w:sz w:val="20"/>
                <w:szCs w:val="20"/>
                <w:color w:val="auto"/>
              </w:rPr>
            </w:pPr>
            <w:r>
              <w:rPr>
                <w:rFonts w:ascii="Arial" w:cs="Arial" w:eastAsia="Arial" w:hAnsi="Arial"/>
                <w:sz w:val="22"/>
                <w:szCs w:val="22"/>
                <w:b w:val="1"/>
                <w:bCs w:val="1"/>
                <w:color w:val="auto"/>
                <w:w w:val="93"/>
              </w:rPr>
              <w:t>Fair Value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560"/>
              <w:spacing w:after="0" w:line="243" w:lineRule="exact"/>
              <w:rPr>
                <w:sz w:val="20"/>
                <w:szCs w:val="20"/>
                <w:color w:val="auto"/>
              </w:rPr>
            </w:pPr>
            <w:r>
              <w:rPr>
                <w:rFonts w:ascii="Arial" w:cs="Arial" w:eastAsia="Arial" w:hAnsi="Arial"/>
                <w:sz w:val="22"/>
                <w:szCs w:val="22"/>
                <w:b w:val="1"/>
                <w:bCs w:val="1"/>
                <w:color w:val="auto"/>
                <w:w w:val="89"/>
              </w:rPr>
              <w:t>July 31,</w:t>
            </w:r>
          </w:p>
        </w:tc>
        <w:tc>
          <w:tcPr>
            <w:tcW w:w="11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89"/>
              </w:rPr>
              <w:t>January 31,</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86"/>
              </w:rPr>
              <w:t>July 31,</w:t>
            </w:r>
          </w:p>
        </w:tc>
        <w:tc>
          <w:tcPr>
            <w:tcW w:w="440" w:type="dxa"/>
            <w:vAlign w:val="bottom"/>
          </w:tcPr>
          <w:p>
            <w:pPr>
              <w:spacing w:after="0"/>
              <w:rPr>
                <w:sz w:val="21"/>
                <w:szCs w:val="21"/>
                <w:color w:val="auto"/>
              </w:rPr>
            </w:pPr>
          </w:p>
        </w:tc>
        <w:tc>
          <w:tcPr>
            <w:tcW w:w="12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7"/>
              </w:rPr>
              <w:t>January 31,</w:t>
            </w:r>
          </w:p>
        </w:tc>
      </w:tr>
      <w:tr>
        <w:trPr>
          <w:trHeight w:val="270"/>
        </w:trPr>
        <w:tc>
          <w:tcPr>
            <w:tcW w:w="566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2023</w:t>
            </w:r>
          </w:p>
        </w:tc>
        <w:tc>
          <w:tcPr>
            <w:tcW w:w="440" w:type="dxa"/>
            <w:vAlign w:val="bottom"/>
            <w:tcBorders>
              <w:bottom w:val="single" w:sz="8" w:color="E5FFFF"/>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2023</w:t>
            </w:r>
          </w:p>
        </w:tc>
        <w:tc>
          <w:tcPr>
            <w:tcW w:w="340" w:type="dxa"/>
            <w:vAlign w:val="bottom"/>
            <w:tcBorders>
              <w:bottom w:val="single" w:sz="8" w:color="auto"/>
            </w:tcBorders>
          </w:tcPr>
          <w:p>
            <w:pPr>
              <w:spacing w:after="0"/>
              <w:rPr>
                <w:sz w:val="23"/>
                <w:szCs w:val="23"/>
                <w:color w:val="auto"/>
              </w:rPr>
            </w:pPr>
          </w:p>
        </w:tc>
        <w:tc>
          <w:tcPr>
            <w:tcW w:w="420" w:type="dxa"/>
            <w:vAlign w:val="bottom"/>
            <w:tcBorders>
              <w:bottom w:val="single" w:sz="8" w:color="E5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2023</w:t>
            </w:r>
          </w:p>
        </w:tc>
        <w:tc>
          <w:tcPr>
            <w:tcW w:w="440" w:type="dxa"/>
            <w:vAlign w:val="bottom"/>
            <w:tcBorders>
              <w:bottom w:val="single" w:sz="8" w:color="E5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5"/>
              </w:rPr>
              <w:t>2023</w:t>
            </w:r>
          </w:p>
        </w:tc>
        <w:tc>
          <w:tcPr>
            <w:tcW w:w="100" w:type="dxa"/>
            <w:vAlign w:val="bottom"/>
            <w:tcBorders>
              <w:bottom w:val="single" w:sz="8" w:color="E5FFFF"/>
            </w:tcBorders>
          </w:tcPr>
          <w:p>
            <w:pPr>
              <w:spacing w:after="0"/>
              <w:rPr>
                <w:sz w:val="23"/>
                <w:szCs w:val="23"/>
                <w:color w:val="auto"/>
              </w:rPr>
            </w:pPr>
          </w:p>
        </w:tc>
      </w:tr>
      <w:tr>
        <w:trPr>
          <w:trHeight w:val="237"/>
        </w:trPr>
        <w:tc>
          <w:tcPr>
            <w:tcW w:w="566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Commodity futures (1)</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5,673</w:t>
            </w:r>
          </w:p>
        </w:tc>
        <w:tc>
          <w:tcPr>
            <w:tcW w:w="44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80</w:t>
            </w:r>
          </w:p>
        </w:tc>
        <w:tc>
          <w:tcPr>
            <w:tcW w:w="420" w:type="dxa"/>
            <w:vAlign w:val="bottom"/>
            <w:shd w:val="clear" w:color="auto" w:fill="E5FFFF"/>
          </w:tcPr>
          <w:p>
            <w:pPr>
              <w:spacing w:after="0"/>
              <w:rPr>
                <w:sz w:val="20"/>
                <w:szCs w:val="20"/>
                <w:color w:val="auto"/>
              </w:rPr>
            </w:pPr>
          </w:p>
        </w:tc>
        <w:tc>
          <w:tcPr>
            <w:tcW w:w="1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67</w:t>
            </w:r>
          </w:p>
        </w:tc>
        <w:tc>
          <w:tcPr>
            <w:tcW w:w="100" w:type="dxa"/>
            <w:vAlign w:val="bottom"/>
            <w:shd w:val="clear" w:color="auto" w:fill="E5FFFF"/>
          </w:tcPr>
          <w:p>
            <w:pPr>
              <w:spacing w:after="0"/>
              <w:rPr>
                <w:sz w:val="20"/>
                <w:szCs w:val="20"/>
                <w:color w:val="auto"/>
              </w:rPr>
            </w:pPr>
          </w:p>
        </w:tc>
      </w:tr>
      <w:tr>
        <w:trPr>
          <w:trHeight w:val="243"/>
        </w:trPr>
        <w:tc>
          <w:tcPr>
            <w:tcW w:w="5660" w:type="dxa"/>
            <w:vAlign w:val="bottom"/>
          </w:tcPr>
          <w:p>
            <w:pPr>
              <w:ind w:left="100"/>
              <w:spacing w:after="0" w:line="243" w:lineRule="exact"/>
              <w:rPr>
                <w:sz w:val="20"/>
                <w:szCs w:val="20"/>
                <w:color w:val="auto"/>
              </w:rPr>
            </w:pPr>
            <w:r>
              <w:rPr>
                <w:rFonts w:ascii="Arial" w:cs="Arial" w:eastAsia="Arial" w:hAnsi="Arial"/>
                <w:sz w:val="22"/>
                <w:szCs w:val="22"/>
                <w:color w:val="auto"/>
              </w:rPr>
              <w:t>Forward purchase contracts (2)</w:t>
            </w:r>
          </w:p>
        </w:tc>
        <w:tc>
          <w:tcPr>
            <w:tcW w:w="120" w:type="dxa"/>
            <w:vAlign w:val="bottom"/>
          </w:tcPr>
          <w:p>
            <w:pPr>
              <w:spacing w:after="0"/>
              <w:rPr>
                <w:sz w:val="21"/>
                <w:szCs w:val="21"/>
                <w:color w:val="auto"/>
              </w:rPr>
            </w:pPr>
          </w:p>
        </w:tc>
        <w:tc>
          <w:tcPr>
            <w:tcW w:w="13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spacing w:after="0"/>
              <w:rPr>
                <w:sz w:val="21"/>
                <w:szCs w:val="21"/>
                <w:color w:val="auto"/>
              </w:rPr>
            </w:pP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w w:val="87"/>
              </w:rPr>
              <w:t>105</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10,707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355</w:t>
            </w:r>
          </w:p>
        </w:tc>
      </w:tr>
      <w:tr>
        <w:trPr>
          <w:trHeight w:val="237"/>
        </w:trPr>
        <w:tc>
          <w:tcPr>
            <w:tcW w:w="566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Total</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5,673</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76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3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7"/>
              </w:rPr>
              <w:t>185</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10,707</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3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7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422</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260" w:right="20" w:hanging="9"/>
        <w:spacing w:after="0" w:line="235" w:lineRule="auto"/>
        <w:tabs>
          <w:tab w:leader="none" w:pos="566"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futures assets are included in “Prepaid expenses and other” on the accompanying Consolidated Balance Sheets. These contracts include short/sell positions for approximately 9.6 million bushels at July 31, 2023. These contracts included short/sell positions and long/buy positions for approximately 3.2 million bushels and 725,000 bushels of corn, respectively at January 31, 2023. Commodity futures liabilities are included in “Accrued expenses and other current liabilities” on the accompanying Consolidated Balance Sheets. These contracts included short/sell positions for approximately 1.4 million bushels of corn at January 31, 2023.</w:t>
      </w:r>
    </w:p>
    <w:p>
      <w:pPr>
        <w:spacing w:after="0" w:line="214" w:lineRule="exact"/>
        <w:rPr>
          <w:rFonts w:ascii="Arial" w:cs="Arial" w:eastAsia="Arial" w:hAnsi="Arial"/>
          <w:sz w:val="22"/>
          <w:szCs w:val="22"/>
          <w:color w:val="auto"/>
        </w:rPr>
      </w:pPr>
    </w:p>
    <w:p>
      <w:pPr>
        <w:ind w:left="260" w:right="520" w:hanging="9"/>
        <w:spacing w:after="0" w:line="249" w:lineRule="auto"/>
        <w:tabs>
          <w:tab w:leader="none" w:pos="566" w:val="left"/>
        </w:tabs>
        <w:numPr>
          <w:ilvl w:val="0"/>
          <w:numId w:val="5"/>
        </w:numPr>
        <w:rPr>
          <w:rFonts w:ascii="Arial" w:cs="Arial" w:eastAsia="Arial" w:hAnsi="Arial"/>
          <w:sz w:val="21"/>
          <w:szCs w:val="21"/>
          <w:color w:val="auto"/>
        </w:rPr>
      </w:pPr>
      <w:r>
        <w:rPr>
          <w:rFonts w:ascii="Arial" w:cs="Arial" w:eastAsia="Arial" w:hAnsi="Arial"/>
          <w:sz w:val="21"/>
          <w:szCs w:val="21"/>
          <w:color w:val="auto"/>
        </w:rPr>
        <w:t>Forward contract liabilities are included in “Accrued expenses and other current liabilities” on the accompanying Consolidated Balance Sheets. These contracts were for purchases of approximately 16.3 million bushels and 12.8 million bushels of corn at July 31, 2023 and January 31, 2023, respectively. Forward purchase contracts assets are included in “Prepaid expenses and other” on the accompanying Consolidated Balance Sheets. These contracts were for purchases of approximately 5.2 million bushels of corn at January 31, 2023.</w:t>
      </w:r>
    </w:p>
    <w:p>
      <w:pPr>
        <w:spacing w:after="0" w:line="20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As of July 31, 2023, and January 31, 2023, all of the derivative financial instruments held by the Company were subject to enforceable master netting arrangements with the counterparties. The Company’s accounting policy is to offset positions and amounts owed with the same counterparties. As of July 31, 2023, and January 31, 2023, the gross positions of the enforceable master netting agreements were not significantly different from the net positions presented in the table above. Depending on the amount of an unrealized loss on a derivative contract held by the Company, the counterparties may require collateral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ind w:right="200"/>
        <w:spacing w:after="0" w:line="297" w:lineRule="auto"/>
        <w:rPr>
          <w:sz w:val="20"/>
          <w:szCs w:val="20"/>
          <w:color w:val="auto"/>
        </w:rPr>
      </w:pPr>
      <w:r>
        <w:rPr>
          <w:rFonts w:ascii="Arial" w:cs="Arial" w:eastAsia="Arial" w:hAnsi="Arial"/>
          <w:sz w:val="19"/>
          <w:szCs w:val="19"/>
          <w:color w:val="auto"/>
        </w:rPr>
        <w:t>secure the Company’s derivative contract position. The Company was required to maintain collateral in the amount of approximately $2.0 million and $1.7 million to secure the Company’s derivative liability positions at July 31, 2023 and January 31, 2023, respectively, which is recorded as “Restricted cash” on the accompanying Consolidated Balance Sheets.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recognized gains and (losses), which are included in “Net sales and revenue” in the accompanying</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 of Operations, on derivative financial instruments related to ethanol sales contracts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$0.1 million and $(1.5) million for the second quarter of fiscal years 2023 and 2022, respectively. The Company recognized gains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(losses) on derivative financial instruments related to ethanol sales contracts of approximately $0.9 million and $(1.2) million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for the first six months of fiscal years 2023 and 2022, respectively.</w:t>
      </w:r>
    </w:p>
    <w:p>
      <w:pPr>
        <w:spacing w:after="0" w:line="215"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The Company recognized losses, which are included in “Cost of sales” in the accompanying Consolidated Statement of Operations, on derivative financial instruments related to corn purchase contracts of approximately $0.8 and of $1.2 million for the second quarter of fiscal years 2023 and 2022, respectively. The Company recognized gains (losses) on derivative financial instruments related to corn purchase contracts of approximately $5.0 million and $(12.9) million for the first six months of fiscal years 2023 and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Investments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 in Big River</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July 31, 2023 and January 31, 2023 (dollars in thousands):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580" w:type="dxa"/>
            <w:vAlign w:val="bottom"/>
            <w:vMerge w:val="restart"/>
          </w:tcPr>
          <w:p>
            <w:pPr>
              <w:spacing w:after="0"/>
              <w:rPr>
                <w:sz w:val="20"/>
                <w:szCs w:val="20"/>
                <w:color w:val="auto"/>
              </w:rPr>
            </w:pPr>
            <w:r>
              <w:rPr>
                <w:rFonts w:ascii="Arial" w:cs="Arial" w:eastAsia="Arial" w:hAnsi="Arial"/>
                <w:sz w:val="22"/>
                <w:szCs w:val="22"/>
                <w:b w:val="1"/>
                <w:bCs w:val="1"/>
                <w:color w:val="auto"/>
                <w:w w:val="91"/>
              </w:rPr>
              <w:t>Entity</w:t>
            </w:r>
          </w:p>
        </w:tc>
        <w:tc>
          <w:tcPr>
            <w:tcW w:w="3180" w:type="dxa"/>
            <w:vAlign w:val="bottom"/>
            <w:vMerge w:val="restart"/>
          </w:tcPr>
          <w:p>
            <w:pPr>
              <w:spacing w:after="0"/>
              <w:rPr>
                <w:sz w:val="22"/>
                <w:szCs w:val="22"/>
                <w:color w:val="auto"/>
              </w:rPr>
            </w:pPr>
          </w:p>
        </w:tc>
        <w:tc>
          <w:tcPr>
            <w:tcW w:w="2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80" w:type="dxa"/>
            <w:vAlign w:val="bottom"/>
            <w:gridSpan w:val="4"/>
          </w:tcPr>
          <w:p>
            <w:pPr>
              <w:jc w:val="right"/>
              <w:ind w:right="820"/>
              <w:spacing w:after="0"/>
              <w:rPr>
                <w:sz w:val="20"/>
                <w:szCs w:val="20"/>
                <w:color w:val="auto"/>
              </w:rPr>
            </w:pPr>
            <w:r>
              <w:rPr>
                <w:rFonts w:ascii="Arial" w:cs="Arial" w:eastAsia="Arial" w:hAnsi="Arial"/>
                <w:sz w:val="22"/>
                <w:szCs w:val="22"/>
                <w:b w:val="1"/>
                <w:bCs w:val="1"/>
                <w:color w:val="auto"/>
              </w:rPr>
              <w:t>Carrying Amount</w:t>
            </w:r>
          </w:p>
        </w:tc>
        <w:tc>
          <w:tcPr>
            <w:tcW w:w="0" w:type="dxa"/>
            <w:vAlign w:val="bottom"/>
          </w:tcPr>
          <w:p>
            <w:pPr>
              <w:spacing w:after="0"/>
              <w:rPr>
                <w:sz w:val="1"/>
                <w:szCs w:val="1"/>
                <w:color w:val="auto"/>
              </w:rPr>
            </w:pPr>
          </w:p>
        </w:tc>
      </w:tr>
      <w:tr>
        <w:trPr>
          <w:trHeight w:val="248"/>
        </w:trPr>
        <w:tc>
          <w:tcPr>
            <w:tcW w:w="580" w:type="dxa"/>
            <w:vAlign w:val="bottom"/>
            <w:tcBorders>
              <w:bottom w:val="single" w:sz="8" w:color="auto"/>
            </w:tcBorders>
            <w:vMerge w:val="continue"/>
          </w:tcPr>
          <w:p>
            <w:pPr>
              <w:spacing w:after="0"/>
              <w:rPr>
                <w:sz w:val="21"/>
                <w:szCs w:val="21"/>
                <w:color w:val="auto"/>
              </w:rPr>
            </w:pPr>
          </w:p>
        </w:tc>
        <w:tc>
          <w:tcPr>
            <w:tcW w:w="3180" w:type="dxa"/>
            <w:vAlign w:val="bottom"/>
            <w:vMerge w:val="continue"/>
          </w:tcPr>
          <w:p>
            <w:pPr>
              <w:spacing w:after="0"/>
              <w:rPr>
                <w:sz w:val="21"/>
                <w:szCs w:val="21"/>
                <w:color w:val="auto"/>
              </w:rPr>
            </w:pPr>
          </w:p>
        </w:tc>
        <w:tc>
          <w:tcPr>
            <w:tcW w:w="2980" w:type="dxa"/>
            <w:vAlign w:val="bottom"/>
            <w:gridSpan w:val="2"/>
          </w:tcPr>
          <w:p>
            <w:pPr>
              <w:jc w:val="center"/>
              <w:ind w:right="460"/>
              <w:spacing w:after="0" w:line="243" w:lineRule="exact"/>
              <w:rPr>
                <w:sz w:val="20"/>
                <w:szCs w:val="20"/>
                <w:color w:val="auto"/>
              </w:rPr>
            </w:pPr>
            <w:r>
              <w:rPr>
                <w:rFonts w:ascii="Arial" w:cs="Arial" w:eastAsia="Arial" w:hAnsi="Arial"/>
                <w:sz w:val="22"/>
                <w:szCs w:val="22"/>
                <w:b w:val="1"/>
                <w:bCs w:val="1"/>
                <w:color w:val="auto"/>
                <w:w w:val="87"/>
              </w:rPr>
              <w:t>Ownership Percentage</w:t>
            </w:r>
          </w:p>
        </w:tc>
        <w:tc>
          <w:tcPr>
            <w:tcW w:w="1680" w:type="dxa"/>
            <w:vAlign w:val="bottom"/>
            <w:gridSpan w:val="2"/>
          </w:tcPr>
          <w:p>
            <w:pPr>
              <w:jc w:val="right"/>
              <w:ind w:right="480"/>
              <w:spacing w:after="0" w:line="243" w:lineRule="exact"/>
              <w:rPr>
                <w:sz w:val="20"/>
                <w:szCs w:val="20"/>
                <w:color w:val="auto"/>
              </w:rPr>
            </w:pPr>
            <w:r>
              <w:rPr>
                <w:rFonts w:ascii="Arial" w:cs="Arial" w:eastAsia="Arial" w:hAnsi="Arial"/>
                <w:sz w:val="22"/>
                <w:szCs w:val="22"/>
                <w:b w:val="1"/>
                <w:bCs w:val="1"/>
                <w:color w:val="auto"/>
                <w:w w:val="86"/>
              </w:rPr>
              <w:t>July 31, 2023</w:t>
            </w:r>
          </w:p>
        </w:tc>
        <w:tc>
          <w:tcPr>
            <w:tcW w:w="1600" w:type="dxa"/>
            <w:vAlign w:val="bottom"/>
            <w:gridSpan w:val="2"/>
          </w:tcPr>
          <w:p>
            <w:pPr>
              <w:jc w:val="right"/>
              <w:ind w:right="20"/>
              <w:spacing w:after="0" w:line="243" w:lineRule="exact"/>
              <w:rPr>
                <w:sz w:val="20"/>
                <w:szCs w:val="20"/>
                <w:color w:val="auto"/>
              </w:rPr>
            </w:pPr>
            <w:r>
              <w:rPr>
                <w:rFonts w:ascii="Arial" w:cs="Arial" w:eastAsia="Arial" w:hAnsi="Arial"/>
                <w:sz w:val="22"/>
                <w:szCs w:val="22"/>
                <w:b w:val="1"/>
                <w:bCs w:val="1"/>
                <w:color w:val="auto"/>
                <w:w w:val="88"/>
              </w:rPr>
              <w:t>January 31, 2023</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22"/>
                <w:szCs w:val="22"/>
                <w:color w:val="auto"/>
              </w:rPr>
              <w:t>Big River</w:t>
            </w:r>
          </w:p>
        </w:tc>
        <w:tc>
          <w:tcPr>
            <w:tcW w:w="250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760" w:type="dxa"/>
            <w:vAlign w:val="bottom"/>
            <w:gridSpan w:val="2"/>
            <w:vMerge w:val="continue"/>
          </w:tcPr>
          <w:p>
            <w:pPr>
              <w:spacing w:after="0"/>
              <w:rPr>
                <w:sz w:val="22"/>
                <w:szCs w:val="22"/>
                <w:color w:val="auto"/>
              </w:rPr>
            </w:pPr>
          </w:p>
        </w:tc>
        <w:tc>
          <w:tcPr>
            <w:tcW w:w="2500" w:type="dxa"/>
            <w:vAlign w:val="bottom"/>
          </w:tcPr>
          <w:p>
            <w:pPr>
              <w:jc w:val="right"/>
              <w:ind w:right="852"/>
              <w:spacing w:after="0"/>
              <w:rPr>
                <w:sz w:val="20"/>
                <w:szCs w:val="20"/>
                <w:color w:val="auto"/>
              </w:rPr>
            </w:pPr>
            <w:r>
              <w:rPr>
                <w:rFonts w:ascii="Arial" w:cs="Arial" w:eastAsia="Arial" w:hAnsi="Arial"/>
                <w:sz w:val="22"/>
                <w:szCs w:val="22"/>
                <w:color w:val="auto"/>
              </w:rPr>
              <w:t>10.3%</w:t>
            </w:r>
          </w:p>
        </w:tc>
        <w:tc>
          <w:tcPr>
            <w:tcW w:w="480" w:type="dxa"/>
            <w:vAlign w:val="bottom"/>
            <w:vMerge w:val="continue"/>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$37,582</w:t>
            </w:r>
          </w:p>
        </w:tc>
        <w:tc>
          <w:tcPr>
            <w:tcW w:w="460" w:type="dxa"/>
            <w:vAlign w:val="bottom"/>
            <w:vMerge w:val="continue"/>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$33,045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Undistributed earnings of the Company’s equity method investee totaled approximately $17.6 million and approximately $13.0 million at July 31, 2023 and January 31, 2023, respectively. The Company did not receive any dividends from its equity method investee in the first six months of fiscal year 2023 or 2022.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8" w:name="page19"/>
    <w:bookmarkEnd w:id="18"/>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Pr>
          <w:p>
            <w:pPr>
              <w:spacing w:after="0"/>
              <w:rPr>
                <w:sz w:val="21"/>
                <w:szCs w:val="21"/>
                <w:color w:val="auto"/>
              </w:rPr>
            </w:pPr>
          </w:p>
        </w:tc>
        <w:tc>
          <w:tcPr>
            <w:tcW w:w="2480" w:type="dxa"/>
            <w:vAlign w:val="bottom"/>
            <w:gridSpan w:val="6"/>
          </w:tcPr>
          <w:p>
            <w:pPr>
              <w:ind w:left="20"/>
              <w:spacing w:after="0"/>
              <w:rPr>
                <w:sz w:val="20"/>
                <w:szCs w:val="20"/>
                <w:color w:val="auto"/>
              </w:rPr>
            </w:pPr>
            <w:r>
              <w:rPr>
                <w:rFonts w:ascii="Arial" w:cs="Arial" w:eastAsia="Arial" w:hAnsi="Arial"/>
                <w:sz w:val="22"/>
                <w:szCs w:val="22"/>
                <w:b w:val="1"/>
                <w:bCs w:val="1"/>
                <w:color w:val="auto"/>
              </w:rPr>
              <w:t>Three Months Ended</w:t>
            </w:r>
          </w:p>
        </w:tc>
        <w:tc>
          <w:tcPr>
            <w:tcW w:w="100" w:type="dxa"/>
            <w:vAlign w:val="bottom"/>
          </w:tcPr>
          <w:p>
            <w:pPr>
              <w:spacing w:after="0"/>
              <w:rPr>
                <w:sz w:val="21"/>
                <w:szCs w:val="21"/>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90"/>
              </w:rPr>
              <w:t>Six Months Ended</w:t>
            </w:r>
          </w:p>
        </w:tc>
      </w:tr>
      <w:tr>
        <w:trPr>
          <w:trHeight w:val="257"/>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gridSpan w:val="5"/>
          </w:tcPr>
          <w:p>
            <w:pPr>
              <w:jc w:val="right"/>
              <w:ind w:right="1100"/>
              <w:spacing w:after="0"/>
              <w:rPr>
                <w:sz w:val="20"/>
                <w:szCs w:val="20"/>
                <w:color w:val="auto"/>
              </w:rPr>
            </w:pPr>
            <w:r>
              <w:rPr>
                <w:rFonts w:ascii="Arial" w:cs="Arial" w:eastAsia="Arial" w:hAnsi="Arial"/>
                <w:sz w:val="22"/>
                <w:szCs w:val="22"/>
                <w:b w:val="1"/>
                <w:bCs w:val="1"/>
                <w:color w:val="auto"/>
              </w:rPr>
              <w:t>July 31,</w:t>
            </w:r>
          </w:p>
        </w:tc>
        <w:tc>
          <w:tcPr>
            <w:tcW w:w="100" w:type="dxa"/>
            <w:vAlign w:val="bottom"/>
          </w:tcPr>
          <w:p>
            <w:pPr>
              <w:spacing w:after="0"/>
              <w:rPr>
                <w:sz w:val="22"/>
                <w:szCs w:val="22"/>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22"/>
                <w:szCs w:val="22"/>
                <w:b w:val="1"/>
                <w:bCs w:val="1"/>
                <w:color w:val="auto"/>
                <w:w w:val="89"/>
              </w:rPr>
              <w:t>July 31,</w:t>
            </w:r>
          </w:p>
        </w:tc>
      </w:tr>
      <w:tr>
        <w:trPr>
          <w:trHeight w:val="270"/>
        </w:trPr>
        <w:tc>
          <w:tcPr>
            <w:tcW w:w="660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2023</w:t>
            </w:r>
          </w:p>
        </w:tc>
        <w:tc>
          <w:tcPr>
            <w:tcW w:w="44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2022</w:t>
            </w:r>
          </w:p>
        </w:tc>
        <w:tc>
          <w:tcPr>
            <w:tcW w:w="44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2023</w:t>
            </w:r>
          </w:p>
        </w:tc>
        <w:tc>
          <w:tcPr>
            <w:tcW w:w="44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8"/>
              </w:rPr>
              <w:t>2022</w:t>
            </w:r>
          </w:p>
        </w:tc>
        <w:tc>
          <w:tcPr>
            <w:tcW w:w="100" w:type="dxa"/>
            <w:vAlign w:val="bottom"/>
            <w:tcBorders>
              <w:bottom w:val="single" w:sz="8" w:color="E5FFFF"/>
            </w:tcBorders>
          </w:tcPr>
          <w:p>
            <w:pPr>
              <w:spacing w:after="0"/>
              <w:rPr>
                <w:sz w:val="23"/>
                <w:szCs w:val="23"/>
                <w:color w:val="auto"/>
              </w:rPr>
            </w:pPr>
          </w:p>
        </w:tc>
      </w:tr>
      <w:tr>
        <w:trPr>
          <w:trHeight w:val="237"/>
        </w:trPr>
        <w:tc>
          <w:tcPr>
            <w:tcW w:w="6600" w:type="dxa"/>
            <w:vAlign w:val="bottom"/>
            <w:shd w:val="clear" w:color="auto" w:fill="E5FFFF"/>
          </w:tcPr>
          <w:p>
            <w:pPr>
              <w:ind w:left="120"/>
              <w:spacing w:after="0" w:line="237" w:lineRule="exact"/>
              <w:rPr>
                <w:sz w:val="20"/>
                <w:szCs w:val="20"/>
                <w:color w:val="auto"/>
              </w:rPr>
            </w:pPr>
            <w:r>
              <w:rPr>
                <w:rFonts w:ascii="Arial" w:cs="Arial" w:eastAsia="Arial" w:hAnsi="Arial"/>
                <w:sz w:val="22"/>
                <w:szCs w:val="22"/>
                <w:color w:val="auto"/>
              </w:rPr>
              <w:t>Net sales and revenue</w:t>
            </w:r>
          </w:p>
        </w:tc>
        <w:tc>
          <w:tcPr>
            <w:tcW w:w="100" w:type="dxa"/>
            <w:vAlign w:val="bottom"/>
            <w:shd w:val="clear" w:color="auto" w:fill="E5FFFF"/>
          </w:tcPr>
          <w:p>
            <w:pPr>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5"/>
              </w:rPr>
              <w:t>402,119</w:t>
            </w:r>
          </w:p>
        </w:tc>
        <w:tc>
          <w:tcPr>
            <w:tcW w:w="440" w:type="dxa"/>
            <w:vAlign w:val="bottom"/>
            <w:shd w:val="clear" w:color="auto" w:fill="E5FFFF"/>
          </w:tcPr>
          <w:p>
            <w:pPr>
              <w:spacing w:after="0"/>
              <w:rPr>
                <w:sz w:val="20"/>
                <w:szCs w:val="20"/>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5"/>
              </w:rPr>
              <w:t>450,396</w:t>
            </w:r>
          </w:p>
        </w:tc>
        <w:tc>
          <w:tcPr>
            <w:tcW w:w="440" w:type="dxa"/>
            <w:vAlign w:val="bottom"/>
            <w:shd w:val="clear" w:color="auto" w:fill="E5FFFF"/>
          </w:tcPr>
          <w:p>
            <w:pPr>
              <w:spacing w:after="0"/>
              <w:rPr>
                <w:sz w:val="20"/>
                <w:szCs w:val="20"/>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5"/>
              </w:rPr>
              <w:t>776,622</w:t>
            </w:r>
          </w:p>
        </w:tc>
        <w:tc>
          <w:tcPr>
            <w:tcW w:w="44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5"/>
              </w:rPr>
              <w:t>802,142</w:t>
            </w:r>
          </w:p>
        </w:tc>
        <w:tc>
          <w:tcPr>
            <w:tcW w:w="100" w:type="dxa"/>
            <w:vAlign w:val="bottom"/>
            <w:shd w:val="clear" w:color="auto" w:fill="E5FFFF"/>
          </w:tcPr>
          <w:p>
            <w:pPr>
              <w:spacing w:after="0"/>
              <w:rPr>
                <w:sz w:val="20"/>
                <w:szCs w:val="20"/>
                <w:color w:val="auto"/>
              </w:rPr>
            </w:pPr>
          </w:p>
        </w:tc>
      </w:tr>
      <w:tr>
        <w:trPr>
          <w:trHeight w:val="243"/>
        </w:trPr>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Gross profit</w:t>
            </w: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36,973</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27,137</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54,525</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49,161</w:t>
            </w:r>
          </w:p>
        </w:tc>
      </w:tr>
      <w:tr>
        <w:trPr>
          <w:trHeight w:val="243"/>
        </w:trPr>
        <w:tc>
          <w:tcPr>
            <w:tcW w:w="66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Income from continuing operations</w:t>
            </w:r>
          </w:p>
        </w:tc>
        <w:tc>
          <w:tcPr>
            <w:tcW w:w="100" w:type="dxa"/>
            <w:vAlign w:val="bottom"/>
            <w:shd w:val="clear" w:color="auto" w:fill="E5FFFF"/>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29,552</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34,891</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43,999</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53,816</w:t>
            </w:r>
          </w:p>
        </w:tc>
      </w:tr>
      <w:tr>
        <w:trPr>
          <w:trHeight w:val="274"/>
        </w:trPr>
        <w:tc>
          <w:tcPr>
            <w:tcW w:w="6600" w:type="dxa"/>
            <w:vAlign w:val="bottom"/>
          </w:tcPr>
          <w:p>
            <w:pPr>
              <w:ind w:left="120"/>
              <w:spacing w:after="0"/>
              <w:rPr>
                <w:sz w:val="20"/>
                <w:szCs w:val="20"/>
                <w:color w:val="auto"/>
              </w:rPr>
            </w:pPr>
            <w:r>
              <w:rPr>
                <w:rFonts w:ascii="Arial" w:cs="Arial" w:eastAsia="Arial" w:hAnsi="Arial"/>
                <w:sz w:val="22"/>
                <w:szCs w:val="22"/>
                <w:color w:val="auto"/>
              </w:rPr>
              <w:t>Net income</w:t>
            </w: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40"/>
              <w:spacing w:after="0"/>
              <w:rPr>
                <w:sz w:val="20"/>
                <w:szCs w:val="20"/>
                <w:color w:val="auto"/>
              </w:rPr>
            </w:pPr>
            <w:r>
              <w:rPr>
                <w:rFonts w:ascii="Arial" w:cs="Arial" w:eastAsia="Arial" w:hAnsi="Arial"/>
                <w:sz w:val="22"/>
                <w:szCs w:val="22"/>
                <w:color w:val="auto"/>
              </w:rPr>
              <w:t>29,552</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40"/>
              <w:spacing w:after="0"/>
              <w:rPr>
                <w:sz w:val="20"/>
                <w:szCs w:val="20"/>
                <w:color w:val="auto"/>
              </w:rPr>
            </w:pPr>
            <w:r>
              <w:rPr>
                <w:rFonts w:ascii="Arial" w:cs="Arial" w:eastAsia="Arial" w:hAnsi="Arial"/>
                <w:sz w:val="22"/>
                <w:szCs w:val="22"/>
                <w:color w:val="auto"/>
              </w:rPr>
              <w:t>34,891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420"/>
              <w:spacing w:after="0"/>
              <w:rPr>
                <w:sz w:val="20"/>
                <w:szCs w:val="20"/>
                <w:color w:val="auto"/>
              </w:rPr>
            </w:pPr>
            <w:r>
              <w:rPr>
                <w:rFonts w:ascii="Arial" w:cs="Arial" w:eastAsia="Arial" w:hAnsi="Arial"/>
                <w:sz w:val="22"/>
                <w:szCs w:val="22"/>
                <w:color w:val="auto"/>
              </w:rPr>
              <w:t>43,999</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gridSpan w:val="2"/>
          </w:tcPr>
          <w:p>
            <w:pPr>
              <w:jc w:val="right"/>
              <w:ind w:right="100"/>
              <w:spacing w:after="0"/>
              <w:rPr>
                <w:sz w:val="20"/>
                <w:szCs w:val="20"/>
                <w:color w:val="auto"/>
              </w:rPr>
            </w:pPr>
            <w:r>
              <w:rPr>
                <w:rFonts w:ascii="Arial" w:cs="Arial" w:eastAsia="Arial" w:hAnsi="Arial"/>
                <w:sz w:val="22"/>
                <w:szCs w:val="22"/>
                <w:color w:val="auto"/>
              </w:rPr>
              <w:t>53,816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Investments</w:t>
      </w:r>
    </w:p>
    <w:p>
      <w:pPr>
        <w:spacing w:after="0" w:line="23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At July 31, 2023, the Company owned United States Treasury Bills (classified as short-term investments) that had an amortized cost, or carrying value, of approximately $182.2 million. The contractual maturity of these investments was less than one year. The yield to maturity rate was approximately 5.1%. Unrealized gains or losses were insignificant.</w:t>
      </w:r>
    </w:p>
    <w:p>
      <w:pPr>
        <w:spacing w:after="0" w:line="161"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At January 31, 2023, the Company owned United States Treasury Bills (classified as short-term investments) that had an amortized cost, or carrying value, of approximately $211.3 million. The contractual maturity of these investments was less than one year. The yield to maturity rate was approximately 3.9%. Unrealized gains or losses were insignificant.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2023, 1,229,116 shares remain available for issuance under the Plan, excluding the impact of the 67,500 restricted stock units that may vest between zero and 135,000 shares of stock depending on certain performance metrics being achieved.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Awards</w:t>
      </w:r>
    </w:p>
    <w:p>
      <w:pPr>
        <w:spacing w:after="0" w:line="239"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22"/>
          <w:szCs w:val="22"/>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stock-based on the then closing market price of REX common stock on the grant date. The Company’s board of directors has determined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t>that the grant date will be June 15</w:t>
      </w:r>
      <w:r>
        <w:rPr>
          <w:rFonts w:ascii="Arial" w:cs="Arial" w:eastAsia="Arial" w:hAnsi="Arial"/>
          <w:sz w:val="30"/>
          <w:szCs w:val="30"/>
          <w:color w:val="auto"/>
          <w:vertAlign w:val="superscript"/>
        </w:rPr>
        <w:t>th</w:t>
      </w:r>
      <w:r>
        <w:rPr>
          <w:rFonts w:ascii="Arial" w:cs="Arial" w:eastAsia="Arial" w:hAnsi="Arial"/>
          <w:sz w:val="19"/>
          <w:szCs w:val="19"/>
          <w:color w:val="auto"/>
        </w:rPr>
        <w:t>, or the next business day if June 15</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is not a business day, for all grants of restricted stock.</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July 31, 2023 and January 31, 2023, unrecognized compensation cost related to nonvested restricted stock awards was approximately $638,000 and $450,000 respectively. The following tables summarize non-vested restricted stock award activity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40" w:type="dxa"/>
            <w:vAlign w:val="bottom"/>
          </w:tcPr>
          <w:p>
            <w:pPr>
              <w:spacing w:after="0"/>
              <w:rPr>
                <w:sz w:val="24"/>
                <w:szCs w:val="24"/>
                <w:color w:val="auto"/>
              </w:rPr>
            </w:pPr>
          </w:p>
        </w:tc>
        <w:tc>
          <w:tcPr>
            <w:tcW w:w="5120" w:type="dxa"/>
            <w:vAlign w:val="bottom"/>
            <w:gridSpan w:val="7"/>
          </w:tcPr>
          <w:p>
            <w:pPr>
              <w:ind w:left="1020"/>
              <w:spacing w:after="0"/>
              <w:rPr>
                <w:sz w:val="20"/>
                <w:szCs w:val="20"/>
                <w:color w:val="auto"/>
              </w:rPr>
            </w:pPr>
            <w:r>
              <w:rPr>
                <w:rFonts w:ascii="Arial" w:cs="Arial" w:eastAsia="Arial" w:hAnsi="Arial"/>
                <w:sz w:val="22"/>
                <w:szCs w:val="22"/>
                <w:b w:val="1"/>
                <w:bCs w:val="1"/>
                <w:color w:val="auto"/>
              </w:rPr>
              <w:t>Six Months Ended July 31, 2023</w:t>
            </w:r>
          </w:p>
        </w:tc>
        <w:tc>
          <w:tcPr>
            <w:tcW w:w="0" w:type="dxa"/>
            <w:vAlign w:val="bottom"/>
          </w:tcPr>
          <w:p>
            <w:pPr>
              <w:spacing w:after="0"/>
              <w:rPr>
                <w:sz w:val="1"/>
                <w:szCs w:val="1"/>
                <w:color w:val="auto"/>
              </w:rPr>
            </w:pPr>
          </w:p>
        </w:tc>
      </w:tr>
      <w:tr>
        <w:trPr>
          <w:trHeight w:val="449"/>
        </w:trPr>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88"/>
              </w:rPr>
              <w:t>Weighted</w:t>
            </w:r>
          </w:p>
        </w:tc>
        <w:tc>
          <w:tcPr>
            <w:tcW w:w="19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Average Grant</w:t>
            </w:r>
          </w:p>
        </w:tc>
        <w:tc>
          <w:tcPr>
            <w:tcW w:w="196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90"/>
              </w:rPr>
              <w:t>Average Remaining</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38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6"/>
              </w:rPr>
              <w:t>Non-Vested</w:t>
            </w:r>
          </w:p>
        </w:tc>
        <w:tc>
          <w:tcPr>
            <w:tcW w:w="17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Date Fair Value</w:t>
            </w:r>
          </w:p>
        </w:tc>
        <w:tc>
          <w:tcPr>
            <w:tcW w:w="196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7"/>
              </w:rPr>
              <w:t>Vesting Term</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4"/>
              </w:rPr>
              <w:t>Shares</w:t>
            </w:r>
          </w:p>
        </w:tc>
        <w:tc>
          <w:tcPr>
            <w:tcW w:w="180" w:type="dxa"/>
            <w:vAlign w:val="bottom"/>
          </w:tcPr>
          <w:p>
            <w:pPr>
              <w:spacing w:after="0"/>
              <w:rPr>
                <w:sz w:val="23"/>
                <w:szCs w:val="23"/>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22"/>
                <w:szCs w:val="22"/>
                <w:b w:val="1"/>
                <w:bCs w:val="1"/>
                <w:color w:val="auto"/>
                <w:w w:val="88"/>
              </w:rPr>
              <w:t>(000’s)</w:t>
            </w:r>
          </w:p>
        </w:tc>
        <w:tc>
          <w:tcPr>
            <w:tcW w:w="19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(in years)</w:t>
            </w:r>
          </w:p>
        </w:tc>
        <w:tc>
          <w:tcPr>
            <w:tcW w:w="0" w:type="dxa"/>
            <w:vAlign w:val="bottom"/>
          </w:tcPr>
          <w:p>
            <w:pPr>
              <w:spacing w:after="0"/>
              <w:rPr>
                <w:sz w:val="1"/>
                <w:szCs w:val="1"/>
                <w:color w:val="auto"/>
              </w:rPr>
            </w:pPr>
          </w:p>
        </w:tc>
      </w:tr>
      <w:tr>
        <w:trPr>
          <w:trHeight w:val="236"/>
        </w:trPr>
        <w:tc>
          <w:tcPr>
            <w:tcW w:w="444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Non-Vested at January 31, 2023</w:t>
            </w:r>
          </w:p>
        </w:tc>
        <w:tc>
          <w:tcPr>
            <w:tcW w:w="10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81,264</w:t>
            </w:r>
          </w:p>
        </w:tc>
        <w:tc>
          <w:tcPr>
            <w:tcW w:w="34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12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2,320</w:t>
            </w:r>
          </w:p>
        </w:tc>
        <w:tc>
          <w:tcPr>
            <w:tcW w:w="340" w:type="dxa"/>
            <w:vAlign w:val="bottom"/>
            <w:tcBorders>
              <w:top w:val="single" w:sz="8" w:color="E5FFFF"/>
            </w:tcBorders>
            <w:shd w:val="clear" w:color="auto" w:fill="E5FFFF"/>
          </w:tcPr>
          <w:p>
            <w:pPr>
              <w:spacing w:after="0"/>
              <w:rPr>
                <w:sz w:val="20"/>
                <w:szCs w:val="20"/>
                <w:color w:val="auto"/>
              </w:rPr>
            </w:pPr>
          </w:p>
        </w:tc>
        <w:tc>
          <w:tcPr>
            <w:tcW w:w="18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w:t>
            </w:r>
          </w:p>
        </w:tc>
        <w:tc>
          <w:tcPr>
            <w:tcW w:w="10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3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113,726</w:t>
            </w:r>
          </w:p>
        </w:tc>
        <w:tc>
          <w:tcPr>
            <w:tcW w:w="1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3,945</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Forfeited</w:t>
            </w:r>
          </w:p>
        </w:tc>
        <w:tc>
          <w:tcPr>
            <w:tcW w:w="13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spacing w:after="0"/>
              <w:rPr>
                <w:sz w:val="21"/>
                <w:szCs w:val="21"/>
                <w:color w:val="auto"/>
              </w:rPr>
            </w:pPr>
          </w:p>
        </w:tc>
        <w:tc>
          <w:tcPr>
            <w:tcW w:w="18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00"/>
              <w:spacing w:after="0" w:line="243" w:lineRule="exact"/>
              <w:rPr>
                <w:sz w:val="20"/>
                <w:szCs w:val="20"/>
                <w:color w:val="auto"/>
              </w:rPr>
            </w:pPr>
            <w:r>
              <w:rPr>
                <w:rFonts w:ascii="Arial" w:cs="Arial" w:eastAsia="Arial" w:hAnsi="Arial"/>
                <w:sz w:val="22"/>
                <w:szCs w:val="22"/>
                <w:color w:val="auto"/>
              </w:rPr>
              <w:t>Vested</w:t>
            </w:r>
          </w:p>
        </w:tc>
        <w:tc>
          <w:tcPr>
            <w:tcW w:w="13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32,135</w:t>
            </w:r>
          </w:p>
        </w:tc>
        <w:tc>
          <w:tcPr>
            <w:tcW w:w="1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896</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Non-Vested at July 31, 2023</w:t>
            </w:r>
          </w:p>
        </w:tc>
        <w:tc>
          <w:tcPr>
            <w:tcW w:w="13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162,855</w:t>
            </w: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5,369</w:t>
            </w:r>
          </w:p>
        </w:tc>
        <w:tc>
          <w:tcPr>
            <w:tcW w:w="340" w:type="dxa"/>
            <w:vAlign w:val="bottom"/>
            <w:shd w:val="clear" w:color="auto" w:fill="E5FFFF"/>
          </w:tcPr>
          <w:p>
            <w:pPr>
              <w:spacing w:after="0"/>
              <w:rPr>
                <w:sz w:val="21"/>
                <w:szCs w:val="21"/>
                <w:color w:val="auto"/>
              </w:rPr>
            </w:pPr>
          </w:p>
        </w:tc>
        <w:tc>
          <w:tcPr>
            <w:tcW w:w="19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444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200" w:type="dxa"/>
            <w:vAlign w:val="bottom"/>
            <w:tcBorders>
              <w:top w:val="single" w:sz="8" w:color="E5FFFF"/>
            </w:tcBorders>
            <w:gridSpan w:val="2"/>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440" w:type="dxa"/>
            <w:vAlign w:val="bottom"/>
          </w:tcPr>
          <w:p>
            <w:pPr>
              <w:spacing w:after="0"/>
              <w:rPr>
                <w:sz w:val="24"/>
                <w:szCs w:val="24"/>
                <w:color w:val="auto"/>
              </w:rPr>
            </w:pPr>
          </w:p>
        </w:tc>
        <w:tc>
          <w:tcPr>
            <w:tcW w:w="5120" w:type="dxa"/>
            <w:vAlign w:val="bottom"/>
            <w:gridSpan w:val="7"/>
          </w:tcPr>
          <w:p>
            <w:pPr>
              <w:ind w:left="1020"/>
              <w:spacing w:after="0"/>
              <w:rPr>
                <w:sz w:val="20"/>
                <w:szCs w:val="20"/>
                <w:color w:val="auto"/>
              </w:rPr>
            </w:pPr>
            <w:r>
              <w:rPr>
                <w:rFonts w:ascii="Arial" w:cs="Arial" w:eastAsia="Arial" w:hAnsi="Arial"/>
                <w:sz w:val="22"/>
                <w:szCs w:val="22"/>
                <w:b w:val="1"/>
                <w:bCs w:val="1"/>
                <w:color w:val="auto"/>
              </w:rPr>
              <w:t>Six Months Ended July 31, 2022</w:t>
            </w:r>
          </w:p>
        </w:tc>
        <w:tc>
          <w:tcPr>
            <w:tcW w:w="0" w:type="dxa"/>
            <w:vAlign w:val="bottom"/>
          </w:tcPr>
          <w:p>
            <w:pPr>
              <w:spacing w:after="0"/>
              <w:rPr>
                <w:sz w:val="1"/>
                <w:szCs w:val="1"/>
                <w:color w:val="auto"/>
              </w:rPr>
            </w:pPr>
          </w:p>
        </w:tc>
      </w:tr>
      <w:tr>
        <w:trPr>
          <w:trHeight w:val="449"/>
        </w:trPr>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88"/>
              </w:rPr>
              <w:t>Weighted</w:t>
            </w:r>
          </w:p>
        </w:tc>
        <w:tc>
          <w:tcPr>
            <w:tcW w:w="19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Average Grant</w:t>
            </w:r>
          </w:p>
        </w:tc>
        <w:tc>
          <w:tcPr>
            <w:tcW w:w="196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90"/>
              </w:rPr>
              <w:t>Average Remaining</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38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6"/>
              </w:rPr>
              <w:t>Non-Vested</w:t>
            </w:r>
          </w:p>
        </w:tc>
        <w:tc>
          <w:tcPr>
            <w:tcW w:w="17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Date Fair Value</w:t>
            </w:r>
          </w:p>
        </w:tc>
        <w:tc>
          <w:tcPr>
            <w:tcW w:w="196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7"/>
              </w:rPr>
              <w:t>Vesting Term</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4"/>
              </w:rPr>
              <w:t>Shares</w:t>
            </w:r>
          </w:p>
        </w:tc>
        <w:tc>
          <w:tcPr>
            <w:tcW w:w="180" w:type="dxa"/>
            <w:vAlign w:val="bottom"/>
          </w:tcPr>
          <w:p>
            <w:pPr>
              <w:spacing w:after="0"/>
              <w:rPr>
                <w:sz w:val="23"/>
                <w:szCs w:val="23"/>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22"/>
                <w:szCs w:val="22"/>
                <w:b w:val="1"/>
                <w:bCs w:val="1"/>
                <w:color w:val="auto"/>
                <w:w w:val="88"/>
              </w:rPr>
              <w:t>(000’s)</w:t>
            </w:r>
          </w:p>
        </w:tc>
        <w:tc>
          <w:tcPr>
            <w:tcW w:w="19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(in years)</w:t>
            </w:r>
          </w:p>
        </w:tc>
        <w:tc>
          <w:tcPr>
            <w:tcW w:w="0" w:type="dxa"/>
            <w:vAlign w:val="bottom"/>
          </w:tcPr>
          <w:p>
            <w:pPr>
              <w:spacing w:after="0"/>
              <w:rPr>
                <w:sz w:val="1"/>
                <w:szCs w:val="1"/>
                <w:color w:val="auto"/>
              </w:rPr>
            </w:pPr>
          </w:p>
        </w:tc>
      </w:tr>
      <w:tr>
        <w:trPr>
          <w:trHeight w:val="237"/>
        </w:trPr>
        <w:tc>
          <w:tcPr>
            <w:tcW w:w="4440" w:type="dxa"/>
            <w:vAlign w:val="bottom"/>
            <w:tcBorders>
              <w:top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Non-Vested at January 31, 2022</w:t>
            </w:r>
          </w:p>
        </w:tc>
        <w:tc>
          <w:tcPr>
            <w:tcW w:w="10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30,167</w:t>
            </w:r>
          </w:p>
        </w:tc>
        <w:tc>
          <w:tcPr>
            <w:tcW w:w="34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12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773</w:t>
            </w:r>
          </w:p>
        </w:tc>
        <w:tc>
          <w:tcPr>
            <w:tcW w:w="340" w:type="dxa"/>
            <w:vAlign w:val="bottom"/>
            <w:tcBorders>
              <w:top w:val="single" w:sz="8" w:color="E5FFFF"/>
            </w:tcBorders>
            <w:shd w:val="clear" w:color="auto" w:fill="E5FFFF"/>
          </w:tcPr>
          <w:p>
            <w:pPr>
              <w:spacing w:after="0"/>
              <w:rPr>
                <w:sz w:val="20"/>
                <w:szCs w:val="20"/>
                <w:color w:val="auto"/>
              </w:rPr>
            </w:pPr>
          </w:p>
        </w:tc>
        <w:tc>
          <w:tcPr>
            <w:tcW w:w="18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w:t>
            </w:r>
          </w:p>
        </w:tc>
        <w:tc>
          <w:tcPr>
            <w:tcW w:w="10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00"/>
              <w:spacing w:after="0" w:line="243" w:lineRule="exact"/>
              <w:rPr>
                <w:sz w:val="20"/>
                <w:szCs w:val="20"/>
                <w:color w:val="auto"/>
              </w:rPr>
            </w:pPr>
            <w:r>
              <w:rPr>
                <w:rFonts w:ascii="Arial" w:cs="Arial" w:eastAsia="Arial" w:hAnsi="Arial"/>
                <w:sz w:val="22"/>
                <w:szCs w:val="22"/>
                <w:color w:val="auto"/>
              </w:rPr>
              <w:t>Granted</w:t>
            </w:r>
          </w:p>
        </w:tc>
        <w:tc>
          <w:tcPr>
            <w:tcW w:w="13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70,689</w:t>
            </w:r>
          </w:p>
        </w:tc>
        <w:tc>
          <w:tcPr>
            <w:tcW w:w="1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2,032</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Forfeited</w:t>
            </w:r>
          </w:p>
        </w:tc>
        <w:tc>
          <w:tcPr>
            <w:tcW w:w="13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spacing w:after="0"/>
              <w:rPr>
                <w:sz w:val="21"/>
                <w:szCs w:val="21"/>
                <w:color w:val="auto"/>
              </w:rPr>
            </w:pPr>
          </w:p>
        </w:tc>
        <w:tc>
          <w:tcPr>
            <w:tcW w:w="18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00"/>
              <w:spacing w:after="0" w:line="243" w:lineRule="exact"/>
              <w:rPr>
                <w:sz w:val="20"/>
                <w:szCs w:val="20"/>
                <w:color w:val="auto"/>
              </w:rPr>
            </w:pPr>
            <w:r>
              <w:rPr>
                <w:rFonts w:ascii="Arial" w:cs="Arial" w:eastAsia="Arial" w:hAnsi="Arial"/>
                <w:sz w:val="22"/>
                <w:szCs w:val="22"/>
                <w:color w:val="auto"/>
              </w:rPr>
              <w:t>Vested</w:t>
            </w:r>
          </w:p>
        </w:tc>
        <w:tc>
          <w:tcPr>
            <w:tcW w:w="13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18,403</w:t>
            </w:r>
          </w:p>
        </w:tc>
        <w:tc>
          <w:tcPr>
            <w:tcW w:w="1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451</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Non-Vested at July 31, 2022</w:t>
            </w:r>
          </w:p>
        </w:tc>
        <w:tc>
          <w:tcPr>
            <w:tcW w:w="13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82,453</w:t>
            </w: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2,354</w:t>
            </w:r>
          </w:p>
        </w:tc>
        <w:tc>
          <w:tcPr>
            <w:tcW w:w="340" w:type="dxa"/>
            <w:vAlign w:val="bottom"/>
            <w:shd w:val="clear" w:color="auto" w:fill="E5FFFF"/>
          </w:tcPr>
          <w:p>
            <w:pPr>
              <w:spacing w:after="0"/>
              <w:rPr>
                <w:sz w:val="21"/>
                <w:szCs w:val="21"/>
                <w:color w:val="auto"/>
              </w:rPr>
            </w:pPr>
          </w:p>
        </w:tc>
        <w:tc>
          <w:tcPr>
            <w:tcW w:w="19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444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22"/>
                <w:szCs w:val="22"/>
                <w:b w:val="1"/>
                <w:bCs w:val="1"/>
                <w:color w:val="auto"/>
              </w:rPr>
              <w:t>Restricted Stock Units (“RSUs”)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4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 While dilutive, the impact to earnings per share is not material to the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ind w:firstLine="648"/>
        <w:spacing w:after="0" w:line="287" w:lineRule="auto"/>
        <w:rPr>
          <w:sz w:val="20"/>
          <w:szCs w:val="20"/>
          <w:color w:val="auto"/>
        </w:rPr>
      </w:pPr>
      <w:r>
        <w:rPr>
          <w:rFonts w:ascii="Arial" w:cs="Arial" w:eastAsia="Arial" w:hAnsi="Arial"/>
          <w:sz w:val="19"/>
          <w:szCs w:val="19"/>
          <w:color w:val="auto"/>
        </w:rPr>
        <w:t>For the three and six-month periods ended July 31, 2023, the Company recognized compensation cost of approximately $265,000 and $529,000, respectively related to the RSUs. For the three and six-month periods ended July 31, 2022, the Company recognized compensation cost of approximately $188,000 related to the RSUs. Unrecognized compensation cost related to the RSUs at July 31, 2023 and January 31, 2023, was approximately $1.5 million and 2.0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The Company’s income tax provision was approximately $3.8 million and $4.3 million for the three months ended July 31, 2023 and 2022, respectively. The Company’s income tax provision was approximately $5.8 and $6.2 million for the six months ended July 31, 2023 and 2022, respectively.</w:t>
      </w:r>
    </w:p>
    <w:p>
      <w:pPr>
        <w:spacing w:after="0" w:line="21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70"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21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ectPr>
          <w:pgSz w:w="11900" w:h="16838" w:orient="portrait"/>
          <w:cols w:equalWidth="0" w:num="1">
            <w:col w:w="11200"/>
          </w:cols>
          <w:pgMar w:left="320" w:top="40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Unrecognized tax benefits,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98919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Changes for prior years’ tax positions</w:t>
      </w:r>
    </w:p>
    <w:p>
      <w:pPr>
        <w:ind w:left="120"/>
        <w:spacing w:after="0"/>
        <w:rPr>
          <w:sz w:val="20"/>
          <w:szCs w:val="20"/>
          <w:color w:val="auto"/>
        </w:rPr>
      </w:pPr>
      <w:r>
        <w:rPr>
          <w:rFonts w:ascii="Arial" w:cs="Arial" w:eastAsia="Arial" w:hAnsi="Arial"/>
          <w:sz w:val="22"/>
          <w:szCs w:val="22"/>
          <w:color w:val="auto"/>
        </w:rPr>
        <w:t>Changes for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498919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2"/>
          <w:szCs w:val="22"/>
          <w:color w:val="auto"/>
        </w:rPr>
        <w:t>Unrecognized tax benefits, end of period</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Note 13. </w:t>
      </w:r>
      <w:r>
        <w:rPr>
          <w:rFonts w:ascii="Arial" w:cs="Arial" w:eastAsia="Arial" w:hAnsi="Arial"/>
          <w:sz w:val="19"/>
          <w:szCs w:val="19"/>
          <w:b w:val="1"/>
          <w:bCs w:val="1"/>
          <w:i w:val="1"/>
          <w:iCs w:val="1"/>
          <w:color w:val="auto"/>
        </w:rPr>
        <w:t>Commitments and Contingencies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400"/>
        <w:spacing w:after="0"/>
        <w:rPr>
          <w:sz w:val="20"/>
          <w:szCs w:val="20"/>
          <w:color w:val="auto"/>
        </w:rPr>
      </w:pPr>
      <w:r>
        <w:rPr>
          <w:rFonts w:ascii="Arial" w:cs="Arial" w:eastAsia="Arial" w:hAnsi="Arial"/>
          <w:sz w:val="19"/>
          <w:szCs w:val="19"/>
          <w:b w:val="1"/>
          <w:bCs w:val="1"/>
          <w:color w:val="auto"/>
        </w:rPr>
        <w:t>Six Months Ended</w:t>
      </w:r>
    </w:p>
    <w:p>
      <w:pPr>
        <w:spacing w:after="0" w:line="49" w:lineRule="exact"/>
        <w:rPr>
          <w:sz w:val="20"/>
          <w:szCs w:val="20"/>
          <w:color w:val="auto"/>
        </w:rPr>
      </w:pPr>
    </w:p>
    <w:p>
      <w:pPr>
        <w:jc w:val="center"/>
        <w:ind w:right="3400"/>
        <w:spacing w:after="0"/>
        <w:rPr>
          <w:sz w:val="20"/>
          <w:szCs w:val="20"/>
          <w:color w:val="auto"/>
        </w:rPr>
      </w:pPr>
      <w:r>
        <w:rPr>
          <w:rFonts w:ascii="Arial" w:cs="Arial" w:eastAsia="Arial" w:hAnsi="Arial"/>
          <w:sz w:val="22"/>
          <w:szCs w:val="22"/>
          <w:b w:val="1"/>
          <w:bCs w:val="1"/>
          <w:color w:val="auto"/>
        </w:rPr>
        <w:t>July 31,</w:t>
      </w:r>
    </w:p>
    <w:p>
      <w:pPr>
        <w:spacing w:after="0" w:line="3" w:lineRule="exact"/>
        <w:rPr>
          <w:sz w:val="20"/>
          <w:szCs w:val="20"/>
          <w:color w:val="auto"/>
        </w:rPr>
      </w:pPr>
    </w:p>
    <w:p>
      <w:pPr>
        <w:ind w:left="160"/>
        <w:spacing w:after="0"/>
        <w:tabs>
          <w:tab w:leader="none" w:pos="1160" w:val="left"/>
        </w:tabs>
        <w:rPr>
          <w:sz w:val="20"/>
          <w:szCs w:val="20"/>
          <w:color w:val="auto"/>
        </w:rPr>
      </w:pPr>
      <w:r>
        <w:rPr>
          <w:rFonts w:ascii="Arial" w:cs="Arial" w:eastAsia="Arial" w:hAnsi="Arial"/>
          <w:sz w:val="22"/>
          <w:szCs w:val="22"/>
          <w:b w:val="1"/>
          <w:bCs w:val="1"/>
          <w:color w:val="auto"/>
        </w:rPr>
        <w:t>2023</w:t>
      </w:r>
      <w:r>
        <w:rPr>
          <w:sz w:val="20"/>
          <w:szCs w:val="20"/>
          <w:color w:val="auto"/>
        </w:rPr>
        <w:tab/>
      </w:r>
      <w:r>
        <w:rPr>
          <w:rFonts w:ascii="Arial" w:cs="Arial" w:eastAsia="Arial" w:hAnsi="Arial"/>
          <w:sz w:val="22"/>
          <w:szCs w:val="22"/>
          <w:b w:val="1"/>
          <w:bCs w:val="1"/>
          <w:color w:val="auto"/>
        </w:rPr>
        <w:t>2022</w:t>
      </w:r>
    </w:p>
    <w:p>
      <w:pPr>
        <w:spacing w:after="0"/>
        <w:tabs>
          <w:tab w:leader="none" w:pos="1000" w:val="left"/>
        </w:tabs>
        <w:rPr>
          <w:sz w:val="20"/>
          <w:szCs w:val="20"/>
          <w:color w:val="auto"/>
        </w:rPr>
      </w:pPr>
      <w:r>
        <w:rPr>
          <w:rFonts w:ascii="Arial" w:cs="Arial" w:eastAsia="Arial" w:hAnsi="Arial"/>
          <w:sz w:val="22"/>
          <w:szCs w:val="22"/>
          <w:color w:val="auto"/>
        </w:rPr>
        <w:t>$ 19,088</w:t>
      </w:r>
      <w:r>
        <w:rPr>
          <w:sz w:val="20"/>
          <w:szCs w:val="20"/>
          <w:color w:val="auto"/>
        </w:rPr>
        <w:tab/>
      </w:r>
      <w:r>
        <w:rPr>
          <w:rFonts w:ascii="Arial" w:cs="Arial" w:eastAsia="Arial" w:hAnsi="Arial"/>
          <w:sz w:val="19"/>
          <w:szCs w:val="19"/>
          <w:color w:val="auto"/>
        </w:rPr>
        <w:t>$ 16,781</w:t>
      </w:r>
    </w:p>
    <w:p>
      <w:pPr>
        <w:spacing w:after="0" w:line="1" w:lineRule="exact"/>
        <w:rPr>
          <w:sz w:val="20"/>
          <w:szCs w:val="20"/>
          <w:color w:val="auto"/>
        </w:rPr>
      </w:pPr>
    </w:p>
    <w:p>
      <w:pPr>
        <w:ind w:left="1540" w:hanging="917"/>
        <w:spacing w:after="0"/>
        <w:tabs>
          <w:tab w:leader="none" w:pos="1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93</w:t>
      </w:r>
    </w:p>
    <w:p>
      <w:pPr>
        <w:spacing w:after="0" w:line="3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1114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tabs>
          <w:tab w:leader="none" w:pos="1000" w:val="left"/>
        </w:tabs>
        <w:rPr>
          <w:sz w:val="20"/>
          <w:szCs w:val="20"/>
          <w:color w:val="auto"/>
        </w:rPr>
      </w:pPr>
      <w:r>
        <w:rPr>
          <w:rFonts w:ascii="Arial" w:cs="Arial" w:eastAsia="Arial" w:hAnsi="Arial"/>
          <w:sz w:val="22"/>
          <w:szCs w:val="22"/>
          <w:u w:val="single" w:color="auto"/>
          <w:color w:val="auto"/>
        </w:rPr>
        <w:t>$ 19,091</w:t>
      </w:r>
      <w:r>
        <w:rPr>
          <w:sz w:val="20"/>
          <w:szCs w:val="20"/>
          <w:color w:val="auto"/>
        </w:rPr>
        <w:tab/>
      </w:r>
      <w:r>
        <w:rPr>
          <w:rFonts w:ascii="Arial" w:cs="Arial" w:eastAsia="Arial" w:hAnsi="Arial"/>
          <w:sz w:val="19"/>
          <w:szCs w:val="19"/>
          <w:u w:val="single" w:color="auto"/>
          <w:color w:val="auto"/>
        </w:rPr>
        <w:t>$ 16,874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11144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5320" w:space="720"/>
            <w:col w:w="5160"/>
          </w:cols>
          <w:pgMar w:left="320" w:top="402" w:right="379" w:bottom="1440" w:gutter="0" w:footer="0" w:header="0"/>
          <w:type w:val="continuous"/>
        </w:sectPr>
      </w:pPr>
    </w:p>
    <w:p>
      <w:pPr>
        <w:spacing w:after="0" w:line="74"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 Company recorded a liability of $250,000 at July 31, 2023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type w:val="continuous"/>
        </w:sectPr>
      </w:pPr>
    </w:p>
    <w:bookmarkStart w:id="21" w:name="page22"/>
    <w:bookmarkEnd w:id="21"/>
    <w:p>
      <w:pPr>
        <w:ind w:right="120"/>
        <w:spacing w:after="0" w:line="250" w:lineRule="auto"/>
        <w:rPr>
          <w:sz w:val="20"/>
          <w:szCs w:val="20"/>
          <w:color w:val="auto"/>
        </w:rPr>
      </w:pPr>
      <w:r>
        <w:rPr>
          <w:rFonts w:ascii="Arial" w:cs="Arial" w:eastAsia="Arial" w:hAnsi="Arial"/>
          <w:sz w:val="22"/>
          <w:szCs w:val="22"/>
          <w:color w:val="auto"/>
        </w:rPr>
        <w:t>January 31, 2023, as a probable and reasonably estimable loss associated with a legal contingency for a patent infringement case involving our refined coal facility which is no longer in operation.</w:t>
      </w:r>
    </w:p>
    <w:p>
      <w:pPr>
        <w:spacing w:after="0" w:line="20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At July 31, 2023, One Earth and NuGen had combined forward purchase contracts for approximately 16.3 million bushels of corn, the principal raw material for their ethanol plants, and they have combined forward purchase contracts for approximately 2.6 million MmBtu (million British thermal unit) of natural gas.</w:t>
      </w:r>
    </w:p>
    <w:p>
      <w:pPr>
        <w:spacing w:after="0" w:line="213" w:lineRule="exact"/>
        <w:rPr>
          <w:sz w:val="20"/>
          <w:szCs w:val="20"/>
          <w:color w:val="auto"/>
        </w:rPr>
      </w:pPr>
    </w:p>
    <w:p>
      <w:pPr>
        <w:ind w:right="500" w:firstLine="648"/>
        <w:spacing w:after="0" w:line="328" w:lineRule="auto"/>
        <w:rPr>
          <w:sz w:val="20"/>
          <w:szCs w:val="20"/>
          <w:color w:val="auto"/>
        </w:rPr>
      </w:pPr>
      <w:r>
        <w:rPr>
          <w:rFonts w:ascii="Arial" w:cs="Arial" w:eastAsia="Arial" w:hAnsi="Arial"/>
          <w:sz w:val="19"/>
          <w:szCs w:val="19"/>
          <w:color w:val="auto"/>
        </w:rPr>
        <w:t>At July 31, 2023, One Earth and NuGen had combined sales commitments for approximately 41.3 million gallons of ethanol, approximately 88,000 tons of distillers grains and approximately 15.7 million pounds of distillers corn oil.</w:t>
      </w:r>
    </w:p>
    <w:p>
      <w:pPr>
        <w:spacing w:after="0" w:line="13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At July 31, 2023, One Earth had signed contracts in place for capital projects with approximately $28.5 million remaining in future payments.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the second quarters of fiscal years 2023 and 2022, One Earth and NuGen purchased approximately $26.4 million and $35.3 million, respectively, of corn (and other supplies) from minority equity investors and board members of those affiliates. Such purchases totaled approximately $59.9 million and $66.1 million for the six months ended July 31, 2023 and 2022, respectively. The Company had amounts payable to related parties of approximately $1.2 million and $1.5 million at July 31, 2023 and January 31, 2023,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380" w:firstLine="648"/>
        <w:spacing w:after="0" w:line="274" w:lineRule="auto"/>
        <w:rPr>
          <w:sz w:val="20"/>
          <w:szCs w:val="20"/>
          <w:color w:val="auto"/>
        </w:rPr>
      </w:pPr>
      <w:r>
        <w:rPr>
          <w:rFonts w:ascii="Arial" w:cs="Arial" w:eastAsia="Arial" w:hAnsi="Arial"/>
          <w:sz w:val="21"/>
          <w:szCs w:val="21"/>
          <w:color w:val="auto"/>
        </w:rPr>
        <w:t>At July 31, 2023, we had investments in three ethanol limited liability companies, in two of which we have a majority ownership interest. The following table is a summary of ethanol entity ownership interests at July 31, 2023:</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40" w:type="dxa"/>
            <w:vAlign w:val="bottom"/>
            <w:tcBorders>
              <w:top w:val="single" w:sz="8" w:color="auto"/>
              <w:left w:val="single" w:sz="8" w:color="auto"/>
              <w:right w:val="single" w:sz="8" w:color="auto"/>
            </w:tcBorders>
            <w:vMerge w:val="restart"/>
          </w:tcPr>
          <w:p>
            <w:pPr>
              <w:ind w:left="2240"/>
              <w:spacing w:after="0"/>
              <w:rPr>
                <w:sz w:val="20"/>
                <w:szCs w:val="20"/>
                <w:color w:val="auto"/>
              </w:rPr>
            </w:pPr>
            <w:r>
              <w:rPr>
                <w:rFonts w:ascii="Arial" w:cs="Arial" w:eastAsia="Arial" w:hAnsi="Arial"/>
                <w:sz w:val="22"/>
                <w:szCs w:val="22"/>
                <w:b w:val="1"/>
                <w:bCs w:val="1"/>
                <w:color w:val="auto"/>
              </w:rPr>
              <w:t>Entity</w:t>
            </w:r>
          </w:p>
        </w:tc>
        <w:tc>
          <w:tcPr>
            <w:tcW w:w="2840" w:type="dxa"/>
            <w:vAlign w:val="bottom"/>
            <w:tcBorders>
              <w:top w:val="single" w:sz="8" w:color="auto"/>
              <w:right w:val="single" w:sz="8" w:color="auto"/>
            </w:tcBorders>
          </w:tcPr>
          <w:p>
            <w:pPr>
              <w:jc w:val="right"/>
              <w:ind w:right="652"/>
              <w:spacing w:after="0" w:line="229" w:lineRule="exact"/>
              <w:rPr>
                <w:sz w:val="20"/>
                <w:szCs w:val="20"/>
                <w:color w:val="auto"/>
              </w:rPr>
            </w:pPr>
            <w:r>
              <w:rPr>
                <w:rFonts w:ascii="Arial" w:cs="Arial" w:eastAsia="Arial" w:hAnsi="Arial"/>
                <w:sz w:val="22"/>
                <w:szCs w:val="22"/>
                <w:b w:val="1"/>
                <w:bCs w:val="1"/>
                <w:color w:val="auto"/>
              </w:rPr>
              <w:t>REX’s Current</w:t>
            </w:r>
          </w:p>
        </w:tc>
        <w:tc>
          <w:tcPr>
            <w:tcW w:w="0" w:type="dxa"/>
            <w:vAlign w:val="bottom"/>
          </w:tcPr>
          <w:p>
            <w:pPr>
              <w:spacing w:after="0"/>
              <w:rPr>
                <w:sz w:val="1"/>
                <w:szCs w:val="1"/>
                <w:color w:val="auto"/>
              </w:rPr>
            </w:pPr>
          </w:p>
        </w:tc>
      </w:tr>
      <w:tr>
        <w:trPr>
          <w:trHeight w:val="159"/>
        </w:trPr>
        <w:tc>
          <w:tcPr>
            <w:tcW w:w="5040" w:type="dxa"/>
            <w:vAlign w:val="bottom"/>
            <w:tcBorders>
              <w:left w:val="single" w:sz="8" w:color="auto"/>
              <w:right w:val="single" w:sz="8" w:color="auto"/>
            </w:tcBorders>
            <w:vMerge w:val="continue"/>
          </w:tcPr>
          <w:p>
            <w:pPr>
              <w:spacing w:after="0"/>
              <w:rPr>
                <w:sz w:val="13"/>
                <w:szCs w:val="13"/>
                <w:color w:val="auto"/>
              </w:rPr>
            </w:pPr>
          </w:p>
        </w:tc>
        <w:tc>
          <w:tcPr>
            <w:tcW w:w="284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rPr>
              <w:t>Ownership Interest</w:t>
            </w:r>
          </w:p>
        </w:tc>
        <w:tc>
          <w:tcPr>
            <w:tcW w:w="0" w:type="dxa"/>
            <w:vAlign w:val="bottom"/>
          </w:tcPr>
          <w:p>
            <w:pPr>
              <w:spacing w:after="0"/>
              <w:rPr>
                <w:sz w:val="1"/>
                <w:szCs w:val="1"/>
                <w:color w:val="auto"/>
              </w:rPr>
            </w:pPr>
          </w:p>
        </w:tc>
      </w:tr>
      <w:tr>
        <w:trPr>
          <w:trHeight w:val="122"/>
        </w:trPr>
        <w:tc>
          <w:tcPr>
            <w:tcW w:w="5040" w:type="dxa"/>
            <w:vAlign w:val="bottom"/>
            <w:tcBorders>
              <w:left w:val="single" w:sz="8" w:color="auto"/>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40" w:type="dxa"/>
            <w:vAlign w:val="bottom"/>
            <w:tcBorders>
              <w:left w:val="single" w:sz="8" w:color="auto"/>
              <w:bottom w:val="single" w:sz="8" w:color="auto"/>
              <w:right w:val="single" w:sz="8" w:color="auto"/>
            </w:tcBorders>
            <w:shd w:val="clear" w:color="auto" w:fill="E5FFFF"/>
          </w:tcPr>
          <w:p>
            <w:pPr>
              <w:ind w:left="80"/>
              <w:spacing w:after="0" w:line="237" w:lineRule="exact"/>
              <w:rPr>
                <w:sz w:val="20"/>
                <w:szCs w:val="20"/>
                <w:color w:val="auto"/>
              </w:rPr>
            </w:pPr>
            <w:r>
              <w:rPr>
                <w:rFonts w:ascii="Arial" w:cs="Arial" w:eastAsia="Arial" w:hAnsi="Arial"/>
                <w:sz w:val="22"/>
                <w:szCs w:val="22"/>
                <w:color w:val="auto"/>
              </w:rPr>
              <w:t>One Earth Energy, LLC</w:t>
            </w:r>
          </w:p>
        </w:tc>
        <w:tc>
          <w:tcPr>
            <w:tcW w:w="2840" w:type="dxa"/>
            <w:vAlign w:val="bottom"/>
            <w:tcBorders>
              <w:bottom w:val="single" w:sz="8" w:color="auto"/>
              <w:right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75.8%</w:t>
            </w:r>
          </w:p>
        </w:tc>
        <w:tc>
          <w:tcPr>
            <w:tcW w:w="0" w:type="dxa"/>
            <w:vAlign w:val="bottom"/>
          </w:tcPr>
          <w:p>
            <w:pPr>
              <w:spacing w:after="0"/>
              <w:rPr>
                <w:sz w:val="1"/>
                <w:szCs w:val="1"/>
                <w:color w:val="auto"/>
              </w:rPr>
            </w:pPr>
          </w:p>
        </w:tc>
      </w:tr>
      <w:tr>
        <w:trPr>
          <w:trHeight w:val="236"/>
        </w:trPr>
        <w:tc>
          <w:tcPr>
            <w:tcW w:w="504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NuGen Energy, LLC</w:t>
            </w:r>
          </w:p>
        </w:tc>
        <w:tc>
          <w:tcPr>
            <w:tcW w:w="284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99.7%</w:t>
            </w:r>
          </w:p>
        </w:tc>
        <w:tc>
          <w:tcPr>
            <w:tcW w:w="0" w:type="dxa"/>
            <w:vAlign w:val="bottom"/>
          </w:tcPr>
          <w:p>
            <w:pPr>
              <w:spacing w:after="0"/>
              <w:rPr>
                <w:sz w:val="1"/>
                <w:szCs w:val="1"/>
                <w:color w:val="auto"/>
              </w:rPr>
            </w:pPr>
          </w:p>
        </w:tc>
      </w:tr>
      <w:tr>
        <w:trPr>
          <w:trHeight w:val="237"/>
        </w:trPr>
        <w:tc>
          <w:tcPr>
            <w:tcW w:w="5040" w:type="dxa"/>
            <w:vAlign w:val="bottom"/>
            <w:tcBorders>
              <w:left w:val="single" w:sz="8" w:color="auto"/>
              <w:right w:val="single" w:sz="8" w:color="auto"/>
            </w:tcBorders>
            <w:shd w:val="clear" w:color="auto" w:fill="E5FFFF"/>
          </w:tcPr>
          <w:p>
            <w:pPr>
              <w:ind w:left="80"/>
              <w:spacing w:after="0" w:line="237" w:lineRule="exact"/>
              <w:rPr>
                <w:sz w:val="20"/>
                <w:szCs w:val="20"/>
                <w:color w:val="auto"/>
              </w:rPr>
            </w:pPr>
            <w:r>
              <w:rPr>
                <w:rFonts w:ascii="Arial" w:cs="Arial" w:eastAsia="Arial" w:hAnsi="Arial"/>
                <w:sz w:val="22"/>
                <w:szCs w:val="22"/>
                <w:color w:val="auto"/>
              </w:rPr>
              <w:t>Big River Resources, LLC:</w:t>
            </w:r>
          </w:p>
        </w:tc>
        <w:tc>
          <w:tcPr>
            <w:tcW w:w="2840" w:type="dxa"/>
            <w:vAlign w:val="bottom"/>
            <w:tcBorders>
              <w:right w:val="single" w:sz="8" w:color="auto"/>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Resources W Burlington, LLC</w:t>
            </w:r>
          </w:p>
        </w:tc>
        <w:tc>
          <w:tcPr>
            <w:tcW w:w="2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shd w:val="clear" w:color="auto" w:fill="E5FFFF"/>
          </w:tcPr>
          <w:p>
            <w:pPr>
              <w:ind w:left="260"/>
              <w:spacing w:after="0" w:line="243" w:lineRule="exact"/>
              <w:rPr>
                <w:sz w:val="20"/>
                <w:szCs w:val="20"/>
                <w:color w:val="auto"/>
              </w:rPr>
            </w:pPr>
            <w:r>
              <w:rPr>
                <w:rFonts w:ascii="Arial" w:cs="Arial" w:eastAsia="Arial" w:hAnsi="Arial"/>
                <w:sz w:val="22"/>
                <w:szCs w:val="22"/>
                <w:color w:val="auto"/>
              </w:rPr>
              <w:t>Big River Resources Galva, LLC</w:t>
            </w:r>
          </w:p>
        </w:tc>
        <w:tc>
          <w:tcPr>
            <w:tcW w:w="2840" w:type="dxa"/>
            <w:vAlign w:val="bottom"/>
            <w:tcBorders>
              <w:right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United Energy, LLC</w:t>
            </w:r>
          </w:p>
        </w:tc>
        <w:tc>
          <w:tcPr>
            <w:tcW w:w="28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43"/>
        </w:trPr>
        <w:tc>
          <w:tcPr>
            <w:tcW w:w="5040" w:type="dxa"/>
            <w:vAlign w:val="bottom"/>
            <w:tcBorders>
              <w:left w:val="single" w:sz="8" w:color="auto"/>
              <w:bottom w:val="single" w:sz="8" w:color="auto"/>
              <w:right w:val="single" w:sz="8" w:color="auto"/>
            </w:tcBorders>
            <w:shd w:val="clear" w:color="auto" w:fill="E5FFFF"/>
          </w:tcPr>
          <w:p>
            <w:pPr>
              <w:ind w:left="260"/>
              <w:spacing w:after="0" w:line="243" w:lineRule="exact"/>
              <w:rPr>
                <w:sz w:val="20"/>
                <w:szCs w:val="20"/>
                <w:color w:val="auto"/>
              </w:rPr>
            </w:pPr>
            <w:r>
              <w:rPr>
                <w:rFonts w:ascii="Arial" w:cs="Arial" w:eastAsia="Arial" w:hAnsi="Arial"/>
                <w:sz w:val="22"/>
                <w:szCs w:val="22"/>
                <w:color w:val="auto"/>
              </w:rPr>
              <w:t>Big River Resources Boyceville, LLC</w:t>
            </w:r>
          </w:p>
        </w:tc>
        <w:tc>
          <w:tcPr>
            <w:tcW w:w="2840" w:type="dxa"/>
            <w:vAlign w:val="bottom"/>
            <w:tcBorders>
              <w:bottom w:val="single" w:sz="8" w:color="auto"/>
              <w:right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200" w:firstLine="648"/>
        <w:spacing w:after="0" w:line="236" w:lineRule="auto"/>
        <w:rPr>
          <w:sz w:val="20"/>
          <w:szCs w:val="20"/>
          <w:color w:val="auto"/>
        </w:rPr>
      </w:pPr>
      <w:r>
        <w:rPr>
          <w:rFonts w:ascii="Arial" w:cs="Arial" w:eastAsia="Arial" w:hAnsi="Arial"/>
          <w:sz w:val="22"/>
          <w:szCs w:val="22"/>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3" w:name="page24"/>
    <w:bookmarkEnd w:id="23"/>
    <w:p>
      <w:pPr>
        <w:ind w:right="20"/>
        <w:spacing w:after="0" w:line="246" w:lineRule="auto"/>
        <w:rPr>
          <w:sz w:val="20"/>
          <w:szCs w:val="20"/>
          <w:color w:val="auto"/>
        </w:rPr>
      </w:pPr>
      <w:r>
        <w:rPr>
          <w:rFonts w:ascii="Arial" w:cs="Arial" w:eastAsia="Arial" w:hAnsi="Arial"/>
          <w:sz w:val="21"/>
          <w:szCs w:val="21"/>
          <w:color w:val="auto"/>
        </w:rPr>
        <w:t>contracts we have executed. 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One Earth Energy, LLC Carbon Sequestration and Plant Expansion</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Through our affiliate, One Earth Energy, LLC, we are in the developmental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We have applied for a Class VI injection well permit for three wells with the U.S. Environmental Protection Agency (“EPA”). In addition, we have signed a construction contract for a facility to capture, dehydrate, and compress carbon dioxide from the One Earth Energy ethanol plant to a state suitable for sequestration. We expect to begin site construction during the third quarter of fiscal year 2023 and complete construction by July 31, 2024, at which time testing of the facility would commence. We are currently working on an engineering design study for a short pipeline to deliver carbon dioxide from the ethanol plant to the sequestration site. Although we have made meaningful progress with this project, we continue to complete required documentation for various government agencies and obtain other approvals with no assurances of ultimate success.</w:t>
      </w:r>
    </w:p>
    <w:p>
      <w:pPr>
        <w:spacing w:after="0" w:line="188"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We also intend to concurrently expand the One Earth ethanol plant. We have received a permit to increase production from 150 million gallons of ethanol per year to 175 million gallons of ethanol per year. Once we achieve that level of production, planned for late 2024, we intend to apply for a 200 million gallon per year permit from the EPA. Finally, we continue to work to identify ways to reduce our carbon intensity (“CI”) score at the One Earth plant with the intention to maximize tax credits available under the Inflation Reduction Act.</w:t>
      </w:r>
    </w:p>
    <w:p>
      <w:pPr>
        <w:spacing w:after="0" w:line="21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If all approvals are received, we expect the total cost of these projects to be approximately $165 million, which we currently plan to pay from our available cash. As of the quarter ended July 31, 2023, we have spent or committed $41.9 million toward these projects. If successful, we believe we would qualify for tax credits under section 45Q of the Internal Revenue Code (“45Q”) and section 45Z of the Internal Revenue Code (“45Z”), as outlined in the Inflation Reduction Act.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The federal production tax credits received through ownership of this facility remain under IRS audit.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During the three months ended July 31, 2023, we did not change any of our critical accounting policies as disclosed in our 2022 Annual Report on Form 10-K as filed with the Securities and Exchange Commission on March 30, 2023.</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2023” means the period February 1, 2023 to January 31, 2024.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and the EPA was given the authority to calculate and establish the target volumes for subsequent periods. The EPA also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obligation to submit renewable identification numbers (“RINs”) for the oil they process. The EPA, through consultation with the Department of Energy and the U.S. Department of Agriculture (“USDA”), can grant the refiner a full or partial waiver, or deny the waiver. The EPA issued 88 refinery exemptions for 2016-2018 compliance years, undercutting the statutory renewable fuel volumes by a total of 4.3 billion gallons.</w:t>
      </w:r>
    </w:p>
    <w:p>
      <w:pPr>
        <w:spacing w:after="0" w:line="188"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On June 21, 2023, the EPA issued final Renewable Fuel Standard volume obligations for calendar years 2023-2025. The volumes from conventional biofuels (which includes corn-based ethanol) were 15.25 billion gallons for 2023 and 15.0 billion gallons for each of 2024 and 2025.</w:t>
      </w:r>
    </w:p>
    <w:p>
      <w:pPr>
        <w:spacing w:after="0" w:line="21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USDA reported the United States corn harvest in 2022 was 13.7 billion bushels, a decrease of 9% from the prior year. The 2022 corn harvest near the NuGen Energy, LLC ethanol plant was below average for that area, which has lead to increased corn cost and lower supply for that plant.</w:t>
      </w:r>
    </w:p>
    <w:p>
      <w:pPr>
        <w:spacing w:after="0" w:line="21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On August 11, 2023, the USDA forecasted the 2023 U.S. corn harvest to be 15.1 billion bushels, which, if realized, would be the second highest on record. That forecast was based on then available information to the USDA, and the actual harvest could differ if, for example, there is unfavorable weather prior to the harvest.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5" w:name="page26"/>
    <w:bookmarkEnd w:id="25"/>
    <w:p>
      <w:pPr>
        <w:ind w:right="340" w:firstLine="648"/>
        <w:spacing w:after="0" w:line="328" w:lineRule="auto"/>
        <w:rPr>
          <w:sz w:val="20"/>
          <w:szCs w:val="20"/>
          <w:color w:val="auto"/>
        </w:rPr>
      </w:pPr>
      <w:r>
        <w:rPr>
          <w:rFonts w:ascii="Arial" w:cs="Arial" w:eastAsia="Arial" w:hAnsi="Arial"/>
          <w:sz w:val="19"/>
          <w:szCs w:val="19"/>
          <w:color w:val="auto"/>
        </w:rPr>
        <w:t>Due to the Russian-Ukraine conflict, corn and natural gas supplies worldwide have been adversely affected, which has contributed to volatility in the prices for both commodities and has impacted corn availability in the United States.</w:t>
      </w:r>
    </w:p>
    <w:p>
      <w:pPr>
        <w:spacing w:after="0" w:line="132"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The Inflation Reduction Act of 2022 (the “IRA”) will likely impact our business by creating a new Clean Fuel Production Credit, section 45Z of the Internal Revenue Code, that would be dependent on the level of greenhouse gas emissions reduction for each gallon of ethanol produced and sold, available for years 2025 to 2027. The Act also raises the carbon capture tax credit from $50 per metric ton to $85 per metric ton under section 45Q of the Internal Revenue Code.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positively impact our distillers corn oil prices, as this co-product serves as a low-carbon feedstock for renewable diesel and biomass based diesel production; (b) creating a new tax credit for sustainable aviation fuel; (c) funding biofuel refueling infrastructure which could positively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 Certain rules and implementation guidance associated with the IRA have yet to be finalized, so we cannot determine the full impact it may have on our business at this time.</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Should any of the trends and uncertainties mentioned above continue, our future operating results could be impacted.</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and Six Months Ended July 31, 2023 and 2022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results from operations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240"/>
              <w:spacing w:after="0"/>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1"/>
                <w:szCs w:val="21"/>
                <w:color w:val="auto"/>
              </w:rPr>
            </w:pPr>
          </w:p>
        </w:tc>
        <w:tc>
          <w:tcPr>
            <w:tcW w:w="2740" w:type="dxa"/>
            <w:vAlign w:val="bottom"/>
            <w:gridSpan w:val="5"/>
          </w:tcPr>
          <w:p>
            <w:pPr>
              <w:ind w:left="34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jc w:val="right"/>
              <w:ind w:right="43"/>
              <w:spacing w:after="0"/>
              <w:rPr>
                <w:sz w:val="20"/>
                <w:szCs w:val="20"/>
                <w:color w:val="auto"/>
              </w:rPr>
            </w:pPr>
            <w:r>
              <w:rPr>
                <w:rFonts w:ascii="Arial" w:cs="Arial" w:eastAsia="Arial" w:hAnsi="Arial"/>
                <w:sz w:val="22"/>
                <w:szCs w:val="22"/>
                <w:b w:val="1"/>
                <w:bCs w:val="1"/>
                <w:color w:val="auto"/>
              </w:rPr>
              <w:t>July 31,</w:t>
            </w: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July 31,</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2023</w:t>
            </w:r>
          </w:p>
        </w:tc>
        <w:tc>
          <w:tcPr>
            <w:tcW w:w="46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2022</w:t>
            </w:r>
          </w:p>
        </w:tc>
        <w:tc>
          <w:tcPr>
            <w:tcW w:w="42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2023</w:t>
            </w:r>
          </w:p>
        </w:tc>
        <w:tc>
          <w:tcPr>
            <w:tcW w:w="42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E5FFFF"/>
            </w:tcBorders>
          </w:tcPr>
          <w:p>
            <w:pPr>
              <w:spacing w:after="0"/>
              <w:rPr>
                <w:sz w:val="23"/>
                <w:szCs w:val="23"/>
                <w:color w:val="auto"/>
              </w:rPr>
            </w:pPr>
          </w:p>
        </w:tc>
      </w:tr>
      <w:tr>
        <w:trPr>
          <w:trHeight w:val="236"/>
        </w:trPr>
        <w:tc>
          <w:tcPr>
            <w:tcW w:w="48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211,977</w:t>
            </w:r>
          </w:p>
        </w:tc>
        <w:tc>
          <w:tcPr>
            <w:tcW w:w="460" w:type="dxa"/>
            <w:vAlign w:val="bottom"/>
            <w:shd w:val="clear" w:color="auto" w:fill="E5FFFF"/>
          </w:tcPr>
          <w:p>
            <w:pPr>
              <w:spacing w:after="0"/>
              <w:rPr>
                <w:sz w:val="20"/>
                <w:szCs w:val="20"/>
                <w:color w:val="auto"/>
              </w:rPr>
            </w:pP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240,328</w:t>
            </w:r>
          </w:p>
        </w:tc>
        <w:tc>
          <w:tcPr>
            <w:tcW w:w="420" w:type="dxa"/>
            <w:vAlign w:val="bottom"/>
            <w:shd w:val="clear" w:color="auto" w:fill="E5FFFF"/>
          </w:tcPr>
          <w:p>
            <w:pPr>
              <w:spacing w:after="0"/>
              <w:rPr>
                <w:sz w:val="20"/>
                <w:szCs w:val="20"/>
                <w:color w:val="auto"/>
              </w:rPr>
            </w:pPr>
          </w:p>
        </w:tc>
        <w:tc>
          <w:tcPr>
            <w:tcW w:w="260" w:type="dxa"/>
            <w:vAlign w:val="bottom"/>
            <w:shd w:val="clear" w:color="auto" w:fill="E5FFFF"/>
          </w:tcPr>
          <w:p>
            <w:pPr>
              <w:jc w:val="right"/>
              <w:ind w:right="32"/>
              <w:spacing w:after="0" w:line="237"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424,691</w:t>
            </w:r>
          </w:p>
        </w:tc>
        <w:tc>
          <w:tcPr>
            <w:tcW w:w="420" w:type="dxa"/>
            <w:vAlign w:val="bottom"/>
            <w:shd w:val="clear" w:color="auto" w:fill="E5FFFF"/>
          </w:tcPr>
          <w:p>
            <w:pPr>
              <w:spacing w:after="0"/>
              <w:rPr>
                <w:sz w:val="20"/>
                <w:szCs w:val="20"/>
                <w:color w:val="auto"/>
              </w:rPr>
            </w:pPr>
          </w:p>
        </w:tc>
        <w:tc>
          <w:tcPr>
            <w:tcW w:w="280" w:type="dxa"/>
            <w:vAlign w:val="bottom"/>
            <w:shd w:val="clear" w:color="auto" w:fill="E5FFFF"/>
          </w:tcPr>
          <w:p>
            <w:pPr>
              <w:jc w:val="right"/>
              <w:ind w:right="52"/>
              <w:spacing w:after="0" w:line="237" w:lineRule="exact"/>
              <w:rPr>
                <w:sz w:val="20"/>
                <w:szCs w:val="20"/>
                <w:color w:val="auto"/>
              </w:rPr>
            </w:pPr>
            <w:r>
              <w:rPr>
                <w:rFonts w:ascii="Arial" w:cs="Arial" w:eastAsia="Arial" w:hAnsi="Arial"/>
                <w:sz w:val="22"/>
                <w:szCs w:val="22"/>
                <w:color w:val="auto"/>
                <w:w w:val="81"/>
              </w:rPr>
              <w:t>$</w:t>
            </w:r>
          </w:p>
        </w:tc>
        <w:tc>
          <w:tcPr>
            <w:tcW w:w="9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434,556</w:t>
            </w:r>
          </w:p>
        </w:tc>
        <w:tc>
          <w:tcPr>
            <w:tcW w:w="100" w:type="dxa"/>
            <w:vAlign w:val="bottom"/>
            <w:shd w:val="clear" w:color="auto" w:fill="E5FFFF"/>
          </w:tcPr>
          <w:p>
            <w:pPr>
              <w:spacing w:after="0"/>
              <w:rPr>
                <w:sz w:val="20"/>
                <w:szCs w:val="20"/>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22"/>
                <w:szCs w:val="22"/>
                <w:color w:val="auto"/>
              </w:rPr>
              <w:t>Cost of sales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193,625</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22"/>
                <w:szCs w:val="22"/>
                <w:color w:val="auto"/>
              </w:rPr>
              <w:t>226,225</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396,173</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408,545</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Gross profit</w:t>
            </w:r>
          </w:p>
        </w:tc>
        <w:tc>
          <w:tcPr>
            <w:tcW w:w="260" w:type="dxa"/>
            <w:vAlign w:val="bottom"/>
            <w:tcBorders>
              <w:top w:val="single" w:sz="8" w:color="auto"/>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18,352</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14,103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28,518</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26,011</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Income before income taxes</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16,052</w:t>
            </w:r>
          </w:p>
        </w:tc>
        <w:tc>
          <w:tcPr>
            <w:tcW w:w="720" w:type="dxa"/>
            <w:vAlign w:val="bottom"/>
            <w:gridSpan w:val="2"/>
            <w:shd w:val="clear" w:color="auto" w:fill="E5FFFF"/>
          </w:tcPr>
          <w:p>
            <w:pPr>
              <w:jc w:val="right"/>
              <w:ind w:right="63"/>
              <w:spacing w:after="0"/>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rPr>
                <w:sz w:val="20"/>
                <w:szCs w:val="20"/>
                <w:color w:val="auto"/>
              </w:rPr>
            </w:pPr>
            <w:r>
              <w:rPr>
                <w:rFonts w:ascii="Arial" w:cs="Arial" w:eastAsia="Arial" w:hAnsi="Arial"/>
                <w:sz w:val="22"/>
                <w:szCs w:val="22"/>
                <w:color w:val="auto"/>
              </w:rPr>
              <w:t>19,215</w:t>
            </w:r>
          </w:p>
        </w:tc>
        <w:tc>
          <w:tcPr>
            <w:tcW w:w="260" w:type="dxa"/>
            <w:vAlign w:val="bottom"/>
            <w:shd w:val="clear" w:color="auto" w:fill="E5FFFF"/>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24,740</w:t>
            </w:r>
          </w:p>
        </w:tc>
        <w:tc>
          <w:tcPr>
            <w:tcW w:w="700" w:type="dxa"/>
            <w:vAlign w:val="bottom"/>
            <w:gridSpan w:val="2"/>
            <w:shd w:val="clear" w:color="auto" w:fill="E5FFFF"/>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28,049</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Provision for income taxes</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(3,768)</w:t>
            </w:r>
          </w:p>
        </w:tc>
        <w:tc>
          <w:tcPr>
            <w:tcW w:w="720" w:type="dxa"/>
            <w:vAlign w:val="bottom"/>
            <w:gridSpan w:val="2"/>
            <w:shd w:val="clear" w:color="auto" w:fill="E5FFFF"/>
          </w:tcPr>
          <w:p>
            <w:pPr>
              <w:jc w:val="right"/>
              <w:ind w:right="63"/>
              <w:spacing w:after="0"/>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rPr>
                <w:sz w:val="20"/>
                <w:szCs w:val="20"/>
                <w:color w:val="auto"/>
              </w:rPr>
            </w:pPr>
            <w:r>
              <w:rPr>
                <w:rFonts w:ascii="Arial" w:cs="Arial" w:eastAsia="Arial" w:hAnsi="Arial"/>
                <w:sz w:val="22"/>
                <w:szCs w:val="22"/>
                <w:color w:val="auto"/>
              </w:rPr>
              <w:t>(4,330)</w:t>
            </w:r>
          </w:p>
        </w:tc>
        <w:tc>
          <w:tcPr>
            <w:tcW w:w="260" w:type="dxa"/>
            <w:vAlign w:val="bottom"/>
            <w:shd w:val="clear" w:color="auto" w:fill="E5FFFF"/>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(5,756)</w:t>
            </w:r>
          </w:p>
        </w:tc>
        <w:tc>
          <w:tcPr>
            <w:tcW w:w="700" w:type="dxa"/>
            <w:vAlign w:val="bottom"/>
            <w:gridSpan w:val="2"/>
            <w:shd w:val="clear" w:color="auto" w:fill="E5FFFF"/>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(6,178)</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48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Net income attributable to REX common</w:t>
            </w:r>
          </w:p>
        </w:tc>
        <w:tc>
          <w:tcPr>
            <w:tcW w:w="26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91"/>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shareholders</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9,055</w:t>
            </w:r>
          </w:p>
        </w:tc>
        <w:tc>
          <w:tcPr>
            <w:tcW w:w="720" w:type="dxa"/>
            <w:vAlign w:val="bottom"/>
            <w:gridSpan w:val="2"/>
            <w:shd w:val="clear" w:color="auto" w:fill="E5FFFF"/>
          </w:tcPr>
          <w:p>
            <w:pPr>
              <w:jc w:val="right"/>
              <w:ind w:right="63"/>
              <w:spacing w:after="0"/>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rPr>
                <w:sz w:val="20"/>
                <w:szCs w:val="20"/>
                <w:color w:val="auto"/>
              </w:rPr>
            </w:pPr>
            <w:r>
              <w:rPr>
                <w:rFonts w:ascii="Arial" w:cs="Arial" w:eastAsia="Arial" w:hAnsi="Arial"/>
                <w:sz w:val="22"/>
                <w:szCs w:val="22"/>
                <w:color w:val="auto"/>
              </w:rPr>
              <w:t>11,170</w:t>
            </w:r>
          </w:p>
        </w:tc>
        <w:tc>
          <w:tcPr>
            <w:tcW w:w="260" w:type="dxa"/>
            <w:vAlign w:val="bottom"/>
            <w:shd w:val="clear" w:color="auto" w:fill="E5FFFF"/>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14,291</w:t>
            </w:r>
          </w:p>
        </w:tc>
        <w:tc>
          <w:tcPr>
            <w:tcW w:w="700" w:type="dxa"/>
            <w:vAlign w:val="bottom"/>
            <w:gridSpan w:val="2"/>
            <w:shd w:val="clear" w:color="auto" w:fill="E5FFFF"/>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16,352</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423"/>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color w:val="auto"/>
              </w:rPr>
              <w:t>26</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22"/>
          <w:szCs w:val="22"/>
          <w:color w:val="auto"/>
        </w:rPr>
        <w:t>The following table summarizes net sales and revenue by product group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240"/>
              <w:spacing w:after="0"/>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1"/>
                <w:szCs w:val="21"/>
                <w:color w:val="auto"/>
              </w:rPr>
            </w:pPr>
          </w:p>
        </w:tc>
        <w:tc>
          <w:tcPr>
            <w:tcW w:w="2740" w:type="dxa"/>
            <w:vAlign w:val="bottom"/>
            <w:gridSpan w:val="5"/>
          </w:tcPr>
          <w:p>
            <w:pPr>
              <w:ind w:left="340"/>
              <w:spacing w:after="0"/>
              <w:rPr>
                <w:sz w:val="20"/>
                <w:szCs w:val="20"/>
                <w:color w:val="auto"/>
              </w:rPr>
            </w:pPr>
            <w:r>
              <w:rPr>
                <w:rFonts w:ascii="Arial" w:cs="Arial" w:eastAsia="Arial" w:hAnsi="Arial"/>
                <w:sz w:val="22"/>
                <w:szCs w:val="22"/>
                <w:b w:val="1"/>
                <w:bCs w:val="1"/>
                <w:color w:val="auto"/>
              </w:rPr>
              <w:t>Six Months Ended</w:t>
            </w:r>
          </w:p>
        </w:tc>
      </w:tr>
      <w:tr>
        <w:trPr>
          <w:trHeight w:val="256"/>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jc w:val="right"/>
              <w:ind w:right="43"/>
              <w:spacing w:after="0"/>
              <w:rPr>
                <w:sz w:val="20"/>
                <w:szCs w:val="20"/>
                <w:color w:val="auto"/>
              </w:rPr>
            </w:pPr>
            <w:r>
              <w:rPr>
                <w:rFonts w:ascii="Arial" w:cs="Arial" w:eastAsia="Arial" w:hAnsi="Arial"/>
                <w:sz w:val="22"/>
                <w:szCs w:val="22"/>
                <w:b w:val="1"/>
                <w:bCs w:val="1"/>
                <w:color w:val="auto"/>
              </w:rPr>
              <w:t>July 31,</w:t>
            </w: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July 31,</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2023</w:t>
            </w:r>
          </w:p>
        </w:tc>
        <w:tc>
          <w:tcPr>
            <w:tcW w:w="46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2022</w:t>
            </w:r>
          </w:p>
        </w:tc>
        <w:tc>
          <w:tcPr>
            <w:tcW w:w="42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2023</w:t>
            </w:r>
          </w:p>
        </w:tc>
        <w:tc>
          <w:tcPr>
            <w:tcW w:w="42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E5FFFF"/>
            </w:tcBorders>
          </w:tcPr>
          <w:p>
            <w:pPr>
              <w:spacing w:after="0"/>
              <w:rPr>
                <w:sz w:val="23"/>
                <w:szCs w:val="23"/>
                <w:color w:val="auto"/>
              </w:rPr>
            </w:pPr>
          </w:p>
        </w:tc>
      </w:tr>
      <w:tr>
        <w:trPr>
          <w:trHeight w:val="237"/>
        </w:trPr>
        <w:tc>
          <w:tcPr>
            <w:tcW w:w="48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167,360</w:t>
            </w:r>
          </w:p>
        </w:tc>
        <w:tc>
          <w:tcPr>
            <w:tcW w:w="460" w:type="dxa"/>
            <w:vAlign w:val="bottom"/>
            <w:shd w:val="clear" w:color="auto" w:fill="E5FFFF"/>
          </w:tcPr>
          <w:p>
            <w:pPr>
              <w:spacing w:after="0"/>
              <w:rPr>
                <w:sz w:val="20"/>
                <w:szCs w:val="20"/>
                <w:color w:val="auto"/>
              </w:rPr>
            </w:pP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190,807</w:t>
            </w:r>
          </w:p>
        </w:tc>
        <w:tc>
          <w:tcPr>
            <w:tcW w:w="420" w:type="dxa"/>
            <w:vAlign w:val="bottom"/>
            <w:shd w:val="clear" w:color="auto" w:fill="E5FFFF"/>
          </w:tcPr>
          <w:p>
            <w:pPr>
              <w:spacing w:after="0"/>
              <w:rPr>
                <w:sz w:val="20"/>
                <w:szCs w:val="20"/>
                <w:color w:val="auto"/>
              </w:rPr>
            </w:pPr>
          </w:p>
        </w:tc>
        <w:tc>
          <w:tcPr>
            <w:tcW w:w="260" w:type="dxa"/>
            <w:vAlign w:val="bottom"/>
            <w:shd w:val="clear" w:color="auto" w:fill="E5FFFF"/>
          </w:tcPr>
          <w:p>
            <w:pPr>
              <w:jc w:val="right"/>
              <w:ind w:right="32"/>
              <w:spacing w:after="0" w:line="237"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324,908</w:t>
            </w:r>
          </w:p>
        </w:tc>
        <w:tc>
          <w:tcPr>
            <w:tcW w:w="420" w:type="dxa"/>
            <w:vAlign w:val="bottom"/>
            <w:shd w:val="clear" w:color="auto" w:fill="E5FFFF"/>
          </w:tcPr>
          <w:p>
            <w:pPr>
              <w:spacing w:after="0"/>
              <w:rPr>
                <w:sz w:val="20"/>
                <w:szCs w:val="20"/>
                <w:color w:val="auto"/>
              </w:rPr>
            </w:pPr>
          </w:p>
        </w:tc>
        <w:tc>
          <w:tcPr>
            <w:tcW w:w="280" w:type="dxa"/>
            <w:vAlign w:val="bottom"/>
            <w:shd w:val="clear" w:color="auto" w:fill="E5FFFF"/>
          </w:tcPr>
          <w:p>
            <w:pPr>
              <w:jc w:val="right"/>
              <w:ind w:right="52"/>
              <w:spacing w:after="0" w:line="237" w:lineRule="exact"/>
              <w:rPr>
                <w:sz w:val="20"/>
                <w:szCs w:val="20"/>
                <w:color w:val="auto"/>
              </w:rPr>
            </w:pPr>
            <w:r>
              <w:rPr>
                <w:rFonts w:ascii="Arial" w:cs="Arial" w:eastAsia="Arial" w:hAnsi="Arial"/>
                <w:sz w:val="22"/>
                <w:szCs w:val="22"/>
                <w:color w:val="auto"/>
                <w:w w:val="81"/>
              </w:rPr>
              <w:t>$</w:t>
            </w:r>
          </w:p>
        </w:tc>
        <w:tc>
          <w:tcPr>
            <w:tcW w:w="9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337,269</w:t>
            </w:r>
          </w:p>
        </w:tc>
        <w:tc>
          <w:tcPr>
            <w:tcW w:w="100" w:type="dxa"/>
            <w:vAlign w:val="bottom"/>
            <w:shd w:val="clear" w:color="auto" w:fill="E5FFFF"/>
          </w:tcPr>
          <w:p>
            <w:pPr>
              <w:spacing w:after="0"/>
              <w:rPr>
                <w:sz w:val="20"/>
                <w:szCs w:val="20"/>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31,943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34,261</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71,649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66,158</w:t>
            </w:r>
          </w:p>
        </w:tc>
      </w:tr>
      <w:tr>
        <w:trPr>
          <w:trHeight w:val="243"/>
        </w:trPr>
        <w:tc>
          <w:tcPr>
            <w:tcW w:w="4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Distillers corn oil</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11,419</w:t>
            </w: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14,223</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24,500</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25,325</w:t>
            </w: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1,090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2,456</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2,656</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6,811</w:t>
            </w:r>
          </w:p>
        </w:tc>
      </w:tr>
      <w:tr>
        <w:trPr>
          <w:trHeight w:val="243"/>
        </w:trPr>
        <w:tc>
          <w:tcPr>
            <w:tcW w:w="4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gains (losses)</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130</w:t>
            </w: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(1,474)</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860</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(1,152)</w:t>
            </w:r>
          </w:p>
        </w:tc>
      </w:tr>
      <w:tr>
        <w:trPr>
          <w:trHeight w:val="257"/>
        </w:trPr>
        <w:tc>
          <w:tcPr>
            <w:tcW w:w="4840" w:type="dxa"/>
            <w:vAlign w:val="bottom"/>
          </w:tcPr>
          <w:p>
            <w:pPr>
              <w:spacing w:after="0"/>
              <w:rPr>
                <w:sz w:val="20"/>
                <w:szCs w:val="20"/>
                <w:color w:val="auto"/>
              </w:rPr>
            </w:pPr>
            <w:r>
              <w:rPr>
                <w:rFonts w:ascii="Arial" w:cs="Arial" w:eastAsia="Arial" w:hAnsi="Arial"/>
                <w:sz w:val="22"/>
                <w:szCs w:val="22"/>
                <w:color w:val="auto"/>
              </w:rPr>
              <w:t>Other</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35</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22"/>
                <w:szCs w:val="22"/>
                <w:color w:val="auto"/>
              </w:rPr>
              <w:t>55</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118</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145</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260" w:type="dxa"/>
            <w:vAlign w:val="bottom"/>
            <w:tcBorders>
              <w:top w:val="single" w:sz="8" w:color="auto"/>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211,977</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240,328</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424,691</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434,556</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selected operating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240"/>
              <w:spacing w:after="0"/>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1"/>
                <w:szCs w:val="21"/>
                <w:color w:val="auto"/>
              </w:rPr>
            </w:pPr>
          </w:p>
        </w:tc>
        <w:tc>
          <w:tcPr>
            <w:tcW w:w="2740" w:type="dxa"/>
            <w:vAlign w:val="bottom"/>
            <w:gridSpan w:val="5"/>
          </w:tcPr>
          <w:p>
            <w:pPr>
              <w:ind w:left="34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jc w:val="right"/>
              <w:ind w:right="43"/>
              <w:spacing w:after="0"/>
              <w:rPr>
                <w:sz w:val="20"/>
                <w:szCs w:val="20"/>
                <w:color w:val="auto"/>
              </w:rPr>
            </w:pPr>
            <w:r>
              <w:rPr>
                <w:rFonts w:ascii="Arial" w:cs="Arial" w:eastAsia="Arial" w:hAnsi="Arial"/>
                <w:sz w:val="22"/>
                <w:szCs w:val="22"/>
                <w:b w:val="1"/>
                <w:bCs w:val="1"/>
                <w:color w:val="auto"/>
              </w:rPr>
              <w:t>July 31,</w:t>
            </w: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July 31,</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84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2023</w:t>
            </w:r>
          </w:p>
        </w:tc>
        <w:tc>
          <w:tcPr>
            <w:tcW w:w="46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2022</w:t>
            </w:r>
          </w:p>
        </w:tc>
        <w:tc>
          <w:tcPr>
            <w:tcW w:w="42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2023</w:t>
            </w:r>
          </w:p>
        </w:tc>
        <w:tc>
          <w:tcPr>
            <w:tcW w:w="42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E5FFFF"/>
            </w:tcBorders>
          </w:tcPr>
          <w:p>
            <w:pPr>
              <w:spacing w:after="0"/>
              <w:rPr>
                <w:sz w:val="23"/>
                <w:szCs w:val="23"/>
                <w:color w:val="auto"/>
              </w:rPr>
            </w:pPr>
          </w:p>
        </w:tc>
      </w:tr>
      <w:tr>
        <w:trPr>
          <w:trHeight w:val="202"/>
        </w:trPr>
        <w:tc>
          <w:tcPr>
            <w:tcW w:w="4840" w:type="dxa"/>
            <w:vAlign w:val="bottom"/>
            <w:shd w:val="clear" w:color="auto" w:fill="E5FFFF"/>
          </w:tcPr>
          <w:p>
            <w:pPr>
              <w:spacing w:after="0" w:line="202" w:lineRule="exact"/>
              <w:rPr>
                <w:sz w:val="20"/>
                <w:szCs w:val="20"/>
                <w:color w:val="auto"/>
              </w:rPr>
            </w:pPr>
            <w:r>
              <w:rPr>
                <w:rFonts w:ascii="Arial" w:cs="Arial" w:eastAsia="Arial" w:hAnsi="Arial"/>
                <w:sz w:val="22"/>
                <w:szCs w:val="22"/>
                <w:color w:val="auto"/>
              </w:rPr>
              <w:t>Average selling price per gallon of ethanol (net of</w:t>
            </w:r>
          </w:p>
        </w:tc>
        <w:tc>
          <w:tcPr>
            <w:tcW w:w="260" w:type="dxa"/>
            <w:vAlign w:val="bottom"/>
            <w:shd w:val="clear" w:color="auto" w:fill="E5FFFF"/>
          </w:tcPr>
          <w:p>
            <w:pPr>
              <w:jc w:val="right"/>
              <w:ind w:right="63"/>
              <w:spacing w:after="0" w:line="202" w:lineRule="exact"/>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22"/>
                <w:szCs w:val="22"/>
                <w:color w:val="auto"/>
              </w:rPr>
              <w:t>2.42</w:t>
            </w:r>
          </w:p>
        </w:tc>
        <w:tc>
          <w:tcPr>
            <w:tcW w:w="4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63"/>
              <w:spacing w:after="0" w:line="202" w:lineRule="exact"/>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22"/>
                <w:szCs w:val="22"/>
                <w:color w:val="auto"/>
              </w:rPr>
              <w:t>2.65</w:t>
            </w:r>
          </w:p>
        </w:tc>
        <w:tc>
          <w:tcPr>
            <w:tcW w:w="4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32"/>
              <w:spacing w:after="0" w:line="202"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22"/>
                <w:szCs w:val="22"/>
                <w:color w:val="auto"/>
              </w:rPr>
              <w:t>2.32</w:t>
            </w:r>
          </w:p>
        </w:tc>
        <w:tc>
          <w:tcPr>
            <w:tcW w:w="4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52"/>
              <w:spacing w:after="0" w:line="202" w:lineRule="exact"/>
              <w:rPr>
                <w:sz w:val="20"/>
                <w:szCs w:val="20"/>
                <w:color w:val="auto"/>
              </w:rPr>
            </w:pPr>
            <w:r>
              <w:rPr>
                <w:rFonts w:ascii="Arial" w:cs="Arial" w:eastAsia="Arial" w:hAnsi="Arial"/>
                <w:sz w:val="22"/>
                <w:szCs w:val="22"/>
                <w:color w:val="auto"/>
                <w:w w:val="81"/>
              </w:rPr>
              <w:t>$</w:t>
            </w: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22"/>
                <w:szCs w:val="22"/>
                <w:color w:val="auto"/>
              </w:rPr>
              <w:t>2.47</w:t>
            </w:r>
          </w:p>
        </w:tc>
        <w:tc>
          <w:tcPr>
            <w:tcW w:w="100" w:type="dxa"/>
            <w:vAlign w:val="bottom"/>
            <w:shd w:val="clear" w:color="auto" w:fill="E5FFFF"/>
          </w:tcPr>
          <w:p>
            <w:pPr>
              <w:spacing w:after="0"/>
              <w:rPr>
                <w:sz w:val="17"/>
                <w:szCs w:val="17"/>
                <w:color w:val="auto"/>
              </w:rPr>
            </w:pPr>
          </w:p>
        </w:tc>
      </w:tr>
      <w:tr>
        <w:trPr>
          <w:trHeight w:val="264"/>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hedging)</w:t>
            </w: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69.1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71.4</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140.6</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135.9</w:t>
            </w:r>
          </w:p>
        </w:tc>
      </w:tr>
      <w:tr>
        <w:trPr>
          <w:trHeight w:val="222"/>
        </w:trPr>
        <w:tc>
          <w:tcPr>
            <w:tcW w:w="48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Average selling price per ton of dried distillers</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226.48</w:t>
            </w:r>
          </w:p>
        </w:tc>
        <w:tc>
          <w:tcPr>
            <w:tcW w:w="720" w:type="dxa"/>
            <w:vAlign w:val="bottom"/>
            <w:gridSpan w:val="2"/>
            <w:shd w:val="clear" w:color="auto" w:fill="E5FFFF"/>
          </w:tcPr>
          <w:p>
            <w:pPr>
              <w:jc w:val="right"/>
              <w:ind w:right="63"/>
              <w:spacing w:after="0" w:line="222" w:lineRule="exact"/>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line="222" w:lineRule="exact"/>
              <w:rPr>
                <w:sz w:val="20"/>
                <w:szCs w:val="20"/>
                <w:color w:val="auto"/>
              </w:rPr>
            </w:pPr>
            <w:r>
              <w:rPr>
                <w:rFonts w:ascii="Arial" w:cs="Arial" w:eastAsia="Arial" w:hAnsi="Arial"/>
                <w:sz w:val="22"/>
                <w:szCs w:val="22"/>
                <w:color w:val="auto"/>
              </w:rPr>
              <w:t>249.62</w:t>
            </w:r>
          </w:p>
        </w:tc>
        <w:tc>
          <w:tcPr>
            <w:tcW w:w="260" w:type="dxa"/>
            <w:vAlign w:val="bottom"/>
            <w:shd w:val="clear" w:color="auto" w:fill="E5FFFF"/>
          </w:tcPr>
          <w:p>
            <w:pPr>
              <w:jc w:val="right"/>
              <w:ind w:right="32"/>
              <w:spacing w:after="0" w:line="222"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236.30</w:t>
            </w:r>
          </w:p>
        </w:tc>
        <w:tc>
          <w:tcPr>
            <w:tcW w:w="700" w:type="dxa"/>
            <w:vAlign w:val="bottom"/>
            <w:gridSpan w:val="2"/>
            <w:shd w:val="clear" w:color="auto" w:fill="E5FFFF"/>
          </w:tcPr>
          <w:p>
            <w:pPr>
              <w:jc w:val="right"/>
              <w:ind w:right="52"/>
              <w:spacing w:after="0" w:line="222"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line="222" w:lineRule="exact"/>
              <w:rPr>
                <w:sz w:val="20"/>
                <w:szCs w:val="20"/>
                <w:color w:val="auto"/>
              </w:rPr>
            </w:pPr>
            <w:r>
              <w:rPr>
                <w:rFonts w:ascii="Arial" w:cs="Arial" w:eastAsia="Arial" w:hAnsi="Arial"/>
                <w:sz w:val="22"/>
                <w:szCs w:val="22"/>
                <w:color w:val="auto"/>
              </w:rPr>
              <w:t>233.80</w:t>
            </w:r>
          </w:p>
        </w:tc>
      </w:tr>
      <w:tr>
        <w:trPr>
          <w:trHeight w:val="264"/>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grains</w:t>
            </w: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141,043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137,250</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303,209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282,964</w:t>
            </w:r>
          </w:p>
        </w:tc>
      </w:tr>
      <w:tr>
        <w:trPr>
          <w:trHeight w:val="222"/>
        </w:trPr>
        <w:tc>
          <w:tcPr>
            <w:tcW w:w="48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Average selling price per pound of distillers corn</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0.55</w:t>
            </w:r>
          </w:p>
        </w:tc>
        <w:tc>
          <w:tcPr>
            <w:tcW w:w="720" w:type="dxa"/>
            <w:vAlign w:val="bottom"/>
            <w:gridSpan w:val="2"/>
            <w:shd w:val="clear" w:color="auto" w:fill="E5FFFF"/>
          </w:tcPr>
          <w:p>
            <w:pPr>
              <w:jc w:val="right"/>
              <w:ind w:right="63"/>
              <w:spacing w:after="0" w:line="222" w:lineRule="exact"/>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line="222" w:lineRule="exact"/>
              <w:rPr>
                <w:sz w:val="20"/>
                <w:szCs w:val="20"/>
                <w:color w:val="auto"/>
              </w:rPr>
            </w:pPr>
            <w:r>
              <w:rPr>
                <w:rFonts w:ascii="Arial" w:cs="Arial" w:eastAsia="Arial" w:hAnsi="Arial"/>
                <w:sz w:val="22"/>
                <w:szCs w:val="22"/>
                <w:color w:val="auto"/>
              </w:rPr>
              <w:t>0.72</w:t>
            </w:r>
          </w:p>
        </w:tc>
        <w:tc>
          <w:tcPr>
            <w:tcW w:w="260" w:type="dxa"/>
            <w:vAlign w:val="bottom"/>
            <w:shd w:val="clear" w:color="auto" w:fill="E5FFFF"/>
          </w:tcPr>
          <w:p>
            <w:pPr>
              <w:jc w:val="right"/>
              <w:ind w:right="32"/>
              <w:spacing w:after="0" w:line="222"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0.59</w:t>
            </w:r>
          </w:p>
        </w:tc>
        <w:tc>
          <w:tcPr>
            <w:tcW w:w="700" w:type="dxa"/>
            <w:vAlign w:val="bottom"/>
            <w:gridSpan w:val="2"/>
            <w:shd w:val="clear" w:color="auto" w:fill="E5FFFF"/>
          </w:tcPr>
          <w:p>
            <w:pPr>
              <w:jc w:val="right"/>
              <w:ind w:right="52"/>
              <w:spacing w:after="0" w:line="222"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line="222" w:lineRule="exact"/>
              <w:rPr>
                <w:sz w:val="20"/>
                <w:szCs w:val="20"/>
                <w:color w:val="auto"/>
              </w:rPr>
            </w:pPr>
            <w:r>
              <w:rPr>
                <w:rFonts w:ascii="Arial" w:cs="Arial" w:eastAsia="Arial" w:hAnsi="Arial"/>
                <w:sz w:val="22"/>
                <w:szCs w:val="22"/>
                <w:color w:val="auto"/>
              </w:rPr>
              <w:t>0.68</w:t>
            </w:r>
          </w:p>
        </w:tc>
      </w:tr>
      <w:tr>
        <w:trPr>
          <w:trHeight w:val="264"/>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oil</w:t>
            </w: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Pounds of distillers corn oil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20.7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19.7</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41.3</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37.4</w:t>
            </w:r>
          </w:p>
        </w:tc>
      </w:tr>
      <w:tr>
        <w:trPr>
          <w:trHeight w:val="222"/>
        </w:trPr>
        <w:tc>
          <w:tcPr>
            <w:tcW w:w="48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Average selling price per ton of modified distillers</w:t>
            </w: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103.01</w:t>
            </w:r>
          </w:p>
        </w:tc>
        <w:tc>
          <w:tcPr>
            <w:tcW w:w="720" w:type="dxa"/>
            <w:vAlign w:val="bottom"/>
            <w:gridSpan w:val="2"/>
            <w:shd w:val="clear" w:color="auto" w:fill="E5FFFF"/>
          </w:tcPr>
          <w:p>
            <w:pPr>
              <w:jc w:val="right"/>
              <w:ind w:right="63"/>
              <w:spacing w:after="0" w:line="222" w:lineRule="exact"/>
              <w:rPr>
                <w:sz w:val="20"/>
                <w:szCs w:val="20"/>
                <w:color w:val="auto"/>
              </w:rPr>
            </w:pPr>
            <w:r>
              <w:rPr>
                <w:rFonts w:ascii="Arial" w:cs="Arial" w:eastAsia="Arial" w:hAnsi="Arial"/>
                <w:sz w:val="22"/>
                <w:szCs w:val="22"/>
                <w:color w:val="auto"/>
              </w:rPr>
              <w:t>$</w:t>
            </w:r>
          </w:p>
        </w:tc>
        <w:tc>
          <w:tcPr>
            <w:tcW w:w="1420" w:type="dxa"/>
            <w:vAlign w:val="bottom"/>
            <w:gridSpan w:val="2"/>
            <w:shd w:val="clear" w:color="auto" w:fill="E5FFFF"/>
          </w:tcPr>
          <w:p>
            <w:pPr>
              <w:jc w:val="right"/>
              <w:ind w:right="420"/>
              <w:spacing w:after="0" w:line="222" w:lineRule="exact"/>
              <w:rPr>
                <w:sz w:val="20"/>
                <w:szCs w:val="20"/>
                <w:color w:val="auto"/>
              </w:rPr>
            </w:pPr>
            <w:r>
              <w:rPr>
                <w:rFonts w:ascii="Arial" w:cs="Arial" w:eastAsia="Arial" w:hAnsi="Arial"/>
                <w:sz w:val="22"/>
                <w:szCs w:val="22"/>
                <w:color w:val="auto"/>
              </w:rPr>
              <w:t>128.50</w:t>
            </w:r>
          </w:p>
        </w:tc>
        <w:tc>
          <w:tcPr>
            <w:tcW w:w="260" w:type="dxa"/>
            <w:vAlign w:val="bottom"/>
            <w:shd w:val="clear" w:color="auto" w:fill="E5FFFF"/>
          </w:tcPr>
          <w:p>
            <w:pPr>
              <w:jc w:val="right"/>
              <w:ind w:right="32"/>
              <w:spacing w:after="0" w:line="222"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E5FFFF"/>
          </w:tcPr>
          <w:p>
            <w:pPr>
              <w:jc w:val="right"/>
              <w:spacing w:after="0" w:line="222" w:lineRule="exact"/>
              <w:rPr>
                <w:sz w:val="20"/>
                <w:szCs w:val="20"/>
                <w:color w:val="auto"/>
              </w:rPr>
            </w:pPr>
            <w:r>
              <w:rPr>
                <w:rFonts w:ascii="Arial" w:cs="Arial" w:eastAsia="Arial" w:hAnsi="Arial"/>
                <w:sz w:val="22"/>
                <w:szCs w:val="22"/>
                <w:color w:val="auto"/>
              </w:rPr>
              <w:t>116.20</w:t>
            </w:r>
          </w:p>
        </w:tc>
        <w:tc>
          <w:tcPr>
            <w:tcW w:w="700" w:type="dxa"/>
            <w:vAlign w:val="bottom"/>
            <w:gridSpan w:val="2"/>
            <w:shd w:val="clear" w:color="auto" w:fill="E5FFFF"/>
          </w:tcPr>
          <w:p>
            <w:pPr>
              <w:jc w:val="right"/>
              <w:ind w:right="52"/>
              <w:spacing w:after="0" w:line="222"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E5FFFF"/>
          </w:tcPr>
          <w:p>
            <w:pPr>
              <w:jc w:val="right"/>
              <w:ind w:right="100"/>
              <w:spacing w:after="0" w:line="222" w:lineRule="exact"/>
              <w:rPr>
                <w:sz w:val="20"/>
                <w:szCs w:val="20"/>
                <w:color w:val="auto"/>
              </w:rPr>
            </w:pPr>
            <w:r>
              <w:rPr>
                <w:rFonts w:ascii="Arial" w:cs="Arial" w:eastAsia="Arial" w:hAnsi="Arial"/>
                <w:sz w:val="22"/>
                <w:szCs w:val="22"/>
                <w:color w:val="auto"/>
              </w:rPr>
              <w:t>121.65</w:t>
            </w:r>
          </w:p>
        </w:tc>
      </w:tr>
      <w:tr>
        <w:trPr>
          <w:trHeight w:val="264"/>
        </w:trPr>
        <w:tc>
          <w:tcPr>
            <w:tcW w:w="4840" w:type="dxa"/>
            <w:vAlign w:val="bottom"/>
            <w:shd w:val="clear" w:color="auto" w:fill="E5FFFF"/>
          </w:tcPr>
          <w:p>
            <w:pPr>
              <w:spacing w:after="0"/>
              <w:rPr>
                <w:sz w:val="20"/>
                <w:szCs w:val="20"/>
                <w:color w:val="auto"/>
              </w:rPr>
            </w:pPr>
            <w:r>
              <w:rPr>
                <w:rFonts w:ascii="Arial" w:cs="Arial" w:eastAsia="Arial" w:hAnsi="Arial"/>
                <w:sz w:val="22"/>
                <w:szCs w:val="22"/>
                <w:color w:val="auto"/>
              </w:rPr>
              <w:t>grains</w:t>
            </w: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00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r>
      <w:tr>
        <w:trPr>
          <w:trHeight w:val="274"/>
        </w:trPr>
        <w:tc>
          <w:tcPr>
            <w:tcW w:w="4840" w:type="dxa"/>
            <w:vAlign w:val="bottom"/>
          </w:tcPr>
          <w:p>
            <w:pPr>
              <w:spacing w:after="0"/>
              <w:rPr>
                <w:sz w:val="20"/>
                <w:szCs w:val="20"/>
                <w:color w:val="auto"/>
              </w:rPr>
            </w:pPr>
            <w:r>
              <w:rPr>
                <w:rFonts w:ascii="Arial" w:cs="Arial" w:eastAsia="Arial" w:hAnsi="Arial"/>
                <w:sz w:val="22"/>
                <w:szCs w:val="22"/>
                <w:color w:val="auto"/>
              </w:rPr>
              <w:t>Tons of modified distillers grains sold</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10,583</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22"/>
                <w:szCs w:val="22"/>
                <w:color w:val="auto"/>
              </w:rPr>
              <w:t>19,110</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22,853</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55,989</w:t>
            </w:r>
          </w:p>
        </w:tc>
      </w:tr>
    </w:tbl>
    <w:p>
      <w:pPr>
        <w:spacing w:after="0" w:line="190"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Net sales and revenue in the quarter ended July 31, 2023 decreased approximately 12% compared to the prior year’s second quarter. Net sales and revenue in the first six months ended July 31, 2023 decreased approximately 2% compared to the first six months of fiscal year 2022.</w:t>
      </w:r>
    </w:p>
    <w:p>
      <w:pPr>
        <w:spacing w:after="0" w:line="21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Ethanol sales decreased in the second quarter of fiscal year 2023 compared to the second quarter of fiscal year 2022 as the quantities sold at our consolidated plants during the second quarter of fiscal year 2023 decreased 3% from the prior year comparable period as well as a 9% decrease in the average selling price on ethanol. Ethanol sales decreased 4% in the first six months of fiscal year 2023 compared to the first six months of fiscal year 2022, driven by a 6% decrease in selling price, offset partially by a 3% increase in gallons sold. The decrease in the ethanol selling price resulted primarily from a decrease in commodity prices.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ind w:right="40" w:firstLine="648"/>
        <w:spacing w:after="0" w:line="279" w:lineRule="auto"/>
        <w:rPr>
          <w:sz w:val="20"/>
          <w:szCs w:val="20"/>
          <w:color w:val="auto"/>
        </w:rPr>
      </w:pPr>
      <w:r>
        <w:rPr>
          <w:rFonts w:ascii="Arial" w:cs="Arial" w:eastAsia="Arial" w:hAnsi="Arial"/>
          <w:sz w:val="19"/>
          <w:szCs w:val="19"/>
          <w:color w:val="auto"/>
        </w:rPr>
        <w:t>Dried distillers grains sales decreased 7% in the second quarter of fiscal year 2023 compared to the second quarter of fiscal year 2022 as the average price per ton sold decreased 9%, offset by a 3% increase in tons sold. The decrease in the dried distillers grains selling price resulted primarily from a decrease in corn prices as dried distillers grains prices often correlate with corn pricing. Dried distillers grains sales increased 8% in the first six months of fiscal year 2023 compared to the first six months of fiscal year 2022, primarily driven by a 7% increase in tons sold. In addition, there was a 1% increase in the price of dried distillers grains compared to the first six months of fiscal year 2022.</w:t>
      </w:r>
    </w:p>
    <w:p>
      <w:pPr>
        <w:spacing w:after="0" w:line="177"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Distillers corn oil sales decreased in the second quarter of fiscal year 2023 compared to the second quarter of fiscal year 2022 as the selling price of distillers corn oil decreased 24% over the prior year second quarter, offset partially by a 5% increase in pounds sold. Distillers corn oil sales decreased in the first six months of fiscal year 2023 compared to the first six months of fiscal year 2022 as the selling price of distillers corn oil decreased 13% over the prior year, offset partially by a 11% increase in pounds sold.</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Modified distillers grains sales decreased in the second quarter of fiscal year 2023 compared to the second quarter of fiscal year 2022 due to a decrease in tons sold of 45%, as well as a 20% decrease in price per ton sold. Modified distillers grains sales decreased in the first six months of fiscal year 2023 compared to the first six months of fiscal year 2022 due to a decrease in tons sold of 59%, as well as a 4% decrease in price per ton sold. The decrease in the modified distillers grains selling price resulted primarily from a decrease in corn prices. Our consolidated plants’ decisions to sell modified or dried distillers grains fluctuates from time to time based upon market conditions.</w:t>
      </w:r>
    </w:p>
    <w:p>
      <w:pPr>
        <w:spacing w:after="0" w:line="204"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Gains on derivative financial instruments, included in net sales and revenue, of approximately $0.1 million in the second quarter of fiscal year 2023, compared to losses on derivative financial instruments of approximately $1.5 million during the second quarter of fiscal year 2022. For the first six months of fiscal year 2023, gains on derivative financial instruments, included in net sales and revenue, were approximately $0.9 million, compared to losses of $1.2 million in the first six months of fiscal year 2022. These gains and losses are related to our risk management activities and were impacted by the price movements and types of contracts entered into at one of our consolidated ethanol plants.</w:t>
      </w:r>
    </w:p>
    <w:p>
      <w:pPr>
        <w:spacing w:after="0" w:line="204"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Cost of sales decreased approximately 14% in the quarter ended July 31, 2023, compared to the prior year second quarter. Corn accounted for approximately 82% ($158.0 million) of our cost of sales during the second quarter of fiscal year 2023 compared to approximately 84% ($186.9 million) during the second quarter of fiscal year 2022. The cost of corn decreased approximately $28.7 million due primarily to lower corn prices, as well as a decrease in corn used during the quarter ended July 31, 2023, compared to the prior year second quarter. Natural gas accounted for approximately 3% ($6.4 million) of our cost of sales during the second quarter of fiscal year 2023 compared to approximately 7% ($15.3 million) during the second quarter of fiscal year 2022. Cost of sales decreased approximately 3% in the six months ended July 31, 2023, compared to the prior year comparable period. Corn accounted for approximately 81% ($321.8 million) of our cost of sales during the first six months of fiscal year 2023 compared to approximately 84% ($339.6 million) during the first six months of fiscal year 2022. The decrease in the cost of corn was primarily attributable to lower corn prices during the six month period ended July 31, 2023, compared to the prior year comparable period, partially offset by an increase in corn used between the two periods. Natural gas accounted for approximately 4% ($17.1 million) of our cost of sales during the first six months of fiscal year 2023 compared to approximately 6% ($26.2 million) during the first six months of fiscal year 2022.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 w:name="page29"/>
    <w:bookmarkEnd w:id="28"/>
    <w:p>
      <w:pPr>
        <w:ind w:right="20" w:firstLine="648"/>
        <w:spacing w:after="0"/>
        <w:rPr>
          <w:sz w:val="20"/>
          <w:szCs w:val="20"/>
          <w:color w:val="auto"/>
        </w:rPr>
      </w:pPr>
      <w:r>
        <w:rPr>
          <w:rFonts w:ascii="Arial" w:cs="Arial" w:eastAsia="Arial" w:hAnsi="Arial"/>
          <w:sz w:val="22"/>
          <w:szCs w:val="22"/>
          <w:color w:val="auto"/>
        </w:rPr>
        <w:t>As a result of the foregoing, gross profit for the second quarter of fiscal year 2023 increased approximately $4.2 million compared to the prior year’s second quarter. Gross profit for the first six months of fiscal year 2023 increased approximately $2.5 million compared to the first six months of fiscal year 2022.</w:t>
      </w:r>
    </w:p>
    <w:p>
      <w:pPr>
        <w:spacing w:after="0" w:line="213"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SG&amp;A expenses were approximately $8.6 million for the second quarter of fiscal year 2023, compared to approximately $6.7 million of expenses for the second quarter of fiscal year 2022. SG&amp;A expenses were approximately $14.4 million for the first six months of fiscal year 2023, compared to approximately $11.9 million for the first six months of fiscal year 2022. The increases are primarily related to restricted stock awards granted to certain executive officers in the second quarter of 2023, which were expensed upon issuance.</w:t>
      </w:r>
    </w:p>
    <w:p>
      <w:pPr>
        <w:spacing w:after="0" w:line="21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During the second quarter of fiscal year 2023, we recognized income from our equity investment in Big River of approximately $3.0 million compared to income of approximately $3.6 million for the second quarter of fiscal year 2022. During the first six months of fiscal year 2023, we recognized income from our equity investment in Big River of approximately $4.5 million compared to income of approximately $5.5 million during the first six months of fiscal year 2022. During the second quarter of 2022, COVID-19 relief grants from the USDA received by Big River contributed $1.6 million to the income we recognized in 2022. Our investment in Big River, which has interests in four ethanol production plants, represents an effective ownership of approximately 37.9 million gallons of ethanol shipped in the trailing twelve months ended July 31, 2023. Due to the inherent volatility of commodity prices within the ethanol industry, we cannot predict the likelihood of future operating results from Big River being similar to historical results.</w:t>
      </w:r>
    </w:p>
    <w:p>
      <w:pPr>
        <w:spacing w:after="0" w:line="211"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Interest and other income was approximately $3.3 million for the second quarter of fiscal year 2023 versus approximately $8.2 million for the second quarter of fiscal year 2022. Interest and other income was approximately $6.1 million for the first six months of 2023 versus approximately $8.4 million for the first six months of fiscal year 2022. The decrease is due to the Company’s consolidated plants receiving COVID-19 relief grants from the USDA totaling approximately $7.8 million in the second quarter of 2022, which was offset by an increase in interest income in the current year as yields on our excess cash and short-term investments increased in fiscal year 2023, compared to 2022.</w:t>
      </w:r>
    </w:p>
    <w:p>
      <w:pPr>
        <w:spacing w:after="0" w:line="204"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As a result of the foregoing, income before income taxes was approximately $16.1 million and $19.2 million for the second quarters of fiscal year 2023 and 2022, respectively. Income before income taxes was approximately $24.7 million and $28.0 million for the first six months of fiscal year 2023 and 2022,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9" w:name="page30"/>
    <w:bookmarkEnd w:id="29"/>
    <w:p>
      <w:pPr>
        <w:ind w:right="100" w:firstLine="648"/>
        <w:spacing w:after="0" w:line="287" w:lineRule="auto"/>
        <w:rPr>
          <w:sz w:val="20"/>
          <w:szCs w:val="20"/>
          <w:color w:val="auto"/>
        </w:rPr>
      </w:pPr>
      <w:r>
        <w:rPr>
          <w:rFonts w:ascii="Arial" w:cs="Arial" w:eastAsia="Arial" w:hAnsi="Arial"/>
          <w:sz w:val="19"/>
          <w:szCs w:val="19"/>
          <w:color w:val="auto"/>
        </w:rPr>
        <w:t>The Company applies an effective tax rate to interim periods that is consistent with the Company’s estimated annual tax rate as adjusted for discrete items impacting the interim periods. Our income tax provision was approximately $3.8 million and $4.3 million for the three months ended July 31, 2023 and 2022, respectively. Our income tax provision was approximately $ 5.8 million and $6.2 million for the first six months of fiscal year 2023 and 2022, respectively.</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As a result of the foregoing, net income was approximately $12.3 million for the second quarter of fiscal year 2023 compared to approximately $14.9 million for the second quarter of fiscal year 2022. Net income was approximately $19.0 million for the first six months of fiscal year 2023 compared to approximately $21.9 million for the first six months of fiscal year 2022.</w:t>
      </w:r>
    </w:p>
    <w:p>
      <w:pPr>
        <w:spacing w:after="0" w:line="16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Net income attributable to noncontrolling interests was approximately $3.2 million for the second quarter of fiscal year 2023 compared to $3.7 million for the second quarter of fiscal year 2022. Net income attributable to noncontrolling interests was approximately $4.7 million for the first six months of fiscal year 2023 compared to approximately $5.5 million for the first six months of fiscal year 2022. These amounts represent the other owners’ share of the income of NuGen and One Earth.</w:t>
      </w:r>
    </w:p>
    <w:p>
      <w:pPr>
        <w:spacing w:after="0" w:line="170"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As a result of the foregoing, net income attributable to REX common shareholders from for the second quarter of fiscal year 2023 was approximately $9.1 million, compared to net income attributable to REX common shareholders of approximately $11.2 million for the second quarter of fiscal year 2022. Net income attributable to REX common shareholders from the first six months of fiscal year 2023 was approximately $14.3 million, compared to net income attributable to REX common shareholders of approximately $16.4 million for the first six months of fiscal year 2022.</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Net cash provided by operating activities was approximately $8.6 million for the first six months of fiscal year 2023, compared to cash provided by operating activities of approximately $0.8 million for the first six months of fiscal year 2022. For the first six months of fiscal year 2023, cash was provided by net income of approximately $19.0 million, adjusted for non-cash items of approximately $11.1 million, which consisted of depreciation, amortization of operating lease right-of-use assets, income from equity method investments, interest income from short-term investments, the deferred income tax provision, stock-based compensation expense, and loss on sale of property and equipment. An increase in the balance of accounts receivable used cash of approximately $6.8 million, primarily a result of the timing of products shipped and the receipt of customer payments at One Earth and NuGen. Inventories decreased over the first six months of fiscal year 2023, providing cash of $2.8 million. An increase in the balance of other assets of approximately $5.2 million primarily relates to changes in the carrying value of forward purchase contracts and commodity futures positions recorded at fair value. An increase in the balance of refundable income taxes of approximately $2.7 million primarily relates to overpayment of taxes currently payable for the previous fiscal year and quarterly estimated tax payments. While the Company has tax credits available to offset all amounts owed, the Company is limited to using tax credits for only 75% of federal taxes owed. A decrease in the balance of accounts payable used cash of approximately $12.6 million, which was primarily a result of the timing of inventory receipts and vendor payments. An increase in the balance of other liabilities provided cash of approximately $3.0 million.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0" w:name="page31"/>
    <w:bookmarkEnd w:id="30"/>
    <w:p>
      <w:pPr>
        <w:ind w:right="60"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$0.8 million for the first six months of fiscal year 2022. For the first six months of fiscal year 2022, cash was provided by net income of approximately $21.9 million, adjusted for non-cash items of approximately $10.8 million, which consisted of depreciation, amortization of operating lease right-of-use assets, income from equity method investments, interest income from short-term investments, the deferred income tax provision, stock-based compensation expense, and loss on sale of property and equipment. An increase in the balance of accounts receivable used cash of approximately $12.7 million, primarily a result of the timing of products shipped and the receipt of customer payments at One Earth and NuGen in addition to higher sales and pricing. Inventories increased by approximately $7.7 million, primarily a result of the timing of receipt of raw materials and the shipment of finished goods, as well as an increase in commodity prices. An increase in the balance of other assets of approximately $2.2 million primarily relates to changes in the carrying value of forward purchase contracts recorded at fair value. A decrease in the balance of refundable income taxes of approximately $0.8 million primarily relates to amounts currently payable on income from the first six months of the fiscal year. A decrease in the balance of accounts payable used cash of approximately $11.3 million, which was primarily a result of the timing of inventory receipts and vendor payments. An increase in the balance of other liabilities provided cash of approximately $1.2 million.</w:t>
      </w:r>
    </w:p>
    <w:p>
      <w:pPr>
        <w:spacing w:after="0" w:line="183"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At July 31, 2023, working capital was approximately $340.4 million, compared to approximately $318.0 million at January 31, 2023. The ratio of current assets to current liabilities was 8.2 to 1 at July 31, 2023 and 6.8 to 1 at January 31, 2023.</w:t>
      </w:r>
    </w:p>
    <w:p>
      <w:pPr>
        <w:spacing w:after="0" w:line="132"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Cash of approximately $24.9 million was provided by investing activities for the first six months of fiscal year 2023, compared to cash used by investing activities of approximately $167.0 million during the first six months of fiscal year 2022. During the first six months of fiscal year 2023, we had capital expenditures of approximately $8.2 million, primarily for various capital projects at our consolidated ethanol plants, including expansion and carbon intensity (“CI”) score reduction projects at the One Earth facility. During the first six months of fiscal year 2023, we purchased short-term U.S. Treasury Bills of approximately $194.4 million, while U.S. Treasury Bills of approximately $227.5 million matured. The U.S Treasury Bills had maturities of less than one year and we classified them as short-term investments. Depending on investment options available, we may elect to retain the funds, or a portion thereof, in cash, short-term investments or long-term investments.</w:t>
      </w:r>
    </w:p>
    <w:p>
      <w:pPr>
        <w:spacing w:after="0" w:line="18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Cash of approximately $167.0 million was used in investing activities for the first six months of fiscal year 2022. During the first six months of fiscal year 2022, we had capital expenditures of approximately $2.9 million, primarily for improvements at the One Earth and NuGen facilities. During the first six months of fiscal year 2022, we purchased U.S. Treasury Bills of approximately $190.0 million. During the first six months of fiscal year 2022 certificates of deposit of approximately $25.9 million matured. The certificates of deposit and U.S. Treasury Bills had maturities of less than one year and we classified as short-term investments.</w:t>
      </w:r>
    </w:p>
    <w:p>
      <w:pPr>
        <w:spacing w:after="0" w:line="215"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Cash of approximately $0.7 million was used in financing activities for the first six months of fiscal year 2023 for payments to noncontrolling interests holders, compared to approximately $1.6 million for the first six months of fiscal year 2022. No treasury stock was acquired in the first six months of fiscal year 2023, compared to $6.2 million in the first six months of fiscal year 2022.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1" w:name="page32"/>
    <w:bookmarkEnd w:id="31"/>
    <w:p>
      <w:pPr>
        <w:ind w:right="20" w:firstLine="648"/>
        <w:spacing w:after="0" w:line="245" w:lineRule="auto"/>
        <w:rPr>
          <w:sz w:val="20"/>
          <w:szCs w:val="20"/>
          <w:color w:val="auto"/>
        </w:rPr>
      </w:pPr>
      <w:r>
        <w:rPr>
          <w:rFonts w:ascii="Arial" w:cs="Arial" w:eastAsia="Arial" w:hAnsi="Arial"/>
          <w:sz w:val="21"/>
          <w:szCs w:val="21"/>
          <w:color w:val="auto"/>
        </w:rPr>
        <w:t>We are investigating various uses for our excess cash and short-term investments. We have a stock buyback program with 876,786 shares remaining authorized at July 31, 2023.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meet our investment criteria. If all approvals are received, we expect capital expenditures related to the construction at the One Earth plant, inclusive of the carbon sequestration project, plant capacity expansion and ongoing efforts to reduce the CI scoring, to approximate $165 million, which we currently plan to pay from our available cash. As of July 31, 2023, approximately $13.4 million has been spent on these projects, with $50 million to $60 million planned to be spent during the remainder of fiscal year 2023.</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2023 (File No. 001-09097).</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firstLine="495"/>
        <w:spacing w:after="0" w:line="249" w:lineRule="auto"/>
        <w:rPr>
          <w:sz w:val="20"/>
          <w:szCs w:val="20"/>
          <w:color w:val="auto"/>
        </w:rPr>
      </w:pPr>
      <w:r>
        <w:rPr>
          <w:rFonts w:ascii="Arial" w:cs="Arial" w:eastAsia="Arial" w:hAnsi="Arial"/>
          <w:sz w:val="21"/>
          <w:szCs w:val="21"/>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July 31, 2023 is as follows, assuming normal operating capacity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62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rPr>
              <w:t>Estimated Total</w:t>
            </w: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87"/>
              </w:rPr>
              <w:t>Decrease in Pre-tax</w:t>
            </w:r>
          </w:p>
        </w:tc>
      </w:tr>
      <w:tr>
        <w:trPr>
          <w:trHeight w:val="243"/>
        </w:trPr>
        <w:tc>
          <w:tcPr>
            <w:tcW w:w="1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620" w:type="dxa"/>
            <w:vAlign w:val="bottom"/>
            <w:gridSpan w:val="3"/>
          </w:tcPr>
          <w:p>
            <w:pPr>
              <w:jc w:val="right"/>
              <w:ind w:right="320"/>
              <w:spacing w:after="0" w:line="243" w:lineRule="exact"/>
              <w:rPr>
                <w:sz w:val="20"/>
                <w:szCs w:val="20"/>
                <w:color w:val="auto"/>
              </w:rPr>
            </w:pPr>
            <w:r>
              <w:rPr>
                <w:rFonts w:ascii="Arial" w:cs="Arial" w:eastAsia="Arial" w:hAnsi="Arial"/>
                <w:sz w:val="22"/>
                <w:szCs w:val="22"/>
                <w:b w:val="1"/>
                <w:bCs w:val="1"/>
                <w:color w:val="auto"/>
              </w:rPr>
              <w:t>Volume for</w:t>
            </w: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3"/>
          </w:tcPr>
          <w:p>
            <w:pPr>
              <w:jc w:val="right"/>
              <w:ind w:right="100"/>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64"/>
        </w:trPr>
        <w:tc>
          <w:tcPr>
            <w:tcW w:w="1100" w:type="dxa"/>
            <w:vAlign w:val="bottom"/>
          </w:tcPr>
          <w:p>
            <w:pPr>
              <w:spacing w:after="0"/>
              <w:rPr>
                <w:sz w:val="20"/>
                <w:szCs w:val="20"/>
                <w:color w:val="auto"/>
              </w:rPr>
            </w:pPr>
            <w:r>
              <w:rPr>
                <w:rFonts w:ascii="Arial" w:cs="Arial" w:eastAsia="Arial" w:hAnsi="Arial"/>
                <w:sz w:val="22"/>
                <w:szCs w:val="22"/>
                <w:b w:val="1"/>
                <w:bCs w:val="1"/>
                <w:color w:val="auto"/>
                <w:w w:val="89"/>
              </w:rPr>
              <w:t>Commodity</w:t>
            </w:r>
          </w:p>
        </w:tc>
        <w:tc>
          <w:tcPr>
            <w:tcW w:w="2340" w:type="dxa"/>
            <w:vAlign w:val="bottom"/>
          </w:tcPr>
          <w:p>
            <w:pPr>
              <w:spacing w:after="0"/>
              <w:rPr>
                <w:sz w:val="22"/>
                <w:szCs w:val="22"/>
                <w:color w:val="auto"/>
              </w:rPr>
            </w:pPr>
          </w:p>
        </w:tc>
        <w:tc>
          <w:tcPr>
            <w:tcW w:w="362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rPr>
              <w:t>12 Months</w:t>
            </w:r>
          </w:p>
        </w:tc>
        <w:tc>
          <w:tcPr>
            <w:tcW w:w="1500" w:type="dxa"/>
            <w:vAlign w:val="bottom"/>
          </w:tcPr>
          <w:p>
            <w:pPr>
              <w:jc w:val="right"/>
              <w:spacing w:after="0"/>
              <w:rPr>
                <w:sz w:val="20"/>
                <w:szCs w:val="20"/>
                <w:color w:val="auto"/>
              </w:rPr>
            </w:pPr>
            <w:r>
              <w:rPr>
                <w:rFonts w:ascii="Arial" w:cs="Arial" w:eastAsia="Arial" w:hAnsi="Arial"/>
                <w:sz w:val="22"/>
                <w:szCs w:val="22"/>
                <w:b w:val="1"/>
                <w:bCs w:val="1"/>
                <w:color w:val="auto"/>
                <w:w w:val="89"/>
              </w:rPr>
              <w:t>Unit of Measure</w:t>
            </w:r>
          </w:p>
        </w:tc>
        <w:tc>
          <w:tcPr>
            <w:tcW w:w="300" w:type="dxa"/>
            <w:vAlign w:val="bottom"/>
          </w:tcPr>
          <w:p>
            <w:pPr>
              <w:spacing w:after="0"/>
              <w:rPr>
                <w:sz w:val="22"/>
                <w:szCs w:val="22"/>
                <w:color w:val="auto"/>
              </w:rPr>
            </w:pPr>
          </w:p>
        </w:tc>
        <w:tc>
          <w:tcPr>
            <w:tcW w:w="2380" w:type="dxa"/>
            <w:vAlign w:val="bottom"/>
            <w:gridSpan w:val="3"/>
          </w:tcPr>
          <w:p>
            <w:pPr>
              <w:jc w:val="right"/>
              <w:ind w:right="100"/>
              <w:spacing w:after="0"/>
              <w:rPr>
                <w:sz w:val="20"/>
                <w:szCs w:val="20"/>
                <w:color w:val="auto"/>
              </w:rPr>
            </w:pPr>
            <w:r>
              <w:rPr>
                <w:rFonts w:ascii="Arial" w:cs="Arial" w:eastAsia="Arial" w:hAnsi="Arial"/>
                <w:sz w:val="22"/>
                <w:szCs w:val="22"/>
                <w:b w:val="1"/>
                <w:bCs w:val="1"/>
                <w:color w:val="auto"/>
                <w:w w:val="87"/>
              </w:rPr>
              <w:t>Adverse Change in Price</w:t>
            </w:r>
          </w:p>
        </w:tc>
      </w:tr>
      <w:tr>
        <w:trPr>
          <w:trHeight w:val="243"/>
        </w:trPr>
        <w:tc>
          <w:tcPr>
            <w:tcW w:w="1100" w:type="dxa"/>
            <w:vAlign w:val="bottom"/>
            <w:tcBorders>
              <w:top w:val="single" w:sz="8" w:color="auto"/>
            </w:tcBorders>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340" w:type="dxa"/>
            <w:vAlign w:val="bottom"/>
            <w:shd w:val="clear" w:color="auto" w:fill="E5FFFF"/>
          </w:tcPr>
          <w:p>
            <w:pPr>
              <w:spacing w:after="0"/>
              <w:rPr>
                <w:sz w:val="21"/>
                <w:szCs w:val="21"/>
                <w:color w:val="auto"/>
              </w:rPr>
            </w:pPr>
          </w:p>
        </w:tc>
        <w:tc>
          <w:tcPr>
            <w:tcW w:w="2320" w:type="dxa"/>
            <w:vAlign w:val="bottom"/>
            <w:shd w:val="clear" w:color="auto" w:fill="E5FFFF"/>
          </w:tcPr>
          <w:p>
            <w:pPr>
              <w:spacing w:after="0"/>
              <w:rPr>
                <w:sz w:val="21"/>
                <w:szCs w:val="21"/>
                <w:color w:val="auto"/>
              </w:rPr>
            </w:pPr>
          </w:p>
        </w:tc>
        <w:tc>
          <w:tcPr>
            <w:tcW w:w="980" w:type="dxa"/>
            <w:vAlign w:val="bottom"/>
            <w:tcBorders>
              <w:top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284,000</w:t>
            </w:r>
          </w:p>
        </w:tc>
        <w:tc>
          <w:tcPr>
            <w:tcW w:w="320" w:type="dxa"/>
            <w:vAlign w:val="bottom"/>
            <w:shd w:val="clear" w:color="auto" w:fill="E5FFFF"/>
          </w:tcPr>
          <w:p>
            <w:pPr>
              <w:spacing w:after="0"/>
              <w:rPr>
                <w:sz w:val="21"/>
                <w:szCs w:val="21"/>
                <w:color w:val="auto"/>
              </w:rPr>
            </w:pPr>
          </w:p>
        </w:tc>
        <w:tc>
          <w:tcPr>
            <w:tcW w:w="1500" w:type="dxa"/>
            <w:vAlign w:val="bottom"/>
            <w:tcBorders>
              <w:top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Gallons</w:t>
            </w:r>
          </w:p>
        </w:tc>
        <w:tc>
          <w:tcPr>
            <w:tcW w:w="300" w:type="dxa"/>
            <w:vAlign w:val="bottom"/>
            <w:shd w:val="clear" w:color="auto" w:fill="E5FFFF"/>
          </w:tcPr>
          <w:p>
            <w:pPr>
              <w:spacing w:after="0"/>
              <w:rPr>
                <w:sz w:val="21"/>
                <w:szCs w:val="21"/>
                <w:color w:val="auto"/>
              </w:rPr>
            </w:pPr>
          </w:p>
        </w:tc>
        <w:tc>
          <w:tcPr>
            <w:tcW w:w="1560" w:type="dxa"/>
            <w:vAlign w:val="bottom"/>
            <w:tcBorders>
              <w:top w:val="single" w:sz="8" w:color="auto"/>
            </w:tcBorders>
            <w:shd w:val="clear" w:color="auto" w:fill="E5FFFF"/>
          </w:tcPr>
          <w:p>
            <w:pPr>
              <w:jc w:val="center"/>
              <w:ind w:left="1092"/>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tcBorders>
              <w:top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60,709</w:t>
            </w:r>
          </w:p>
        </w:tc>
        <w:tc>
          <w:tcPr>
            <w:tcW w:w="100" w:type="dxa"/>
            <w:vAlign w:val="bottom"/>
            <w:shd w:val="clear" w:color="auto" w:fill="E5FFFF"/>
          </w:tcPr>
          <w:p>
            <w:pPr>
              <w:spacing w:after="0"/>
              <w:rPr>
                <w:sz w:val="21"/>
                <w:szCs w:val="21"/>
                <w:color w:val="auto"/>
              </w:rPr>
            </w:pPr>
          </w:p>
        </w:tc>
      </w:tr>
      <w:tr>
        <w:trPr>
          <w:trHeight w:val="243"/>
        </w:trPr>
        <w:tc>
          <w:tcPr>
            <w:tcW w:w="344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362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101,000</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Bushels</w:t>
            </w:r>
          </w:p>
        </w:tc>
        <w:tc>
          <w:tcPr>
            <w:tcW w:w="1860" w:type="dxa"/>
            <w:vAlign w:val="bottom"/>
            <w:gridSpan w:val="2"/>
          </w:tcPr>
          <w:p>
            <w:pPr>
              <w:jc w:val="center"/>
              <w:ind w:left="1392"/>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54,184</w:t>
            </w:r>
          </w:p>
        </w:tc>
        <w:tc>
          <w:tcPr>
            <w:tcW w:w="100" w:type="dxa"/>
            <w:vAlign w:val="bottom"/>
          </w:tcPr>
          <w:p>
            <w:pPr>
              <w:spacing w:after="0"/>
              <w:rPr>
                <w:sz w:val="21"/>
                <w:szCs w:val="21"/>
                <w:color w:val="auto"/>
              </w:rPr>
            </w:pPr>
          </w:p>
        </w:tc>
      </w:tr>
      <w:tr>
        <w:trPr>
          <w:trHeight w:val="243"/>
        </w:trPr>
        <w:tc>
          <w:tcPr>
            <w:tcW w:w="34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3620" w:type="dxa"/>
            <w:vAlign w:val="bottom"/>
            <w:gridSpan w:val="3"/>
            <w:shd w:val="clear" w:color="auto" w:fill="E5FFFF"/>
          </w:tcPr>
          <w:p>
            <w:pPr>
              <w:jc w:val="right"/>
              <w:ind w:right="320"/>
              <w:spacing w:after="0" w:line="243" w:lineRule="exact"/>
              <w:rPr>
                <w:sz w:val="20"/>
                <w:szCs w:val="20"/>
                <w:color w:val="auto"/>
              </w:rPr>
            </w:pPr>
            <w:r>
              <w:rPr>
                <w:rFonts w:ascii="Arial" w:cs="Arial" w:eastAsia="Arial" w:hAnsi="Arial"/>
                <w:sz w:val="22"/>
                <w:szCs w:val="22"/>
                <w:color w:val="auto"/>
              </w:rPr>
              <w:t>665</w:t>
            </w:r>
          </w:p>
        </w:tc>
        <w:tc>
          <w:tcPr>
            <w:tcW w:w="1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Tons</w:t>
            </w:r>
          </w:p>
        </w:tc>
        <w:tc>
          <w:tcPr>
            <w:tcW w:w="1860" w:type="dxa"/>
            <w:vAlign w:val="bottom"/>
            <w:gridSpan w:val="2"/>
            <w:shd w:val="clear" w:color="auto" w:fill="E5FFFF"/>
          </w:tcPr>
          <w:p>
            <w:pPr>
              <w:jc w:val="center"/>
              <w:ind w:left="1392"/>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11,328</w:t>
            </w:r>
          </w:p>
        </w:tc>
        <w:tc>
          <w:tcPr>
            <w:tcW w:w="100" w:type="dxa"/>
            <w:vAlign w:val="bottom"/>
            <w:shd w:val="clear" w:color="auto" w:fill="E5FFFF"/>
          </w:tcPr>
          <w:p>
            <w:pPr>
              <w:spacing w:after="0"/>
              <w:rPr>
                <w:sz w:val="21"/>
                <w:szCs w:val="21"/>
                <w:color w:val="auto"/>
              </w:rPr>
            </w:pPr>
          </w:p>
        </w:tc>
      </w:tr>
      <w:tr>
        <w:trPr>
          <w:trHeight w:val="243"/>
        </w:trPr>
        <w:tc>
          <w:tcPr>
            <w:tcW w:w="3440" w:type="dxa"/>
            <w:vAlign w:val="bottom"/>
            <w:gridSpan w:val="2"/>
          </w:tcPr>
          <w:p>
            <w:pPr>
              <w:spacing w:after="0" w:line="243" w:lineRule="exact"/>
              <w:rPr>
                <w:sz w:val="20"/>
                <w:szCs w:val="20"/>
                <w:color w:val="auto"/>
              </w:rPr>
            </w:pPr>
            <w:r>
              <w:rPr>
                <w:rFonts w:ascii="Arial" w:cs="Arial" w:eastAsia="Arial" w:hAnsi="Arial"/>
                <w:sz w:val="22"/>
                <w:szCs w:val="22"/>
                <w:color w:val="auto"/>
              </w:rPr>
              <w:t>Distillers Corn Oil</w:t>
            </w:r>
          </w:p>
        </w:tc>
        <w:tc>
          <w:tcPr>
            <w:tcW w:w="362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88,000</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Pounds</w:t>
            </w:r>
          </w:p>
        </w:tc>
        <w:tc>
          <w:tcPr>
            <w:tcW w:w="1860" w:type="dxa"/>
            <w:vAlign w:val="bottom"/>
            <w:gridSpan w:val="2"/>
          </w:tcPr>
          <w:p>
            <w:pPr>
              <w:jc w:val="center"/>
              <w:ind w:left="1392"/>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4,118</w:t>
            </w:r>
          </w:p>
        </w:tc>
        <w:tc>
          <w:tcPr>
            <w:tcW w:w="100" w:type="dxa"/>
            <w:vAlign w:val="bottom"/>
          </w:tcPr>
          <w:p>
            <w:pPr>
              <w:spacing w:after="0"/>
              <w:rPr>
                <w:sz w:val="21"/>
                <w:szCs w:val="21"/>
                <w:color w:val="auto"/>
              </w:rPr>
            </w:pPr>
          </w:p>
        </w:tc>
      </w:tr>
      <w:tr>
        <w:trPr>
          <w:trHeight w:val="243"/>
        </w:trPr>
        <w:tc>
          <w:tcPr>
            <w:tcW w:w="34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3620" w:type="dxa"/>
            <w:vAlign w:val="bottom"/>
            <w:gridSpan w:val="3"/>
            <w:shd w:val="clear" w:color="auto" w:fill="E5FFFF"/>
          </w:tcPr>
          <w:p>
            <w:pPr>
              <w:jc w:val="right"/>
              <w:ind w:right="320"/>
              <w:spacing w:after="0" w:line="243" w:lineRule="exact"/>
              <w:rPr>
                <w:sz w:val="20"/>
                <w:szCs w:val="20"/>
                <w:color w:val="auto"/>
              </w:rPr>
            </w:pPr>
            <w:r>
              <w:rPr>
                <w:rFonts w:ascii="Arial" w:cs="Arial" w:eastAsia="Arial" w:hAnsi="Arial"/>
                <w:sz w:val="22"/>
                <w:szCs w:val="22"/>
                <w:color w:val="auto"/>
              </w:rPr>
              <w:t>7,400</w:t>
            </w:r>
          </w:p>
        </w:tc>
        <w:tc>
          <w:tcPr>
            <w:tcW w:w="1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MmBtu</w:t>
            </w:r>
          </w:p>
        </w:tc>
        <w:tc>
          <w:tcPr>
            <w:tcW w:w="1860" w:type="dxa"/>
            <w:vAlign w:val="bottom"/>
            <w:gridSpan w:val="2"/>
            <w:shd w:val="clear" w:color="auto" w:fill="E5FFFF"/>
          </w:tcPr>
          <w:p>
            <w:pPr>
              <w:jc w:val="center"/>
              <w:ind w:left="1392"/>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1,717</w:t>
            </w:r>
          </w:p>
        </w:tc>
        <w:tc>
          <w:tcPr>
            <w:tcW w:w="100" w:type="dxa"/>
            <w:vAlign w:val="bottom"/>
            <w:shd w:val="clear" w:color="auto" w:fill="E5FF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ind w:left="4280"/>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There have been no material changes to the risk factors discussed in our Annual Report on Form 10-K for the year ended January 31, 2023.</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480" w:firstLine="648"/>
        <w:spacing w:after="0" w:line="328" w:lineRule="auto"/>
        <w:rPr>
          <w:sz w:val="20"/>
          <w:szCs w:val="20"/>
          <w:color w:val="auto"/>
        </w:rPr>
      </w:pPr>
      <w:r>
        <w:rPr>
          <w:rFonts w:ascii="Arial" w:cs="Arial" w:eastAsia="Arial" w:hAnsi="Arial"/>
          <w:sz w:val="19"/>
          <w:szCs w:val="19"/>
          <w:color w:val="auto"/>
        </w:rPr>
        <w:t>On August 31, 2021, our Board of Directors increased our share repurchase authorization by an additional 1,500,000 shares (split-adjusted). At July 31, 2023, a total of 876,786 shares remained available to purchase under this authorization.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share repurchases by the Company in the second quarter of fiscal year 2023.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180" w:hanging="389"/>
        <w:spacing w:after="0"/>
        <w:tabs>
          <w:tab w:leader="none" w:pos="118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0000EE"/>
        </w:rPr>
        <w:t>Preferability Letter from RSM US LLP</w:t>
      </w:r>
    </w:p>
    <w:p>
      <w:pPr>
        <w:spacing w:after="0" w:line="233" w:lineRule="exact"/>
        <w:rPr>
          <w:rFonts w:ascii="Arial" w:cs="Arial" w:eastAsia="Arial" w:hAnsi="Arial"/>
          <w:sz w:val="22"/>
          <w:szCs w:val="22"/>
          <w:color w:val="auto"/>
        </w:rPr>
      </w:pPr>
    </w:p>
    <w:p>
      <w:pPr>
        <w:ind w:left="1180" w:hanging="389"/>
        <w:spacing w:after="0"/>
        <w:tabs>
          <w:tab w:leader="none" w:pos="118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0000EE"/>
        </w:rPr>
        <w:t>Rule 13a-14(a)/15d-14(a) Certifications</w:t>
      </w:r>
    </w:p>
    <w:p>
      <w:pPr>
        <w:spacing w:after="0" w:line="233" w:lineRule="exact"/>
        <w:rPr>
          <w:rFonts w:ascii="Arial" w:cs="Arial" w:eastAsia="Arial" w:hAnsi="Arial"/>
          <w:sz w:val="22"/>
          <w:szCs w:val="22"/>
          <w:color w:val="auto"/>
        </w:rPr>
      </w:pPr>
    </w:p>
    <w:p>
      <w:pPr>
        <w:ind w:left="1180" w:hanging="389"/>
        <w:spacing w:after="0"/>
        <w:tabs>
          <w:tab w:leader="none" w:pos="118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0000EE"/>
        </w:rPr>
        <w:t>Section 1350 Certifications</w:t>
      </w:r>
    </w:p>
    <w:p>
      <w:pPr>
        <w:spacing w:after="0" w:line="233" w:lineRule="exact"/>
        <w:rPr>
          <w:sz w:val="20"/>
          <w:szCs w:val="20"/>
          <w:color w:val="auto"/>
        </w:rPr>
      </w:pPr>
    </w:p>
    <w:p>
      <w:pPr>
        <w:jc w:val="both"/>
        <w:ind w:left="1180" w:hanging="497"/>
        <w:spacing w:after="0" w:line="238" w:lineRule="auto"/>
        <w:tabs>
          <w:tab w:leader="none" w:pos="11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following information from REX American Resources Corporation Quarterly Report on Form 10-Q for the quarter ended July 31, 2023, formatted in iXBRL: (i) Consolidated Balance Sheets, (ii) Consolidated Statements of Operations, (iii) Consolidated Statements of Equity, (iv) Consolidated Statements of Cash Flows and (v) 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REX American Resources Corporation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80" w:type="dxa"/>
            <w:vAlign w:val="bottom"/>
            <w:gridSpan w:val="4"/>
          </w:tcPr>
          <w:p>
            <w:pPr>
              <w:jc w:val="center"/>
              <w:ind w:right="1400"/>
              <w:spacing w:after="0"/>
              <w:rPr>
                <w:sz w:val="20"/>
                <w:szCs w:val="20"/>
                <w:color w:val="auto"/>
              </w:rPr>
            </w:pPr>
            <w:r>
              <w:rPr>
                <w:rFonts w:ascii="Arial" w:cs="Arial" w:eastAsia="Arial" w:hAnsi="Arial"/>
                <w:sz w:val="22"/>
                <w:szCs w:val="22"/>
                <w:b w:val="1"/>
                <w:bCs w:val="1"/>
                <w:color w:val="auto"/>
                <w:w w:val="86"/>
              </w:rPr>
              <w:t>Signature</w:t>
            </w:r>
          </w:p>
        </w:tc>
        <w:tc>
          <w:tcPr>
            <w:tcW w:w="4580" w:type="dxa"/>
            <w:vAlign w:val="bottom"/>
            <w:gridSpan w:val="3"/>
          </w:tcPr>
          <w:p>
            <w:pPr>
              <w:ind w:left="2440"/>
              <w:spacing w:after="0"/>
              <w:rPr>
                <w:sz w:val="20"/>
                <w:szCs w:val="20"/>
                <w:color w:val="auto"/>
              </w:rPr>
            </w:pPr>
            <w:r>
              <w:rPr>
                <w:rFonts w:ascii="Arial" w:cs="Arial" w:eastAsia="Arial" w:hAnsi="Arial"/>
                <w:sz w:val="22"/>
                <w:szCs w:val="22"/>
                <w:b w:val="1"/>
                <w:bCs w:val="1"/>
                <w:color w:val="auto"/>
              </w:rPr>
              <w:t>Title</w:t>
            </w:r>
          </w:p>
        </w:tc>
        <w:tc>
          <w:tcPr>
            <w:tcW w:w="2840" w:type="dxa"/>
            <w:vAlign w:val="bottom"/>
            <w:gridSpan w:val="3"/>
          </w:tcPr>
          <w:p>
            <w:pPr>
              <w:ind w:left="1360"/>
              <w:spacing w:after="0"/>
              <w:rPr>
                <w:sz w:val="20"/>
                <w:szCs w:val="20"/>
                <w:color w:val="auto"/>
              </w:rPr>
            </w:pPr>
            <w:r>
              <w:rPr>
                <w:rFonts w:ascii="Arial" w:cs="Arial" w:eastAsia="Arial" w:hAnsi="Arial"/>
                <w:sz w:val="22"/>
                <w:szCs w:val="22"/>
                <w:b w:val="1"/>
                <w:bCs w:val="1"/>
                <w:color w:val="auto"/>
              </w:rPr>
              <w:t>Date</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5"/>
          </w:tcPr>
          <w:p>
            <w:pPr>
              <w:jc w:val="center"/>
              <w:ind w:right="1080"/>
              <w:spacing w:after="0"/>
              <w:rPr>
                <w:sz w:val="20"/>
                <w:szCs w:val="20"/>
                <w:color w:val="auto"/>
              </w:rPr>
            </w:pPr>
            <w:r>
              <w:rPr>
                <w:rFonts w:ascii="Arial" w:cs="Arial" w:eastAsia="Arial" w:hAnsi="Arial"/>
                <w:sz w:val="22"/>
                <w:szCs w:val="22"/>
                <w:color w:val="auto"/>
                <w:w w:val="94"/>
              </w:rPr>
              <w:t>/s/ Zafar A. Rizvi</w:t>
            </w:r>
          </w:p>
        </w:tc>
        <w:tc>
          <w:tcPr>
            <w:tcW w:w="4580" w:type="dxa"/>
            <w:vAlign w:val="bottom"/>
            <w:gridSpan w:val="3"/>
          </w:tcPr>
          <w:p>
            <w:pPr>
              <w:ind w:left="700"/>
              <w:spacing w:after="0"/>
              <w:rPr>
                <w:sz w:val="20"/>
                <w:szCs w:val="20"/>
                <w:color w:val="auto"/>
              </w:rPr>
            </w:pPr>
            <w:r>
              <w:rPr>
                <w:rFonts w:ascii="Arial" w:cs="Arial" w:eastAsia="Arial" w:hAnsi="Arial"/>
                <w:sz w:val="22"/>
                <w:szCs w:val="22"/>
                <w:color w:val="auto"/>
              </w:rPr>
              <w:t>Chief Executive Officer and President</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8"/>
        </w:trPr>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5"/>
              </w:rPr>
              <w:t>(Zafar A. Rizvi)</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580" w:type="dxa"/>
            <w:vAlign w:val="bottom"/>
            <w:gridSpan w:val="3"/>
          </w:tcPr>
          <w:p>
            <w:pPr>
              <w:ind w:left="800"/>
              <w:spacing w:after="0"/>
              <w:rPr>
                <w:sz w:val="20"/>
                <w:szCs w:val="20"/>
                <w:color w:val="auto"/>
              </w:rPr>
            </w:pPr>
            <w:r>
              <w:rPr>
                <w:rFonts w:ascii="Arial" w:cs="Arial" w:eastAsia="Arial" w:hAnsi="Arial"/>
                <w:sz w:val="22"/>
                <w:szCs w:val="22"/>
                <w:color w:val="auto"/>
              </w:rPr>
              <w:t>(Chief Executive Officer)</w:t>
            </w:r>
          </w:p>
        </w:tc>
        <w:tc>
          <w:tcPr>
            <w:tcW w:w="2840" w:type="dxa"/>
            <w:vAlign w:val="bottom"/>
            <w:gridSpan w:val="3"/>
          </w:tcPr>
          <w:p>
            <w:pPr>
              <w:ind w:left="600"/>
              <w:spacing w:after="0"/>
              <w:rPr>
                <w:sz w:val="20"/>
                <w:szCs w:val="20"/>
                <w:color w:val="auto"/>
              </w:rPr>
            </w:pPr>
            <w:r>
              <w:rPr>
                <w:rFonts w:ascii="Arial" w:cs="Arial" w:eastAsia="Arial" w:hAnsi="Arial"/>
                <w:sz w:val="22"/>
                <w:szCs w:val="22"/>
                <w:color w:val="auto"/>
              </w:rPr>
              <w:t>September 1, 2023</w:t>
            </w:r>
          </w:p>
        </w:tc>
      </w:tr>
      <w:tr>
        <w:trPr>
          <w:trHeight w:val="441"/>
        </w:trPr>
        <w:tc>
          <w:tcPr>
            <w:tcW w:w="3820" w:type="dxa"/>
            <w:vAlign w:val="bottom"/>
            <w:gridSpan w:val="7"/>
          </w:tcPr>
          <w:p>
            <w:pPr>
              <w:jc w:val="center"/>
              <w:ind w:left="32"/>
              <w:spacing w:after="0"/>
              <w:rPr>
                <w:sz w:val="20"/>
                <w:szCs w:val="20"/>
                <w:color w:val="auto"/>
              </w:rPr>
            </w:pPr>
            <w:r>
              <w:rPr>
                <w:rFonts w:ascii="Arial" w:cs="Arial" w:eastAsia="Arial" w:hAnsi="Arial"/>
                <w:sz w:val="22"/>
                <w:szCs w:val="22"/>
                <w:color w:val="auto"/>
                <w:w w:val="89"/>
              </w:rPr>
              <w:t>/s/ Douglas L. Bruggeman</w:t>
            </w:r>
          </w:p>
        </w:tc>
        <w:tc>
          <w:tcPr>
            <w:tcW w:w="4580" w:type="dxa"/>
            <w:vAlign w:val="bottom"/>
            <w:gridSpan w:val="3"/>
          </w:tcPr>
          <w:p>
            <w:pPr>
              <w:ind w:left="700"/>
              <w:spacing w:after="0"/>
              <w:rPr>
                <w:sz w:val="20"/>
                <w:szCs w:val="20"/>
                <w:color w:val="auto"/>
              </w:rPr>
            </w:pPr>
            <w:r>
              <w:rPr>
                <w:rFonts w:ascii="Arial" w:cs="Arial" w:eastAsia="Arial" w:hAnsi="Arial"/>
                <w:sz w:val="22"/>
                <w:szCs w:val="22"/>
                <w:color w:val="auto"/>
              </w:rPr>
              <w:t>Vice President, Finance and Treasurer</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8"/>
        </w:trPr>
        <w:tc>
          <w:tcPr>
            <w:tcW w:w="84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700" w:type="dxa"/>
            <w:vAlign w:val="bottom"/>
          </w:tcPr>
          <w:p>
            <w:pPr>
              <w:spacing w:after="0"/>
              <w:rPr>
                <w:sz w:val="23"/>
                <w:szCs w:val="23"/>
                <w:color w:val="auto"/>
              </w:rPr>
            </w:pPr>
          </w:p>
        </w:tc>
        <w:tc>
          <w:tcPr>
            <w:tcW w:w="4580" w:type="dxa"/>
            <w:vAlign w:val="bottom"/>
            <w:gridSpan w:val="3"/>
          </w:tcPr>
          <w:p>
            <w:pPr>
              <w:ind w:left="800"/>
              <w:spacing w:after="0"/>
              <w:rPr>
                <w:sz w:val="20"/>
                <w:szCs w:val="20"/>
                <w:color w:val="auto"/>
              </w:rPr>
            </w:pPr>
            <w:r>
              <w:rPr>
                <w:rFonts w:ascii="Arial" w:cs="Arial" w:eastAsia="Arial" w:hAnsi="Arial"/>
                <w:sz w:val="22"/>
                <w:szCs w:val="22"/>
                <w:color w:val="auto"/>
              </w:rPr>
              <w:t>(Chief Financial Officer)</w:t>
            </w:r>
          </w:p>
        </w:tc>
        <w:tc>
          <w:tcPr>
            <w:tcW w:w="2840" w:type="dxa"/>
            <w:vAlign w:val="bottom"/>
            <w:gridSpan w:val="3"/>
          </w:tcPr>
          <w:p>
            <w:pPr>
              <w:ind w:left="600"/>
              <w:spacing w:after="0"/>
              <w:rPr>
                <w:sz w:val="20"/>
                <w:szCs w:val="20"/>
                <w:color w:val="auto"/>
              </w:rPr>
            </w:pPr>
            <w:r>
              <w:rPr>
                <w:rFonts w:ascii="Arial" w:cs="Arial" w:eastAsia="Arial" w:hAnsi="Arial"/>
                <w:sz w:val="22"/>
                <w:szCs w:val="22"/>
                <w:color w:val="auto"/>
              </w:rPr>
              <w:t>September 1, 2023</w:t>
            </w:r>
          </w:p>
        </w:tc>
      </w:tr>
      <w:tr>
        <w:trPr>
          <w:trHeight w:val="411"/>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ind w:left="1700"/>
              <w:spacing w:after="0"/>
              <w:rPr>
                <w:sz w:val="20"/>
                <w:szCs w:val="20"/>
                <w:color w:val="auto"/>
              </w:rPr>
            </w:pPr>
            <w:r>
              <w:rPr>
                <w:rFonts w:ascii="Arial" w:cs="Arial" w:eastAsia="Arial" w:hAnsi="Arial"/>
                <w:sz w:val="22"/>
                <w:szCs w:val="22"/>
                <w:color w:val="auto"/>
              </w:rPr>
              <w:t>36</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0"/>
        </w:trPr>
        <w:tc>
          <w:tcPr>
            <w:tcW w:w="8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46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70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18—Preferability Letter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REX American Resources Corporation</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Note 2 to the Consolidated Financial Statements of REX American Resources Corporation (the Company) included in its Form 10-Q for the quarter ended July 31, 2023 describes a change in accounting principles to begin classifying shipping and handling costs as cost of sales, instead of within selling, general and administrative expenses (SG&amp;A), as historically presented, in order to improve the comparability of gross profit and SG&amp;A reported. As noted in the Accounting Standards Codification 606 guidance, both SG&amp;A and cost of sales can be considered appropriate classifications. In fact, the guidance states that it is seen as less preferable to reclassify shipping and handling costs from cost of sales to SG&amp;A. In addition, the Company has reviewed various peer financial statements, and this reclassification would align the Company with its peers. We conclude that such change in the method of accounting is to an acceptable alternative method which, based on your business judgment to make this change and for the stated reasons, is preferable in your circumstances. The Company will apply a retrospective application of the new accounting policy. We have not conducted an audit in accordance with the standards of the Public Company Accounting Oversight Board (United States) of any financial statements of the Company as of any date, and therefore we do not express any opinion on any financial statements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Des Moines, Iowa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Zafar A. Rizvi, certify that:</w:t>
      </w:r>
    </w:p>
    <w:p>
      <w:pPr>
        <w:spacing w:after="0" w:line="225"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left="80" w:right="160" w:firstLine="576"/>
        <w:spacing w:after="0" w:line="263" w:lineRule="auto"/>
        <w:tabs>
          <w:tab w:leader="none" w:pos="8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 w:right="120" w:firstLine="576"/>
        <w:spacing w:after="0" w:line="308" w:lineRule="auto"/>
        <w:tabs>
          <w:tab w:leader="none" w:pos="8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0" w:right="80" w:firstLine="576"/>
        <w:spacing w:after="0" w:line="263" w:lineRule="auto"/>
        <w:tabs>
          <w:tab w:leader="none" w:pos="8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2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firstLine="320"/>
        <w:spacing w:after="0" w:line="263" w:lineRule="auto"/>
        <w:tabs>
          <w:tab w:leader="none" w:pos="12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firstLine="320"/>
        <w:spacing w:after="0" w:line="342" w:lineRule="auto"/>
        <w:tabs>
          <w:tab w:leader="none" w:pos="1274"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firstLine="320"/>
        <w:spacing w:after="0" w:line="263" w:lineRule="auto"/>
        <w:tabs>
          <w:tab w:leader="none" w:pos="12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576" w:firstLine="576"/>
        <w:spacing w:after="0" w:line="308" w:lineRule="auto"/>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440" w:firstLine="320"/>
        <w:spacing w:after="0" w:line="308" w:lineRule="auto"/>
        <w:tabs>
          <w:tab w:leader="none" w:pos="61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120" w:firstLine="320"/>
        <w:spacing w:after="0" w:line="277"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4"/>
        <w:spacing w:after="0"/>
        <w:rPr>
          <w:sz w:val="20"/>
          <w:szCs w:val="20"/>
          <w:color w:val="auto"/>
        </w:rPr>
      </w:pPr>
      <w:r>
        <w:rPr>
          <w:rFonts w:ascii="Arial" w:cs="Arial" w:eastAsia="Arial" w:hAnsi="Arial"/>
          <w:sz w:val="18"/>
          <w:szCs w:val="18"/>
          <w:color w:val="auto"/>
        </w:rPr>
        <w:t>Date: September 1, 2023</w:t>
      </w:r>
    </w:p>
    <w:p>
      <w:pPr>
        <w:spacing w:after="0" w:line="225" w:lineRule="exact"/>
        <w:rPr>
          <w:sz w:val="20"/>
          <w:szCs w:val="20"/>
          <w:color w:val="auto"/>
        </w:rPr>
      </w:pPr>
    </w:p>
    <w:p>
      <w:pPr>
        <w:ind w:left="5644"/>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ind w:left="5644"/>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ind w:left="564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9" w:right="37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left="80" w:right="100" w:firstLine="576"/>
        <w:spacing w:after="0" w:line="263" w:lineRule="auto"/>
        <w:tabs>
          <w:tab w:leader="none" w:pos="8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 w:right="60" w:firstLine="576"/>
        <w:spacing w:after="0" w:line="308" w:lineRule="auto"/>
        <w:tabs>
          <w:tab w:leader="none" w:pos="8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0" w:right="20" w:firstLine="576"/>
        <w:spacing w:after="0" w:line="263" w:lineRule="auto"/>
        <w:tabs>
          <w:tab w:leader="none" w:pos="8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20" w:firstLine="320"/>
        <w:spacing w:after="0" w:line="263" w:lineRule="auto"/>
        <w:tabs>
          <w:tab w:leader="none" w:pos="12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firstLine="320"/>
        <w:spacing w:after="0" w:line="263"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60" w:firstLine="320"/>
        <w:spacing w:after="0" w:line="342" w:lineRule="auto"/>
        <w:tabs>
          <w:tab w:leader="none" w:pos="12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firstLine="320"/>
        <w:spacing w:after="0" w:line="263"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40" w:name="page41"/>
    <w:bookmarkEnd w:id="40"/>
    <w:p>
      <w:pPr>
        <w:ind w:left="-576" w:firstLine="576"/>
        <w:spacing w:after="0" w:line="308" w:lineRule="auto"/>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7"/>
          <w:szCs w:val="17"/>
          <w:color w:val="auto"/>
        </w:rPr>
      </w:pPr>
    </w:p>
    <w:p>
      <w:pPr>
        <w:jc w:val="both"/>
        <w:ind w:left="4" w:right="20" w:firstLine="644"/>
        <w:spacing w:after="0" w:line="250" w:lineRule="auto"/>
        <w:tabs>
          <w:tab w:leader="none" w:pos="921" w:val="left"/>
        </w:tabs>
        <w:numPr>
          <w:ilvl w:val="1"/>
          <w:numId w:val="1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4" w:right="420" w:firstLine="644"/>
        <w:spacing w:after="0" w:line="260" w:lineRule="auto"/>
        <w:tabs>
          <w:tab w:leader="none" w:pos="932" w:val="left"/>
        </w:tabs>
        <w:numPr>
          <w:ilvl w:val="1"/>
          <w:numId w:val="1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3624"/>
        <w:spacing w:after="0"/>
        <w:rPr>
          <w:sz w:val="20"/>
          <w:szCs w:val="20"/>
          <w:color w:val="auto"/>
        </w:rPr>
      </w:pPr>
      <w:r>
        <w:rPr>
          <w:rFonts w:ascii="Arial" w:cs="Arial" w:eastAsia="Arial" w:hAnsi="Arial"/>
          <w:sz w:val="18"/>
          <w:szCs w:val="18"/>
          <w:color w:val="auto"/>
        </w:rPr>
        <w:t>Date: September 1, 2023</w:t>
      </w:r>
    </w:p>
    <w:p>
      <w:pPr>
        <w:spacing w:after="0" w:line="225" w:lineRule="exact"/>
        <w:rPr>
          <w:sz w:val="20"/>
          <w:szCs w:val="20"/>
          <w:color w:val="auto"/>
        </w:rPr>
      </w:pPr>
    </w:p>
    <w:p>
      <w:pPr>
        <w:ind w:left="362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362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362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362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9"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BY SECTION 906 OF THE SARBANES-OXLEY ACT OF 2002</w:t>
      </w:r>
    </w:p>
    <w:p>
      <w:pPr>
        <w:spacing w:after="0" w:line="22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July 31, 2023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1"/>
      <w:numFmt w:val="decimal"/>
      <w:start w:val="18"/>
    </w:lvl>
  </w:abstractNum>
  <w:abstractNum w:abstractNumId="7">
    <w:nsid w:val="216231B"/>
    <w:multiLevelType w:val="hybridMultilevel"/>
    <w:lvl w:ilvl="0">
      <w:lvlJc w:val="left"/>
      <w:lvlText w:val="%1"/>
      <w:numFmt w:val="decimal"/>
      <w:start w:val="3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2023-09-01T10:24:21Z</dcterms:created>
  <dcterms:modified xsi:type="dcterms:W3CDTF">2023-09-01T10:24:21Z</dcterms:modified>
</cp:coreProperties>
</file>