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40005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60" w:right="1800" w:hanging="452"/>
        <w:spacing w:after="0" w:line="261"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30, 2019</w:t>
      </w:r>
    </w:p>
    <w:p>
      <w:pPr>
        <w:jc w:val="center"/>
        <w:ind w:left="46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51435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40005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61"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272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920"/>
        <w:spacing w:after="0"/>
        <w:rPr>
          <w:sz w:val="20"/>
          <w:szCs w:val="20"/>
          <w:color w:val="auto"/>
        </w:rPr>
      </w:pPr>
      <w:r>
        <w:rPr>
          <w:rFonts w:ascii="Arial" w:cs="Arial" w:eastAsia="Arial" w:hAnsi="Arial"/>
          <w:sz w:val="18"/>
          <w:szCs w:val="18"/>
          <w:b w:val="1"/>
          <w:bCs w:val="1"/>
          <w:color w:val="auto"/>
        </w:rPr>
        <w:t>31-1095548</w:t>
      </w:r>
    </w:p>
    <w:p>
      <w:pPr>
        <w:spacing w:after="0" w:line="27" w:lineRule="exact"/>
        <w:rPr>
          <w:sz w:val="24"/>
          <w:szCs w:val="24"/>
          <w:color w:val="auto"/>
        </w:rPr>
      </w:pPr>
    </w:p>
    <w:p>
      <w:pPr>
        <w:jc w:val="center"/>
        <w:ind w:right="29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292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5980" w:space="720"/>
            <w:col w:w="4720"/>
          </w:cols>
          <w:pgMar w:left="240" w:top="459" w:right="239" w:bottom="1440" w:gutter="0" w:footer="0" w:header="0"/>
          <w:type w:val="continuous"/>
        </w:sectPr>
      </w:pPr>
    </w:p>
    <w:p>
      <w:pPr>
        <w:spacing w:after="0" w:line="30" w:lineRule="exact"/>
        <w:rPr>
          <w:sz w:val="24"/>
          <w:szCs w:val="24"/>
          <w:color w:val="auto"/>
        </w:rPr>
      </w:pPr>
    </w:p>
    <w:p>
      <w:pPr>
        <w:jc w:val="center"/>
        <w:ind w:left="2600"/>
        <w:spacing w:after="0"/>
        <w:rPr>
          <w:sz w:val="20"/>
          <w:szCs w:val="20"/>
          <w:color w:val="auto"/>
        </w:rPr>
      </w:pPr>
      <w:r>
        <w:rPr>
          <w:rFonts w:ascii="Arial" w:cs="Arial" w:eastAsia="Arial" w:hAnsi="Arial"/>
          <w:sz w:val="18"/>
          <w:szCs w:val="18"/>
          <w:b w:val="1"/>
          <w:bCs w:val="1"/>
          <w:color w:val="auto"/>
        </w:rPr>
        <w:t>7720 Paragon Road, Dayton, Ohio</w:t>
      </w:r>
    </w:p>
    <w:p>
      <w:pPr>
        <w:spacing w:after="0" w:line="27" w:lineRule="exact"/>
        <w:rPr>
          <w:sz w:val="24"/>
          <w:szCs w:val="24"/>
          <w:color w:val="auto"/>
        </w:rPr>
      </w:pPr>
    </w:p>
    <w:p>
      <w:pPr>
        <w:jc w:val="center"/>
        <w:ind w:left="260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720"/>
        <w:spacing w:after="0"/>
        <w:rPr>
          <w:sz w:val="20"/>
          <w:szCs w:val="20"/>
          <w:color w:val="auto"/>
        </w:rPr>
      </w:pPr>
      <w:r>
        <w:rPr>
          <w:rFonts w:ascii="Arial" w:cs="Arial" w:eastAsia="Arial" w:hAnsi="Arial"/>
          <w:sz w:val="18"/>
          <w:szCs w:val="18"/>
          <w:b w:val="1"/>
          <w:bCs w:val="1"/>
          <w:color w:val="auto"/>
        </w:rPr>
        <w:t>45459</w:t>
      </w:r>
    </w:p>
    <w:p>
      <w:pPr>
        <w:spacing w:after="0" w:line="27" w:lineRule="exact"/>
        <w:rPr>
          <w:sz w:val="24"/>
          <w:szCs w:val="24"/>
          <w:color w:val="auto"/>
        </w:rPr>
      </w:pPr>
    </w:p>
    <w:p>
      <w:pPr>
        <w:jc w:val="center"/>
        <w:ind w:right="27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140" w:space="720"/>
            <w:col w:w="3560"/>
          </w:cols>
          <w:pgMar w:left="240" w:top="45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(937) 276-3931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left="11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114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1360"/>
        <w:spacing w:after="0"/>
        <w:tabs>
          <w:tab w:leader="none" w:pos="380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900"/>
        <w:spacing w:after="0"/>
        <w:tabs>
          <w:tab w:leader="none" w:pos="4500" w:val="left"/>
        </w:tabs>
        <w:rPr>
          <w:sz w:val="20"/>
          <w:szCs w:val="20"/>
          <w:color w:val="auto"/>
        </w:rPr>
      </w:pPr>
      <w:r>
        <w:rPr>
          <w:rFonts w:ascii="Arial" w:cs="Arial" w:eastAsia="Arial" w:hAnsi="Arial"/>
          <w:sz w:val="18"/>
          <w:szCs w:val="18"/>
          <w:color w:val="auto"/>
        </w:rPr>
        <w:t>REX</w:t>
      </w:r>
      <w:r>
        <w:rPr>
          <w:sz w:val="20"/>
          <w:szCs w:val="20"/>
          <w:color w:val="auto"/>
        </w:rPr>
        <w:tab/>
      </w:r>
      <w:r>
        <w:rPr>
          <w:rFonts w:ascii="Arial" w:cs="Arial" w:eastAsia="Arial" w:hAnsi="Arial"/>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412115</wp:posOffset>
            </wp:positionH>
            <wp:positionV relativeFrom="paragraph">
              <wp:posOffset>40005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0" w:lineRule="exact"/>
        <w:rPr>
          <w:sz w:val="24"/>
          <w:szCs w:val="24"/>
          <w:color w:val="auto"/>
        </w:rPr>
      </w:pPr>
    </w:p>
    <w:p>
      <w:pPr>
        <w:sectPr>
          <w:pgSz w:w="11900" w:h="16838" w:orient="portrait"/>
          <w:cols w:equalWidth="0" w:num="2">
            <w:col w:w="3440" w:space="200"/>
            <w:col w:w="7780"/>
          </w:cols>
          <w:pgMar w:left="240" w:top="459" w:right="2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459" w:right="23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6360" w:space="720"/>
            <w:col w:w="4340"/>
          </w:cols>
          <w:pgMar w:left="240" w:top="459" w:right="239" w:bottom="1440" w:gutter="0" w:footer="0" w:header="0"/>
          <w:type w:val="continuous"/>
        </w:sectPr>
      </w:pPr>
    </w:p>
    <w:p>
      <w:pPr>
        <w:spacing w:after="0" w:line="3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At the close of business on June 3, 2019 the registrant had 6,274,419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760" w:type="dxa"/>
            <w:vAlign w:val="bottom"/>
            <w:gridSpan w:val="15"/>
          </w:tcPr>
          <w:p>
            <w:pPr>
              <w:jc w:val="center"/>
              <w:ind w:right="820"/>
              <w:spacing w:after="0"/>
              <w:rPr>
                <w:sz w:val="20"/>
                <w:szCs w:val="20"/>
                <w:color w:val="auto"/>
              </w:rPr>
            </w:pPr>
            <w:r>
              <w:rPr>
                <w:rFonts w:ascii="Arial" w:cs="Arial" w:eastAsia="Arial" w:hAnsi="Arial"/>
                <w:sz w:val="22"/>
                <w:szCs w:val="22"/>
                <w:color w:val="auto"/>
                <w:w w:val="94"/>
              </w:rPr>
              <w:t>REX AMERICAN RESOURCES CORPORATION AND SUBSIDIARIES</w:t>
            </w:r>
          </w:p>
        </w:tc>
        <w:tc>
          <w:tcPr>
            <w:tcW w:w="1420" w:type="dxa"/>
            <w:vAlign w:val="bottom"/>
          </w:tcPr>
          <w:p>
            <w:pPr>
              <w:spacing w:after="0"/>
              <w:rPr>
                <w:sz w:val="23"/>
                <w:szCs w:val="23"/>
                <w:color w:val="auto"/>
              </w:rPr>
            </w:pPr>
          </w:p>
        </w:tc>
      </w:tr>
      <w:tr>
        <w:trPr>
          <w:trHeight w:val="45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20" w:type="dxa"/>
            <w:vAlign w:val="bottom"/>
            <w:gridSpan w:val="7"/>
          </w:tcPr>
          <w:p>
            <w:pPr>
              <w:jc w:val="center"/>
              <w:ind w:right="3760"/>
              <w:spacing w:after="0"/>
              <w:rPr>
                <w:sz w:val="20"/>
                <w:szCs w:val="20"/>
                <w:color w:val="auto"/>
              </w:rPr>
            </w:pPr>
            <w:r>
              <w:rPr>
                <w:rFonts w:ascii="Arial" w:cs="Arial" w:eastAsia="Arial" w:hAnsi="Arial"/>
                <w:sz w:val="22"/>
                <w:szCs w:val="22"/>
                <w:color w:val="auto"/>
                <w:w w:val="98"/>
              </w:rPr>
              <w:t>INDEX</w:t>
            </w:r>
          </w:p>
        </w:tc>
        <w:tc>
          <w:tcPr>
            <w:tcW w:w="1420" w:type="dxa"/>
            <w:vAlign w:val="bottom"/>
          </w:tcPr>
          <w:p>
            <w:pPr>
              <w:spacing w:after="0"/>
              <w:rPr>
                <w:sz w:val="24"/>
                <w:szCs w:val="24"/>
                <w:color w:val="auto"/>
              </w:rPr>
            </w:pPr>
          </w:p>
        </w:tc>
      </w:tr>
      <w:tr>
        <w:trPr>
          <w:trHeight w:val="45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409"/>
        </w:trPr>
        <w:tc>
          <w:tcPr>
            <w:tcW w:w="1160" w:type="dxa"/>
            <w:vAlign w:val="bottom"/>
            <w:gridSpan w:val="5"/>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PART I.</w:t>
              </w:r>
            </w:hyperlink>
          </w:p>
        </w:tc>
        <w:tc>
          <w:tcPr>
            <w:tcW w:w="8840" w:type="dxa"/>
            <w:vAlign w:val="bottom"/>
            <w:gridSpan w:val="1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INFORMATION</w:t>
              </w:r>
            </w:hyperlink>
          </w:p>
        </w:tc>
        <w:tc>
          <w:tcPr>
            <w:tcW w:w="1420" w:type="dxa"/>
            <w:vAlign w:val="bottom"/>
          </w:tcPr>
          <w:p>
            <w:pPr>
              <w:spacing w:after="0"/>
              <w:rPr>
                <w:sz w:val="24"/>
                <w:szCs w:val="24"/>
                <w:color w:val="auto"/>
              </w:rPr>
            </w:pPr>
          </w:p>
        </w:tc>
      </w:tr>
      <w:tr>
        <w:trPr>
          <w:trHeight w:val="439"/>
        </w:trPr>
        <w:tc>
          <w:tcPr>
            <w:tcW w:w="700" w:type="dxa"/>
            <w:vAlign w:val="bottom"/>
            <w:tcBorders>
              <w:top w:val="single" w:sz="8" w:color="0000EE"/>
            </w:tcBorders>
            <w:gridSpan w:val="2"/>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Item 1.</w:t>
              </w:r>
            </w:hyperlink>
          </w:p>
        </w:tc>
        <w:tc>
          <w:tcPr>
            <w:tcW w:w="460" w:type="dxa"/>
            <w:vAlign w:val="bottom"/>
            <w:gridSpan w:val="3"/>
          </w:tcPr>
          <w:p>
            <w:pPr>
              <w:spacing w:after="0"/>
              <w:rPr>
                <w:sz w:val="24"/>
                <w:szCs w:val="24"/>
                <w:color w:val="auto"/>
              </w:rPr>
            </w:pPr>
          </w:p>
        </w:tc>
        <w:tc>
          <w:tcPr>
            <w:tcW w:w="2700" w:type="dxa"/>
            <w:vAlign w:val="bottom"/>
            <w:tcBorders>
              <w:top w:val="single" w:sz="8" w:color="0000EE"/>
            </w:tcBorders>
            <w:gridSpan w:val="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Statements</w:t>
              </w:r>
            </w:hyperlink>
          </w:p>
        </w:tc>
        <w:tc>
          <w:tcPr>
            <w:tcW w:w="614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Borders>
              <w:bottom w:val="single" w:sz="8" w:color="0000EE"/>
            </w:tcBorders>
            <w:gridSpan w:val="9"/>
          </w:tcPr>
          <w:p>
            <w:pPr>
              <w:spacing w:after="0"/>
              <w:rPr>
                <w:rFonts w:ascii="Arial" w:cs="Arial" w:eastAsia="Arial" w:hAnsi="Arial"/>
                <w:sz w:val="22"/>
                <w:szCs w:val="22"/>
                <w:color w:val="0000EE"/>
                <w:w w:val="85"/>
              </w:rPr>
            </w:pPr>
            <w:hyperlink w:anchor="page3">
              <w:r>
                <w:rPr>
                  <w:rFonts w:ascii="Arial" w:cs="Arial" w:eastAsia="Arial" w:hAnsi="Arial"/>
                  <w:sz w:val="22"/>
                  <w:szCs w:val="22"/>
                  <w:color w:val="0000EE"/>
                  <w:w w:val="85"/>
                </w:rPr>
                <w:t>Consolidated Condensed Balance Sheets</w:t>
              </w:r>
            </w:hyperlink>
          </w:p>
        </w:tc>
        <w:tc>
          <w:tcPr>
            <w:tcW w:w="5320" w:type="dxa"/>
            <w:vAlign w:val="bottom"/>
            <w:gridSpan w:val="8"/>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40" w:type="dxa"/>
            <w:vAlign w:val="bottom"/>
            <w:gridSpan w:val="17"/>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Consolidated Condensed Statements of Operations</w:t>
              </w:r>
            </w:hyperlink>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4</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20" w:type="dxa"/>
            <w:vAlign w:val="bottom"/>
            <w:tcBorders>
              <w:top w:val="single" w:sz="8" w:color="0000EE"/>
              <w:bottom w:val="single" w:sz="8" w:color="0000EE"/>
            </w:tcBorders>
            <w:gridSpan w:val="10"/>
          </w:tcPr>
          <w:p>
            <w:pPr>
              <w:spacing w:after="0" w:line="223" w:lineRule="exact"/>
              <w:rPr>
                <w:rFonts w:ascii="Arial" w:cs="Arial" w:eastAsia="Arial" w:hAnsi="Arial"/>
                <w:sz w:val="22"/>
                <w:szCs w:val="22"/>
                <w:color w:val="0000EE"/>
                <w:w w:val="87"/>
              </w:rPr>
            </w:pPr>
            <w:hyperlink w:anchor="page5">
              <w:r>
                <w:rPr>
                  <w:rFonts w:ascii="Arial" w:cs="Arial" w:eastAsia="Arial" w:hAnsi="Arial"/>
                  <w:sz w:val="22"/>
                  <w:szCs w:val="22"/>
                  <w:color w:val="0000EE"/>
                  <w:w w:val="87"/>
                </w:rPr>
                <w:t>Consolidated Condensed Statements of Equity</w:t>
              </w:r>
            </w:hyperlink>
          </w:p>
        </w:tc>
        <w:tc>
          <w:tcPr>
            <w:tcW w:w="360" w:type="dxa"/>
            <w:vAlign w:val="bottom"/>
            <w:tcBorders>
              <w:top w:val="single" w:sz="8" w:color="0000EE"/>
            </w:tcBorders>
          </w:tcPr>
          <w:p>
            <w:pPr>
              <w:spacing w:after="0"/>
              <w:rPr>
                <w:sz w:val="19"/>
                <w:szCs w:val="19"/>
                <w:color w:val="auto"/>
              </w:rPr>
            </w:pPr>
          </w:p>
        </w:tc>
        <w:tc>
          <w:tcPr>
            <w:tcW w:w="4460" w:type="dxa"/>
            <w:vAlign w:val="bottom"/>
            <w:gridSpan w:val="6"/>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60" w:type="dxa"/>
            <w:vAlign w:val="bottom"/>
            <w:tcBorders>
              <w:bottom w:val="single" w:sz="8" w:color="0000EE"/>
            </w:tcBorders>
            <w:gridSpan w:val="12"/>
          </w:tcPr>
          <w:p>
            <w:pPr>
              <w:spacing w:after="0" w:line="223" w:lineRule="exact"/>
              <w:rPr>
                <w:rFonts w:ascii="Arial" w:cs="Arial" w:eastAsia="Arial" w:hAnsi="Arial"/>
                <w:sz w:val="22"/>
                <w:szCs w:val="22"/>
                <w:color w:val="0000EE"/>
                <w:w w:val="87"/>
              </w:rPr>
            </w:pPr>
            <w:hyperlink w:anchor="page6">
              <w:r>
                <w:rPr>
                  <w:rFonts w:ascii="Arial" w:cs="Arial" w:eastAsia="Arial" w:hAnsi="Arial"/>
                  <w:sz w:val="22"/>
                  <w:szCs w:val="22"/>
                  <w:color w:val="0000EE"/>
                  <w:w w:val="87"/>
                </w:rPr>
                <w:t>Consolidated Condensed Statements of Cash Flows</w:t>
              </w:r>
            </w:hyperlink>
          </w:p>
        </w:tc>
        <w:tc>
          <w:tcPr>
            <w:tcW w:w="4380" w:type="dxa"/>
            <w:vAlign w:val="bottom"/>
            <w:gridSpan w:val="5"/>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6</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0" w:type="dxa"/>
            <w:vAlign w:val="bottom"/>
            <w:tcBorders>
              <w:bottom w:val="single" w:sz="8" w:color="0000EE"/>
            </w:tcBorders>
            <w:gridSpan w:val="13"/>
          </w:tcPr>
          <w:p>
            <w:pPr>
              <w:spacing w:after="0" w:line="223" w:lineRule="exact"/>
              <w:rPr>
                <w:rFonts w:ascii="Arial" w:cs="Arial" w:eastAsia="Arial" w:hAnsi="Arial"/>
                <w:sz w:val="22"/>
                <w:szCs w:val="22"/>
                <w:color w:val="0000EE"/>
                <w:w w:val="87"/>
              </w:rPr>
            </w:pPr>
            <w:hyperlink w:anchor="page7">
              <w:r>
                <w:rPr>
                  <w:rFonts w:ascii="Arial" w:cs="Arial" w:eastAsia="Arial" w:hAnsi="Arial"/>
                  <w:sz w:val="22"/>
                  <w:szCs w:val="22"/>
                  <w:color w:val="0000EE"/>
                  <w:w w:val="87"/>
                </w:rPr>
                <w:t>Notes to Consolidated Condensed Financial Statements</w:t>
              </w:r>
            </w:hyperlink>
          </w:p>
        </w:tc>
        <w:tc>
          <w:tcPr>
            <w:tcW w:w="4040" w:type="dxa"/>
            <w:vAlign w:val="bottom"/>
            <w:gridSpan w:val="4"/>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7</w:t>
            </w:r>
          </w:p>
        </w:tc>
      </w:tr>
      <w:tr>
        <w:trPr>
          <w:trHeight w:val="439"/>
        </w:trPr>
        <w:tc>
          <w:tcPr>
            <w:tcW w:w="1160" w:type="dxa"/>
            <w:vAlign w:val="bottom"/>
            <w:gridSpan w:val="5"/>
          </w:tcPr>
          <w:p>
            <w:pPr>
              <w:spacing w:after="0"/>
              <w:rPr>
                <w:rFonts w:ascii="Arial" w:cs="Arial" w:eastAsia="Arial" w:hAnsi="Arial"/>
                <w:sz w:val="22"/>
                <w:szCs w:val="22"/>
                <w:color w:val="0000EE"/>
              </w:rPr>
            </w:pPr>
            <w:hyperlink w:anchor="page22">
              <w:r>
                <w:rPr>
                  <w:rFonts w:ascii="Arial" w:cs="Arial" w:eastAsia="Arial" w:hAnsi="Arial"/>
                  <w:sz w:val="22"/>
                  <w:szCs w:val="22"/>
                  <w:color w:val="0000EE"/>
                </w:rPr>
                <w:t>Item 2.</w:t>
              </w:r>
            </w:hyperlink>
          </w:p>
        </w:tc>
        <w:tc>
          <w:tcPr>
            <w:tcW w:w="8840" w:type="dxa"/>
            <w:vAlign w:val="bottom"/>
            <w:gridSpan w:val="17"/>
          </w:tcPr>
          <w:p>
            <w:pPr>
              <w:spacing w:after="0"/>
              <w:rPr>
                <w:rFonts w:ascii="Arial" w:cs="Arial" w:eastAsia="Arial" w:hAnsi="Arial"/>
                <w:sz w:val="22"/>
                <w:szCs w:val="22"/>
                <w:color w:val="0000EE"/>
              </w:rPr>
            </w:pPr>
            <w:hyperlink w:anchor="page22">
              <w:r>
                <w:rPr>
                  <w:rFonts w:ascii="Arial" w:cs="Arial" w:eastAsia="Arial" w:hAnsi="Arial"/>
                  <w:sz w:val="22"/>
                  <w:szCs w:val="22"/>
                  <w:color w:val="0000EE"/>
                </w:rPr>
                <w:t>Management’s Discussion and Analysis of Financial Condition and Results of Operations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780" w:type="dxa"/>
            <w:vAlign w:val="bottom"/>
            <w:tcBorders>
              <w:bottom w:val="single" w:sz="8" w:color="0000EE"/>
            </w:tcBorders>
            <w:gridSpan w:val="3"/>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Item 3.</w:t>
              </w:r>
            </w:hyperlink>
          </w:p>
        </w:tc>
        <w:tc>
          <w:tcPr>
            <w:tcW w:w="380" w:type="dxa"/>
            <w:vAlign w:val="bottom"/>
            <w:gridSpan w:val="2"/>
          </w:tcPr>
          <w:p>
            <w:pPr>
              <w:spacing w:after="0"/>
              <w:rPr>
                <w:sz w:val="24"/>
                <w:szCs w:val="24"/>
                <w:color w:val="auto"/>
              </w:rPr>
            </w:pPr>
          </w:p>
        </w:tc>
        <w:tc>
          <w:tcPr>
            <w:tcW w:w="5240" w:type="dxa"/>
            <w:vAlign w:val="bottom"/>
            <w:tcBorders>
              <w:bottom w:val="single" w:sz="8" w:color="0000EE"/>
            </w:tcBorders>
            <w:gridSpan w:val="15"/>
          </w:tcPr>
          <w:p>
            <w:pPr>
              <w:spacing w:after="0"/>
              <w:rPr>
                <w:rFonts w:ascii="Arial" w:cs="Arial" w:eastAsia="Arial" w:hAnsi="Arial"/>
                <w:sz w:val="22"/>
                <w:szCs w:val="22"/>
                <w:color w:val="0000EE"/>
                <w:w w:val="90"/>
              </w:rPr>
            </w:pPr>
            <w:hyperlink w:anchor="page34">
              <w:r>
                <w:rPr>
                  <w:rFonts w:ascii="Arial" w:cs="Arial" w:eastAsia="Arial" w:hAnsi="Arial"/>
                  <w:sz w:val="22"/>
                  <w:szCs w:val="22"/>
                  <w:color w:val="0000EE"/>
                  <w:w w:val="90"/>
                </w:rPr>
                <w:t>Quantitative and Qualitative Disclosures About Market Risk</w:t>
              </w:r>
            </w:hyperlink>
          </w:p>
        </w:tc>
        <w:tc>
          <w:tcPr>
            <w:tcW w:w="3600" w:type="dxa"/>
            <w:vAlign w:val="bottom"/>
            <w:gridSpan w:val="2"/>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39"/>
        </w:trPr>
        <w:tc>
          <w:tcPr>
            <w:tcW w:w="1160" w:type="dxa"/>
            <w:vAlign w:val="bottom"/>
            <w:gridSpan w:val="5"/>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Item 4.</w:t>
              </w:r>
            </w:hyperlink>
          </w:p>
        </w:tc>
        <w:tc>
          <w:tcPr>
            <w:tcW w:w="8840" w:type="dxa"/>
            <w:vAlign w:val="bottom"/>
            <w:gridSpan w:val="17"/>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Controls and Procedures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840" w:type="dxa"/>
            <w:vAlign w:val="bottom"/>
            <w:tcBorders>
              <w:bottom w:val="single" w:sz="8" w:color="0000EE"/>
            </w:tcBorders>
            <w:gridSpan w:val="4"/>
          </w:tcPr>
          <w:p>
            <w:pPr>
              <w:spacing w:after="0"/>
              <w:rPr>
                <w:rFonts w:ascii="Arial" w:cs="Arial" w:eastAsia="Arial" w:hAnsi="Arial"/>
                <w:sz w:val="22"/>
                <w:szCs w:val="22"/>
                <w:color w:val="0000EE"/>
                <w:w w:val="98"/>
              </w:rPr>
            </w:pPr>
            <w:hyperlink w:anchor="page35">
              <w:r>
                <w:rPr>
                  <w:rFonts w:ascii="Arial" w:cs="Arial" w:eastAsia="Arial" w:hAnsi="Arial"/>
                  <w:sz w:val="22"/>
                  <w:szCs w:val="22"/>
                  <w:color w:val="0000EE"/>
                  <w:w w:val="98"/>
                </w:rPr>
                <w:t>PART II.</w:t>
              </w:r>
            </w:hyperlink>
          </w:p>
        </w:tc>
        <w:tc>
          <w:tcPr>
            <w:tcW w:w="320" w:type="dxa"/>
            <w:vAlign w:val="bottom"/>
          </w:tcPr>
          <w:p>
            <w:pPr>
              <w:spacing w:after="0"/>
              <w:rPr>
                <w:sz w:val="24"/>
                <w:szCs w:val="24"/>
                <w:color w:val="auto"/>
              </w:rPr>
            </w:pPr>
          </w:p>
        </w:tc>
        <w:tc>
          <w:tcPr>
            <w:tcW w:w="2260" w:type="dxa"/>
            <w:vAlign w:val="bottom"/>
            <w:tcBorders>
              <w:bottom w:val="single" w:sz="8" w:color="0000EE"/>
            </w:tcBorders>
            <w:gridSpan w:val="6"/>
          </w:tcPr>
          <w:p>
            <w:pPr>
              <w:spacing w:after="0"/>
              <w:rPr>
                <w:rFonts w:ascii="Arial" w:cs="Arial" w:eastAsia="Arial" w:hAnsi="Arial"/>
                <w:sz w:val="22"/>
                <w:szCs w:val="22"/>
                <w:color w:val="0000EE"/>
                <w:w w:val="94"/>
              </w:rPr>
            </w:pPr>
            <w:hyperlink w:anchor="page35">
              <w:r>
                <w:rPr>
                  <w:rFonts w:ascii="Arial" w:cs="Arial" w:eastAsia="Arial" w:hAnsi="Arial"/>
                  <w:sz w:val="22"/>
                  <w:szCs w:val="22"/>
                  <w:color w:val="0000EE"/>
                  <w:w w:val="94"/>
                </w:rPr>
                <w:t>OTHER INFORMATION</w:t>
              </w:r>
            </w:hyperlink>
          </w:p>
        </w:tc>
        <w:tc>
          <w:tcPr>
            <w:tcW w:w="6580" w:type="dxa"/>
            <w:vAlign w:val="bottom"/>
            <w:gridSpan w:val="11"/>
          </w:tcPr>
          <w:p>
            <w:pPr>
              <w:spacing w:after="0"/>
              <w:rPr>
                <w:sz w:val="24"/>
                <w:szCs w:val="24"/>
                <w:color w:val="auto"/>
              </w:rPr>
            </w:pPr>
          </w:p>
        </w:tc>
        <w:tc>
          <w:tcPr>
            <w:tcW w:w="1420" w:type="dxa"/>
            <w:vAlign w:val="bottom"/>
          </w:tcPr>
          <w:p>
            <w:pPr>
              <w:spacing w:after="0"/>
              <w:rPr>
                <w:sz w:val="24"/>
                <w:szCs w:val="24"/>
                <w:color w:val="auto"/>
              </w:rPr>
            </w:pPr>
          </w:p>
        </w:tc>
      </w:tr>
      <w:tr>
        <w:trPr>
          <w:trHeight w:val="439"/>
        </w:trPr>
        <w:tc>
          <w:tcPr>
            <w:tcW w:w="1160" w:type="dxa"/>
            <w:vAlign w:val="bottom"/>
            <w:gridSpan w:val="5"/>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1.</w:t>
              </w:r>
            </w:hyperlink>
          </w:p>
        </w:tc>
        <w:tc>
          <w:tcPr>
            <w:tcW w:w="8840" w:type="dxa"/>
            <w:vAlign w:val="bottom"/>
            <w:gridSpan w:val="17"/>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Legal Proceedings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rFonts w:ascii="Arial" w:cs="Arial" w:eastAsia="Arial" w:hAnsi="Arial"/>
                <w:sz w:val="22"/>
                <w:szCs w:val="22"/>
                <w:color w:val="0000EE"/>
                <w:w w:val="92"/>
              </w:rPr>
            </w:pPr>
            <w:hyperlink w:anchor="page35">
              <w:r>
                <w:rPr>
                  <w:rFonts w:ascii="Arial" w:cs="Arial" w:eastAsia="Arial" w:hAnsi="Arial"/>
                  <w:sz w:val="22"/>
                  <w:szCs w:val="22"/>
                  <w:color w:val="0000EE"/>
                  <w:w w:val="92"/>
                </w:rPr>
                <w:t>Item 1A.</w:t>
              </w:r>
            </w:hyperlink>
          </w:p>
        </w:tc>
        <w:tc>
          <w:tcPr>
            <w:tcW w:w="380" w:type="dxa"/>
            <w:vAlign w:val="bottom"/>
            <w:gridSpan w:val="2"/>
          </w:tcPr>
          <w:p>
            <w:pPr>
              <w:spacing w:after="0"/>
              <w:rPr>
                <w:sz w:val="24"/>
                <w:szCs w:val="24"/>
                <w:color w:val="auto"/>
              </w:rPr>
            </w:pPr>
          </w:p>
        </w:tc>
        <w:tc>
          <w:tcPr>
            <w:tcW w:w="8840" w:type="dxa"/>
            <w:vAlign w:val="bottom"/>
            <w:gridSpan w:val="17"/>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Risk Factors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2.</w:t>
              </w:r>
            </w:hyperlink>
          </w:p>
        </w:tc>
        <w:tc>
          <w:tcPr>
            <w:tcW w:w="380" w:type="dxa"/>
            <w:vAlign w:val="bottom"/>
            <w:gridSpan w:val="2"/>
          </w:tcPr>
          <w:p>
            <w:pPr>
              <w:spacing w:after="0"/>
              <w:rPr>
                <w:sz w:val="24"/>
                <w:szCs w:val="24"/>
                <w:color w:val="auto"/>
              </w:rPr>
            </w:pPr>
          </w:p>
        </w:tc>
        <w:tc>
          <w:tcPr>
            <w:tcW w:w="8840" w:type="dxa"/>
            <w:vAlign w:val="bottom"/>
            <w:gridSpan w:val="17"/>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Unregistered Sales of Equity Securities and Use of Proceeds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5"/>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1160" w:type="dxa"/>
            <w:vAlign w:val="bottom"/>
            <w:gridSpan w:val="5"/>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3.</w:t>
              </w:r>
            </w:hyperlink>
          </w:p>
        </w:tc>
        <w:tc>
          <w:tcPr>
            <w:tcW w:w="8840" w:type="dxa"/>
            <w:vAlign w:val="bottom"/>
            <w:gridSpan w:val="17"/>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Defaults upon Senior Securities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5"/>
            <w:shd w:val="clear" w:color="auto" w:fill="0000EE"/>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1160" w:type="dxa"/>
            <w:vAlign w:val="bottom"/>
            <w:gridSpan w:val="5"/>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4.</w:t>
              </w:r>
            </w:hyperlink>
          </w:p>
        </w:tc>
        <w:tc>
          <w:tcPr>
            <w:tcW w:w="8840" w:type="dxa"/>
            <w:vAlign w:val="bottom"/>
            <w:gridSpan w:val="17"/>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Mine Safety Disclosures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1160" w:type="dxa"/>
            <w:vAlign w:val="bottom"/>
            <w:gridSpan w:val="5"/>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5.</w:t>
              </w:r>
            </w:hyperlink>
          </w:p>
        </w:tc>
        <w:tc>
          <w:tcPr>
            <w:tcW w:w="8840" w:type="dxa"/>
            <w:vAlign w:val="bottom"/>
            <w:gridSpan w:val="17"/>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Other Information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1160" w:type="dxa"/>
            <w:vAlign w:val="bottom"/>
            <w:gridSpan w:val="5"/>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Item 6.</w:t>
              </w:r>
            </w:hyperlink>
          </w:p>
        </w:tc>
        <w:tc>
          <w:tcPr>
            <w:tcW w:w="8840" w:type="dxa"/>
            <w:vAlign w:val="bottom"/>
            <w:gridSpan w:val="17"/>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Exhibits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63"/>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80" w:type="dxa"/>
            <w:vAlign w:val="bottom"/>
            <w:gridSpan w:val="12"/>
          </w:tcPr>
          <w:p>
            <w:pPr>
              <w:jc w:val="center"/>
              <w:ind w:left="3472"/>
              <w:spacing w:after="0"/>
              <w:rPr>
                <w:sz w:val="20"/>
                <w:szCs w:val="20"/>
                <w:color w:val="auto"/>
              </w:rPr>
            </w:pPr>
            <w:r>
              <w:rPr>
                <w:rFonts w:ascii="Arial" w:cs="Arial" w:eastAsia="Arial" w:hAnsi="Arial"/>
                <w:sz w:val="22"/>
                <w:szCs w:val="22"/>
                <w:color w:val="auto"/>
                <w:w w:val="81"/>
              </w:rPr>
              <w:t>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0"/>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00" w:type="dxa"/>
            <w:vAlign w:val="bottom"/>
            <w:tcBorders>
              <w:bottom w:val="single" w:sz="8" w:color="C0C0C0"/>
            </w:tcBorders>
          </w:tcPr>
          <w:p>
            <w:pPr>
              <w:spacing w:after="0"/>
              <w:rPr>
                <w:sz w:val="20"/>
                <w:szCs w:val="20"/>
                <w:color w:val="auto"/>
              </w:rPr>
            </w:pPr>
          </w:p>
        </w:tc>
        <w:tc>
          <w:tcPr>
            <w:tcW w:w="110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2" w:right="23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2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Consolidated Condensed Balance Sheets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420" w:type="dxa"/>
            <w:vAlign w:val="bottom"/>
          </w:tcPr>
          <w:p>
            <w:pPr>
              <w:spacing w:after="0"/>
              <w:rPr>
                <w:sz w:val="20"/>
                <w:szCs w:val="20"/>
                <w:color w:val="auto"/>
              </w:rPr>
            </w:pPr>
            <w:r>
              <w:rPr>
                <w:rFonts w:ascii="Arial" w:cs="Arial" w:eastAsia="Arial" w:hAnsi="Arial"/>
                <w:sz w:val="18"/>
                <w:szCs w:val="18"/>
                <w:color w:val="auto"/>
              </w:rPr>
              <w:t>(In Thousands)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April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January 31,</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E5FFFF"/>
            </w:tcBorders>
          </w:tcPr>
          <w:p>
            <w:pPr>
              <w:spacing w:after="0"/>
              <w:rPr>
                <w:sz w:val="20"/>
                <w:szCs w:val="20"/>
                <w:color w:val="auto"/>
              </w:rPr>
            </w:pPr>
          </w:p>
        </w:tc>
        <w:tc>
          <w:tcPr>
            <w:tcW w:w="680" w:type="dxa"/>
            <w:vAlign w:val="bottom"/>
            <w:tcBorders>
              <w:bottom w:val="single" w:sz="8" w:color="E5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E5FFFF"/>
            </w:tcBorders>
          </w:tcPr>
          <w:p>
            <w:pPr>
              <w:spacing w:after="0"/>
              <w:rPr>
                <w:sz w:val="20"/>
                <w:szCs w:val="20"/>
                <w:color w:val="auto"/>
              </w:rPr>
            </w:pPr>
          </w:p>
        </w:tc>
        <w:tc>
          <w:tcPr>
            <w:tcW w:w="6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204,704</w:t>
            </w:r>
          </w:p>
        </w:tc>
        <w:tc>
          <w:tcPr>
            <w:tcW w:w="10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188,531</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82</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281</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11,663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11,378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20,150</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18,477</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7,695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6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9,352</w:t>
            </w:r>
          </w:p>
        </w:tc>
        <w:tc>
          <w:tcPr>
            <w:tcW w:w="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9,284</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253,646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250,621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177,008</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182,521</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19,866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9,771</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6,176</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32,201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assets</w:t>
            </w:r>
          </w:p>
        </w:tc>
        <w:tc>
          <w:tcPr>
            <w:tcW w:w="68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492,492</w:t>
            </w:r>
          </w:p>
        </w:tc>
        <w:tc>
          <w:tcPr>
            <w:tcW w:w="38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471,393</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6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5FF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6,825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Current operating lease liabilities</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5,421</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8,078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current liabilities</w:t>
            </w:r>
          </w:p>
        </w:tc>
        <w:tc>
          <w:tcPr>
            <w:tcW w:w="6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20,324</w:t>
            </w:r>
          </w:p>
        </w:tc>
        <w:tc>
          <w:tcPr>
            <w:tcW w:w="38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auto"/>
              <w:bottom w:val="single" w:sz="8" w:color="auto"/>
            </w:tcBorders>
            <w:shd w:val="clear" w:color="auto" w:fill="E5FFFF"/>
          </w:tcPr>
          <w:p>
            <w:pPr>
              <w:spacing w:after="0"/>
              <w:rPr>
                <w:sz w:val="18"/>
                <w:szCs w:val="18"/>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17,009</w:t>
            </w:r>
          </w:p>
        </w:tc>
        <w:tc>
          <w:tcPr>
            <w:tcW w:w="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Long-term liabilities: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taxes</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4,161</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4,185</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13,990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long-term liabilities</w:t>
            </w:r>
          </w:p>
        </w:tc>
        <w:tc>
          <w:tcPr>
            <w:tcW w:w="6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4,935</w:t>
            </w:r>
          </w:p>
        </w:tc>
        <w:tc>
          <w:tcPr>
            <w:tcW w:w="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4,928</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Total long-term liabilities</w:t>
            </w:r>
          </w:p>
        </w:tc>
        <w:tc>
          <w:tcPr>
            <w:tcW w:w="680" w:type="dxa"/>
            <w:vAlign w:val="bottom"/>
            <w:tcBorders>
              <w:bottom w:val="single" w:sz="8" w:color="E5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23,086</w:t>
            </w:r>
          </w:p>
        </w:tc>
        <w:tc>
          <w:tcPr>
            <w:tcW w:w="38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9,113</w:t>
            </w:r>
          </w:p>
        </w:tc>
        <w:tc>
          <w:tcPr>
            <w:tcW w:w="2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E5FF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REX shareholders’ equity:</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5FFFF"/>
          </w:tcPr>
          <w:p>
            <w:pPr>
              <w:ind w:left="540"/>
              <w:spacing w:after="0"/>
              <w:rPr>
                <w:sz w:val="20"/>
                <w:szCs w:val="20"/>
                <w:color w:val="auto"/>
              </w:rPr>
            </w:pPr>
            <w:r>
              <w:rPr>
                <w:rFonts w:ascii="Arial" w:cs="Arial" w:eastAsia="Arial" w:hAnsi="Arial"/>
                <w:sz w:val="18"/>
                <w:szCs w:val="18"/>
                <w:color w:val="auto"/>
              </w:rPr>
              <w:t>Common stock</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299</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299</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540"/>
              <w:spacing w:after="0"/>
              <w:rPr>
                <w:sz w:val="20"/>
                <w:szCs w:val="20"/>
                <w:color w:val="auto"/>
              </w:rPr>
            </w:pPr>
            <w:r>
              <w:rPr>
                <w:rFonts w:ascii="Arial" w:cs="Arial" w:eastAsia="Arial" w:hAnsi="Arial"/>
                <w:sz w:val="18"/>
                <w:szCs w:val="18"/>
                <w:color w:val="auto"/>
              </w:rPr>
              <w:t>Paid-in capital</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148,303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148,273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5FFFF"/>
          </w:tcPr>
          <w:p>
            <w:pPr>
              <w:ind w:left="540"/>
              <w:spacing w:after="0"/>
              <w:rPr>
                <w:sz w:val="20"/>
                <w:szCs w:val="20"/>
                <w:color w:val="auto"/>
              </w:rPr>
            </w:pPr>
            <w:r>
              <w:rPr>
                <w:rFonts w:ascii="Arial" w:cs="Arial" w:eastAsia="Arial" w:hAnsi="Arial"/>
                <w:sz w:val="18"/>
                <w:szCs w:val="18"/>
                <w:color w:val="auto"/>
              </w:rPr>
              <w:t>Retained earnings</w:t>
            </w:r>
          </w:p>
        </w:tc>
        <w:tc>
          <w:tcPr>
            <w:tcW w:w="6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582,379</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579,558</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540"/>
              <w:spacing w:after="0"/>
              <w:rPr>
                <w:sz w:val="20"/>
                <w:szCs w:val="20"/>
                <w:color w:val="auto"/>
              </w:rPr>
            </w:pPr>
            <w:r>
              <w:rPr>
                <w:rFonts w:ascii="Arial" w:cs="Arial" w:eastAsia="Arial" w:hAnsi="Arial"/>
                <w:sz w:val="18"/>
                <w:szCs w:val="18"/>
                <w:color w:val="auto"/>
              </w:rPr>
              <w:t>Treasury stock</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(335,186)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(335,193)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E5FFFF"/>
            </w:tcBorders>
            <w:shd w:val="clear" w:color="auto" w:fill="E5FFFF"/>
          </w:tcPr>
          <w:p>
            <w:pPr>
              <w:ind w:left="720"/>
              <w:spacing w:after="0"/>
              <w:rPr>
                <w:sz w:val="20"/>
                <w:szCs w:val="20"/>
                <w:color w:val="auto"/>
              </w:rPr>
            </w:pPr>
            <w:r>
              <w:rPr>
                <w:rFonts w:ascii="Arial" w:cs="Arial" w:eastAsia="Arial" w:hAnsi="Arial"/>
                <w:sz w:val="18"/>
                <w:szCs w:val="18"/>
                <w:color w:val="auto"/>
              </w:rPr>
              <w:t>Total REX shareholders’ equity</w:t>
            </w:r>
          </w:p>
        </w:tc>
        <w:tc>
          <w:tcPr>
            <w:tcW w:w="6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9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395,795</w:t>
            </w:r>
          </w:p>
        </w:tc>
        <w:tc>
          <w:tcPr>
            <w:tcW w:w="38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9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392,937</w:t>
            </w:r>
          </w:p>
        </w:tc>
        <w:tc>
          <w:tcPr>
            <w:tcW w:w="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53,287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equity</w:t>
            </w:r>
          </w:p>
        </w:tc>
        <w:tc>
          <w:tcPr>
            <w:tcW w:w="6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449,082</w:t>
            </w:r>
          </w:p>
        </w:tc>
        <w:tc>
          <w:tcPr>
            <w:tcW w:w="38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auto"/>
              <w:bottom w:val="single" w:sz="8" w:color="auto"/>
            </w:tcBorders>
            <w:shd w:val="clear" w:color="auto" w:fill="E5FFFF"/>
          </w:tcPr>
          <w:p>
            <w:pPr>
              <w:spacing w:after="0"/>
              <w:rPr>
                <w:sz w:val="18"/>
                <w:szCs w:val="18"/>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445,271</w:t>
            </w:r>
          </w:p>
        </w:tc>
        <w:tc>
          <w:tcPr>
            <w:tcW w:w="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6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492,492</w:t>
            </w: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471,393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 w:name="page4"/>
    <w:bookmarkEnd w:id="3"/>
    <w:p>
      <w:pPr>
        <w:ind w:right="4479"/>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Operations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4"/>
          </w:tcPr>
          <w:p>
            <w:pPr>
              <w:jc w:val="center"/>
              <w:ind w:left="270"/>
              <w:spacing w:after="0"/>
              <w:rPr>
                <w:sz w:val="20"/>
                <w:szCs w:val="20"/>
                <w:color w:val="auto"/>
              </w:rPr>
            </w:pPr>
            <w:r>
              <w:rPr>
                <w:rFonts w:ascii="Arial" w:cs="Arial" w:eastAsia="Arial" w:hAnsi="Arial"/>
                <w:sz w:val="18"/>
                <w:szCs w:val="18"/>
                <w:color w:val="auto"/>
                <w:w w:val="91"/>
              </w:rPr>
              <w:t>Three Months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Ended</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99"/>
              </w:rPr>
              <w:t>April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920" w:type="dxa"/>
            <w:vAlign w:val="bottom"/>
            <w:gridSpan w:val="2"/>
            <w:shd w:val="clear" w:color="auto" w:fill="E5FFFF"/>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104,575</w:t>
            </w:r>
          </w:p>
        </w:tc>
        <w:tc>
          <w:tcPr>
            <w:tcW w:w="580" w:type="dxa"/>
            <w:vAlign w:val="bottom"/>
            <w:gridSpan w:val="2"/>
            <w:shd w:val="clear" w:color="auto" w:fill="E5FFFF"/>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120,820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Cost of sales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100,929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109,969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Gross profit</w:t>
            </w:r>
          </w:p>
        </w:tc>
        <w:tc>
          <w:tcPr>
            <w:tcW w:w="62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3,646</w:t>
            </w:r>
          </w:p>
        </w:tc>
        <w:tc>
          <w:tcPr>
            <w:tcW w:w="18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10,851</w:t>
            </w: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(4,732)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of unconsolidated affiliates</w:t>
            </w:r>
          </w:p>
        </w:tc>
        <w:tc>
          <w:tcPr>
            <w:tcW w:w="6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7,649</w:t>
            </w: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3,548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3,715</w:t>
            </w:r>
          </w:p>
        </w:tc>
        <w:tc>
          <w:tcPr>
            <w:tcW w:w="18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10,352</w:t>
            </w: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620" w:type="dxa"/>
            <w:vAlign w:val="bottom"/>
            <w:tcBorders>
              <w:top w:val="single" w:sz="8" w:color="E5FFFF"/>
              <w:bottom w:val="single" w:sz="8" w:color="E5FFFF"/>
            </w:tcBorders>
            <w:shd w:val="clear" w:color="auto" w:fill="E5FFFF"/>
          </w:tcPr>
          <w:p>
            <w:pPr>
              <w:spacing w:after="0"/>
              <w:rPr>
                <w:sz w:val="18"/>
                <w:szCs w:val="18"/>
                <w:color w:val="auto"/>
              </w:rPr>
            </w:pPr>
          </w:p>
        </w:tc>
        <w:tc>
          <w:tcPr>
            <w:tcW w:w="300" w:type="dxa"/>
            <w:vAlign w:val="bottom"/>
            <w:tcBorders>
              <w:top w:val="single" w:sz="8" w:color="auto"/>
              <w:bottom w:val="single" w:sz="8" w:color="auto"/>
            </w:tcBorders>
            <w:shd w:val="clear" w:color="auto" w:fill="E5FFFF"/>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2,821</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380" w:type="dxa"/>
            <w:vAlign w:val="bottom"/>
            <w:tcBorders>
              <w:top w:val="single" w:sz="8" w:color="auto"/>
              <w:bottom w:val="single" w:sz="8" w:color="auto"/>
            </w:tcBorders>
            <w:shd w:val="clear" w:color="auto" w:fill="E5FFFF"/>
          </w:tcPr>
          <w:p>
            <w:pPr>
              <w:jc w:val="right"/>
              <w:ind w:right="2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9,496</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8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6,315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w w:val="99"/>
              </w:rPr>
              <w:t>Basic and diluted net income per share attributable to REX common shareholders</w:t>
            </w:r>
          </w:p>
        </w:tc>
        <w:tc>
          <w:tcPr>
            <w:tcW w:w="920" w:type="dxa"/>
            <w:vAlign w:val="bottom"/>
            <w:gridSpan w:val="2"/>
            <w:shd w:val="clear" w:color="auto" w:fill="E5FFFF"/>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0.45</w:t>
            </w:r>
          </w:p>
        </w:tc>
        <w:tc>
          <w:tcPr>
            <w:tcW w:w="580" w:type="dxa"/>
            <w:vAlign w:val="bottom"/>
            <w:gridSpan w:val="2"/>
            <w:shd w:val="clear" w:color="auto" w:fill="E5FFFF"/>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E5FFFF"/>
            </w:tcBorders>
          </w:tcPr>
          <w:p>
            <w:pPr>
              <w:spacing w:after="0" w:line="20" w:lineRule="exact"/>
              <w:rPr>
                <w:sz w:val="1"/>
                <w:szCs w:val="1"/>
                <w:color w:val="auto"/>
              </w:rPr>
            </w:pPr>
          </w:p>
        </w:tc>
        <w:tc>
          <w:tcPr>
            <w:tcW w:w="62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p>
      <w:pPr>
        <w:ind w:right="568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Equity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color w:val="auto"/>
              </w:rPr>
              <w:t>REX Shareholders</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20" w:type="dxa"/>
            <w:vAlign w:val="bottom"/>
            <w:gridSpan w:val="5"/>
          </w:tcPr>
          <w:p>
            <w:pPr>
              <w:jc w:val="right"/>
              <w:ind w:right="860"/>
              <w:spacing w:after="0"/>
              <w:rPr>
                <w:sz w:val="20"/>
                <w:szCs w:val="20"/>
                <w:color w:val="auto"/>
              </w:rPr>
            </w:pPr>
            <w:r>
              <w:rPr>
                <w:rFonts w:ascii="Arial" w:cs="Arial" w:eastAsia="Arial" w:hAnsi="Arial"/>
                <w:sz w:val="14"/>
                <w:szCs w:val="14"/>
                <w:color w:val="auto"/>
              </w:rPr>
              <w:t>Common Shares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Paid-in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w w:val="92"/>
              </w:rPr>
              <w:t>Retained</w:t>
            </w:r>
          </w:p>
        </w:tc>
        <w:tc>
          <w:tcPr>
            <w:tcW w:w="1360" w:type="dxa"/>
            <w:vAlign w:val="bottom"/>
            <w:gridSpan w:val="4"/>
            <w:vMerge w:val="restart"/>
          </w:tcPr>
          <w:p>
            <w:pPr>
              <w:ind w:left="160"/>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24"/>
                <w:szCs w:val="24"/>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color w:val="auto"/>
              </w:rPr>
              <w:t>Issued</w:t>
            </w: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Treasury</w:t>
            </w: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6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3"/>
                <w:szCs w:val="13"/>
                <w:color w:val="auto"/>
              </w:rPr>
            </w:pPr>
          </w:p>
        </w:tc>
        <w:tc>
          <w:tcPr>
            <w:tcW w:w="6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3"/>
                <w:szCs w:val="13"/>
                <w:color w:val="auto"/>
              </w:rPr>
            </w:pPr>
          </w:p>
        </w:tc>
        <w:tc>
          <w:tcPr>
            <w:tcW w:w="114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3"/>
                <w:szCs w:val="13"/>
                <w:color w:val="auto"/>
              </w:rPr>
            </w:pPr>
          </w:p>
        </w:tc>
        <w:tc>
          <w:tcPr>
            <w:tcW w:w="660" w:type="dxa"/>
            <w:vAlign w:val="bottom"/>
          </w:tcPr>
          <w:p>
            <w:pPr>
              <w:jc w:val="right"/>
              <w:ind w:right="68"/>
              <w:spacing w:after="0" w:line="155" w:lineRule="exact"/>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4"/>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w w:val="96"/>
              </w:rPr>
              <w:t>Interests</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2019</w:t>
            </w:r>
          </w:p>
        </w:tc>
        <w:tc>
          <w:tcPr>
            <w:tcW w:w="1160" w:type="dxa"/>
            <w:vAlign w:val="bottom"/>
            <w:gridSpan w:val="2"/>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29,853</w:t>
            </w:r>
          </w:p>
        </w:tc>
        <w:tc>
          <w:tcPr>
            <w:tcW w:w="120" w:type="dxa"/>
            <w:vAlign w:val="bottom"/>
            <w:shd w:val="clear" w:color="auto" w:fill="E5FF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299</w:t>
            </w:r>
          </w:p>
        </w:tc>
        <w:tc>
          <w:tcPr>
            <w:tcW w:w="114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23,580</w:t>
            </w:r>
          </w:p>
        </w:tc>
        <w:tc>
          <w:tcPr>
            <w:tcW w:w="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(335,193)</w:t>
            </w:r>
          </w:p>
        </w:tc>
        <w:tc>
          <w:tcPr>
            <w:tcW w:w="120" w:type="dxa"/>
            <w:vAlign w:val="bottom"/>
            <w:shd w:val="clear" w:color="auto" w:fill="E5FF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148,273</w:t>
            </w:r>
          </w:p>
        </w:tc>
        <w:tc>
          <w:tcPr>
            <w:tcW w:w="26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579,558</w:t>
            </w:r>
          </w:p>
        </w:tc>
        <w:tc>
          <w:tcPr>
            <w:tcW w:w="3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52,334</w:t>
            </w: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445,271</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2,821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894</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Noncontrolling interests distribution</w:t>
            </w:r>
          </w:p>
        </w:tc>
        <w:tc>
          <w:tcPr>
            <w:tcW w:w="800" w:type="dxa"/>
            <w:vAlign w:val="bottom"/>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E5FFFF"/>
          </w:tcPr>
          <w:p>
            <w:pPr>
              <w:spacing w:after="0"/>
              <w:rPr>
                <w:sz w:val="20"/>
                <w:szCs w:val="20"/>
                <w:color w:val="auto"/>
              </w:rPr>
            </w:pPr>
            <w:r>
              <w:rPr>
                <w:rFonts w:ascii="Arial" w:cs="Arial" w:eastAsia="Arial" w:hAnsi="Arial"/>
                <w:sz w:val="14"/>
                <w:szCs w:val="14"/>
                <w:color w:val="auto"/>
              </w:rPr>
              <w:t>and other</w:t>
            </w:r>
          </w:p>
        </w:tc>
        <w:tc>
          <w:tcPr>
            <w:tcW w:w="80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06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(87)</w:t>
            </w:r>
          </w:p>
        </w:tc>
        <w:tc>
          <w:tcPr>
            <w:tcW w:w="14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4"/>
                <w:szCs w:val="14"/>
                <w:color w:val="auto"/>
              </w:rPr>
              <w:t>Capital contributions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146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20" w:type="dxa"/>
            <w:vAlign w:val="bottom"/>
            <w:shd w:val="clear" w:color="auto" w:fill="E5FFFF"/>
          </w:tcPr>
          <w:p>
            <w:pPr>
              <w:spacing w:after="0"/>
              <w:rPr>
                <w:sz w:val="20"/>
                <w:szCs w:val="20"/>
                <w:color w:val="auto"/>
              </w:rPr>
            </w:pPr>
            <w:r>
              <w:rPr>
                <w:rFonts w:ascii="Arial" w:cs="Arial" w:eastAsia="Arial" w:hAnsi="Arial"/>
                <w:sz w:val="14"/>
                <w:szCs w:val="14"/>
                <w:color w:val="auto"/>
              </w:rPr>
              <w:t>Stock based compensation expense</w:t>
            </w:r>
          </w:p>
        </w:tc>
        <w:tc>
          <w:tcPr>
            <w:tcW w:w="80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04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30</w:t>
            </w: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06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540" w:type="dxa"/>
            <w:vAlign w:val="bottom"/>
            <w:gridSpan w:val="2"/>
          </w:tcPr>
          <w:p>
            <w:pPr>
              <w:spacing w:after="0"/>
              <w:rPr>
                <w:sz w:val="20"/>
                <w:szCs w:val="20"/>
                <w:color w:val="auto"/>
              </w:rPr>
            </w:pPr>
            <w:r>
              <w:rPr>
                <w:rFonts w:ascii="Arial" w:cs="Arial" w:eastAsia="Arial" w:hAnsi="Arial"/>
                <w:sz w:val="14"/>
                <w:szCs w:val="14"/>
                <w:color w:val="auto"/>
              </w:rPr>
              <w:t>Balance at April 30, 2019</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29,853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299</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23,580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(335,186)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148,303</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582,379</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53,287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449,082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2018</w:t>
            </w:r>
          </w:p>
        </w:tc>
        <w:tc>
          <w:tcPr>
            <w:tcW w:w="1160" w:type="dxa"/>
            <w:vAlign w:val="bottom"/>
            <w:gridSpan w:val="2"/>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29,853</w:t>
            </w:r>
          </w:p>
        </w:tc>
        <w:tc>
          <w:tcPr>
            <w:tcW w:w="120" w:type="dxa"/>
            <w:vAlign w:val="bottom"/>
            <w:shd w:val="clear" w:color="auto" w:fill="E5FF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299</w:t>
            </w:r>
          </w:p>
        </w:tc>
        <w:tc>
          <w:tcPr>
            <w:tcW w:w="114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23,287</w:t>
            </w:r>
          </w:p>
        </w:tc>
        <w:tc>
          <w:tcPr>
            <w:tcW w:w="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(313,643)</w:t>
            </w:r>
          </w:p>
        </w:tc>
        <w:tc>
          <w:tcPr>
            <w:tcW w:w="120" w:type="dxa"/>
            <w:vAlign w:val="bottom"/>
            <w:shd w:val="clear" w:color="auto" w:fill="E5FF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146,923</w:t>
            </w:r>
          </w:p>
        </w:tc>
        <w:tc>
          <w:tcPr>
            <w:tcW w:w="26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547,913</w:t>
            </w:r>
          </w:p>
        </w:tc>
        <w:tc>
          <w:tcPr>
            <w:tcW w:w="3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50,434</w:t>
            </w: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431,926</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9,496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856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80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14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126</w:t>
            </w:r>
          </w:p>
        </w:tc>
        <w:tc>
          <w:tcPr>
            <w:tcW w:w="120" w:type="dxa"/>
            <w:vAlign w:val="bottom"/>
            <w:shd w:val="clear" w:color="auto" w:fill="E5FFFF"/>
          </w:tcPr>
          <w:p>
            <w:pPr>
              <w:spacing w:after="0"/>
              <w:rPr>
                <w:sz w:val="12"/>
                <w:szCs w:val="12"/>
                <w:color w:val="auto"/>
              </w:rPr>
            </w:pPr>
          </w:p>
        </w:tc>
        <w:tc>
          <w:tcPr>
            <w:tcW w:w="100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(9,128)</w:t>
            </w: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(9,128)</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4"/>
                <w:szCs w:val="14"/>
                <w:color w:val="auto"/>
              </w:rPr>
              <w:t>Capital contributions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110</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20" w:type="dxa"/>
            <w:vAlign w:val="bottom"/>
            <w:shd w:val="clear" w:color="auto" w:fill="E5FFFF"/>
          </w:tcPr>
          <w:p>
            <w:pPr>
              <w:spacing w:after="0"/>
              <w:rPr>
                <w:sz w:val="20"/>
                <w:szCs w:val="20"/>
                <w:color w:val="auto"/>
              </w:rPr>
            </w:pPr>
            <w:r>
              <w:rPr>
                <w:rFonts w:ascii="Arial" w:cs="Arial" w:eastAsia="Arial" w:hAnsi="Arial"/>
                <w:sz w:val="14"/>
                <w:szCs w:val="14"/>
                <w:color w:val="auto"/>
              </w:rPr>
              <w:t>Stock based compensation expense</w:t>
            </w:r>
          </w:p>
        </w:tc>
        <w:tc>
          <w:tcPr>
            <w:tcW w:w="80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04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13</w:t>
            </w: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58</w:t>
            </w: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06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540" w:type="dxa"/>
            <w:vAlign w:val="bottom"/>
            <w:gridSpan w:val="2"/>
          </w:tcPr>
          <w:p>
            <w:pPr>
              <w:spacing w:after="0"/>
              <w:rPr>
                <w:sz w:val="20"/>
                <w:szCs w:val="20"/>
                <w:color w:val="auto"/>
              </w:rPr>
            </w:pPr>
            <w:r>
              <w:rPr>
                <w:rFonts w:ascii="Arial" w:cs="Arial" w:eastAsia="Arial" w:hAnsi="Arial"/>
                <w:sz w:val="14"/>
                <w:szCs w:val="14"/>
                <w:color w:val="auto"/>
              </w:rPr>
              <w:t>Balance at April 30, 2018</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29,853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299</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23,413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(322,758)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146,981</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557,409</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51,400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433,331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 w:name="page6"/>
    <w:bookmarkEnd w:id="5"/>
    <w:p>
      <w:pPr>
        <w:ind w:right="5680"/>
        <w:spacing w:after="0" w:line="257"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Cash Flows Unaudited</w:t>
      </w:r>
    </w:p>
    <w:p>
      <w:pPr>
        <w:spacing w:after="0" w:line="2" w:lineRule="exact"/>
        <w:rPr>
          <w:sz w:val="20"/>
          <w:szCs w:val="20"/>
          <w:color w:val="auto"/>
        </w:rPr>
      </w:pPr>
    </w:p>
    <w:p>
      <w:pPr>
        <w:ind w:left="9080" w:right="820" w:hanging="9499"/>
        <w:spacing w:after="0" w:line="250" w:lineRule="auto"/>
        <w:tabs>
          <w:tab w:leader="none" w:pos="9060" w:val="left"/>
        </w:tabs>
        <w:rPr>
          <w:sz w:val="20"/>
          <w:szCs w:val="20"/>
          <w:color w:val="auto"/>
        </w:rPr>
      </w:pPr>
      <w:r>
        <w:rPr>
          <w:rFonts w:ascii="Arial" w:cs="Arial" w:eastAsia="Arial" w:hAnsi="Arial"/>
          <w:sz w:val="18"/>
          <w:szCs w:val="18"/>
          <w:color w:val="auto"/>
        </w:rPr>
        <w:t>(In Thousands)</w:t>
      </w:r>
      <w:r>
        <w:rPr>
          <w:sz w:val="20"/>
          <w:szCs w:val="20"/>
          <w:color w:val="auto"/>
        </w:rPr>
        <w:tab/>
      </w:r>
      <w:r>
        <w:rPr>
          <w:rFonts w:ascii="Arial" w:cs="Arial" w:eastAsia="Arial" w:hAnsi="Arial"/>
          <w:sz w:val="18"/>
          <w:szCs w:val="18"/>
          <w:color w:val="auto"/>
        </w:rPr>
        <w:t>Three Months Ended April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20" w:type="dxa"/>
            <w:vAlign w:val="bottom"/>
            <w:tcBorders>
              <w:bottom w:val="single" w:sz="8" w:color="E5FFFF"/>
            </w:tcBorders>
          </w:tcPr>
          <w:p>
            <w:pPr>
              <w:spacing w:after="0"/>
              <w:rPr>
                <w:sz w:val="19"/>
                <w:szCs w:val="19"/>
                <w:color w:val="auto"/>
              </w:rPr>
            </w:pPr>
          </w:p>
        </w:tc>
        <w:tc>
          <w:tcPr>
            <w:tcW w:w="920" w:type="dxa"/>
            <w:vAlign w:val="bottom"/>
            <w:tcBorders>
              <w:bottom w:val="single" w:sz="8" w:color="E5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E5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60" w:type="dxa"/>
            <w:vAlign w:val="bottom"/>
            <w:tcBorders>
              <w:right w:val="single" w:sz="8" w:color="E5FFFF"/>
            </w:tcBorders>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1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3,715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60" w:type="dxa"/>
            <w:vAlign w:val="bottom"/>
            <w:tcBorders>
              <w:right w:val="single" w:sz="8" w:color="E5FFFF"/>
            </w:tcBorders>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6,292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Amortization of operating lease right-of-use assets</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1,333</w:t>
            </w: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from equity method investments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Interest income from investments</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(3,619)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Stock based compensation expense</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Gain on disposal of property and equipment</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60" w:type="dxa"/>
            <w:vAlign w:val="bottom"/>
            <w:tcBorders>
              <w:right w:val="single" w:sz="8" w:color="E5FFFF"/>
            </w:tcBorders>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(1,673)</w:t>
            </w: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(5,333)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Accounts payable, trade</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(760)</w:t>
            </w: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1,011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(3,365)</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1,540</w:t>
            </w:r>
          </w:p>
        </w:tc>
        <w:tc>
          <w:tcPr>
            <w:tcW w:w="460" w:type="dxa"/>
            <w:vAlign w:val="bottom"/>
            <w:tcBorders>
              <w:top w:val="single" w:sz="8" w:color="E5FFFF"/>
              <w:right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(3,520)</w:t>
            </w: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Capital expenditures</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(632)</w:t>
            </w: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(3,061)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 of short-term investments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Sale of short-term investments</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Restricted investments and deposits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5FFFF"/>
          </w:tcPr>
          <w:p>
            <w:pPr>
              <w:spacing w:after="0"/>
              <w:rPr>
                <w:sz w:val="19"/>
                <w:szCs w:val="19"/>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Borders>
              <w:bottom w:val="single" w:sz="8" w:color="E5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14,375</w:t>
            </w:r>
          </w:p>
        </w:tc>
        <w:tc>
          <w:tcPr>
            <w:tcW w:w="460" w:type="dxa"/>
            <w:vAlign w:val="bottom"/>
            <w:tcBorders>
              <w:bottom w:val="single" w:sz="8" w:color="E5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(114,204)</w:t>
            </w: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60" w:type="dxa"/>
            <w:vAlign w:val="bottom"/>
            <w:tcBorders>
              <w:right w:val="single" w:sz="8" w:color="E5FFFF"/>
            </w:tcBorders>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Treasury stock acquired</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Payments to noncontrolling interests holders</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Capital contributions from minority investor</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59</w:t>
            </w:r>
          </w:p>
        </w:tc>
        <w:tc>
          <w:tcPr>
            <w:tcW w:w="460" w:type="dxa"/>
            <w:vAlign w:val="bottom"/>
            <w:tcBorders>
              <w:top w:val="single" w:sz="8" w:color="E5FFFF"/>
              <w:right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(8,476)</w:t>
            </w: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15,974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188,812</w:t>
            </w:r>
          </w:p>
        </w:tc>
        <w:tc>
          <w:tcPr>
            <w:tcW w:w="260" w:type="dxa"/>
            <w:vAlign w:val="bottom"/>
            <w:shd w:val="clear" w:color="auto" w:fill="E5FFFF"/>
          </w:tcPr>
          <w:p>
            <w:pPr>
              <w:spacing w:after="0"/>
              <w:rPr>
                <w:sz w:val="19"/>
                <w:szCs w:val="19"/>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191,342</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204,786</w:t>
            </w:r>
          </w:p>
        </w:tc>
        <w:tc>
          <w:tcPr>
            <w:tcW w:w="4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8"/>
                <w:szCs w:val="18"/>
                <w:color w:val="auto"/>
              </w:rPr>
              <w:t>Non cash investing activities – Accrued capital expenditures</w:t>
            </w:r>
          </w:p>
        </w:tc>
        <w:tc>
          <w:tcPr>
            <w:tcW w:w="1180" w:type="dxa"/>
            <w:vAlign w:val="bottom"/>
            <w:gridSpan w:val="2"/>
            <w:shd w:val="clear" w:color="auto" w:fill="E5FFFF"/>
          </w:tcPr>
          <w:p>
            <w:pPr>
              <w:jc w:val="right"/>
              <w:ind w:right="105"/>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E5FFFF"/>
          </w:tcPr>
          <w:p>
            <w:pPr>
              <w:spacing w:after="0" w:line="20" w:lineRule="exact"/>
              <w:rPr>
                <w:sz w:val="1"/>
                <w:szCs w:val="1"/>
                <w:color w:val="auto"/>
              </w:rPr>
            </w:pPr>
          </w:p>
        </w:tc>
        <w:tc>
          <w:tcPr>
            <w:tcW w:w="920" w:type="dxa"/>
            <w:vAlign w:val="bottom"/>
            <w:shd w:val="clear" w:color="auto" w:fill="E5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Borders>
              <w:right w:val="single" w:sz="8" w:color="E5FFFF"/>
            </w:tcBorders>
            <w:shd w:val="clear" w:color="auto" w:fill="E5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E5FFFF"/>
            </w:tcBorders>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Non cash financing activities – Stock awards accrued</w:t>
            </w:r>
          </w:p>
        </w:tc>
        <w:tc>
          <w:tcPr>
            <w:tcW w:w="9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w:t>
            </w:r>
          </w:p>
        </w:tc>
        <w:tc>
          <w:tcPr>
            <w:tcW w:w="46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tcBorders>
              <w:top w:val="single" w:sz="8" w:color="E5FFFF"/>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Non cash financing activities – Accrued common stock repurchases</w:t>
            </w:r>
          </w:p>
        </w:tc>
        <w:tc>
          <w:tcPr>
            <w:tcW w:w="920" w:type="dxa"/>
            <w:vAlign w:val="bottom"/>
            <w:tcBorders>
              <w:top w:val="single" w:sz="8" w:color="E5FFFF"/>
              <w:bottom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E5FFFF"/>
              <w:bottom w:val="single" w:sz="8" w:color="E5FFFF"/>
              <w:right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542</w:t>
            </w: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Initial right-of-use assets and liabilities recorded upon adoption of ASC 842</w:t>
            </w:r>
          </w:p>
        </w:tc>
        <w:tc>
          <w:tcPr>
            <w:tcW w:w="9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20,918</w:t>
            </w:r>
          </w:p>
        </w:tc>
        <w:tc>
          <w:tcPr>
            <w:tcW w:w="4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8"/>
                <w:szCs w:val="18"/>
                <w:color w:val="auto"/>
              </w:rPr>
              <w:t>Reconciliation of total cash, cash equivalents and restricted cash:</w:t>
            </w:r>
          </w:p>
        </w:tc>
        <w:tc>
          <w:tcPr>
            <w:tcW w:w="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60" w:type="dxa"/>
            <w:vAlign w:val="bottom"/>
            <w:tcBorders>
              <w:right w:val="single" w:sz="8" w:color="E5FFFF"/>
            </w:tcBorders>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204,704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9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460" w:type="dxa"/>
            <w:vAlign w:val="bottom"/>
            <w:tcBorders>
              <w:right w:val="single" w:sz="8" w:color="E5FFFF"/>
            </w:tcBorders>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E5FFFF"/>
          </w:tcPr>
          <w:p>
            <w:pPr>
              <w:spacing w:after="0"/>
              <w:rPr>
                <w:sz w:val="19"/>
                <w:szCs w:val="19"/>
                <w:color w:val="auto"/>
              </w:rPr>
            </w:pPr>
          </w:p>
        </w:tc>
        <w:tc>
          <w:tcPr>
            <w:tcW w:w="10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896</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9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204,786</w:t>
            </w:r>
          </w:p>
        </w:tc>
        <w:tc>
          <w:tcPr>
            <w:tcW w:w="4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ind w:left="2280"/>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NOTES TO UNAUDITED CONSOLIDATED CONDENSED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April 30, 2019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Condensed Financial Statements</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2019 included in these financial statements has been derived from the audited consolidated financial statements included in the Company’s Annual Report on Form 10-K for the year ended January 31, 2019 (fiscal year 2018). It is suggested that these unaudited consolidated condensed financial statements be read in conjunction with the consolidated financial statements and the notes thereto included in the Company’s Annual Report on Form 10-K for the year ended January 31, 2019. The results of operations for the interim periods are not necessarily indicative of the results to be expected for the year.</w:t>
      </w:r>
    </w:p>
    <w:p>
      <w:pPr>
        <w:spacing w:after="0" w:line="156"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Basis of Consolidation – The consolidated condensed financial statements in this report include the operating results and financial position of REX American Resources Corporation and its wholly and majority owned subsidiaries. All intercompany balances and transactions have been eliminated. The Company consolidates the results of its four majority owned subsidiaries. The Company includes the results of operations of One Earth Energy, LLC (“One Earth”) in its Consolidated Condensed Statements of Operations on a delayed basis of one month as One Earth has a fiscal year end of December 31.</w:t>
      </w:r>
    </w:p>
    <w:p>
      <w:pPr>
        <w:spacing w:after="0" w:line="148"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Nature of Operations –The Company has two reportable segments: i) ethanol and by-products; and ii) refined coal. Within the ethanol and by-products segment, the Company has equity investments in three ethanol limited liability companies, two of which are majority ownership interests. Within the refined coal segment, the Company has a majority equity interest in one refined coal limited liability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12"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The interim consolidated condensed financial statements have been prepared in accordance with the accounting policies described in the notes to the consolidated financial statements included in the Company’s fiscal year 2018 Annual Report on Form 10-K and the adoption of new accounting standards described at the end of this footnote.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Cash and Cash Equivalents</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12" w:lineRule="exact"/>
        <w:rPr>
          <w:sz w:val="20"/>
          <w:szCs w:val="20"/>
          <w:color w:val="auto"/>
        </w:rPr>
      </w:pPr>
    </w:p>
    <w:p>
      <w:pPr>
        <w:jc w:val="both"/>
        <w:ind w:right="80" w:firstLine="648"/>
        <w:spacing w:after="0" w:line="247" w:lineRule="auto"/>
        <w:rPr>
          <w:sz w:val="20"/>
          <w:szCs w:val="20"/>
          <w:color w:val="auto"/>
        </w:rPr>
      </w:pPr>
      <w:r>
        <w:rPr>
          <w:rFonts w:ascii="Arial" w:cs="Arial" w:eastAsia="Arial" w:hAnsi="Arial"/>
          <w:sz w:val="21"/>
          <w:szCs w:val="21"/>
          <w:color w:val="auto"/>
        </w:rPr>
        <w:t>For ethanol and by-products segment sales, 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 For refined coal segment sales, the Company recognizes sales of refined coal when obligations under the term of the contract with its customer are satisfied; this occurs when title and control of the product transfers to its customer, generally upon the coal leaving the refined coal plant. Refined coal sales are recorded net of the cost of coal as the Company purchases the coal feedstock from the customer to which the processed refined coal is sold.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12" w:lineRule="exact"/>
        <w:rPr>
          <w:sz w:val="20"/>
          <w:szCs w:val="20"/>
          <w:color w:val="auto"/>
        </w:rPr>
      </w:pPr>
    </w:p>
    <w:p>
      <w:pPr>
        <w:ind w:right="620" w:firstLine="648"/>
        <w:spacing w:after="0"/>
        <w:rPr>
          <w:sz w:val="20"/>
          <w:szCs w:val="20"/>
          <w:color w:val="auto"/>
        </w:rPr>
      </w:pPr>
      <w:r>
        <w:rPr>
          <w:rFonts w:ascii="Arial" w:cs="Arial" w:eastAsia="Arial" w:hAnsi="Arial"/>
          <w:sz w:val="22"/>
          <w:szCs w:val="22"/>
          <w:color w:val="auto"/>
        </w:rPr>
        <w:t>Cost of sales includes depreciation, costs of raw materials, inbound freight charges, purchasing and receiving costs, inspection costs, other distribution expenses, warehousing costs, plant management, certain compensations costs and general facility overhead charges.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Expenses</w:t>
      </w:r>
    </w:p>
    <w:p>
      <w:pPr>
        <w:spacing w:after="0" w:line="212"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The Company includes non-production related costs such as professional fees, selling charges and certain payroll in selling, general and administrative expenses.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Certain of the forward grain purchase and ethanol, distillers grains and non-food grade corn oil sale contracts are accounted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for under the “normal purchases and normal sales” scope exemption of Accounting Standards Codification (“ASC”) 815,</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Derivatives and Hedging</w:t>
      </w:r>
      <w:r>
        <w:rPr>
          <w:rFonts w:ascii="Arial" w:cs="Arial" w:eastAsia="Arial" w:hAnsi="Arial"/>
          <w:sz w:val="19"/>
          <w:szCs w:val="19"/>
          <w:color w:val="auto"/>
        </w:rPr>
        <w:t>” (“ASC 815”) because these arrangements are for purchases of grain that will be delivered in quantities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expected to be used by the Company and sales of ethanol, distillers grains and non-food grade corn oil quantities expected to be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produced by the Company over a reasonable period of time in the normal course of business.</w:t>
      </w:r>
    </w:p>
    <w:p>
      <w:pPr>
        <w:spacing w:after="0" w:line="188"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Income Taxes</w:t>
      </w:r>
    </w:p>
    <w:p>
      <w:pPr>
        <w:spacing w:after="0" w:line="21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Historically, the Company recorded its interim tax provision or benefit for income taxes including the three months ended April 30, 2018,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 estimated annual effective tax rate, the historical method would not provide a reliable estimate for the three months ended April 30, 2019. Thus, the Company used a discrete effective tax rate method to calculate the provision or benefit for income taxes for the three months ended April 30, 2019.</w:t>
      </w:r>
    </w:p>
    <w:p>
      <w:pPr>
        <w:spacing w:after="0" w:line="151"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evidence, it is more likely than not that some or all of the deferred tax assets will not be realized. The Company paid no income taxes nor received refunds of income taxes during the three months ended April 30, 2019 and 2018.</w:t>
      </w:r>
    </w:p>
    <w:p>
      <w:pPr>
        <w:spacing w:after="0" w:line="179" w:lineRule="exact"/>
        <w:rPr>
          <w:sz w:val="20"/>
          <w:szCs w:val="20"/>
          <w:color w:val="auto"/>
        </w:rPr>
      </w:pPr>
    </w:p>
    <w:p>
      <w:pPr>
        <w:ind w:right="160" w:firstLine="648"/>
        <w:spacing w:after="0" w:line="234" w:lineRule="auto"/>
        <w:rPr>
          <w:sz w:val="20"/>
          <w:szCs w:val="20"/>
          <w:color w:val="auto"/>
        </w:rPr>
      </w:pPr>
      <w:r>
        <w:rPr>
          <w:rFonts w:ascii="Arial" w:cs="Arial" w:eastAsia="Arial" w:hAnsi="Arial"/>
          <w:sz w:val="22"/>
          <w:szCs w:val="22"/>
          <w:color w:val="auto"/>
        </w:rPr>
        <w:t>As of April 30, 2019 and January 31, 2019, total unrecognized tax benefits were approximately $8.9 million and approximately $8.8 million, respectively. Accrued penalties and interest were approximately $0.5 million and approximately $0.4 million at April 30, 2019 and January 31, 2019, respectively. If the Company were to prevail on all unrecognized tax benefits recorded, the provision for income taxes would be reduced by approximately $8.4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12" w:lineRule="exact"/>
        <w:rPr>
          <w:sz w:val="20"/>
          <w:szCs w:val="20"/>
          <w:color w:val="auto"/>
        </w:rPr>
      </w:pPr>
    </w:p>
    <w:p>
      <w:pPr>
        <w:ind w:right="80" w:firstLine="648"/>
        <w:spacing w:after="0" w:line="247" w:lineRule="auto"/>
        <w:rPr>
          <w:sz w:val="20"/>
          <w:szCs w:val="20"/>
          <w:color w:val="auto"/>
        </w:rPr>
      </w:pPr>
      <w:r>
        <w:rPr>
          <w:rFonts w:ascii="Arial" w:cs="Arial" w:eastAsia="Arial" w:hAnsi="Arial"/>
          <w:sz w:val="21"/>
          <w:szCs w:val="21"/>
          <w:color w:val="auto"/>
        </w:rPr>
        <w:t>Inventories are carried at the lower of cost or market on a first-in, first-out basis. Inventory includes direct production costs and certain overhead costs such as depreciation, property taxes and utilities associated with producing ethanol and related by-products and refined coal. Inventory is permanently written down for instances when cost exceeds estimated net realizable value; such write-downs are based primarily upon commodity prices as the market value of inventory is often dependent upon changes in commodity prices. At April 30, 2019, there was a permanent write-down of inventory of approximately $0.2 million. There was no significant permanent write-down of inventory at January 31, 2019. Fluctuations in the write-down of inventory generally relate to the levels and composition of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inventory at a given point in time. The components of inventory are as follows as of the dates presented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22"/>
                <w:szCs w:val="22"/>
                <w:color w:val="auto"/>
              </w:rPr>
              <w:t>April 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spacing w:after="0"/>
              <w:rPr>
                <w:sz w:val="20"/>
                <w:szCs w:val="20"/>
                <w:color w:val="auto"/>
              </w:rPr>
            </w:pPr>
            <w:r>
              <w:rPr>
                <w:rFonts w:ascii="Arial" w:cs="Arial" w:eastAsia="Arial" w:hAnsi="Arial"/>
                <w:sz w:val="22"/>
                <w:szCs w:val="22"/>
                <w:color w:val="auto"/>
                <w:w w:val="99"/>
              </w:rPr>
              <w:t>January 31,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2019</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2019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other finished goods</w:t>
            </w:r>
          </w:p>
        </w:tc>
        <w:tc>
          <w:tcPr>
            <w:tcW w:w="13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34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7,770</w:t>
            </w:r>
          </w:p>
        </w:tc>
        <w:tc>
          <w:tcPr>
            <w:tcW w:w="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5,767</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spacing w:after="0" w:line="243" w:lineRule="exact"/>
              <w:rPr>
                <w:sz w:val="20"/>
                <w:szCs w:val="20"/>
                <w:color w:val="auto"/>
              </w:rPr>
            </w:pPr>
            <w:r>
              <w:rPr>
                <w:rFonts w:ascii="Arial" w:cs="Arial" w:eastAsia="Arial" w:hAnsi="Arial"/>
                <w:sz w:val="22"/>
                <w:szCs w:val="22"/>
                <w:color w:val="auto"/>
              </w:rPr>
              <w:t>Work in process</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2,922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3,094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shd w:val="clear" w:color="auto" w:fill="E5FFFF"/>
          </w:tcPr>
          <w:p>
            <w:pPr>
              <w:spacing w:after="0"/>
              <w:rPr>
                <w:sz w:val="20"/>
                <w:szCs w:val="20"/>
                <w:color w:val="auto"/>
              </w:rPr>
            </w:pPr>
            <w:r>
              <w:rPr>
                <w:rFonts w:ascii="Arial" w:cs="Arial" w:eastAsia="Arial" w:hAnsi="Arial"/>
                <w:sz w:val="22"/>
                <w:szCs w:val="22"/>
                <w:color w:val="auto"/>
              </w:rPr>
              <w:t>Grain and other raw materials</w:t>
            </w:r>
          </w:p>
        </w:tc>
        <w:tc>
          <w:tcPr>
            <w:tcW w:w="11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340" w:type="dxa"/>
            <w:vAlign w:val="bottom"/>
            <w:gridSpan w:val="2"/>
            <w:shd w:val="clear" w:color="auto" w:fill="E5FFFF"/>
          </w:tcPr>
          <w:p>
            <w:pPr>
              <w:jc w:val="right"/>
              <w:ind w:right="300"/>
              <w:spacing w:after="0"/>
              <w:rPr>
                <w:sz w:val="20"/>
                <w:szCs w:val="20"/>
                <w:color w:val="auto"/>
              </w:rPr>
            </w:pPr>
            <w:r>
              <w:rPr>
                <w:rFonts w:ascii="Arial" w:cs="Arial" w:eastAsia="Arial" w:hAnsi="Arial"/>
                <w:sz w:val="22"/>
                <w:szCs w:val="22"/>
                <w:color w:val="auto"/>
              </w:rPr>
              <w:t>9,458</w:t>
            </w:r>
          </w:p>
        </w:tc>
        <w:tc>
          <w:tcPr>
            <w:tcW w:w="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112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9,616</w:t>
            </w:r>
          </w:p>
        </w:tc>
        <w:tc>
          <w:tcPr>
            <w:tcW w:w="4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line="237" w:lineRule="exact"/>
              <w:rPr>
                <w:sz w:val="20"/>
                <w:szCs w:val="20"/>
                <w:color w:val="auto"/>
              </w:rPr>
            </w:pPr>
            <w:r>
              <w:rPr>
                <w:rFonts w:ascii="Arial" w:cs="Arial" w:eastAsia="Arial" w:hAnsi="Arial"/>
                <w:sz w:val="22"/>
                <w:szCs w:val="22"/>
                <w:color w:val="auto"/>
              </w:rPr>
              <w:t>Total</w:t>
            </w:r>
          </w:p>
        </w:tc>
        <w:tc>
          <w:tcPr>
            <w:tcW w:w="11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20,150</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18,477</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12"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5 to 40 years for buildings and improvements, and 2 to 20 years for fixtures and equipment.</w:t>
      </w:r>
    </w:p>
    <w:p>
      <w:pPr>
        <w:spacing w:after="0" w:line="186" w:lineRule="exact"/>
        <w:rPr>
          <w:sz w:val="20"/>
          <w:szCs w:val="20"/>
          <w:color w:val="auto"/>
        </w:rPr>
      </w:pPr>
    </w:p>
    <w:p>
      <w:pPr>
        <w:ind w:right="160" w:firstLine="648"/>
        <w:spacing w:after="0" w:line="258" w:lineRule="auto"/>
        <w:rPr>
          <w:sz w:val="20"/>
          <w:szCs w:val="20"/>
          <w:color w:val="auto"/>
        </w:rPr>
      </w:pPr>
      <w:r>
        <w:rPr>
          <w:rFonts w:ascii="Arial" w:cs="Arial" w:eastAsia="Arial" w:hAnsi="Arial"/>
          <w:sz w:val="21"/>
          <w:szCs w:val="21"/>
          <w:color w:val="auto"/>
        </w:rPr>
        <w:t>In accordance with ASC 360-10 “</w:t>
      </w:r>
      <w:r>
        <w:rPr>
          <w:rFonts w:ascii="Arial" w:cs="Arial" w:eastAsia="Arial" w:hAnsi="Arial"/>
          <w:sz w:val="21"/>
          <w:szCs w:val="21"/>
          <w:i w:val="1"/>
          <w:iCs w:val="1"/>
          <w:color w:val="auto"/>
        </w:rPr>
        <w:t>Impairment or Disposal of Long-Lived Assets</w:t>
      </w:r>
      <w:r>
        <w:rPr>
          <w:rFonts w:ascii="Arial" w:cs="Arial" w:eastAsia="Arial" w:hAnsi="Arial"/>
          <w:sz w:val="21"/>
          <w:szCs w:val="21"/>
          <w:color w:val="auto"/>
        </w:rPr>
        <w:t>”, the carrying value of long-lived assets is assessed for recoverability by management when changes in circumstances indicate that the carrying amount may not be recoverable. There were no impairment charges in the first quarter of fiscal years 2019 or 2018.</w:t>
      </w:r>
    </w:p>
    <w:p>
      <w:pPr>
        <w:spacing w:after="0" w:line="167" w:lineRule="exact"/>
        <w:rPr>
          <w:sz w:val="20"/>
          <w:szCs w:val="20"/>
          <w:color w:val="auto"/>
        </w:rPr>
      </w:pPr>
    </w:p>
    <w:p>
      <w:pPr>
        <w:ind w:right="44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9"/>
          <w:szCs w:val="19"/>
          <w:i w:val="1"/>
          <w:iCs w:val="1"/>
          <w:color w:val="auto"/>
        </w:rPr>
        <w:t>Investments-Equity Method and Joint Ventures</w:t>
      </w:r>
      <w:r>
        <w:rPr>
          <w:rFonts w:ascii="Arial" w:cs="Arial" w:eastAsia="Arial" w:hAnsi="Arial"/>
          <w:sz w:val="19"/>
          <w:szCs w:val="19"/>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62" w:lineRule="exact"/>
        <w:rPr>
          <w:sz w:val="20"/>
          <w:szCs w:val="20"/>
          <w:color w:val="auto"/>
        </w:rPr>
      </w:pPr>
    </w:p>
    <w:p>
      <w:pPr>
        <w:ind w:right="160" w:firstLine="648"/>
        <w:spacing w:after="0" w:line="252" w:lineRule="auto"/>
        <w:rPr>
          <w:sz w:val="20"/>
          <w:szCs w:val="20"/>
          <w:color w:val="auto"/>
        </w:rPr>
      </w:pPr>
      <w:r>
        <w:rPr>
          <w:rFonts w:ascii="Arial" w:cs="Arial" w:eastAsia="Arial" w:hAnsi="Arial"/>
          <w:sz w:val="21"/>
          <w:szCs w:val="21"/>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Condensed Statements of Operations and a new cost basis in the investment is established.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0" w:name="page11"/>
    <w:bookmarkEnd w:id="10"/>
    <w:p>
      <w:pPr>
        <w:ind w:left="660"/>
        <w:spacing w:after="0"/>
        <w:rPr>
          <w:sz w:val="20"/>
          <w:szCs w:val="20"/>
          <w:color w:val="auto"/>
        </w:rPr>
      </w:pPr>
      <w:r>
        <w:rPr>
          <w:rFonts w:ascii="Arial" w:cs="Arial" w:eastAsia="Arial" w:hAnsi="Arial"/>
          <w:sz w:val="22"/>
          <w:szCs w:val="22"/>
          <w:color w:val="auto"/>
        </w:rPr>
        <w:t>Short-term investments are considered held to maturity, and, therefore are carried at amortized historical cost.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has no components of other comprehensive income, and therefore, comprehensive income equals net income.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Changes and Recently Issued Accounting Standards</w:t>
      </w:r>
    </w:p>
    <w:p>
      <w:pPr>
        <w:spacing w:after="0" w:line="212" w:lineRule="exact"/>
        <w:rPr>
          <w:sz w:val="20"/>
          <w:szCs w:val="20"/>
          <w:color w:val="auto"/>
        </w:rPr>
      </w:pPr>
    </w:p>
    <w:p>
      <w:pPr>
        <w:ind w:right="20" w:firstLine="648"/>
        <w:spacing w:after="0" w:line="234" w:lineRule="auto"/>
        <w:rPr>
          <w:sz w:val="20"/>
          <w:szCs w:val="20"/>
          <w:color w:val="auto"/>
        </w:rPr>
      </w:pPr>
      <w:r>
        <w:rPr>
          <w:rFonts w:ascii="Arial" w:cs="Arial" w:eastAsia="Arial" w:hAnsi="Arial"/>
          <w:sz w:val="22"/>
          <w:szCs w:val="22"/>
          <w:color w:val="auto"/>
        </w:rPr>
        <w:t>Effective February 1, 2019, the Company adopted the amended guidance in Accounting Standards Codification “ASC” Topic 842 “</w:t>
      </w:r>
      <w:r>
        <w:rPr>
          <w:rFonts w:ascii="Arial" w:cs="Arial" w:eastAsia="Arial" w:hAnsi="Arial"/>
          <w:sz w:val="22"/>
          <w:szCs w:val="22"/>
          <w:i w:val="1"/>
          <w:iCs w:val="1"/>
          <w:color w:val="auto"/>
        </w:rPr>
        <w:t>Leases</w:t>
      </w:r>
      <w:r>
        <w:rPr>
          <w:rFonts w:ascii="Arial" w:cs="Arial" w:eastAsia="Arial" w:hAnsi="Arial"/>
          <w:sz w:val="22"/>
          <w:szCs w:val="22"/>
          <w:color w:val="auto"/>
        </w:rPr>
        <w:t>” and all related amendments (“ASC 842”), which requires that virtually all leases to be recognized by lessees on their balance sheet as a right-of-use asset and a corresponding lease liability. The adoption of ASC 842 had a material impact on the Company’s Consolidated Condensed Balance Sheets as total assets and total liabilities increased by approximately $20.9 million upon adoption. The adoption of ASC 842 did not have an impact on the Company’s Consolidated Condensed Statement of Operations for the three months ended April 30, 2019. See Note 4 for a further discussion of the Company’s adoption of this amended guidance.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August 2018, the Financial Accounting Standards Board (“FASB”) issued Accounting Standards Update (“ASU”) 2018-</w:t>
      </w:r>
    </w:p>
    <w:p>
      <w:pPr>
        <w:spacing w:after="0" w:line="43" w:lineRule="exact"/>
        <w:rPr>
          <w:sz w:val="20"/>
          <w:szCs w:val="20"/>
          <w:color w:val="auto"/>
        </w:rPr>
      </w:pPr>
    </w:p>
    <w:p>
      <w:pPr>
        <w:ind w:right="240" w:firstLine="8"/>
        <w:spacing w:after="0" w:line="233" w:lineRule="auto"/>
        <w:tabs>
          <w:tab w:leader="none" w:pos="324"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Changes to Disclosure Requirements for Fair Value Measurements</w:t>
      </w:r>
      <w:r>
        <w:rPr>
          <w:rFonts w:ascii="Arial" w:cs="Arial" w:eastAsia="Arial" w:hAnsi="Arial"/>
          <w:sz w:val="22"/>
          <w:szCs w:val="22"/>
          <w:color w:val="auto"/>
        </w:rPr>
        <w:t>”, which improves the effectiveness of recurring and non-recurring fair value measurements disclosures. This standard removes, modifies and adds certain disclosure requirements and is effective for the Company beginning February 1, 2020. The Company has not determined the effect of this standard on its consolidated financial statements and related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12"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 and other taxes the Company collects concurrent with revenue producing activities are excluded from net sales and revenue.</w:t>
      </w:r>
    </w:p>
    <w:p>
      <w:pPr>
        <w:spacing w:after="0" w:line="188"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into sales contracts in which payment is due from a customer prior to transferring product to the customer. Thus, the Company does not record unearned 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16 for disaggregation of net sales and revenue by operating segment and by product.</w:t>
      </w:r>
    </w:p>
    <w:p>
      <w:pPr>
        <w:spacing w:after="0" w:line="17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12"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The Company used the optional transition method in adopting ASC 842 which resulted in applying ASC 842 at the date of adoption (February 1, 2019). Thus, comparative information has not been restated and continues to be reported under accounting standards in effect for those periods.</w:t>
      </w:r>
    </w:p>
    <w:p>
      <w:pPr>
        <w:spacing w:after="0" w:line="186" w:lineRule="exact"/>
        <w:rPr>
          <w:sz w:val="20"/>
          <w:szCs w:val="20"/>
          <w:color w:val="auto"/>
        </w:rPr>
      </w:pPr>
    </w:p>
    <w:p>
      <w:pPr>
        <w:ind w:right="360" w:firstLine="648"/>
        <w:spacing w:after="0" w:line="297" w:lineRule="auto"/>
        <w:rPr>
          <w:sz w:val="20"/>
          <w:szCs w:val="20"/>
          <w:color w:val="auto"/>
        </w:rPr>
      </w:pPr>
      <w:r>
        <w:rPr>
          <w:rFonts w:ascii="Arial" w:cs="Arial" w:eastAsia="Arial" w:hAnsi="Arial"/>
          <w:sz w:val="19"/>
          <w:szCs w:val="19"/>
          <w:color w:val="auto"/>
        </w:rPr>
        <w:t>ASC 842 provides for three practical expedients, which the Company elected as a package. Pursuant to this package, the Company did not reassess: i) whether any expired or existing contracts are or contain leases; ii) the lease classification for any expired or existing leases that were previously classified as operating leases; or iii) initial direct costs for any existing leases.</w:t>
      </w:r>
    </w:p>
    <w:p>
      <w:pPr>
        <w:spacing w:after="0" w:line="134" w:lineRule="exact"/>
        <w:rPr>
          <w:sz w:val="20"/>
          <w:szCs w:val="20"/>
          <w:color w:val="auto"/>
        </w:rPr>
      </w:pPr>
    </w:p>
    <w:p>
      <w:pPr>
        <w:ind w:right="100" w:firstLine="648"/>
        <w:spacing w:after="0" w:line="252" w:lineRule="auto"/>
        <w:rPr>
          <w:sz w:val="20"/>
          <w:szCs w:val="20"/>
          <w:color w:val="auto"/>
        </w:rPr>
      </w:pPr>
      <w:r>
        <w:rPr>
          <w:rFonts w:ascii="Arial" w:cs="Arial" w:eastAsia="Arial" w:hAnsi="Arial"/>
          <w:sz w:val="21"/>
          <w:szCs w:val="21"/>
          <w:color w:val="auto"/>
        </w:rPr>
        <w:t>The Company elected the practical expedient, available pursuant to ASC 842, for lessees to include both lease and non-lease components as a single component and account for them as a lease. In general, certain maintenance costs are the responsibility of the Company related to its railcar leases. This maintenance cost is a non-lease component the Company elected to combine with rental payments and account for the total cost as operating lease expense.</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At April 30, 2019, the Company has lease agreements, as lessee, for rail 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 The components of lease expense, classified as selling, general and administrative expenses on the Consolidated Condensed Statement of Operations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Three Months Ended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64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shd w:val="clear" w:color="auto" w:fill="E5FFFF"/>
          </w:tcPr>
          <w:p>
            <w:pPr>
              <w:spacing w:after="0"/>
              <w:rPr>
                <w:sz w:val="20"/>
                <w:szCs w:val="20"/>
                <w:color w:val="auto"/>
              </w:rPr>
            </w:pPr>
            <w:r>
              <w:rPr>
                <w:rFonts w:ascii="Arial" w:cs="Arial" w:eastAsia="Arial" w:hAnsi="Arial"/>
                <w:sz w:val="22"/>
                <w:szCs w:val="22"/>
                <w:color w:val="auto"/>
              </w:rPr>
              <w:t>Operating lease expense</w:t>
            </w:r>
          </w:p>
        </w:tc>
        <w:tc>
          <w:tcPr>
            <w:tcW w:w="660" w:type="dxa"/>
            <w:vAlign w:val="bottom"/>
            <w:gridSpan w:val="2"/>
            <w:shd w:val="clear" w:color="auto" w:fill="E5FFFF"/>
          </w:tcPr>
          <w:p>
            <w:pPr>
              <w:jc w:val="right"/>
              <w:ind w:right="60"/>
              <w:spacing w:after="0"/>
              <w:rPr>
                <w:sz w:val="20"/>
                <w:szCs w:val="20"/>
                <w:color w:val="auto"/>
              </w:rPr>
            </w:pPr>
            <w:r>
              <w:rPr>
                <w:rFonts w:ascii="Arial" w:cs="Arial" w:eastAsia="Arial" w:hAnsi="Arial"/>
                <w:sz w:val="22"/>
                <w:szCs w:val="22"/>
                <w:color w:val="auto"/>
                <w:w w:val="86"/>
              </w:rPr>
              <w:t>$1,609</w:t>
            </w:r>
          </w:p>
        </w:tc>
      </w:tr>
      <w:tr>
        <w:trPr>
          <w:trHeight w:val="257"/>
        </w:trPr>
        <w:tc>
          <w:tcPr>
            <w:tcW w:w="3920" w:type="dxa"/>
            <w:vAlign w:val="bottom"/>
          </w:tcPr>
          <w:p>
            <w:pPr>
              <w:spacing w:after="0"/>
              <w:rPr>
                <w:sz w:val="20"/>
                <w:szCs w:val="20"/>
                <w:color w:val="auto"/>
              </w:rPr>
            </w:pPr>
            <w:r>
              <w:rPr>
                <w:rFonts w:ascii="Arial" w:cs="Arial" w:eastAsia="Arial" w:hAnsi="Arial"/>
                <w:sz w:val="22"/>
                <w:szCs w:val="22"/>
                <w:color w:val="auto"/>
              </w:rPr>
              <w:t>Variable lease expense</w:t>
            </w:r>
          </w:p>
        </w:tc>
        <w:tc>
          <w:tcPr>
            <w:tcW w:w="660" w:type="dxa"/>
            <w:vAlign w:val="bottom"/>
            <w:gridSpan w:val="2"/>
          </w:tcPr>
          <w:p>
            <w:pPr>
              <w:jc w:val="right"/>
              <w:ind w:right="60"/>
              <w:spacing w:after="0"/>
              <w:rPr>
                <w:sz w:val="20"/>
                <w:szCs w:val="20"/>
                <w:color w:val="auto"/>
              </w:rPr>
            </w:pPr>
            <w:r>
              <w:rPr>
                <w:rFonts w:ascii="Arial" w:cs="Arial" w:eastAsia="Arial" w:hAnsi="Arial"/>
                <w:sz w:val="22"/>
                <w:szCs w:val="22"/>
                <w:color w:val="auto"/>
              </w:rPr>
              <w:t>193</w:t>
            </w:r>
          </w:p>
        </w:tc>
      </w:tr>
      <w:tr>
        <w:trPr>
          <w:trHeight w:val="237"/>
        </w:trPr>
        <w:tc>
          <w:tcPr>
            <w:tcW w:w="392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 lease expense</w:t>
            </w:r>
          </w:p>
        </w:tc>
        <w:tc>
          <w:tcPr>
            <w:tcW w:w="6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1,802</w:t>
            </w: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3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is a summary of future minimum rentals on such leases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w w:val="98"/>
              </w:rPr>
              <w:t>Minimum</w:t>
            </w:r>
          </w:p>
        </w:tc>
        <w:tc>
          <w:tcPr>
            <w:tcW w:w="0" w:type="dxa"/>
            <w:vAlign w:val="bottom"/>
          </w:tcPr>
          <w:p>
            <w:pPr>
              <w:spacing w:after="0"/>
              <w:rPr>
                <w:sz w:val="1"/>
                <w:szCs w:val="1"/>
                <w:color w:val="auto"/>
              </w:rPr>
            </w:pPr>
          </w:p>
        </w:tc>
      </w:tr>
      <w:tr>
        <w:trPr>
          <w:trHeight w:val="265"/>
        </w:trPr>
        <w:tc>
          <w:tcPr>
            <w:tcW w:w="3620" w:type="dxa"/>
            <w:vAlign w:val="bottom"/>
            <w:gridSpan w:val="3"/>
          </w:tcPr>
          <w:p>
            <w:pPr>
              <w:spacing w:after="0"/>
              <w:rPr>
                <w:sz w:val="20"/>
                <w:szCs w:val="20"/>
                <w:color w:val="auto"/>
              </w:rPr>
            </w:pPr>
            <w:r>
              <w:rPr>
                <w:rFonts w:ascii="Arial" w:cs="Arial" w:eastAsia="Arial" w:hAnsi="Arial"/>
                <w:sz w:val="22"/>
                <w:szCs w:val="22"/>
                <w:color w:val="auto"/>
              </w:rPr>
              <w:t>Years Ended January 31,</w:t>
            </w:r>
          </w:p>
        </w:tc>
        <w:tc>
          <w:tcPr>
            <w:tcW w:w="18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2"/>
                <w:szCs w:val="22"/>
                <w:color w:val="auto"/>
                <w:w w:val="93"/>
              </w:rPr>
              <w:t>Rentals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Remainder of 2020</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4,957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spacing w:after="0" w:line="243" w:lineRule="exact"/>
              <w:rPr>
                <w:sz w:val="20"/>
                <w:szCs w:val="20"/>
                <w:color w:val="auto"/>
              </w:rPr>
            </w:pPr>
            <w:r>
              <w:rPr>
                <w:rFonts w:ascii="Arial" w:cs="Arial" w:eastAsia="Arial" w:hAnsi="Arial"/>
                <w:sz w:val="22"/>
                <w:szCs w:val="22"/>
                <w:color w:val="auto"/>
              </w:rPr>
              <w:t>2021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5,502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2022</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4,793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spacing w:after="0" w:line="243" w:lineRule="exact"/>
              <w:rPr>
                <w:sz w:val="20"/>
                <w:szCs w:val="20"/>
                <w:color w:val="auto"/>
              </w:rPr>
            </w:pPr>
            <w:r>
              <w:rPr>
                <w:rFonts w:ascii="Arial" w:cs="Arial" w:eastAsia="Arial" w:hAnsi="Arial"/>
                <w:sz w:val="22"/>
                <w:szCs w:val="22"/>
                <w:color w:val="auto"/>
              </w:rPr>
              <w:t>2023</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3,199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2024</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2,056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2"/>
          </w:tcPr>
          <w:p>
            <w:pPr>
              <w:spacing w:after="0"/>
              <w:rPr>
                <w:sz w:val="20"/>
                <w:szCs w:val="20"/>
                <w:color w:val="auto"/>
              </w:rPr>
            </w:pPr>
            <w:r>
              <w:rPr>
                <w:rFonts w:ascii="Arial" w:cs="Arial" w:eastAsia="Arial" w:hAnsi="Arial"/>
                <w:sz w:val="22"/>
                <w:szCs w:val="22"/>
                <w:color w:val="auto"/>
              </w:rPr>
              <w:t>Thereafter</w:t>
            </w:r>
          </w:p>
        </w:tc>
        <w:tc>
          <w:tcPr>
            <w:tcW w:w="1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2"/>
                <w:szCs w:val="22"/>
                <w:color w:val="auto"/>
              </w:rPr>
              <w:t>1,250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top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80" w:type="dxa"/>
            <w:vAlign w:val="bottom"/>
            <w:tcBorders>
              <w:top w:val="single" w:sz="8" w:color="auto"/>
            </w:tcBorders>
            <w:shd w:val="clear" w:color="auto" w:fill="E5FFFF"/>
          </w:tcPr>
          <w:p>
            <w:pPr>
              <w:spacing w:after="0"/>
              <w:rPr>
                <w:sz w:val="20"/>
                <w:szCs w:val="20"/>
                <w:color w:val="auto"/>
              </w:rPr>
            </w:pPr>
          </w:p>
        </w:tc>
        <w:tc>
          <w:tcPr>
            <w:tcW w:w="72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21,757</w:t>
            </w:r>
          </w:p>
        </w:tc>
        <w:tc>
          <w:tcPr>
            <w:tcW w:w="6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2"/>
          </w:tcPr>
          <w:p>
            <w:pPr>
              <w:spacing w:after="0"/>
              <w:rPr>
                <w:sz w:val="20"/>
                <w:szCs w:val="20"/>
                <w:color w:val="auto"/>
              </w:rPr>
            </w:pPr>
            <w:r>
              <w:rPr>
                <w:rFonts w:ascii="Arial" w:cs="Arial" w:eastAsia="Arial" w:hAnsi="Arial"/>
                <w:sz w:val="22"/>
                <w:szCs w:val="22"/>
                <w:color w:val="auto"/>
              </w:rPr>
              <w:t>Less: present value discount</w:t>
            </w:r>
          </w:p>
        </w:tc>
        <w:tc>
          <w:tcPr>
            <w:tcW w:w="1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2"/>
                <w:szCs w:val="22"/>
                <w:color w:val="auto"/>
              </w:rPr>
              <w:t>2,346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top w:val="single" w:sz="8" w:color="E5FFFF"/>
              <w:bottom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Operating lease liabilities</w:t>
            </w: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19,411</w:t>
            </w: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2" w:name="page13"/>
    <w:bookmarkEnd w:id="12"/>
    <w:p>
      <w:pPr>
        <w:ind w:right="100" w:firstLine="648"/>
        <w:spacing w:after="0" w:line="251" w:lineRule="auto"/>
        <w:rPr>
          <w:sz w:val="20"/>
          <w:szCs w:val="20"/>
          <w:color w:val="auto"/>
        </w:rPr>
      </w:pPr>
      <w:r>
        <w:rPr>
          <w:rFonts w:ascii="Arial" w:cs="Arial" w:eastAsia="Arial" w:hAnsi="Arial"/>
          <w:sz w:val="22"/>
          <w:szCs w:val="22"/>
          <w:color w:val="auto"/>
        </w:rPr>
        <w:t>At April 30, 2019, the weighted average remaining lease term is 4.0 years and the weighted average discount rate is 5.46% for the above leases.</w:t>
      </w:r>
    </w:p>
    <w:p>
      <w:pPr>
        <w:spacing w:after="0" w:line="173"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At January 31, 2019, the Company had operating lease agreements (pursuant to ASC 840, “</w:t>
      </w:r>
      <w:r>
        <w:rPr>
          <w:rFonts w:ascii="Arial" w:cs="Arial" w:eastAsia="Arial" w:hAnsi="Arial"/>
          <w:sz w:val="22"/>
          <w:szCs w:val="22"/>
          <w:i w:val="1"/>
          <w:iCs w:val="1"/>
          <w:color w:val="auto"/>
        </w:rPr>
        <w:t>Leases</w:t>
      </w:r>
      <w:r>
        <w:rPr>
          <w:rFonts w:ascii="Arial" w:cs="Arial" w:eastAsia="Arial" w:hAnsi="Arial"/>
          <w:sz w:val="22"/>
          <w:szCs w:val="22"/>
          <w:color w:val="auto"/>
        </w:rPr>
        <w:t>”), as lessee, for rail cars and other equipment. At January 31, 2019, future minimum annual rentals on such leases were as follows leases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w w:val="98"/>
              </w:rPr>
              <w:t>Minimum</w:t>
            </w:r>
          </w:p>
        </w:tc>
        <w:tc>
          <w:tcPr>
            <w:tcW w:w="0" w:type="dxa"/>
            <w:vAlign w:val="bottom"/>
          </w:tcPr>
          <w:p>
            <w:pPr>
              <w:spacing w:after="0"/>
              <w:rPr>
                <w:sz w:val="1"/>
                <w:szCs w:val="1"/>
                <w:color w:val="auto"/>
              </w:rPr>
            </w:pPr>
          </w:p>
        </w:tc>
      </w:tr>
      <w:tr>
        <w:trPr>
          <w:trHeight w:val="265"/>
        </w:trPr>
        <w:tc>
          <w:tcPr>
            <w:tcW w:w="3620" w:type="dxa"/>
            <w:vAlign w:val="bottom"/>
            <w:gridSpan w:val="3"/>
          </w:tcPr>
          <w:p>
            <w:pPr>
              <w:spacing w:after="0"/>
              <w:rPr>
                <w:sz w:val="20"/>
                <w:szCs w:val="20"/>
                <w:color w:val="auto"/>
              </w:rPr>
            </w:pPr>
            <w:r>
              <w:rPr>
                <w:rFonts w:ascii="Arial" w:cs="Arial" w:eastAsia="Arial" w:hAnsi="Arial"/>
                <w:sz w:val="22"/>
                <w:szCs w:val="22"/>
                <w:color w:val="auto"/>
              </w:rPr>
              <w:t>Years Ended January 31,</w:t>
            </w:r>
          </w:p>
        </w:tc>
        <w:tc>
          <w:tcPr>
            <w:tcW w:w="18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2"/>
                <w:szCs w:val="22"/>
                <w:color w:val="auto"/>
                <w:w w:val="93"/>
              </w:rPr>
              <w:t>Rentals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2020</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6,767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spacing w:after="0" w:line="243" w:lineRule="exact"/>
              <w:rPr>
                <w:sz w:val="20"/>
                <w:szCs w:val="20"/>
                <w:color w:val="auto"/>
              </w:rPr>
            </w:pPr>
            <w:r>
              <w:rPr>
                <w:rFonts w:ascii="Arial" w:cs="Arial" w:eastAsia="Arial" w:hAnsi="Arial"/>
                <w:sz w:val="22"/>
                <w:szCs w:val="22"/>
                <w:color w:val="auto"/>
              </w:rPr>
              <w:t>2021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5,487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2022</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4,791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spacing w:after="0" w:line="243" w:lineRule="exact"/>
              <w:rPr>
                <w:sz w:val="20"/>
                <w:szCs w:val="20"/>
                <w:color w:val="auto"/>
              </w:rPr>
            </w:pPr>
            <w:r>
              <w:rPr>
                <w:rFonts w:ascii="Arial" w:cs="Arial" w:eastAsia="Arial" w:hAnsi="Arial"/>
                <w:sz w:val="22"/>
                <w:szCs w:val="22"/>
                <w:color w:val="auto"/>
              </w:rPr>
              <w:t>2023</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3,208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2024</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2,041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2"/>
          </w:tcPr>
          <w:p>
            <w:pPr>
              <w:spacing w:after="0"/>
              <w:rPr>
                <w:sz w:val="20"/>
                <w:szCs w:val="20"/>
                <w:color w:val="auto"/>
              </w:rPr>
            </w:pPr>
            <w:r>
              <w:rPr>
                <w:rFonts w:ascii="Arial" w:cs="Arial" w:eastAsia="Arial" w:hAnsi="Arial"/>
                <w:sz w:val="22"/>
                <w:szCs w:val="22"/>
                <w:color w:val="auto"/>
              </w:rPr>
              <w:t>Thereafter</w:t>
            </w:r>
          </w:p>
        </w:tc>
        <w:tc>
          <w:tcPr>
            <w:tcW w:w="1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2"/>
                <w:szCs w:val="22"/>
                <w:color w:val="auto"/>
              </w:rPr>
              <w:t>1,221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top w:val="single" w:sz="8" w:color="E5FFFF"/>
              <w:bottom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23,515</w:t>
            </w: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12"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43"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58"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To ensure the prudent application of estimates and management judgment in determining the fair value of derivative assets and liabilities, investments and property and equipment, various processes and</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3" w:name="page14"/>
    <w:bookmarkEnd w:id="13"/>
    <w:p>
      <w:pPr>
        <w:spacing w:after="0" w:line="238" w:lineRule="auto"/>
        <w:rPr>
          <w:sz w:val="20"/>
          <w:szCs w:val="20"/>
          <w:color w:val="auto"/>
        </w:rPr>
      </w:pPr>
      <w:r>
        <w:rPr>
          <w:rFonts w:ascii="Arial" w:cs="Arial" w:eastAsia="Arial" w:hAnsi="Arial"/>
          <w:sz w:val="22"/>
          <w:szCs w:val="22"/>
          <w:color w:val="auto"/>
        </w:rPr>
        <w:t>controls have been adopted, which include: (i) 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April 30, 2019 are summarized below (amounts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22"/>
                <w:szCs w:val="22"/>
                <w:color w:val="auto"/>
                <w:w w:val="95"/>
              </w:rPr>
              <w:t>Level 1</w:t>
            </w:r>
          </w:p>
        </w:tc>
        <w:tc>
          <w:tcPr>
            <w:tcW w:w="1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w w:val="92"/>
              </w:rPr>
              <w:t>Level 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22"/>
                <w:szCs w:val="22"/>
                <w:color w:val="auto"/>
              </w:rPr>
              <w:t>Level 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w w:val="97"/>
              </w:rPr>
              <w:t>Fair Value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3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333</w:t>
            </w:r>
          </w:p>
        </w:tc>
        <w:tc>
          <w:tcPr>
            <w:tcW w:w="400" w:type="dxa"/>
            <w:vAlign w:val="bottom"/>
            <w:shd w:val="clear" w:color="auto" w:fill="E5FFFF"/>
          </w:tcPr>
          <w:p>
            <w:pPr>
              <w:spacing w:after="0"/>
              <w:rPr>
                <w:sz w:val="21"/>
                <w:szCs w:val="21"/>
                <w:color w:val="auto"/>
              </w:rPr>
            </w:pPr>
          </w:p>
        </w:tc>
        <w:tc>
          <w:tcPr>
            <w:tcW w:w="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333</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Pr>
          <w:p>
            <w:pPr>
              <w:spacing w:after="0"/>
              <w:rPr>
                <w:sz w:val="20"/>
                <w:szCs w:val="20"/>
                <w:color w:val="auto"/>
              </w:rPr>
            </w:pPr>
            <w:r>
              <w:rPr>
                <w:rFonts w:ascii="Arial" w:cs="Arial" w:eastAsia="Arial" w:hAnsi="Arial"/>
                <w:sz w:val="22"/>
                <w:szCs w:val="22"/>
                <w:color w:val="auto"/>
              </w:rPr>
              <w:t>Commodity futures (4)</w:t>
            </w:r>
          </w:p>
        </w:tc>
        <w:tc>
          <w:tcPr>
            <w:tcW w:w="160" w:type="dxa"/>
            <w:vAlign w:val="bottom"/>
          </w:tcPr>
          <w:p>
            <w:pPr>
              <w:spacing w:after="0"/>
              <w:rPr>
                <w:sz w:val="22"/>
                <w:szCs w:val="2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289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 assets</w:t>
            </w:r>
          </w:p>
        </w:tc>
        <w:tc>
          <w:tcPr>
            <w:tcW w:w="1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40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289</w:t>
            </w:r>
          </w:p>
        </w:tc>
        <w:tc>
          <w:tcPr>
            <w:tcW w:w="20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333</w:t>
            </w:r>
          </w:p>
        </w:tc>
        <w:tc>
          <w:tcPr>
            <w:tcW w:w="400" w:type="dxa"/>
            <w:vAlign w:val="bottom"/>
            <w:tcBorders>
              <w:top w:val="single" w:sz="8" w:color="E5FFFF"/>
              <w:bottom w:val="single" w:sz="8" w:color="E5FFFF"/>
            </w:tcBorders>
            <w:shd w:val="clear" w:color="auto" w:fill="E5FFFF"/>
          </w:tcPr>
          <w:p>
            <w:pPr>
              <w:spacing w:after="0"/>
              <w:rPr>
                <w:sz w:val="20"/>
                <w:szCs w:val="20"/>
                <w:color w:val="auto"/>
              </w:rPr>
            </w:pPr>
          </w:p>
        </w:tc>
        <w:tc>
          <w:tcPr>
            <w:tcW w:w="20" w:type="dxa"/>
            <w:vAlign w:val="bottom"/>
            <w:tcBorders>
              <w:top w:val="single" w:sz="8" w:color="E5FFFF"/>
              <w:bottom w:val="single" w:sz="8" w:color="E5FFFF"/>
            </w:tcBorders>
            <w:shd w:val="clear" w:color="auto" w:fill="E5FFFF"/>
          </w:tcPr>
          <w:p>
            <w:pPr>
              <w:spacing w:after="0"/>
              <w:rPr>
                <w:sz w:val="20"/>
                <w:szCs w:val="20"/>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622</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60" w:type="dxa"/>
            <w:vAlign w:val="bottom"/>
            <w:gridSpan w:val="2"/>
          </w:tcPr>
          <w:p>
            <w:pPr>
              <w:spacing w:after="0"/>
              <w:rPr>
                <w:sz w:val="20"/>
                <w:szCs w:val="20"/>
                <w:color w:val="auto"/>
              </w:rPr>
            </w:pPr>
            <w:r>
              <w:rPr>
                <w:rFonts w:ascii="Arial" w:cs="Arial" w:eastAsia="Arial" w:hAnsi="Arial"/>
                <w:sz w:val="22"/>
                <w:szCs w:val="22"/>
                <w:color w:val="auto"/>
              </w:rPr>
              <w:t>Commodity futures (2)</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8</w:t>
            </w:r>
          </w:p>
        </w:tc>
        <w:tc>
          <w:tcPr>
            <w:tcW w:w="3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shd w:val="clear" w:color="auto" w:fill="E5FFFF"/>
          </w:tcPr>
          <w:p>
            <w:pPr>
              <w:spacing w:after="0"/>
              <w:rPr>
                <w:sz w:val="20"/>
                <w:szCs w:val="20"/>
                <w:color w:val="auto"/>
              </w:rPr>
            </w:pPr>
            <w:r>
              <w:rPr>
                <w:rFonts w:ascii="Arial" w:cs="Arial" w:eastAsia="Arial" w:hAnsi="Arial"/>
                <w:sz w:val="22"/>
                <w:szCs w:val="22"/>
                <w:color w:val="auto"/>
              </w:rPr>
              <w:t>Forward purchase contract liability (3)</w:t>
            </w:r>
          </w:p>
        </w:tc>
        <w:tc>
          <w:tcPr>
            <w:tcW w:w="160" w:type="dxa"/>
            <w:vAlign w:val="bottom"/>
            <w:shd w:val="clear" w:color="auto" w:fill="E5FFFF"/>
          </w:tcPr>
          <w:p>
            <w:pPr>
              <w:spacing w:after="0"/>
              <w:rPr>
                <w:sz w:val="22"/>
                <w:szCs w:val="22"/>
                <w:color w:val="auto"/>
              </w:rPr>
            </w:pPr>
          </w:p>
        </w:tc>
        <w:tc>
          <w:tcPr>
            <w:tcW w:w="1100" w:type="dxa"/>
            <w:vAlign w:val="bottom"/>
            <w:gridSpan w:val="2"/>
            <w:shd w:val="clear" w:color="auto" w:fill="E5FFFF"/>
          </w:tcPr>
          <w:p>
            <w:pPr>
              <w:jc w:val="right"/>
              <w:ind w:right="400"/>
              <w:spacing w:after="0"/>
              <w:rPr>
                <w:sz w:val="20"/>
                <w:szCs w:val="20"/>
                <w:color w:val="auto"/>
              </w:rPr>
            </w:pPr>
            <w:r>
              <w:rPr>
                <w:rFonts w:ascii="Arial" w:cs="Arial" w:eastAsia="Arial" w:hAnsi="Arial"/>
                <w:sz w:val="22"/>
                <w:szCs w:val="22"/>
                <w:color w:val="auto"/>
              </w:rPr>
              <w:t>-</w:t>
            </w:r>
          </w:p>
        </w:tc>
        <w:tc>
          <w:tcPr>
            <w:tcW w:w="140" w:type="dxa"/>
            <w:vAlign w:val="bottom"/>
            <w:shd w:val="clear" w:color="auto" w:fill="E5FFFF"/>
          </w:tcPr>
          <w:p>
            <w:pPr>
              <w:spacing w:after="0"/>
              <w:rPr>
                <w:sz w:val="22"/>
                <w:szCs w:val="22"/>
                <w:color w:val="auto"/>
              </w:rPr>
            </w:pPr>
          </w:p>
        </w:tc>
        <w:tc>
          <w:tcPr>
            <w:tcW w:w="880" w:type="dxa"/>
            <w:vAlign w:val="bottom"/>
            <w:gridSpan w:val="2"/>
            <w:shd w:val="clear" w:color="auto" w:fill="E5FFFF"/>
          </w:tcPr>
          <w:p>
            <w:pPr>
              <w:jc w:val="right"/>
              <w:ind w:right="200"/>
              <w:spacing w:after="0"/>
              <w:rPr>
                <w:sz w:val="20"/>
                <w:szCs w:val="20"/>
                <w:color w:val="auto"/>
              </w:rPr>
            </w:pPr>
            <w:r>
              <w:rPr>
                <w:rFonts w:ascii="Arial" w:cs="Arial" w:eastAsia="Arial" w:hAnsi="Arial"/>
                <w:sz w:val="22"/>
                <w:szCs w:val="22"/>
                <w:color w:val="auto"/>
              </w:rPr>
              <w:t>253</w:t>
            </w:r>
          </w:p>
        </w:tc>
        <w:tc>
          <w:tcPr>
            <w:tcW w:w="20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4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253</w:t>
            </w:r>
          </w:p>
        </w:tc>
        <w:tc>
          <w:tcPr>
            <w:tcW w:w="10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line="237" w:lineRule="exact"/>
              <w:rPr>
                <w:sz w:val="20"/>
                <w:szCs w:val="20"/>
                <w:color w:val="auto"/>
              </w:rPr>
            </w:pPr>
            <w:r>
              <w:rPr>
                <w:rFonts w:ascii="Arial" w:cs="Arial" w:eastAsia="Arial" w:hAnsi="Arial"/>
                <w:sz w:val="22"/>
                <w:szCs w:val="22"/>
                <w:color w:val="auto"/>
              </w:rPr>
              <w:t>Total liabilities</w:t>
            </w: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261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Financial assets and liabilities measured at fair value on a recurring basis at January 31, 2019 are summarized below (amounts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22"/>
                <w:szCs w:val="22"/>
                <w:color w:val="auto"/>
                <w:w w:val="95"/>
              </w:rPr>
              <w:t>Level 1</w:t>
            </w:r>
          </w:p>
        </w:tc>
        <w:tc>
          <w:tcPr>
            <w:tcW w:w="1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w w:val="92"/>
              </w:rPr>
              <w:t>Level 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22"/>
                <w:szCs w:val="22"/>
                <w:color w:val="auto"/>
              </w:rPr>
              <w:t>Level 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spacing w:after="0"/>
              <w:rPr>
                <w:sz w:val="20"/>
                <w:szCs w:val="20"/>
                <w:color w:val="auto"/>
              </w:rPr>
            </w:pPr>
            <w:r>
              <w:rPr>
                <w:rFonts w:ascii="Arial" w:cs="Arial" w:eastAsia="Arial" w:hAnsi="Arial"/>
                <w:sz w:val="22"/>
                <w:szCs w:val="22"/>
                <w:color w:val="auto"/>
                <w:w w:val="97"/>
              </w:rPr>
              <w:t>Fair Value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 (4)</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44</w:t>
            </w:r>
          </w:p>
        </w:tc>
        <w:tc>
          <w:tcPr>
            <w:tcW w:w="3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E5FFFF"/>
          </w:tcPr>
          <w:p>
            <w:pPr>
              <w:spacing w:after="0"/>
              <w:rPr>
                <w:sz w:val="21"/>
                <w:szCs w:val="21"/>
                <w:color w:val="auto"/>
              </w:rPr>
            </w:pPr>
          </w:p>
        </w:tc>
        <w:tc>
          <w:tcPr>
            <w:tcW w:w="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44</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Pr>
          <w:p>
            <w:pPr>
              <w:spacing w:after="0"/>
              <w:rPr>
                <w:sz w:val="20"/>
                <w:szCs w:val="20"/>
                <w:color w:val="auto"/>
              </w:rPr>
            </w:pPr>
            <w:r>
              <w:rPr>
                <w:rFonts w:ascii="Arial" w:cs="Arial" w:eastAsia="Arial" w:hAnsi="Arial"/>
                <w:sz w:val="22"/>
                <w:szCs w:val="22"/>
                <w:color w:val="auto"/>
              </w:rPr>
              <w:t>Investment in cooperative (1)</w:t>
            </w:r>
          </w:p>
        </w:tc>
        <w:tc>
          <w:tcPr>
            <w:tcW w:w="160" w:type="dxa"/>
            <w:vAlign w:val="bottom"/>
          </w:tcPr>
          <w:p>
            <w:pPr>
              <w:spacing w:after="0"/>
              <w:rPr>
                <w:sz w:val="22"/>
                <w:szCs w:val="2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333</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 assets</w:t>
            </w:r>
          </w:p>
        </w:tc>
        <w:tc>
          <w:tcPr>
            <w:tcW w:w="1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40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44</w:t>
            </w:r>
          </w:p>
        </w:tc>
        <w:tc>
          <w:tcPr>
            <w:tcW w:w="20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333</w:t>
            </w:r>
          </w:p>
        </w:tc>
        <w:tc>
          <w:tcPr>
            <w:tcW w:w="400" w:type="dxa"/>
            <w:vAlign w:val="bottom"/>
            <w:tcBorders>
              <w:top w:val="single" w:sz="8" w:color="E5FFFF"/>
              <w:bottom w:val="single" w:sz="8" w:color="E5FFFF"/>
            </w:tcBorders>
            <w:shd w:val="clear" w:color="auto" w:fill="E5FFFF"/>
          </w:tcPr>
          <w:p>
            <w:pPr>
              <w:spacing w:after="0"/>
              <w:rPr>
                <w:sz w:val="20"/>
                <w:szCs w:val="20"/>
                <w:color w:val="auto"/>
              </w:rPr>
            </w:pPr>
          </w:p>
        </w:tc>
        <w:tc>
          <w:tcPr>
            <w:tcW w:w="20" w:type="dxa"/>
            <w:vAlign w:val="bottom"/>
            <w:tcBorders>
              <w:top w:val="single" w:sz="8" w:color="E5FFFF"/>
              <w:bottom w:val="single" w:sz="8" w:color="E5FFFF"/>
            </w:tcBorders>
            <w:shd w:val="clear" w:color="auto" w:fill="E5FFFF"/>
          </w:tcPr>
          <w:p>
            <w:pPr>
              <w:spacing w:after="0"/>
              <w:rPr>
                <w:sz w:val="20"/>
                <w:szCs w:val="20"/>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377</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60" w:type="dxa"/>
            <w:vAlign w:val="bottom"/>
            <w:gridSpan w:val="2"/>
          </w:tcPr>
          <w:p>
            <w:pPr>
              <w:spacing w:after="0"/>
              <w:rPr>
                <w:sz w:val="20"/>
                <w:szCs w:val="20"/>
                <w:color w:val="auto"/>
              </w:rPr>
            </w:pPr>
            <w:r>
              <w:rPr>
                <w:rFonts w:ascii="Arial" w:cs="Arial" w:eastAsia="Arial" w:hAnsi="Arial"/>
                <w:sz w:val="22"/>
                <w:szCs w:val="22"/>
                <w:color w:val="auto"/>
              </w:rPr>
              <w:t>Forward purchase contract liability (3)</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22</w:t>
            </w:r>
          </w:p>
        </w:tc>
        <w:tc>
          <w:tcPr>
            <w:tcW w:w="3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investment in cooperative is included in “Other assets” on the accompanying Consolidated Condensed Balance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Sheets.</w:t>
      </w:r>
    </w:p>
    <w:p>
      <w:pPr>
        <w:ind w:right="300" w:firstLine="656"/>
        <w:spacing w:after="0" w:line="230"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commodity futures liability is included in “Accrued expenses and other current liabilities” on the accompanying Consolidated Condensed Balance Sheets.</w:t>
      </w:r>
    </w:p>
    <w:p>
      <w:pPr>
        <w:spacing w:after="0" w:line="1" w:lineRule="exact"/>
        <w:rPr>
          <w:rFonts w:ascii="Arial" w:cs="Arial" w:eastAsia="Arial" w:hAnsi="Arial"/>
          <w:sz w:val="22"/>
          <w:szCs w:val="22"/>
          <w:color w:val="auto"/>
        </w:rPr>
      </w:pPr>
    </w:p>
    <w:p>
      <w:pPr>
        <w:ind w:right="1000" w:firstLine="656"/>
        <w:spacing w:after="0" w:line="230"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forward purchase contract liability is included in “Accrued expenses and other current liabilities” on the accompanying Consolidated Condensed Balance Sheets.</w:t>
      </w:r>
    </w:p>
    <w:p>
      <w:pPr>
        <w:spacing w:after="0" w:line="1" w:lineRule="exact"/>
        <w:rPr>
          <w:rFonts w:ascii="Arial" w:cs="Arial" w:eastAsia="Arial" w:hAnsi="Arial"/>
          <w:sz w:val="22"/>
          <w:szCs w:val="22"/>
          <w:color w:val="auto"/>
        </w:rPr>
      </w:pPr>
    </w:p>
    <w:p>
      <w:pPr>
        <w:ind w:right="920" w:firstLine="656"/>
        <w:spacing w:after="0" w:line="237"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commodity futures asset is included in “Prepaid expenses and other current assets” on the accompanying Consolidated Condensed Balance Sheets.</w:t>
      </w:r>
    </w:p>
    <w:p>
      <w:pPr>
        <w:spacing w:after="0" w:line="185"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assets measured at fair value on a non-recurring basis at April 30, 2019 or January 31, 2019.</w:t>
      </w:r>
    </w:p>
    <w:p>
      <w:pPr>
        <w:spacing w:after="0" w:line="17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02" w:right="31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components of property and equipment are as follows for the periods presented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22"/>
                <w:szCs w:val="22"/>
                <w:color w:val="auto"/>
              </w:rPr>
              <w:t>April 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2"/>
                <w:szCs w:val="22"/>
                <w:color w:val="auto"/>
                <w:w w:val="85"/>
              </w:rPr>
              <w:t>January 31,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2019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2019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Land and improvements</w:t>
            </w:r>
          </w:p>
        </w:tc>
        <w:tc>
          <w:tcPr>
            <w:tcW w:w="12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21,481</w:t>
            </w:r>
          </w:p>
        </w:tc>
        <w:tc>
          <w:tcPr>
            <w:tcW w:w="2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21,469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spacing w:after="0" w:line="243" w:lineRule="exact"/>
              <w:rPr>
                <w:sz w:val="20"/>
                <w:szCs w:val="20"/>
                <w:color w:val="auto"/>
              </w:rPr>
            </w:pPr>
            <w:r>
              <w:rPr>
                <w:rFonts w:ascii="Arial" w:cs="Arial" w:eastAsia="Arial" w:hAnsi="Arial"/>
                <w:sz w:val="22"/>
                <w:szCs w:val="22"/>
                <w:color w:val="auto"/>
              </w:rPr>
              <w:t>Buildings and improvements</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23,608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23,608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Machinery, equipment and fixtures</w:t>
            </w:r>
          </w:p>
        </w:tc>
        <w:tc>
          <w:tcPr>
            <w:tcW w:w="10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298,412</w:t>
            </w: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297,807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22"/>
                <w:szCs w:val="22"/>
                <w:color w:val="auto"/>
              </w:rPr>
              <w:t>Construction in progress</w:t>
            </w: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22"/>
                <w:szCs w:val="22"/>
                <w:color w:val="auto"/>
              </w:rPr>
              <w:t>1,114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2"/>
                <w:szCs w:val="22"/>
                <w:color w:val="auto"/>
              </w:rPr>
              <w:t>708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top w:val="single" w:sz="8" w:color="E5FFFF"/>
            </w:tcBorders>
            <w:shd w:val="clear" w:color="auto" w:fill="E5FFFF"/>
          </w:tcPr>
          <w:p>
            <w:pPr>
              <w:spacing w:after="0"/>
              <w:rPr>
                <w:sz w:val="20"/>
                <w:szCs w:val="20"/>
                <w:color w:val="auto"/>
              </w:rPr>
            </w:pPr>
          </w:p>
        </w:tc>
        <w:tc>
          <w:tcPr>
            <w:tcW w:w="108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104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344,615</w:t>
            </w:r>
          </w:p>
        </w:tc>
        <w:tc>
          <w:tcPr>
            <w:tcW w:w="16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11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343,592</w:t>
            </w:r>
          </w:p>
        </w:tc>
        <w:tc>
          <w:tcPr>
            <w:tcW w:w="6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22"/>
                <w:szCs w:val="22"/>
                <w:color w:val="auto"/>
              </w:rPr>
              <w:t>Less: accumulated depreciation</w:t>
            </w: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22"/>
                <w:szCs w:val="22"/>
                <w:color w:val="auto"/>
              </w:rPr>
              <w:t>(167,607)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2"/>
                <w:szCs w:val="22"/>
                <w:color w:val="auto"/>
              </w:rPr>
              <w:t>(161,071)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080" w:type="dxa"/>
            <w:vAlign w:val="bottom"/>
            <w:tcBorders>
              <w:top w:val="single" w:sz="8" w:color="E5FFFF"/>
              <w:bottom w:val="single" w:sz="8" w:color="E5FFFF"/>
            </w:tcBorders>
            <w:shd w:val="clear" w:color="auto" w:fill="E5FFFF"/>
          </w:tcPr>
          <w:p>
            <w:pPr>
              <w:spacing w:after="0"/>
              <w:rPr>
                <w:sz w:val="20"/>
                <w:szCs w:val="20"/>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177,008</w:t>
            </w:r>
          </w:p>
        </w:tc>
        <w:tc>
          <w:tcPr>
            <w:tcW w:w="16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11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182,521</w:t>
            </w: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i w:val="1"/>
          <w:iCs w:val="1"/>
          <w:color w:val="auto"/>
        </w:rPr>
        <w:t>Other Assets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components of other assets are as follows for the periods presented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22"/>
                <w:szCs w:val="22"/>
                <w:color w:val="auto"/>
                <w:w w:val="96"/>
              </w:rPr>
              <w:t>April 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2"/>
                <w:szCs w:val="22"/>
                <w:color w:val="auto"/>
                <w:w w:val="85"/>
              </w:rPr>
              <w:t>January 31,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2019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2019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Deferred income taxes</w:t>
            </w:r>
          </w:p>
        </w:tc>
        <w:tc>
          <w:tcPr>
            <w:tcW w:w="17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9,438</w:t>
            </w:r>
          </w:p>
        </w:tc>
        <w:tc>
          <w:tcPr>
            <w:tcW w:w="2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5,843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Arial" w:cs="Arial" w:eastAsia="Arial" w:hAnsi="Arial"/>
                <w:sz w:val="22"/>
                <w:szCs w:val="22"/>
                <w:color w:val="auto"/>
              </w:rPr>
              <w:t>Other</w:t>
            </w:r>
          </w:p>
        </w:tc>
        <w:tc>
          <w:tcPr>
            <w:tcW w:w="1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22"/>
                <w:szCs w:val="22"/>
                <w:color w:val="auto"/>
              </w:rPr>
              <w:t>333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2"/>
                <w:szCs w:val="22"/>
                <w:color w:val="auto"/>
              </w:rPr>
              <w:t>333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620" w:type="dxa"/>
            <w:vAlign w:val="bottom"/>
            <w:tcBorders>
              <w:top w:val="single" w:sz="8" w:color="E5FFFF"/>
              <w:bottom w:val="single" w:sz="8" w:color="E5FFFF"/>
            </w:tcBorders>
            <w:shd w:val="clear" w:color="auto" w:fill="E5FFFF"/>
          </w:tcPr>
          <w:p>
            <w:pPr>
              <w:spacing w:after="0"/>
              <w:rPr>
                <w:sz w:val="20"/>
                <w:szCs w:val="20"/>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9,771</w:t>
            </w:r>
          </w:p>
        </w:tc>
        <w:tc>
          <w:tcPr>
            <w:tcW w:w="16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11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6,176</w:t>
            </w: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Accrued Expenses and Other Current Liabilities</w:t>
      </w:r>
    </w:p>
    <w:p>
      <w:pPr>
        <w:spacing w:after="0" w:line="212" w:lineRule="exact"/>
        <w:rPr>
          <w:sz w:val="20"/>
          <w:szCs w:val="20"/>
          <w:color w:val="auto"/>
        </w:rPr>
      </w:pPr>
    </w:p>
    <w:p>
      <w:pPr>
        <w:ind w:right="620" w:firstLine="648"/>
        <w:spacing w:after="0" w:line="251"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22"/>
                <w:szCs w:val="22"/>
                <w:color w:val="auto"/>
              </w:rPr>
              <w:t>April 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22"/>
                <w:szCs w:val="22"/>
                <w:color w:val="auto"/>
                <w:w w:val="85"/>
              </w:rPr>
              <w:t>January 31,</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2019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2019</w:t>
            </w: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payroll and related items</w:t>
            </w:r>
          </w:p>
        </w:tc>
        <w:tc>
          <w:tcPr>
            <w:tcW w:w="11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1,117</w:t>
            </w:r>
          </w:p>
        </w:tc>
        <w:tc>
          <w:tcPr>
            <w:tcW w:w="2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2,041</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line="243" w:lineRule="exact"/>
              <w:rPr>
                <w:sz w:val="20"/>
                <w:szCs w:val="20"/>
                <w:color w:val="auto"/>
              </w:rPr>
            </w:pPr>
            <w:r>
              <w:rPr>
                <w:rFonts w:ascii="Arial" w:cs="Arial" w:eastAsia="Arial" w:hAnsi="Arial"/>
                <w:sz w:val="22"/>
                <w:szCs w:val="22"/>
                <w:color w:val="auto"/>
              </w:rPr>
              <w:t>Accrued utility charges</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2,066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2,924</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transportation related items</w:t>
            </w:r>
          </w:p>
        </w:tc>
        <w:tc>
          <w:tcPr>
            <w:tcW w:w="10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1,555</w:t>
            </w: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6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1,567</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line="243" w:lineRule="exact"/>
              <w:rPr>
                <w:sz w:val="20"/>
                <w:szCs w:val="20"/>
                <w:color w:val="auto"/>
              </w:rPr>
            </w:pPr>
            <w:r>
              <w:rPr>
                <w:rFonts w:ascii="Arial" w:cs="Arial" w:eastAsia="Arial" w:hAnsi="Arial"/>
                <w:sz w:val="22"/>
                <w:szCs w:val="22"/>
                <w:color w:val="auto"/>
              </w:rPr>
              <w:t>Accrued real estate taxes</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1,881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1,680</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income taxes</w:t>
            </w:r>
          </w:p>
        </w:tc>
        <w:tc>
          <w:tcPr>
            <w:tcW w:w="10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44</w:t>
            </w: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6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71</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tcPr>
          <w:p>
            <w:pPr>
              <w:spacing w:after="0"/>
              <w:rPr>
                <w:sz w:val="20"/>
                <w:szCs w:val="20"/>
                <w:color w:val="auto"/>
              </w:rPr>
            </w:pPr>
            <w:r>
              <w:rPr>
                <w:rFonts w:ascii="Arial" w:cs="Arial" w:eastAsia="Arial" w:hAnsi="Arial"/>
                <w:sz w:val="22"/>
                <w:szCs w:val="22"/>
                <w:color w:val="auto"/>
              </w:rPr>
              <w:t>Other</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22"/>
                <w:szCs w:val="22"/>
                <w:color w:val="auto"/>
              </w:rPr>
              <w:t>1,415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1,263</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020" w:type="dxa"/>
            <w:vAlign w:val="bottom"/>
            <w:tcBorders>
              <w:top w:val="single" w:sz="8" w:color="E5FFFF"/>
              <w:bottom w:val="single" w:sz="8" w:color="E5FFFF"/>
            </w:tcBorders>
            <w:shd w:val="clear" w:color="auto" w:fill="E5FFFF"/>
          </w:tcPr>
          <w:p>
            <w:pPr>
              <w:spacing w:after="0"/>
              <w:rPr>
                <w:sz w:val="20"/>
                <w:szCs w:val="20"/>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8,078</w:t>
            </w:r>
          </w:p>
        </w:tc>
        <w:tc>
          <w:tcPr>
            <w:tcW w:w="16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1160" w:type="dxa"/>
            <w:vAlign w:val="bottom"/>
            <w:tcBorders>
              <w:top w:val="single" w:sz="8" w:color="auto"/>
              <w:bottom w:val="single" w:sz="8" w:color="auto"/>
              <w:right w:val="single" w:sz="8" w:color="E5FFFF"/>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9,546</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240"/>
              <w:spacing w:after="0"/>
              <w:rPr>
                <w:sz w:val="20"/>
                <w:szCs w:val="20"/>
                <w:color w:val="auto"/>
              </w:rPr>
            </w:pPr>
            <w:r>
              <w:rPr>
                <w:rFonts w:ascii="Arial" w:cs="Arial" w:eastAsia="Arial" w:hAnsi="Arial"/>
                <w:sz w:val="22"/>
                <w:szCs w:val="22"/>
                <w:color w:val="auto"/>
              </w:rPr>
              <w:t>15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16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34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Revolving Lines of Credit</w:t>
      </w:r>
    </w:p>
    <w:p>
      <w:pPr>
        <w:spacing w:after="0" w:line="212" w:lineRule="exact"/>
        <w:rPr>
          <w:sz w:val="20"/>
          <w:szCs w:val="20"/>
          <w:color w:val="auto"/>
        </w:rPr>
      </w:pPr>
    </w:p>
    <w:p>
      <w:pPr>
        <w:ind w:right="320" w:firstLine="648"/>
        <w:spacing w:after="0" w:line="238" w:lineRule="auto"/>
        <w:rPr>
          <w:sz w:val="20"/>
          <w:szCs w:val="20"/>
          <w:color w:val="auto"/>
        </w:rPr>
      </w:pPr>
      <w:r>
        <w:rPr>
          <w:rFonts w:ascii="Arial" w:cs="Arial" w:eastAsia="Arial" w:hAnsi="Arial"/>
          <w:sz w:val="22"/>
          <w:szCs w:val="22"/>
          <w:color w:val="auto"/>
        </w:rPr>
        <w:t>Effective April 1, 2016, One Earth and NuGen Energy, LLC (“NuGen”) each entered into $10.0 million revolving loan facilities that mature June 1, 2019 as extended. The Company does not expect to renew these facilities based upon liquidity considerations. Neither One Earth nor NuGen had outstanding borrowings on the revolving loans during the three months ended April 30, 2019 and 2018.</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Derivative Financial Instruments</w:t>
      </w:r>
    </w:p>
    <w:p>
      <w:pPr>
        <w:spacing w:after="0" w:line="212"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w:t>
      </w:r>
    </w:p>
    <w:p>
      <w:pPr>
        <w:spacing w:after="0" w:line="188" w:lineRule="exact"/>
        <w:rPr>
          <w:sz w:val="20"/>
          <w:szCs w:val="20"/>
          <w:color w:val="auto"/>
        </w:rPr>
      </w:pPr>
    </w:p>
    <w:p>
      <w:pPr>
        <w:ind w:right="220" w:firstLine="648"/>
        <w:spacing w:after="0" w:line="258" w:lineRule="auto"/>
        <w:rPr>
          <w:sz w:val="20"/>
          <w:szCs w:val="20"/>
          <w:color w:val="auto"/>
        </w:rPr>
      </w:pPr>
      <w:r>
        <w:rPr>
          <w:rFonts w:ascii="Arial" w:cs="Arial" w:eastAsia="Arial" w:hAnsi="Arial"/>
          <w:sz w:val="21"/>
          <w:szCs w:val="21"/>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gridSpan w:val="3"/>
          </w:tcPr>
          <w:p>
            <w:pPr>
              <w:jc w:val="right"/>
              <w:ind w:right="197"/>
              <w:spacing w:after="0"/>
              <w:rPr>
                <w:sz w:val="20"/>
                <w:szCs w:val="20"/>
                <w:color w:val="auto"/>
              </w:rPr>
            </w:pPr>
            <w:r>
              <w:rPr>
                <w:rFonts w:ascii="Arial" w:cs="Arial" w:eastAsia="Arial" w:hAnsi="Arial"/>
                <w:sz w:val="22"/>
                <w:szCs w:val="22"/>
                <w:color w:val="auto"/>
              </w:rPr>
              <w:t>Asset Derivatives</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4"/>
          </w:tcPr>
          <w:p>
            <w:pPr>
              <w:jc w:val="right"/>
              <w:ind w:right="52"/>
              <w:spacing w:after="0"/>
              <w:rPr>
                <w:sz w:val="20"/>
                <w:szCs w:val="20"/>
                <w:color w:val="auto"/>
              </w:rPr>
            </w:pPr>
            <w:r>
              <w:rPr>
                <w:rFonts w:ascii="Arial" w:cs="Arial" w:eastAsia="Arial" w:hAnsi="Arial"/>
                <w:sz w:val="22"/>
                <w:szCs w:val="22"/>
                <w:color w:val="auto"/>
              </w:rPr>
              <w:t>Liability Derivatives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gridSpan w:val="3"/>
          </w:tcPr>
          <w:p>
            <w:pPr>
              <w:jc w:val="right"/>
              <w:ind w:right="517"/>
              <w:spacing w:after="0" w:line="243" w:lineRule="exact"/>
              <w:rPr>
                <w:sz w:val="20"/>
                <w:szCs w:val="20"/>
                <w:color w:val="auto"/>
              </w:rPr>
            </w:pPr>
            <w:r>
              <w:rPr>
                <w:rFonts w:ascii="Arial" w:cs="Arial" w:eastAsia="Arial" w:hAnsi="Arial"/>
                <w:sz w:val="22"/>
                <w:szCs w:val="22"/>
                <w:color w:val="auto"/>
              </w:rPr>
              <w:t>Fair Value</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4"/>
          </w:tcPr>
          <w:p>
            <w:pPr>
              <w:jc w:val="right"/>
              <w:ind w:right="492"/>
              <w:spacing w:after="0" w:line="243" w:lineRule="exact"/>
              <w:rPr>
                <w:sz w:val="20"/>
                <w:szCs w:val="20"/>
                <w:color w:val="auto"/>
              </w:rPr>
            </w:pPr>
            <w:r>
              <w:rPr>
                <w:rFonts w:ascii="Arial" w:cs="Arial" w:eastAsia="Arial" w:hAnsi="Arial"/>
                <w:sz w:val="22"/>
                <w:szCs w:val="22"/>
                <w:color w:val="auto"/>
              </w:rPr>
              <w:t>Fair Value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92"/>
              <w:spacing w:after="0" w:line="243" w:lineRule="exact"/>
              <w:rPr>
                <w:sz w:val="20"/>
                <w:szCs w:val="20"/>
                <w:color w:val="auto"/>
              </w:rPr>
            </w:pPr>
            <w:r>
              <w:rPr>
                <w:rFonts w:ascii="Arial" w:cs="Arial" w:eastAsia="Arial" w:hAnsi="Arial"/>
                <w:sz w:val="22"/>
                <w:szCs w:val="22"/>
                <w:color w:val="auto"/>
                <w:w w:val="99"/>
              </w:rPr>
              <w:t>April 30,</w:t>
            </w:r>
          </w:p>
        </w:tc>
        <w:tc>
          <w:tcPr>
            <w:tcW w:w="400" w:type="dxa"/>
            <w:vAlign w:val="bottom"/>
          </w:tcPr>
          <w:p>
            <w:pPr>
              <w:spacing w:after="0"/>
              <w:rPr>
                <w:sz w:val="21"/>
                <w:szCs w:val="21"/>
                <w:color w:val="auto"/>
              </w:rPr>
            </w:pPr>
          </w:p>
        </w:tc>
        <w:tc>
          <w:tcPr>
            <w:tcW w:w="1520" w:type="dxa"/>
            <w:vAlign w:val="bottom"/>
            <w:gridSpan w:val="3"/>
          </w:tcPr>
          <w:p>
            <w:pPr>
              <w:ind w:left="60"/>
              <w:spacing w:after="0" w:line="243" w:lineRule="exact"/>
              <w:rPr>
                <w:sz w:val="20"/>
                <w:szCs w:val="20"/>
                <w:color w:val="auto"/>
              </w:rPr>
            </w:pPr>
            <w:r>
              <w:rPr>
                <w:rFonts w:ascii="Arial" w:cs="Arial" w:eastAsia="Arial" w:hAnsi="Arial"/>
                <w:sz w:val="22"/>
                <w:szCs w:val="22"/>
                <w:color w:val="auto"/>
              </w:rPr>
              <w:t>January 31,</w:t>
            </w:r>
          </w:p>
        </w:tc>
        <w:tc>
          <w:tcPr>
            <w:tcW w:w="140" w:type="dxa"/>
            <w:vAlign w:val="bottom"/>
          </w:tcPr>
          <w:p>
            <w:pPr>
              <w:spacing w:after="0"/>
              <w:rPr>
                <w:sz w:val="21"/>
                <w:szCs w:val="21"/>
                <w:color w:val="auto"/>
              </w:rPr>
            </w:pPr>
          </w:p>
        </w:tc>
        <w:tc>
          <w:tcPr>
            <w:tcW w:w="11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April 30,</w:t>
            </w:r>
          </w:p>
        </w:tc>
        <w:tc>
          <w:tcPr>
            <w:tcW w:w="200" w:type="dxa"/>
            <w:vAlign w:val="bottom"/>
          </w:tcPr>
          <w:p>
            <w:pPr>
              <w:spacing w:after="0"/>
              <w:rPr>
                <w:sz w:val="21"/>
                <w:szCs w:val="21"/>
                <w:color w:val="auto"/>
              </w:rPr>
            </w:pPr>
          </w:p>
        </w:tc>
        <w:tc>
          <w:tcPr>
            <w:tcW w:w="1240" w:type="dxa"/>
            <w:vAlign w:val="bottom"/>
            <w:gridSpan w:val="3"/>
          </w:tcPr>
          <w:p>
            <w:pPr>
              <w:ind w:left="80"/>
              <w:spacing w:after="0" w:line="243" w:lineRule="exact"/>
              <w:rPr>
                <w:sz w:val="20"/>
                <w:szCs w:val="20"/>
                <w:color w:val="auto"/>
              </w:rPr>
            </w:pPr>
            <w:r>
              <w:rPr>
                <w:rFonts w:ascii="Arial" w:cs="Arial" w:eastAsia="Arial" w:hAnsi="Arial"/>
                <w:sz w:val="22"/>
                <w:szCs w:val="22"/>
                <w:color w:val="auto"/>
                <w:w w:val="99"/>
              </w:rPr>
              <w:t>January 31,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252"/>
              <w:spacing w:after="0"/>
              <w:rPr>
                <w:sz w:val="20"/>
                <w:szCs w:val="20"/>
                <w:color w:val="auto"/>
              </w:rPr>
            </w:pPr>
            <w:r>
              <w:rPr>
                <w:rFonts w:ascii="Arial" w:cs="Arial" w:eastAsia="Arial" w:hAnsi="Arial"/>
                <w:sz w:val="22"/>
                <w:szCs w:val="22"/>
                <w:color w:val="auto"/>
              </w:rPr>
              <w:t>2019</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2019</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22"/>
                <w:szCs w:val="22"/>
                <w:color w:val="auto"/>
              </w:rPr>
              <w:t>2019</w:t>
            </w:r>
          </w:p>
        </w:tc>
        <w:tc>
          <w:tcPr>
            <w:tcW w:w="1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22"/>
                <w:szCs w:val="22"/>
                <w:color w:val="auto"/>
              </w:rPr>
              <w:t>2019</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 (1)</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289</w:t>
            </w:r>
          </w:p>
        </w:tc>
        <w:tc>
          <w:tcPr>
            <w:tcW w:w="1240" w:type="dxa"/>
            <w:vAlign w:val="bottom"/>
            <w:gridSpan w:val="2"/>
            <w:shd w:val="clear" w:color="auto" w:fill="E5FFFF"/>
          </w:tcPr>
          <w:p>
            <w:pPr>
              <w:jc w:val="right"/>
              <w:ind w:right="637"/>
              <w:spacing w:after="0" w:line="243" w:lineRule="exact"/>
              <w:rPr>
                <w:sz w:val="20"/>
                <w:szCs w:val="20"/>
                <w:color w:val="auto"/>
              </w:rPr>
            </w:pPr>
            <w:r>
              <w:rPr>
                <w:rFonts w:ascii="Arial" w:cs="Arial" w:eastAsia="Arial" w:hAnsi="Arial"/>
                <w:sz w:val="22"/>
                <w:szCs w:val="22"/>
                <w:color w:val="auto"/>
              </w:rPr>
              <w:t>$</w:t>
            </w:r>
          </w:p>
        </w:tc>
        <w:tc>
          <w:tcPr>
            <w:tcW w:w="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44</w:t>
            </w: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80" w:type="dxa"/>
            <w:vAlign w:val="bottom"/>
            <w:gridSpan w:val="2"/>
            <w:shd w:val="clear" w:color="auto" w:fill="E5FFFF"/>
          </w:tcPr>
          <w:p>
            <w:pPr>
              <w:jc w:val="right"/>
              <w:ind w:right="180"/>
              <w:spacing w:after="0" w:line="243" w:lineRule="exact"/>
              <w:rPr>
                <w:sz w:val="20"/>
                <w:szCs w:val="20"/>
                <w:color w:val="auto"/>
              </w:rPr>
            </w:pPr>
            <w:r>
              <w:rPr>
                <w:rFonts w:ascii="Arial" w:cs="Arial" w:eastAsia="Arial" w:hAnsi="Arial"/>
                <w:sz w:val="22"/>
                <w:szCs w:val="22"/>
                <w:color w:val="auto"/>
              </w:rPr>
              <w:t>8</w:t>
            </w:r>
          </w:p>
        </w:tc>
        <w:tc>
          <w:tcPr>
            <w:tcW w:w="1060" w:type="dxa"/>
            <w:vAlign w:val="bottom"/>
            <w:gridSpan w:val="2"/>
            <w:shd w:val="clear" w:color="auto" w:fill="E5FFFF"/>
          </w:tcPr>
          <w:p>
            <w:pPr>
              <w:jc w:val="right"/>
              <w:ind w:right="632"/>
              <w:spacing w:after="0" w:line="243" w:lineRule="exact"/>
              <w:rPr>
                <w:sz w:val="20"/>
                <w:szCs w:val="20"/>
                <w:color w:val="auto"/>
              </w:rPr>
            </w:pPr>
            <w:r>
              <w:rPr>
                <w:rFonts w:ascii="Arial" w:cs="Arial" w:eastAsia="Arial" w:hAnsi="Arial"/>
                <w:sz w:val="22"/>
                <w:szCs w:val="22"/>
                <w:color w:val="auto"/>
              </w:rPr>
              <w:t>$</w:t>
            </w:r>
          </w:p>
        </w:tc>
        <w:tc>
          <w:tcPr>
            <w:tcW w:w="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22"/>
                <w:szCs w:val="22"/>
                <w:color w:val="auto"/>
              </w:rPr>
              <w:t>Forward purchase contracts (2)</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2"/>
                <w:szCs w:val="22"/>
                <w:color w:val="auto"/>
              </w:rPr>
              <w:t>253</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rPr>
              <w:t>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289</w:t>
            </w:r>
          </w:p>
        </w:tc>
        <w:tc>
          <w:tcPr>
            <w:tcW w:w="400" w:type="dxa"/>
            <w:vAlign w:val="bottom"/>
            <w:tcBorders>
              <w:top w:val="single" w:sz="8" w:color="E5FFFF"/>
              <w:bottom w:val="single" w:sz="8" w:color="E5FFFF"/>
            </w:tcBorders>
            <w:shd w:val="clear" w:color="auto" w:fill="E5FFFF"/>
          </w:tcPr>
          <w:p>
            <w:pPr>
              <w:spacing w:after="0"/>
              <w:rPr>
                <w:sz w:val="20"/>
                <w:szCs w:val="20"/>
                <w:color w:val="auto"/>
              </w:rPr>
            </w:pPr>
          </w:p>
        </w:tc>
        <w:tc>
          <w:tcPr>
            <w:tcW w:w="840" w:type="dxa"/>
            <w:vAlign w:val="bottom"/>
            <w:tcBorders>
              <w:top w:val="single" w:sz="8" w:color="auto"/>
              <w:bottom w:val="single" w:sz="8" w:color="auto"/>
            </w:tcBorders>
            <w:shd w:val="clear" w:color="auto" w:fill="E5FFFF"/>
          </w:tcPr>
          <w:p>
            <w:pPr>
              <w:jc w:val="right"/>
              <w:ind w:right="637"/>
              <w:spacing w:after="0"/>
              <w:rPr>
                <w:sz w:val="20"/>
                <w:szCs w:val="20"/>
                <w:color w:val="auto"/>
              </w:rPr>
            </w:pPr>
            <w:r>
              <w:rPr>
                <w:rFonts w:ascii="Arial" w:cs="Arial" w:eastAsia="Arial" w:hAnsi="Arial"/>
                <w:sz w:val="19"/>
                <w:szCs w:val="19"/>
                <w:color w:val="auto"/>
                <w:w w:val="75"/>
              </w:rPr>
              <w:t>$</w:t>
            </w:r>
          </w:p>
        </w:tc>
        <w:tc>
          <w:tcPr>
            <w:tcW w:w="2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44</w:t>
            </w:r>
          </w:p>
        </w:tc>
        <w:tc>
          <w:tcPr>
            <w:tcW w:w="40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261</w:t>
            </w:r>
          </w:p>
        </w:tc>
        <w:tc>
          <w:tcPr>
            <w:tcW w:w="18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E5FFFF"/>
              <w:bottom w:val="single" w:sz="8" w:color="E5FFFF"/>
            </w:tcBorders>
            <w:shd w:val="clear" w:color="auto" w:fill="E5FFFF"/>
          </w:tcPr>
          <w:p>
            <w:pPr>
              <w:spacing w:after="0"/>
              <w:rPr>
                <w:sz w:val="20"/>
                <w:szCs w:val="20"/>
                <w:color w:val="auto"/>
              </w:rPr>
            </w:pPr>
          </w:p>
        </w:tc>
        <w:tc>
          <w:tcPr>
            <w:tcW w:w="860" w:type="dxa"/>
            <w:vAlign w:val="bottom"/>
            <w:tcBorders>
              <w:top w:val="single" w:sz="8" w:color="auto"/>
              <w:bottom w:val="single" w:sz="8" w:color="auto"/>
            </w:tcBorders>
            <w:shd w:val="clear" w:color="auto" w:fill="E5FFFF"/>
          </w:tcPr>
          <w:p>
            <w:pPr>
              <w:jc w:val="right"/>
              <w:ind w:right="632"/>
              <w:spacing w:after="0" w:line="237" w:lineRule="exact"/>
              <w:rPr>
                <w:sz w:val="20"/>
                <w:szCs w:val="20"/>
                <w:color w:val="auto"/>
              </w:rPr>
            </w:pPr>
            <w:r>
              <w:rPr>
                <w:rFonts w:ascii="Arial" w:cs="Arial" w:eastAsia="Arial" w:hAnsi="Arial"/>
                <w:sz w:val="22"/>
                <w:szCs w:val="22"/>
                <w:color w:val="auto"/>
                <w:w w:val="81"/>
              </w:rPr>
              <w:t>$</w:t>
            </w:r>
          </w:p>
        </w:tc>
        <w:tc>
          <w:tcPr>
            <w:tcW w:w="2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22</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40" w:hanging="4"/>
        <w:spacing w:after="0" w:line="252" w:lineRule="auto"/>
        <w:tabs>
          <w:tab w:leader="none" w:pos="757" w:val="left"/>
        </w:tabs>
        <w:numPr>
          <w:ilvl w:val="0"/>
          <w:numId w:val="5"/>
        </w:numPr>
        <w:rPr>
          <w:rFonts w:ascii="Arial" w:cs="Arial" w:eastAsia="Arial" w:hAnsi="Arial"/>
          <w:sz w:val="21"/>
          <w:szCs w:val="21"/>
          <w:color w:val="auto"/>
        </w:rPr>
      </w:pPr>
      <w:r>
        <w:rPr>
          <w:rFonts w:ascii="Arial" w:cs="Arial" w:eastAsia="Arial" w:hAnsi="Arial"/>
          <w:sz w:val="21"/>
          <w:szCs w:val="21"/>
          <w:color w:val="auto"/>
        </w:rPr>
        <w:t>Commodity futures liabilities are included in accrued expenses and other current liabilities. Commodity futures assets are included in prepaid expenses and other current assets. These contracts are short/sell positions for approximately 0.6 million bushels of corn and approximately 4.0 million gallons of ethanol at April 30, 2019. These contracts are short/sell positions for approximately 2.0 million bushels of corn at January 31, 2019.</w:t>
      </w:r>
    </w:p>
    <w:p>
      <w:pPr>
        <w:spacing w:after="0" w:line="174" w:lineRule="exact"/>
        <w:rPr>
          <w:rFonts w:ascii="Arial" w:cs="Arial" w:eastAsia="Arial" w:hAnsi="Arial"/>
          <w:sz w:val="21"/>
          <w:szCs w:val="21"/>
          <w:color w:val="auto"/>
        </w:rPr>
      </w:pPr>
    </w:p>
    <w:p>
      <w:pPr>
        <w:ind w:left="440" w:right="20" w:hanging="4"/>
        <w:spacing w:after="0" w:line="328" w:lineRule="auto"/>
        <w:tabs>
          <w:tab w:leader="none" w:pos="749" w:val="left"/>
        </w:tabs>
        <w:numPr>
          <w:ilvl w:val="0"/>
          <w:numId w:val="5"/>
        </w:numPr>
        <w:rPr>
          <w:rFonts w:ascii="Arial" w:cs="Arial" w:eastAsia="Arial" w:hAnsi="Arial"/>
          <w:sz w:val="19"/>
          <w:szCs w:val="19"/>
          <w:color w:val="auto"/>
        </w:rPr>
      </w:pPr>
      <w:r>
        <w:rPr>
          <w:rFonts w:ascii="Arial" w:cs="Arial" w:eastAsia="Arial" w:hAnsi="Arial"/>
          <w:sz w:val="19"/>
          <w:szCs w:val="19"/>
          <w:color w:val="auto"/>
        </w:rPr>
        <w:t>Forward purchase contracts liabilities are included in accrued expenses and other current liabilities. These contracts are for purchases of approximately 1.9 million and 1.3 million bushels of corn at April 30, 2019 and January 31, 2019, respectively.</w:t>
      </w:r>
    </w:p>
    <w:p>
      <w:pPr>
        <w:spacing w:after="0" w:line="105"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As of April 30, 2019, all of the derivative financial instruments held by the Company were subject to enforceable master netting arrangements. The Company’s accounting policy is to offset positions and amounts owed or owing with the same counterparty. As of April 30, 2019,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As of April 30, 2019, the Company was required to maintain collateral in the amount of approximately $82,000 to secure the Company’s derivative position.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06"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Gains (losses) on the Company’s derivative financial instruments of approximately $369,000 and approximately $(565,000) for the first quarter of fiscal years 2019 and 2018, respectively, were included in cost of sales on the Consolidated Condensed Statements of Operations. Gains on the Company’s derivative financial instruments of approximately $302,000 for the first quarter of fiscal year 2019 were included in cost of sales on the Consolidated Condensed Statements of Operations. Gains on the Company’s derivative financial instruments of approximately $44,000 for the first quarter of fiscal year 2018 were included in net sales and revenue on the Consolidated Condensed Statements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i w:val="1"/>
          <w:iCs w:val="1"/>
          <w:color w:val="auto"/>
        </w:rPr>
        <w:t>Investments</w:t>
      </w:r>
    </w:p>
    <w:p>
      <w:pPr>
        <w:spacing w:after="0" w:line="212"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The following table summarizes the Company’s equity method investment at April 30, 2019 and January 31, 2019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300" w:type="dxa"/>
            <w:vAlign w:val="bottom"/>
            <w:gridSpan w:val="2"/>
          </w:tcPr>
          <w:p>
            <w:pPr>
              <w:jc w:val="right"/>
              <w:ind w:right="1460"/>
              <w:spacing w:after="0"/>
              <w:rPr>
                <w:sz w:val="20"/>
                <w:szCs w:val="20"/>
                <w:color w:val="auto"/>
              </w:rPr>
            </w:pPr>
            <w:r>
              <w:rPr>
                <w:rFonts w:ascii="Arial" w:cs="Arial" w:eastAsia="Arial" w:hAnsi="Arial"/>
                <w:sz w:val="22"/>
                <w:szCs w:val="22"/>
                <w:color w:val="auto"/>
              </w:rPr>
              <w:t>Carrying Amount</w:t>
            </w:r>
          </w:p>
        </w:tc>
        <w:tc>
          <w:tcPr>
            <w:tcW w:w="1820" w:type="dxa"/>
            <w:vAlign w:val="bottom"/>
          </w:tcPr>
          <w:p>
            <w:pPr>
              <w:jc w:val="right"/>
              <w:spacing w:after="0"/>
              <w:rPr>
                <w:sz w:val="20"/>
                <w:szCs w:val="20"/>
                <w:color w:val="auto"/>
              </w:rPr>
            </w:pPr>
            <w:r>
              <w:rPr>
                <w:rFonts w:ascii="Arial" w:cs="Arial" w:eastAsia="Arial" w:hAnsi="Arial"/>
                <w:sz w:val="22"/>
                <w:szCs w:val="22"/>
                <w:color w:val="auto"/>
              </w:rPr>
              <w:t>Carrying Amount</w:t>
            </w:r>
          </w:p>
        </w:tc>
      </w:tr>
      <w:tr>
        <w:trPr>
          <w:trHeight w:val="265"/>
        </w:trPr>
        <w:tc>
          <w:tcPr>
            <w:tcW w:w="1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Entity</w:t>
            </w:r>
          </w:p>
        </w:tc>
        <w:tc>
          <w:tcPr>
            <w:tcW w:w="1160" w:type="dxa"/>
            <w:vAlign w:val="bottom"/>
          </w:tcPr>
          <w:p>
            <w:pPr>
              <w:spacing w:after="0"/>
              <w:rPr>
                <w:sz w:val="23"/>
                <w:szCs w:val="23"/>
                <w:color w:val="auto"/>
              </w:rPr>
            </w:pPr>
          </w:p>
        </w:tc>
        <w:tc>
          <w:tcPr>
            <w:tcW w:w="22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5"/>
              </w:rPr>
              <w:t>Ownership Percentage</w:t>
            </w:r>
          </w:p>
        </w:tc>
        <w:tc>
          <w:tcPr>
            <w:tcW w:w="1380" w:type="dxa"/>
            <w:vAlign w:val="bottom"/>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April 30, 2019</w:t>
            </w:r>
          </w:p>
        </w:tc>
        <w:tc>
          <w:tcPr>
            <w:tcW w:w="1460" w:type="dxa"/>
            <w:vAlign w:val="bottom"/>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January 31, 2019</w:t>
            </w:r>
          </w:p>
        </w:tc>
      </w:tr>
      <w:tr>
        <w:trPr>
          <w:trHeight w:val="463"/>
        </w:trPr>
        <w:tc>
          <w:tcPr>
            <w:tcW w:w="2540" w:type="dxa"/>
            <w:vAlign w:val="bottom"/>
            <w:gridSpan w:val="2"/>
          </w:tcPr>
          <w:p>
            <w:pPr>
              <w:spacing w:after="0"/>
              <w:rPr>
                <w:sz w:val="20"/>
                <w:szCs w:val="20"/>
                <w:color w:val="auto"/>
              </w:rPr>
            </w:pPr>
            <w:r>
              <w:rPr>
                <w:rFonts w:ascii="Arial" w:cs="Arial" w:eastAsia="Arial" w:hAnsi="Arial"/>
                <w:sz w:val="22"/>
                <w:szCs w:val="22"/>
                <w:color w:val="auto"/>
              </w:rPr>
              <w:t>Big River</w:t>
            </w:r>
          </w:p>
        </w:tc>
        <w:tc>
          <w:tcPr>
            <w:tcW w:w="2280" w:type="dxa"/>
            <w:vAlign w:val="bottom"/>
          </w:tcPr>
          <w:p>
            <w:pPr>
              <w:jc w:val="right"/>
              <w:ind w:right="152"/>
              <w:spacing w:after="0"/>
              <w:rPr>
                <w:sz w:val="20"/>
                <w:szCs w:val="20"/>
                <w:color w:val="auto"/>
              </w:rPr>
            </w:pPr>
            <w:r>
              <w:rPr>
                <w:rFonts w:ascii="Arial" w:cs="Arial" w:eastAsia="Arial" w:hAnsi="Arial"/>
                <w:sz w:val="22"/>
                <w:szCs w:val="22"/>
                <w:color w:val="auto"/>
              </w:rPr>
              <w:t>10.3%</w:t>
            </w:r>
          </w:p>
        </w:tc>
        <w:tc>
          <w:tcPr>
            <w:tcW w:w="1380" w:type="dxa"/>
            <w:vAlign w:val="bottom"/>
          </w:tcPr>
          <w:p>
            <w:pPr>
              <w:spacing w:after="0"/>
              <w:rPr>
                <w:sz w:val="24"/>
                <w:szCs w:val="24"/>
                <w:color w:val="auto"/>
              </w:rPr>
            </w:pPr>
          </w:p>
        </w:tc>
        <w:tc>
          <w:tcPr>
            <w:tcW w:w="3300" w:type="dxa"/>
            <w:vAlign w:val="bottom"/>
            <w:gridSpan w:val="2"/>
          </w:tcPr>
          <w:p>
            <w:pPr>
              <w:jc w:val="right"/>
              <w:ind w:right="1460"/>
              <w:spacing w:after="0"/>
              <w:rPr>
                <w:sz w:val="20"/>
                <w:szCs w:val="20"/>
                <w:color w:val="auto"/>
              </w:rPr>
            </w:pPr>
            <w:r>
              <w:rPr>
                <w:rFonts w:ascii="Arial" w:cs="Arial" w:eastAsia="Arial" w:hAnsi="Arial"/>
                <w:sz w:val="22"/>
                <w:szCs w:val="22"/>
                <w:color w:val="auto"/>
              </w:rPr>
              <w:t>$32,201</w:t>
            </w:r>
          </w:p>
        </w:tc>
        <w:tc>
          <w:tcPr>
            <w:tcW w:w="1820" w:type="dxa"/>
            <w:vAlign w:val="bottom"/>
          </w:tcPr>
          <w:p>
            <w:pPr>
              <w:jc w:val="right"/>
              <w:spacing w:after="0"/>
              <w:rPr>
                <w:sz w:val="20"/>
                <w:szCs w:val="20"/>
                <w:color w:val="auto"/>
              </w:rPr>
            </w:pPr>
            <w:r>
              <w:rPr>
                <w:rFonts w:ascii="Arial" w:cs="Arial" w:eastAsia="Arial" w:hAnsi="Arial"/>
                <w:sz w:val="22"/>
                <w:szCs w:val="22"/>
                <w:color w:val="auto"/>
              </w:rPr>
              <w:t>$32,075</w:t>
            </w:r>
          </w:p>
        </w:tc>
      </w:tr>
    </w:tbl>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Undistributed earnings of the Company’s equity method investee totaled approximately $12.2 million and approximately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$12.0 million at April 30, 2019 and January 31, 2019, respectively. The Company did not receive dividends from its equity method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investee in the first quarter of fiscal years 2019 or 2018.</w:t>
      </w:r>
    </w:p>
    <w:p>
      <w:pPr>
        <w:spacing w:after="0" w:line="188" w:lineRule="exact"/>
        <w:rPr>
          <w:sz w:val="20"/>
          <w:szCs w:val="20"/>
          <w:color w:val="auto"/>
        </w:rPr>
      </w:pPr>
    </w:p>
    <w:p>
      <w:pPr>
        <w:ind w:right="460" w:firstLine="648"/>
        <w:spacing w:after="0" w:line="251"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4"/>
          </w:tcPr>
          <w:p>
            <w:pPr>
              <w:jc w:val="right"/>
              <w:ind w:right="132"/>
              <w:spacing w:after="0"/>
              <w:rPr>
                <w:sz w:val="20"/>
                <w:szCs w:val="20"/>
                <w:color w:val="auto"/>
              </w:rPr>
            </w:pPr>
            <w:r>
              <w:rPr>
                <w:rFonts w:ascii="Arial" w:cs="Arial" w:eastAsia="Arial" w:hAnsi="Arial"/>
                <w:sz w:val="22"/>
                <w:szCs w:val="22"/>
                <w:color w:val="auto"/>
                <w:w w:val="90"/>
              </w:rPr>
              <w:t>Three Months Ended</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20" w:type="dxa"/>
            <w:vAlign w:val="bottom"/>
            <w:gridSpan w:val="4"/>
          </w:tcPr>
          <w:p>
            <w:pPr>
              <w:jc w:val="right"/>
              <w:ind w:right="652"/>
              <w:spacing w:after="0"/>
              <w:rPr>
                <w:sz w:val="20"/>
                <w:szCs w:val="20"/>
                <w:color w:val="auto"/>
              </w:rPr>
            </w:pPr>
            <w:r>
              <w:rPr>
                <w:rFonts w:ascii="Arial" w:cs="Arial" w:eastAsia="Arial" w:hAnsi="Arial"/>
                <w:sz w:val="22"/>
                <w:szCs w:val="22"/>
                <w:color w:val="auto"/>
              </w:rPr>
              <w:t>April 30,</w:t>
            </w:r>
          </w:p>
        </w:tc>
        <w:tc>
          <w:tcPr>
            <w:tcW w:w="4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2019</w:t>
            </w:r>
          </w:p>
        </w:tc>
        <w:tc>
          <w:tcPr>
            <w:tcW w:w="5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2018</w:t>
            </w:r>
          </w:p>
        </w:tc>
        <w:tc>
          <w:tcPr>
            <w:tcW w:w="4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7"/>
              </w:rPr>
              <w:t>184,069</w:t>
            </w:r>
          </w:p>
        </w:tc>
        <w:tc>
          <w:tcPr>
            <w:tcW w:w="50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w w:val="87"/>
              </w:rPr>
              <w:t>191,943</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Arial" w:cs="Arial" w:eastAsia="Arial" w:hAnsi="Arial"/>
                <w:sz w:val="22"/>
                <w:szCs w:val="22"/>
                <w:color w:val="auto"/>
              </w:rPr>
              <w:t>Gross profit</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1,569</w:t>
            </w:r>
          </w:p>
        </w:tc>
        <w:tc>
          <w:tcPr>
            <w:tcW w:w="5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13,691</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from continuing operations</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1,227</w:t>
            </w:r>
          </w:p>
        </w:tc>
        <w:tc>
          <w:tcPr>
            <w:tcW w:w="50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6,765</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160" w:type="dxa"/>
            <w:vAlign w:val="bottom"/>
          </w:tcPr>
          <w:p>
            <w:pPr>
              <w:spacing w:after="0"/>
              <w:rPr>
                <w:sz w:val="20"/>
                <w:szCs w:val="20"/>
                <w:color w:val="auto"/>
              </w:rPr>
            </w:pPr>
            <w:r>
              <w:rPr>
                <w:rFonts w:ascii="Arial" w:cs="Arial" w:eastAsia="Arial" w:hAnsi="Arial"/>
                <w:sz w:val="22"/>
                <w:szCs w:val="22"/>
                <w:color w:val="auto"/>
              </w:rPr>
              <w:t>Net income</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spacing w:after="0"/>
              <w:rPr>
                <w:sz w:val="20"/>
                <w:szCs w:val="20"/>
                <w:color w:val="auto"/>
              </w:rPr>
            </w:pPr>
            <w:r>
              <w:rPr>
                <w:rFonts w:ascii="Arial" w:cs="Arial" w:eastAsia="Arial" w:hAnsi="Arial"/>
                <w:sz w:val="22"/>
                <w:szCs w:val="22"/>
                <w:color w:val="auto"/>
              </w:rPr>
              <w:t>1,227</w:t>
            </w:r>
          </w:p>
        </w:tc>
        <w:tc>
          <w:tcPr>
            <w:tcW w:w="5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6,765</w:t>
            </w:r>
          </w:p>
        </w:tc>
        <w:tc>
          <w:tcPr>
            <w:tcW w:w="4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22"/>
                <w:szCs w:val="22"/>
                <w:color w:val="auto"/>
              </w:rPr>
              <w:t>17</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40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2" w:right="239" w:bottom="1440" w:gutter="0" w:footer="0" w:header="0"/>
        </w:sectPr>
      </w:pPr>
    </w:p>
    <w:bookmarkStart w:id="17" w:name="page18"/>
    <w:bookmarkEnd w:id="17"/>
    <w:p>
      <w:pPr>
        <w:spacing w:after="0"/>
        <w:rPr>
          <w:sz w:val="20"/>
          <w:szCs w:val="20"/>
          <w:color w:val="auto"/>
        </w:rPr>
      </w:pPr>
      <w:r>
        <w:rPr>
          <w:rFonts w:ascii="Arial" w:cs="Arial" w:eastAsia="Arial" w:hAnsi="Arial"/>
          <w:sz w:val="21"/>
          <w:szCs w:val="21"/>
          <w:color w:val="auto"/>
        </w:rPr>
        <w:t>The following table summarizes the Company’s held-to-maturity security at January 31, 2019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40" w:type="dxa"/>
            <w:vAlign w:val="bottom"/>
          </w:tcPr>
          <w:p>
            <w:pPr>
              <w:spacing w:after="0"/>
              <w:rPr>
                <w:sz w:val="21"/>
                <w:szCs w:val="21"/>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22"/>
                <w:szCs w:val="22"/>
                <w:color w:val="auto"/>
              </w:rPr>
              <w:t>Amortized</w:t>
            </w:r>
          </w:p>
        </w:tc>
        <w:tc>
          <w:tcPr>
            <w:tcW w:w="2140" w:type="dxa"/>
            <w:vAlign w:val="bottom"/>
            <w:gridSpan w:val="2"/>
          </w:tcPr>
          <w:p>
            <w:pPr>
              <w:jc w:val="right"/>
              <w:ind w:right="500"/>
              <w:spacing w:after="0"/>
              <w:rPr>
                <w:sz w:val="20"/>
                <w:szCs w:val="20"/>
                <w:color w:val="auto"/>
              </w:rPr>
            </w:pPr>
            <w:r>
              <w:rPr>
                <w:rFonts w:ascii="Arial" w:cs="Arial" w:eastAsia="Arial" w:hAnsi="Arial"/>
                <w:sz w:val="22"/>
                <w:szCs w:val="22"/>
                <w:color w:val="auto"/>
                <w:w w:val="95"/>
              </w:rPr>
              <w:t>Gross Unrealized</w:t>
            </w:r>
          </w:p>
        </w:tc>
        <w:tc>
          <w:tcPr>
            <w:tcW w:w="1120" w:type="dxa"/>
            <w:vAlign w:val="bottom"/>
          </w:tcPr>
          <w:p>
            <w:pPr>
              <w:jc w:val="right"/>
              <w:spacing w:after="0"/>
              <w:rPr>
                <w:sz w:val="20"/>
                <w:szCs w:val="20"/>
                <w:color w:val="auto"/>
              </w:rPr>
            </w:pPr>
            <w:r>
              <w:rPr>
                <w:rFonts w:ascii="Arial" w:cs="Arial" w:eastAsia="Arial" w:hAnsi="Arial"/>
                <w:sz w:val="22"/>
                <w:szCs w:val="22"/>
                <w:color w:val="auto"/>
              </w:rPr>
              <w:t>Estimated</w:t>
            </w:r>
          </w:p>
        </w:tc>
      </w:tr>
      <w:tr>
        <w:trPr>
          <w:trHeight w:val="265"/>
        </w:trPr>
        <w:tc>
          <w:tcPr>
            <w:tcW w:w="5240" w:type="dxa"/>
            <w:vAlign w:val="bottom"/>
          </w:tcPr>
          <w:p>
            <w:pPr>
              <w:spacing w:after="0"/>
              <w:rPr>
                <w:sz w:val="23"/>
                <w:szCs w:val="23"/>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22"/>
                <w:szCs w:val="22"/>
                <w:color w:val="auto"/>
              </w:rPr>
              <w:t>Cost</w:t>
            </w:r>
          </w:p>
        </w:tc>
        <w:tc>
          <w:tcPr>
            <w:tcW w:w="2140" w:type="dxa"/>
            <w:vAlign w:val="bottom"/>
            <w:gridSpan w:val="2"/>
          </w:tcPr>
          <w:p>
            <w:pPr>
              <w:jc w:val="right"/>
              <w:ind w:right="500"/>
              <w:spacing w:after="0"/>
              <w:rPr>
                <w:sz w:val="20"/>
                <w:szCs w:val="20"/>
                <w:color w:val="auto"/>
              </w:rPr>
            </w:pPr>
            <w:r>
              <w:rPr>
                <w:rFonts w:ascii="Arial" w:cs="Arial" w:eastAsia="Arial" w:hAnsi="Arial"/>
                <w:sz w:val="22"/>
                <w:szCs w:val="22"/>
                <w:color w:val="auto"/>
              </w:rPr>
              <w:t>Losses</w:t>
            </w:r>
          </w:p>
        </w:tc>
        <w:tc>
          <w:tcPr>
            <w:tcW w:w="1120" w:type="dxa"/>
            <w:vAlign w:val="bottom"/>
          </w:tcPr>
          <w:p>
            <w:pPr>
              <w:jc w:val="right"/>
              <w:spacing w:after="0"/>
              <w:rPr>
                <w:sz w:val="20"/>
                <w:szCs w:val="20"/>
                <w:color w:val="auto"/>
              </w:rPr>
            </w:pPr>
            <w:r>
              <w:rPr>
                <w:rFonts w:ascii="Arial" w:cs="Arial" w:eastAsia="Arial" w:hAnsi="Arial"/>
                <w:sz w:val="22"/>
                <w:szCs w:val="22"/>
                <w:color w:val="auto"/>
              </w:rPr>
              <w:t>Fair Value</w:t>
            </w:r>
          </w:p>
        </w:tc>
      </w:tr>
      <w:tr>
        <w:trPr>
          <w:trHeight w:val="463"/>
        </w:trPr>
        <w:tc>
          <w:tcPr>
            <w:tcW w:w="5240" w:type="dxa"/>
            <w:vAlign w:val="bottom"/>
          </w:tcPr>
          <w:p>
            <w:pPr>
              <w:spacing w:after="0"/>
              <w:rPr>
                <w:sz w:val="20"/>
                <w:szCs w:val="20"/>
                <w:color w:val="auto"/>
              </w:rPr>
            </w:pPr>
            <w:r>
              <w:rPr>
                <w:rFonts w:ascii="Arial" w:cs="Arial" w:eastAsia="Arial" w:hAnsi="Arial"/>
                <w:sz w:val="22"/>
                <w:szCs w:val="22"/>
                <w:color w:val="auto"/>
              </w:rPr>
              <w:t>United States Treasury Bill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$14,975</w:t>
            </w:r>
          </w:p>
        </w:tc>
        <w:tc>
          <w:tcPr>
            <w:tcW w:w="520" w:type="dxa"/>
            <w:vAlign w:val="bottom"/>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50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$14,973</w:t>
            </w:r>
          </w:p>
        </w:tc>
      </w:tr>
    </w:tbl>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of January 31, 2019, the contractual maturity of this investment was less than one year and the yield to maturity rate was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2.29%.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i w:val="1"/>
          <w:iCs w:val="1"/>
          <w:color w:val="auto"/>
        </w:rPr>
        <w:t>Employee Benefits</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Since plan inception, the Company has only granted restricted stock awards.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April 30, 2019, 489,430 shares remain available for issuance under the Plan. As a component of their compensation, restricted stock has been granted to directors at the closing market price of REX common stock on the grant date. In addition one third of executives’ incentive compensation is payable by an award of restricted stock based on the then closing market price of REX common stock on the grant date. The</w:t>
      </w:r>
    </w:p>
    <w:p>
      <w:pPr>
        <w:spacing w:after="0" w:line="5" w:lineRule="exact"/>
        <w:rPr>
          <w:sz w:val="20"/>
          <w:szCs w:val="20"/>
          <w:color w:val="auto"/>
        </w:rPr>
      </w:pPr>
    </w:p>
    <w:p>
      <w:pPr>
        <w:jc w:val="both"/>
        <w:ind w:right="20"/>
        <w:spacing w:after="0" w:line="204" w:lineRule="auto"/>
        <w:rPr>
          <w:sz w:val="20"/>
          <w:szCs w:val="20"/>
          <w:color w:val="auto"/>
        </w:rPr>
      </w:pPr>
      <w:r>
        <w:rPr>
          <w:rFonts w:ascii="Arial" w:cs="Arial" w:eastAsia="Arial" w:hAnsi="Arial"/>
          <w:sz w:val="21"/>
          <w:szCs w:val="21"/>
          <w:color w:val="auto"/>
        </w:rPr>
        <w:t>Company’s board of directors has determined that the grant date will be June 15</w:t>
      </w:r>
      <w:r>
        <w:rPr>
          <w:rFonts w:ascii="Arial" w:cs="Arial" w:eastAsia="Arial" w:hAnsi="Arial"/>
          <w:sz w:val="35"/>
          <w:szCs w:val="35"/>
          <w:color w:val="auto"/>
          <w:vertAlign w:val="superscript"/>
        </w:rPr>
        <w:t>th</w:t>
      </w:r>
      <w:r>
        <w:rPr>
          <w:rFonts w:ascii="Arial" w:cs="Arial" w:eastAsia="Arial" w:hAnsi="Arial"/>
          <w:sz w:val="21"/>
          <w:szCs w:val="21"/>
          <w:color w:val="auto"/>
        </w:rPr>
        <w:t>, or the next business day if June 15</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is not a business day, for all grants of restricted stock.</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At April 30, 2019 and January 31, 2019, unrecognized compensation cost related to nonvested restricted stock was approximately $162,000 and $200,000, respectively. The following tables summarize non-vested restricted stock award activity for the three months ended April 30, 2019 and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80" w:type="dxa"/>
            <w:vAlign w:val="bottom"/>
            <w:gridSpan w:val="6"/>
          </w:tcPr>
          <w:p>
            <w:pPr>
              <w:spacing w:after="0"/>
              <w:rPr>
                <w:sz w:val="20"/>
                <w:szCs w:val="20"/>
                <w:color w:val="auto"/>
              </w:rPr>
            </w:pPr>
            <w:r>
              <w:rPr>
                <w:rFonts w:ascii="Arial" w:cs="Arial" w:eastAsia="Arial" w:hAnsi="Arial"/>
                <w:sz w:val="22"/>
                <w:szCs w:val="22"/>
                <w:color w:val="auto"/>
              </w:rPr>
              <w:t>Three Months Ended April 30, 2019</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22"/>
                <w:szCs w:val="22"/>
                <w:color w:val="auto"/>
                <w:w w:val="88"/>
              </w:rPr>
              <w:t>Weighted</w:t>
            </w:r>
          </w:p>
        </w:tc>
        <w:tc>
          <w:tcPr>
            <w:tcW w:w="2000" w:type="dxa"/>
            <w:vAlign w:val="bottom"/>
            <w:gridSpan w:val="2"/>
          </w:tcPr>
          <w:p>
            <w:pPr>
              <w:jc w:val="center"/>
              <w:ind w:right="100"/>
              <w:spacing w:after="0"/>
              <w:rPr>
                <w:sz w:val="20"/>
                <w:szCs w:val="20"/>
                <w:color w:val="auto"/>
              </w:rPr>
            </w:pPr>
            <w:r>
              <w:rPr>
                <w:rFonts w:ascii="Arial" w:cs="Arial" w:eastAsia="Arial" w:hAnsi="Arial"/>
                <w:sz w:val="22"/>
                <w:szCs w:val="22"/>
                <w:color w:val="auto"/>
                <w:w w:val="88"/>
              </w:rPr>
              <w:t>Weighted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jc w:val="center"/>
              <w:ind w:right="520"/>
              <w:spacing w:after="0" w:line="243" w:lineRule="exact"/>
              <w:rPr>
                <w:sz w:val="20"/>
                <w:szCs w:val="20"/>
                <w:color w:val="auto"/>
              </w:rPr>
            </w:pPr>
            <w:r>
              <w:rPr>
                <w:rFonts w:ascii="Arial" w:cs="Arial" w:eastAsia="Arial" w:hAnsi="Arial"/>
                <w:sz w:val="22"/>
                <w:szCs w:val="22"/>
                <w:color w:val="auto"/>
                <w:w w:val="88"/>
              </w:rPr>
              <w:t>Average Grant</w:t>
            </w:r>
          </w:p>
        </w:tc>
        <w:tc>
          <w:tcPr>
            <w:tcW w:w="2000" w:type="dxa"/>
            <w:vAlign w:val="bottom"/>
            <w:gridSpan w:val="2"/>
          </w:tcPr>
          <w:p>
            <w:pPr>
              <w:jc w:val="center"/>
              <w:ind w:right="80"/>
              <w:spacing w:after="0" w:line="243" w:lineRule="exact"/>
              <w:rPr>
                <w:sz w:val="20"/>
                <w:szCs w:val="20"/>
                <w:color w:val="auto"/>
              </w:rPr>
            </w:pPr>
            <w:r>
              <w:rPr>
                <w:rFonts w:ascii="Arial" w:cs="Arial" w:eastAsia="Arial" w:hAnsi="Arial"/>
                <w:sz w:val="22"/>
                <w:szCs w:val="22"/>
                <w:color w:val="auto"/>
                <w:w w:val="89"/>
              </w:rPr>
              <w:t>Average Remaining</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3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w w:val="99"/>
              </w:rPr>
              <w:t>Non-Vested</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jc w:val="center"/>
              <w:ind w:right="540"/>
              <w:spacing w:after="0" w:line="243" w:lineRule="exact"/>
              <w:rPr>
                <w:sz w:val="20"/>
                <w:szCs w:val="20"/>
                <w:color w:val="auto"/>
              </w:rPr>
            </w:pPr>
            <w:r>
              <w:rPr>
                <w:rFonts w:ascii="Arial" w:cs="Arial" w:eastAsia="Arial" w:hAnsi="Arial"/>
                <w:sz w:val="22"/>
                <w:szCs w:val="22"/>
                <w:color w:val="auto"/>
                <w:w w:val="88"/>
              </w:rPr>
              <w:t>Date Fair Value</w:t>
            </w:r>
          </w:p>
        </w:tc>
        <w:tc>
          <w:tcPr>
            <w:tcW w:w="2000" w:type="dxa"/>
            <w:vAlign w:val="bottom"/>
            <w:gridSpan w:val="2"/>
          </w:tcPr>
          <w:p>
            <w:pPr>
              <w:jc w:val="center"/>
              <w:ind w:right="100"/>
              <w:spacing w:after="0" w:line="243" w:lineRule="exact"/>
              <w:rPr>
                <w:sz w:val="20"/>
                <w:szCs w:val="20"/>
                <w:color w:val="auto"/>
              </w:rPr>
            </w:pPr>
            <w:r>
              <w:rPr>
                <w:rFonts w:ascii="Arial" w:cs="Arial" w:eastAsia="Arial" w:hAnsi="Arial"/>
                <w:sz w:val="22"/>
                <w:szCs w:val="22"/>
                <w:color w:val="auto"/>
                <w:w w:val="87"/>
              </w:rPr>
              <w:t>Vesting Term</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22"/>
                <w:szCs w:val="22"/>
                <w:color w:val="auto"/>
              </w:rPr>
              <w:t>Shares</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center"/>
              <w:ind w:right="540"/>
              <w:spacing w:after="0"/>
              <w:rPr>
                <w:sz w:val="20"/>
                <w:szCs w:val="20"/>
                <w:color w:val="auto"/>
              </w:rPr>
            </w:pPr>
            <w:r>
              <w:rPr>
                <w:rFonts w:ascii="Arial" w:cs="Arial" w:eastAsia="Arial" w:hAnsi="Arial"/>
                <w:sz w:val="22"/>
                <w:szCs w:val="22"/>
                <w:color w:val="auto"/>
                <w:w w:val="89"/>
              </w:rPr>
              <w:t>(000’s)</w:t>
            </w:r>
          </w:p>
        </w:tc>
        <w:tc>
          <w:tcPr>
            <w:tcW w:w="2000" w:type="dxa"/>
            <w:vAlign w:val="bottom"/>
            <w:gridSpan w:val="2"/>
          </w:tcPr>
          <w:p>
            <w:pPr>
              <w:jc w:val="center"/>
              <w:ind w:right="100"/>
              <w:spacing w:after="0"/>
              <w:rPr>
                <w:sz w:val="20"/>
                <w:szCs w:val="20"/>
                <w:color w:val="auto"/>
              </w:rPr>
            </w:pPr>
            <w:r>
              <w:rPr>
                <w:rFonts w:ascii="Arial" w:cs="Arial" w:eastAsia="Arial" w:hAnsi="Arial"/>
                <w:sz w:val="22"/>
                <w:szCs w:val="22"/>
                <w:color w:val="auto"/>
                <w:w w:val="89"/>
              </w:rPr>
              <w:t>(in years)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vMerge w:val="restart"/>
          </w:tcPr>
          <w:p>
            <w:pPr>
              <w:spacing w:after="0"/>
              <w:rPr>
                <w:sz w:val="20"/>
                <w:szCs w:val="20"/>
                <w:color w:val="auto"/>
              </w:rPr>
            </w:pPr>
          </w:p>
        </w:tc>
        <w:tc>
          <w:tcPr>
            <w:tcW w:w="42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2019</w:t>
            </w:r>
          </w:p>
        </w:tc>
        <w:tc>
          <w:tcPr>
            <w:tcW w:w="13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38,036</w:t>
            </w:r>
          </w:p>
        </w:tc>
        <w:tc>
          <w:tcPr>
            <w:tcW w:w="5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94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2,935</w:t>
            </w:r>
          </w:p>
        </w:tc>
        <w:tc>
          <w:tcPr>
            <w:tcW w:w="20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22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3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94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19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2"/>
                <w:szCs w:val="22"/>
                <w:color w:val="auto"/>
              </w:rPr>
              <w:t>Vested</w:t>
            </w:r>
          </w:p>
        </w:tc>
        <w:tc>
          <w:tcPr>
            <w:tcW w:w="13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4220" w:type="dxa"/>
            <w:vAlign w:val="bottom"/>
            <w:shd w:val="clear" w:color="auto" w:fill="E5FFFF"/>
          </w:tcPr>
          <w:p>
            <w:pPr>
              <w:spacing w:after="0"/>
              <w:rPr>
                <w:sz w:val="20"/>
                <w:szCs w:val="20"/>
                <w:color w:val="auto"/>
              </w:rPr>
            </w:pPr>
            <w:r>
              <w:rPr>
                <w:rFonts w:ascii="Arial" w:cs="Arial" w:eastAsia="Arial" w:hAnsi="Arial"/>
                <w:sz w:val="22"/>
                <w:szCs w:val="22"/>
                <w:color w:val="auto"/>
              </w:rPr>
              <w:t>Non-Vested at April 30, 2019</w:t>
            </w: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38,036</w:t>
            </w:r>
          </w:p>
        </w:tc>
        <w:tc>
          <w:tcPr>
            <w:tcW w:w="40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940" w:type="dxa"/>
            <w:vAlign w:val="bottom"/>
            <w:gridSpan w:val="2"/>
            <w:shd w:val="clear" w:color="auto" w:fill="E5FFFF"/>
          </w:tcPr>
          <w:p>
            <w:pPr>
              <w:jc w:val="right"/>
              <w:ind w:right="380"/>
              <w:spacing w:after="0"/>
              <w:rPr>
                <w:sz w:val="20"/>
                <w:szCs w:val="20"/>
                <w:color w:val="auto"/>
              </w:rPr>
            </w:pPr>
            <w:r>
              <w:rPr>
                <w:rFonts w:ascii="Arial" w:cs="Arial" w:eastAsia="Arial" w:hAnsi="Arial"/>
                <w:sz w:val="22"/>
                <w:szCs w:val="22"/>
                <w:color w:val="auto"/>
              </w:rPr>
              <w:t>2,935</w:t>
            </w:r>
          </w:p>
        </w:tc>
        <w:tc>
          <w:tcPr>
            <w:tcW w:w="200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1</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20" w:type="dxa"/>
            <w:vAlign w:val="bottom"/>
            <w:tcBorders>
              <w:top w:val="single" w:sz="8" w:color="E5FF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9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Arial" w:cs="Arial" w:eastAsia="Arial" w:hAnsi="Arial"/>
                <w:sz w:val="22"/>
                <w:szCs w:val="22"/>
                <w:color w:val="auto"/>
              </w:rPr>
              <w:t>18</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0" w:type="dxa"/>
            <w:vAlign w:val="bottom"/>
            <w:tcBorders>
              <w:bottom w:val="single" w:sz="8" w:color="C0C0C0"/>
            </w:tcBorders>
          </w:tcPr>
          <w:p>
            <w:pPr>
              <w:spacing w:after="0"/>
              <w:rPr>
                <w:sz w:val="20"/>
                <w:szCs w:val="20"/>
                <w:color w:val="auto"/>
              </w:rPr>
            </w:pPr>
          </w:p>
        </w:tc>
        <w:tc>
          <w:tcPr>
            <w:tcW w:w="4220" w:type="dxa"/>
            <w:vAlign w:val="bottom"/>
            <w:tcBorders>
              <w:bottom w:val="single" w:sz="8" w:color="C0C0C0"/>
            </w:tcBorders>
          </w:tcPr>
          <w:p>
            <w:pPr>
              <w:spacing w:after="0"/>
              <w:rPr>
                <w:sz w:val="20"/>
                <w:szCs w:val="20"/>
                <w:color w:val="auto"/>
              </w:rPr>
            </w:pPr>
          </w:p>
        </w:tc>
        <w:tc>
          <w:tcPr>
            <w:tcW w:w="13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5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19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2" w:right="239" w:bottom="1440" w:gutter="0" w:footer="0" w:header="0"/>
        </w:sectPr>
      </w:pPr>
    </w:p>
    <w:bookmarkStart w:id="18" w:name="page19"/>
    <w:bookmarkEnd w:id="18"/>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80" w:type="dxa"/>
            <w:vAlign w:val="bottom"/>
            <w:gridSpan w:val="6"/>
          </w:tcPr>
          <w:p>
            <w:pPr>
              <w:spacing w:after="0"/>
              <w:rPr>
                <w:sz w:val="20"/>
                <w:szCs w:val="20"/>
                <w:color w:val="auto"/>
              </w:rPr>
            </w:pPr>
            <w:r>
              <w:rPr>
                <w:rFonts w:ascii="Arial" w:cs="Arial" w:eastAsia="Arial" w:hAnsi="Arial"/>
                <w:sz w:val="22"/>
                <w:szCs w:val="22"/>
                <w:color w:val="auto"/>
              </w:rPr>
              <w:t>Three Months Ended April 30, 2018</w:t>
            </w: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22"/>
                <w:szCs w:val="22"/>
                <w:color w:val="auto"/>
                <w:w w:val="88"/>
              </w:rPr>
              <w:t>Weighted</w:t>
            </w:r>
          </w:p>
        </w:tc>
        <w:tc>
          <w:tcPr>
            <w:tcW w:w="2000" w:type="dxa"/>
            <w:vAlign w:val="bottom"/>
            <w:gridSpan w:val="2"/>
          </w:tcPr>
          <w:p>
            <w:pPr>
              <w:jc w:val="center"/>
              <w:ind w:right="100"/>
              <w:spacing w:after="0"/>
              <w:rPr>
                <w:sz w:val="20"/>
                <w:szCs w:val="20"/>
                <w:color w:val="auto"/>
              </w:rPr>
            </w:pPr>
            <w:r>
              <w:rPr>
                <w:rFonts w:ascii="Arial" w:cs="Arial" w:eastAsia="Arial" w:hAnsi="Arial"/>
                <w:sz w:val="22"/>
                <w:szCs w:val="22"/>
                <w:color w:val="auto"/>
                <w:w w:val="88"/>
              </w:rPr>
              <w:t>Weighted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jc w:val="center"/>
              <w:ind w:right="520"/>
              <w:spacing w:after="0" w:line="243" w:lineRule="exact"/>
              <w:rPr>
                <w:sz w:val="20"/>
                <w:szCs w:val="20"/>
                <w:color w:val="auto"/>
              </w:rPr>
            </w:pPr>
            <w:r>
              <w:rPr>
                <w:rFonts w:ascii="Arial" w:cs="Arial" w:eastAsia="Arial" w:hAnsi="Arial"/>
                <w:sz w:val="22"/>
                <w:szCs w:val="22"/>
                <w:color w:val="auto"/>
                <w:w w:val="88"/>
              </w:rPr>
              <w:t>Average Grant</w:t>
            </w:r>
          </w:p>
        </w:tc>
        <w:tc>
          <w:tcPr>
            <w:tcW w:w="2000" w:type="dxa"/>
            <w:vAlign w:val="bottom"/>
            <w:gridSpan w:val="2"/>
          </w:tcPr>
          <w:p>
            <w:pPr>
              <w:jc w:val="center"/>
              <w:ind w:right="80"/>
              <w:spacing w:after="0" w:line="243" w:lineRule="exact"/>
              <w:rPr>
                <w:sz w:val="20"/>
                <w:szCs w:val="20"/>
                <w:color w:val="auto"/>
              </w:rPr>
            </w:pPr>
            <w:r>
              <w:rPr>
                <w:rFonts w:ascii="Arial" w:cs="Arial" w:eastAsia="Arial" w:hAnsi="Arial"/>
                <w:sz w:val="22"/>
                <w:szCs w:val="22"/>
                <w:color w:val="auto"/>
                <w:w w:val="89"/>
              </w:rPr>
              <w:t>Average Remaining</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3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w w:val="99"/>
              </w:rPr>
              <w:t>Non-Vested</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jc w:val="center"/>
              <w:ind w:right="540"/>
              <w:spacing w:after="0" w:line="243" w:lineRule="exact"/>
              <w:rPr>
                <w:sz w:val="20"/>
                <w:szCs w:val="20"/>
                <w:color w:val="auto"/>
              </w:rPr>
            </w:pPr>
            <w:r>
              <w:rPr>
                <w:rFonts w:ascii="Arial" w:cs="Arial" w:eastAsia="Arial" w:hAnsi="Arial"/>
                <w:sz w:val="22"/>
                <w:szCs w:val="22"/>
                <w:color w:val="auto"/>
                <w:w w:val="88"/>
              </w:rPr>
              <w:t>Date Fair Value</w:t>
            </w:r>
          </w:p>
        </w:tc>
        <w:tc>
          <w:tcPr>
            <w:tcW w:w="2000" w:type="dxa"/>
            <w:vAlign w:val="bottom"/>
            <w:gridSpan w:val="2"/>
          </w:tcPr>
          <w:p>
            <w:pPr>
              <w:jc w:val="center"/>
              <w:ind w:right="100"/>
              <w:spacing w:after="0" w:line="243" w:lineRule="exact"/>
              <w:rPr>
                <w:sz w:val="20"/>
                <w:szCs w:val="20"/>
                <w:color w:val="auto"/>
              </w:rPr>
            </w:pPr>
            <w:r>
              <w:rPr>
                <w:rFonts w:ascii="Arial" w:cs="Arial" w:eastAsia="Arial" w:hAnsi="Arial"/>
                <w:sz w:val="22"/>
                <w:szCs w:val="22"/>
                <w:color w:val="auto"/>
                <w:w w:val="87"/>
              </w:rPr>
              <w:t>Vesting Term</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22"/>
                <w:szCs w:val="22"/>
                <w:color w:val="auto"/>
              </w:rPr>
              <w:t>Shares</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center"/>
              <w:ind w:right="540"/>
              <w:spacing w:after="0"/>
              <w:rPr>
                <w:sz w:val="20"/>
                <w:szCs w:val="20"/>
                <w:color w:val="auto"/>
              </w:rPr>
            </w:pPr>
            <w:r>
              <w:rPr>
                <w:rFonts w:ascii="Arial" w:cs="Arial" w:eastAsia="Arial" w:hAnsi="Arial"/>
                <w:sz w:val="22"/>
                <w:szCs w:val="22"/>
                <w:color w:val="auto"/>
                <w:w w:val="89"/>
              </w:rPr>
              <w:t>(000’s)</w:t>
            </w:r>
          </w:p>
        </w:tc>
        <w:tc>
          <w:tcPr>
            <w:tcW w:w="2000" w:type="dxa"/>
            <w:vAlign w:val="bottom"/>
            <w:gridSpan w:val="2"/>
          </w:tcPr>
          <w:p>
            <w:pPr>
              <w:jc w:val="center"/>
              <w:ind w:right="100"/>
              <w:spacing w:after="0"/>
              <w:rPr>
                <w:sz w:val="20"/>
                <w:szCs w:val="20"/>
                <w:color w:val="auto"/>
              </w:rPr>
            </w:pPr>
            <w:r>
              <w:rPr>
                <w:rFonts w:ascii="Arial" w:cs="Arial" w:eastAsia="Arial" w:hAnsi="Arial"/>
                <w:sz w:val="22"/>
                <w:szCs w:val="22"/>
                <w:color w:val="auto"/>
                <w:w w:val="89"/>
              </w:rPr>
              <w:t>(in 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2018</w:t>
            </w:r>
          </w:p>
        </w:tc>
        <w:tc>
          <w:tcPr>
            <w:tcW w:w="13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29,415</w:t>
            </w:r>
          </w:p>
        </w:tc>
        <w:tc>
          <w:tcPr>
            <w:tcW w:w="5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94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2,275</w:t>
            </w:r>
          </w:p>
        </w:tc>
        <w:tc>
          <w:tcPr>
            <w:tcW w:w="20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3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94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19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Pr>
          <w:p>
            <w:pPr>
              <w:spacing w:after="0"/>
              <w:rPr>
                <w:sz w:val="20"/>
                <w:szCs w:val="20"/>
                <w:color w:val="auto"/>
              </w:rPr>
            </w:pPr>
            <w:r>
              <w:rPr>
                <w:rFonts w:ascii="Arial" w:cs="Arial" w:eastAsia="Arial" w:hAnsi="Arial"/>
                <w:sz w:val="22"/>
                <w:szCs w:val="22"/>
                <w:color w:val="auto"/>
              </w:rPr>
              <w:t>Vested</w:t>
            </w:r>
          </w:p>
        </w:tc>
        <w:tc>
          <w:tcPr>
            <w:tcW w:w="1340" w:type="dxa"/>
            <w:vAlign w:val="bottom"/>
            <w:gridSpan w:val="2"/>
          </w:tcPr>
          <w:p>
            <w:pPr>
              <w:jc w:val="right"/>
              <w:ind w:right="20"/>
              <w:spacing w:after="0"/>
              <w:rPr>
                <w:sz w:val="20"/>
                <w:szCs w:val="20"/>
                <w:color w:val="auto"/>
              </w:rPr>
            </w:pPr>
            <w:r>
              <w:rPr>
                <w:rFonts w:ascii="Arial" w:cs="Arial" w:eastAsia="Arial" w:hAnsi="Arial"/>
                <w:sz w:val="22"/>
                <w:szCs w:val="22"/>
                <w:color w:val="auto"/>
              </w:rPr>
              <w:t>672</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22"/>
                <w:szCs w:val="22"/>
                <w:color w:val="auto"/>
              </w:rPr>
              <w:t>50</w:t>
            </w: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April 30, 2018</w:t>
            </w:r>
          </w:p>
        </w:tc>
        <w:tc>
          <w:tcPr>
            <w:tcW w:w="13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28,743</w:t>
            </w:r>
          </w:p>
        </w:tc>
        <w:tc>
          <w:tcPr>
            <w:tcW w:w="5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94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2,225</w:t>
            </w:r>
          </w:p>
        </w:tc>
        <w:tc>
          <w:tcPr>
            <w:tcW w:w="20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E5FF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9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above tables include 34,148 and 24,711 non-vested shares at April 30, 2019 and 2018,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recipients who were retirement eligible at the time of grant.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w:t>
      </w:r>
      <w:r>
        <w:rPr>
          <w:rFonts w:ascii="Arial" w:cs="Arial" w:eastAsia="Arial" w:hAnsi="Arial"/>
          <w:sz w:val="22"/>
          <w:szCs w:val="22"/>
          <w:b w:val="1"/>
          <w:bCs w:val="1"/>
          <w:i w:val="1"/>
          <w:iCs w:val="1"/>
          <w:color w:val="auto"/>
        </w:rPr>
        <w:t>. Income Taxes</w:t>
      </w:r>
    </w:p>
    <w:p>
      <w:pPr>
        <w:spacing w:after="0" w:line="21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Historically, the Company recorded its interim tax provision or benefit for income taxes including the three months ended April 30, 2018,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 estimated annual effective tax rate, the historical method would not provide a reliable estimate for the three months ended April 30, 2019. Thus, the Company used a discrete effective tax rate method to calculate the provision or benefit for income taxes for the three months ended April 30, 2019.</w:t>
      </w:r>
    </w:p>
    <w:p>
      <w:pPr>
        <w:spacing w:after="0" w:line="151" w:lineRule="exact"/>
        <w:rPr>
          <w:sz w:val="20"/>
          <w:szCs w:val="20"/>
          <w:color w:val="auto"/>
        </w:rPr>
      </w:pPr>
    </w:p>
    <w:p>
      <w:pPr>
        <w:ind w:right="380" w:firstLine="648"/>
        <w:spacing w:after="0" w:line="238" w:lineRule="auto"/>
        <w:rPr>
          <w:sz w:val="20"/>
          <w:szCs w:val="20"/>
          <w:color w:val="auto"/>
        </w:rPr>
      </w:pPr>
      <w:r>
        <w:rPr>
          <w:rFonts w:ascii="Arial" w:cs="Arial" w:eastAsia="Arial" w:hAnsi="Arial"/>
          <w:sz w:val="22"/>
          <w:szCs w:val="22"/>
          <w:color w:val="auto"/>
        </w:rPr>
        <w:t>The effective tax rate on consolidated pre-tax income was approximately (2,124.6)% and approximately (35.3)% for the three months ended April 30, 2019 and 2018, respectively. The fluctuation in the rate results primarily from the production tax credits the Company expects to receive associated with its refined coal segment relative to lower pre-tax income in fiscal year 2019.</w:t>
      </w:r>
    </w:p>
    <w:p>
      <w:pPr>
        <w:spacing w:after="0" w:line="18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Through its refined coal operation, the Company earns production tax credits pursuant to IRC Section 45. The credits can be used to reduce future income tax liabilities for up to 20 years.</w:t>
      </w:r>
    </w:p>
    <w:p>
      <w:pPr>
        <w:spacing w:after="0" w:line="173"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A reconciliation of the beginning and ending</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amount of unrecognized tax benefits, including interest and penalties, is as follows (amounts in thousands):</w:t>
      </w:r>
    </w:p>
    <w:p>
      <w:pPr>
        <w:spacing w:after="0" w:line="206" w:lineRule="exact"/>
        <w:rPr>
          <w:sz w:val="20"/>
          <w:szCs w:val="20"/>
          <w:color w:val="auto"/>
        </w:rPr>
      </w:pPr>
    </w:p>
    <w:p>
      <w:pPr>
        <w:jc w:val="center"/>
        <w:ind w:left="2320"/>
        <w:spacing w:after="0"/>
        <w:rPr>
          <w:sz w:val="20"/>
          <w:szCs w:val="20"/>
          <w:color w:val="auto"/>
        </w:rPr>
      </w:pPr>
      <w:r>
        <w:rPr>
          <w:rFonts w:ascii="Arial" w:cs="Arial" w:eastAsia="Arial" w:hAnsi="Arial"/>
          <w:sz w:val="22"/>
          <w:szCs w:val="22"/>
          <w:color w:val="auto"/>
        </w:rPr>
        <w:t>Three Months Ended</w:t>
      </w:r>
    </w:p>
    <w:p>
      <w:pPr>
        <w:spacing w:after="0" w:line="8" w:lineRule="exact"/>
        <w:rPr>
          <w:sz w:val="20"/>
          <w:szCs w:val="20"/>
          <w:color w:val="auto"/>
        </w:rPr>
      </w:pPr>
    </w:p>
    <w:p>
      <w:pPr>
        <w:jc w:val="center"/>
        <w:ind w:left="2320"/>
        <w:spacing w:after="0"/>
        <w:rPr>
          <w:sz w:val="20"/>
          <w:szCs w:val="20"/>
          <w:color w:val="auto"/>
        </w:rPr>
      </w:pPr>
      <w:r>
        <w:rPr>
          <w:rFonts w:ascii="Arial" w:cs="Arial" w:eastAsia="Arial" w:hAnsi="Arial"/>
          <w:sz w:val="22"/>
          <w:szCs w:val="22"/>
          <w:color w:val="auto"/>
        </w:rPr>
        <w:t>April 30,</w:t>
      </w:r>
    </w:p>
    <w:p>
      <w:pPr>
        <w:spacing w:after="0" w:line="4" w:lineRule="exact"/>
        <w:rPr>
          <w:sz w:val="20"/>
          <w:szCs w:val="20"/>
          <w:color w:val="auto"/>
        </w:rPr>
      </w:pPr>
    </w:p>
    <w:p>
      <w:pPr>
        <w:ind w:left="6060"/>
        <w:spacing w:after="0"/>
        <w:tabs>
          <w:tab w:leader="none" w:pos="7240" w:val="left"/>
        </w:tabs>
        <w:rPr>
          <w:sz w:val="20"/>
          <w:szCs w:val="20"/>
          <w:color w:val="auto"/>
        </w:rPr>
      </w:pPr>
      <w:r>
        <w:rPr>
          <w:rFonts w:ascii="Arial" w:cs="Arial" w:eastAsia="Arial" w:hAnsi="Arial"/>
          <w:sz w:val="22"/>
          <w:szCs w:val="22"/>
          <w:color w:val="auto"/>
        </w:rPr>
        <w:t>2019</w:t>
      </w:r>
      <w:r>
        <w:rPr>
          <w:sz w:val="20"/>
          <w:szCs w:val="20"/>
          <w:color w:val="auto"/>
        </w:rPr>
        <w:tab/>
      </w:r>
      <w:r>
        <w:rPr>
          <w:rFonts w:ascii="Arial" w:cs="Arial" w:eastAsia="Arial" w:hAnsi="Arial"/>
          <w:sz w:val="22"/>
          <w:szCs w:val="22"/>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wp:posOffset>
            </wp:positionV>
            <wp:extent cx="13379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60" w:type="dxa"/>
            <w:vAlign w:val="bottom"/>
            <w:shd w:val="clear" w:color="auto" w:fill="E5FFFF"/>
          </w:tcPr>
          <w:p>
            <w:pPr>
              <w:spacing w:after="0"/>
              <w:rPr>
                <w:sz w:val="20"/>
                <w:szCs w:val="20"/>
                <w:color w:val="auto"/>
              </w:rPr>
            </w:pPr>
            <w:r>
              <w:rPr>
                <w:rFonts w:ascii="Arial" w:cs="Arial" w:eastAsia="Arial" w:hAnsi="Arial"/>
                <w:sz w:val="22"/>
                <w:szCs w:val="22"/>
                <w:color w:val="auto"/>
              </w:rPr>
              <w:t>Unrecognized tax benefits, beginning of period</w:t>
            </w:r>
          </w:p>
        </w:tc>
        <w:tc>
          <w:tcPr>
            <w:tcW w:w="1120" w:type="dxa"/>
            <w:vAlign w:val="bottom"/>
            <w:gridSpan w:val="2"/>
            <w:shd w:val="clear" w:color="auto" w:fill="E5FFFF"/>
          </w:tcPr>
          <w:p>
            <w:pPr>
              <w:jc w:val="right"/>
              <w:ind w:right="63"/>
              <w:spacing w:after="0"/>
              <w:rPr>
                <w:sz w:val="20"/>
                <w:szCs w:val="20"/>
                <w:color w:val="auto"/>
              </w:rPr>
            </w:pPr>
            <w:r>
              <w:rPr>
                <w:rFonts w:ascii="Arial" w:cs="Arial" w:eastAsia="Arial" w:hAnsi="Arial"/>
                <w:sz w:val="22"/>
                <w:szCs w:val="22"/>
                <w:color w:val="auto"/>
              </w:rPr>
              <w:t>$</w:t>
            </w:r>
          </w:p>
        </w:tc>
        <w:tc>
          <w:tcPr>
            <w:tcW w:w="940" w:type="dxa"/>
            <w:vAlign w:val="bottom"/>
            <w:gridSpan w:val="2"/>
            <w:shd w:val="clear" w:color="auto" w:fill="E5FFFF"/>
          </w:tcPr>
          <w:p>
            <w:pPr>
              <w:jc w:val="right"/>
              <w:ind w:right="300"/>
              <w:spacing w:after="0"/>
              <w:rPr>
                <w:sz w:val="20"/>
                <w:szCs w:val="20"/>
                <w:color w:val="auto"/>
              </w:rPr>
            </w:pPr>
            <w:r>
              <w:rPr>
                <w:rFonts w:ascii="Arial" w:cs="Arial" w:eastAsia="Arial" w:hAnsi="Arial"/>
                <w:sz w:val="22"/>
                <w:szCs w:val="22"/>
                <w:color w:val="auto"/>
              </w:rPr>
              <w:t>9,232</w:t>
            </w:r>
          </w:p>
        </w:tc>
        <w:tc>
          <w:tcPr>
            <w:tcW w:w="260" w:type="dxa"/>
            <w:vAlign w:val="bottom"/>
            <w:gridSpan w:val="2"/>
            <w:shd w:val="clear" w:color="auto" w:fill="E5FFFF"/>
          </w:tcPr>
          <w:p>
            <w:pPr>
              <w:jc w:val="right"/>
              <w:ind w:right="84"/>
              <w:spacing w:after="0"/>
              <w:rPr>
                <w:sz w:val="20"/>
                <w:szCs w:val="20"/>
                <w:color w:val="auto"/>
              </w:rPr>
            </w:pPr>
            <w:r>
              <w:rPr>
                <w:rFonts w:ascii="Arial" w:cs="Arial" w:eastAsia="Arial" w:hAnsi="Arial"/>
                <w:sz w:val="19"/>
                <w:szCs w:val="19"/>
                <w:color w:val="auto"/>
                <w:w w:val="75"/>
              </w:rPr>
              <w:t>$</w:t>
            </w:r>
          </w:p>
        </w:tc>
        <w:tc>
          <w:tcPr>
            <w:tcW w:w="66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2,325</w:t>
            </w:r>
          </w:p>
        </w:tc>
        <w:tc>
          <w:tcPr>
            <w:tcW w:w="40" w:type="dxa"/>
            <w:vAlign w:val="bottom"/>
            <w:shd w:val="clear" w:color="auto" w:fill="E5FFFF"/>
          </w:tcPr>
          <w:p>
            <w:pPr>
              <w:spacing w:after="0"/>
              <w:rPr>
                <w:sz w:val="21"/>
                <w:szCs w:val="21"/>
                <w:color w:val="auto"/>
              </w:rPr>
            </w:pPr>
          </w:p>
        </w:tc>
      </w:tr>
      <w:tr>
        <w:trPr>
          <w:trHeight w:val="243"/>
        </w:trPr>
        <w:tc>
          <w:tcPr>
            <w:tcW w:w="4960" w:type="dxa"/>
            <w:vAlign w:val="bottom"/>
          </w:tcPr>
          <w:p>
            <w:pPr>
              <w:spacing w:after="0" w:line="243" w:lineRule="exact"/>
              <w:rPr>
                <w:sz w:val="20"/>
                <w:szCs w:val="20"/>
                <w:color w:val="auto"/>
              </w:rPr>
            </w:pPr>
            <w:r>
              <w:rPr>
                <w:rFonts w:ascii="Arial" w:cs="Arial" w:eastAsia="Arial" w:hAnsi="Arial"/>
                <w:sz w:val="22"/>
                <w:szCs w:val="22"/>
                <w:color w:val="auto"/>
              </w:rPr>
              <w:t>Changes for prior years’ tax positions</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66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809</w:t>
            </w:r>
          </w:p>
        </w:tc>
        <w:tc>
          <w:tcPr>
            <w:tcW w:w="40" w:type="dxa"/>
            <w:vAlign w:val="bottom"/>
          </w:tcPr>
          <w:p>
            <w:pPr>
              <w:spacing w:after="0"/>
              <w:rPr>
                <w:sz w:val="21"/>
                <w:szCs w:val="21"/>
                <w:color w:val="auto"/>
              </w:rPr>
            </w:pPr>
          </w:p>
        </w:tc>
      </w:tr>
      <w:tr>
        <w:trPr>
          <w:trHeight w:val="257"/>
        </w:trPr>
        <w:tc>
          <w:tcPr>
            <w:tcW w:w="4960" w:type="dxa"/>
            <w:vAlign w:val="bottom"/>
            <w:shd w:val="clear" w:color="auto" w:fill="E5FFFF"/>
          </w:tcPr>
          <w:p>
            <w:pPr>
              <w:spacing w:after="0"/>
              <w:rPr>
                <w:sz w:val="20"/>
                <w:szCs w:val="20"/>
                <w:color w:val="auto"/>
              </w:rPr>
            </w:pPr>
            <w:r>
              <w:rPr>
                <w:rFonts w:ascii="Arial" w:cs="Arial" w:eastAsia="Arial" w:hAnsi="Arial"/>
                <w:sz w:val="22"/>
                <w:szCs w:val="22"/>
                <w:color w:val="auto"/>
              </w:rPr>
              <w:t>Changes for current year tax positions</w:t>
            </w:r>
          </w:p>
        </w:tc>
        <w:tc>
          <w:tcPr>
            <w:tcW w:w="86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940" w:type="dxa"/>
            <w:vAlign w:val="bottom"/>
            <w:gridSpan w:val="2"/>
            <w:shd w:val="clear" w:color="auto" w:fill="E5FFFF"/>
          </w:tcPr>
          <w:p>
            <w:pPr>
              <w:jc w:val="right"/>
              <w:ind w:right="300"/>
              <w:spacing w:after="0"/>
              <w:rPr>
                <w:sz w:val="20"/>
                <w:szCs w:val="20"/>
                <w:color w:val="auto"/>
              </w:rPr>
            </w:pPr>
            <w:r>
              <w:rPr>
                <w:rFonts w:ascii="Arial" w:cs="Arial" w:eastAsia="Arial" w:hAnsi="Arial"/>
                <w:sz w:val="22"/>
                <w:szCs w:val="22"/>
                <w:color w:val="auto"/>
              </w:rPr>
              <w:t>138</w:t>
            </w:r>
          </w:p>
        </w:tc>
        <w:tc>
          <w:tcPr>
            <w:tcW w:w="2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66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w:t>
            </w:r>
          </w:p>
        </w:tc>
        <w:tc>
          <w:tcPr>
            <w:tcW w:w="40" w:type="dxa"/>
            <w:vAlign w:val="bottom"/>
            <w:shd w:val="clear" w:color="auto" w:fill="E5FFFF"/>
          </w:tcPr>
          <w:p>
            <w:pPr>
              <w:spacing w:after="0"/>
              <w:rPr>
                <w:sz w:val="22"/>
                <w:szCs w:val="22"/>
                <w:color w:val="auto"/>
              </w:rPr>
            </w:pPr>
          </w:p>
        </w:tc>
      </w:tr>
      <w:tr>
        <w:trPr>
          <w:trHeight w:val="237"/>
        </w:trPr>
        <w:tc>
          <w:tcPr>
            <w:tcW w:w="4960" w:type="dxa"/>
            <w:vAlign w:val="bottom"/>
          </w:tcPr>
          <w:p>
            <w:pPr>
              <w:spacing w:after="0" w:line="237" w:lineRule="exact"/>
              <w:rPr>
                <w:sz w:val="20"/>
                <w:szCs w:val="20"/>
                <w:color w:val="auto"/>
              </w:rPr>
            </w:pPr>
            <w:r>
              <w:rPr>
                <w:rFonts w:ascii="Arial" w:cs="Arial" w:eastAsia="Arial" w:hAnsi="Arial"/>
                <w:sz w:val="22"/>
                <w:szCs w:val="22"/>
                <w:color w:val="auto"/>
              </w:rPr>
              <w:t>Unrecognized tax benefits, end of period</w:t>
            </w:r>
          </w:p>
        </w:tc>
        <w:tc>
          <w:tcPr>
            <w:tcW w:w="8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6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9,436</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3,134</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5" w:lineRule="exact"/>
        <w:rPr>
          <w:sz w:val="20"/>
          <w:szCs w:val="20"/>
          <w:color w:val="auto"/>
        </w:rPr>
      </w:pPr>
    </w:p>
    <w:p>
      <w:pPr>
        <w:ind w:right="920" w:firstLine="648"/>
        <w:spacing w:after="0" w:line="251" w:lineRule="auto"/>
        <w:rPr>
          <w:sz w:val="20"/>
          <w:szCs w:val="20"/>
          <w:color w:val="auto"/>
        </w:rPr>
      </w:pPr>
      <w:r>
        <w:rPr>
          <w:rFonts w:ascii="Arial" w:cs="Arial" w:eastAsia="Arial" w:hAnsi="Arial"/>
          <w:sz w:val="22"/>
          <w:szCs w:val="22"/>
          <w:color w:val="auto"/>
        </w:rPr>
        <w:t>The Company expects to claim research and experimentation credits in the current year and certain prior years. In connection with this, the Company has increased the amount of unrecognized tax benefits.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w:t>
      </w:r>
      <w:r>
        <w:rPr>
          <w:rFonts w:ascii="Arial" w:cs="Arial" w:eastAsia="Arial" w:hAnsi="Arial"/>
          <w:sz w:val="22"/>
          <w:szCs w:val="22"/>
          <w:b w:val="1"/>
          <w:bCs w:val="1"/>
          <w:i w:val="1"/>
          <w:iCs w:val="1"/>
          <w:color w:val="auto"/>
        </w:rPr>
        <w:t>Commitments and Contingencies</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The Company is involved in various legal actions arising in the normal course of business. After taking into consideration legal counsels’ evaluations of such actions, management is of the opinion that their outcome will not have a material adverse effect on the Company’s Consolidated Condensed Financial Statements.</w:t>
      </w:r>
    </w:p>
    <w:p>
      <w:pPr>
        <w:spacing w:after="0" w:line="186" w:lineRule="exact"/>
        <w:rPr>
          <w:sz w:val="20"/>
          <w:szCs w:val="20"/>
          <w:color w:val="auto"/>
        </w:rPr>
      </w:pPr>
    </w:p>
    <w:p>
      <w:pPr>
        <w:ind w:right="600" w:firstLine="648"/>
        <w:spacing w:after="0" w:line="274" w:lineRule="auto"/>
        <w:rPr>
          <w:sz w:val="20"/>
          <w:szCs w:val="20"/>
          <w:color w:val="auto"/>
        </w:rPr>
      </w:pPr>
      <w:r>
        <w:rPr>
          <w:rFonts w:ascii="Arial" w:cs="Arial" w:eastAsia="Arial" w:hAnsi="Arial"/>
          <w:sz w:val="21"/>
          <w:szCs w:val="21"/>
          <w:color w:val="auto"/>
        </w:rPr>
        <w:t>One Earth and NuGen have combined forward purchase contracts for approximately 11.2 million bushels of corn, the principal raw material for their ethanol plants. They expect to take delivery of the grain through July 2019.</w:t>
      </w:r>
    </w:p>
    <w:p>
      <w:pPr>
        <w:spacing w:after="0" w:line="151" w:lineRule="exact"/>
        <w:rPr>
          <w:sz w:val="20"/>
          <w:szCs w:val="20"/>
          <w:color w:val="auto"/>
        </w:rPr>
      </w:pPr>
    </w:p>
    <w:p>
      <w:pPr>
        <w:ind w:right="640" w:firstLine="648"/>
        <w:spacing w:after="0" w:line="251" w:lineRule="auto"/>
        <w:rPr>
          <w:sz w:val="20"/>
          <w:szCs w:val="20"/>
          <w:color w:val="auto"/>
        </w:rPr>
      </w:pPr>
      <w:r>
        <w:rPr>
          <w:rFonts w:ascii="Arial" w:cs="Arial" w:eastAsia="Arial" w:hAnsi="Arial"/>
          <w:sz w:val="22"/>
          <w:szCs w:val="22"/>
          <w:color w:val="auto"/>
        </w:rPr>
        <w:t>One Earth and NuGen have combined forward purchase contracts for approximately 388,000 Mmbtu (million british thermal units) of natural gas. They expect to take delivery of the natural gas through June 2019.</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One Earth and NuGen have combined sales commitments for approximately 45.2 million gallons of ethanol, approximately 65,000 tons of distillers grains and approximately 18.5 million pounds of non-food grade corn oil. They expect to deliver a majority of the ethanol, distillers grains and non-food grade corn oil through July 2019.</w:t>
      </w:r>
    </w:p>
    <w:p>
      <w:pPr>
        <w:spacing w:after="0" w:line="186" w:lineRule="exact"/>
        <w:rPr>
          <w:sz w:val="20"/>
          <w:szCs w:val="20"/>
          <w:color w:val="auto"/>
        </w:rPr>
      </w:pPr>
    </w:p>
    <w:p>
      <w:pPr>
        <w:jc w:val="both"/>
        <w:ind w:right="260" w:firstLine="648"/>
        <w:spacing w:after="0" w:line="297" w:lineRule="auto"/>
        <w:rPr>
          <w:sz w:val="20"/>
          <w:szCs w:val="20"/>
          <w:color w:val="auto"/>
        </w:rPr>
      </w:pPr>
      <w:r>
        <w:rPr>
          <w:rFonts w:ascii="Arial" w:cs="Arial" w:eastAsia="Arial" w:hAnsi="Arial"/>
          <w:sz w:val="19"/>
          <w:szCs w:val="19"/>
          <w:color w:val="auto"/>
        </w:rPr>
        <w:t>The refined coal entity has various agreements (site license, operating agreements, etc.) containing payment terms based upon production of refined coal under which the Company is required to pay various fees. These fees totaled approximately $1.5 million and approximately $1.8 million in the first three months of fiscal year 2019 and 2018,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w:t>
      </w:r>
      <w:r>
        <w:rPr>
          <w:rFonts w:ascii="Arial" w:cs="Arial" w:eastAsia="Arial" w:hAnsi="Arial"/>
          <w:sz w:val="22"/>
          <w:szCs w:val="22"/>
          <w:b w:val="1"/>
          <w:bCs w:val="1"/>
          <w:i w:val="1"/>
          <w:iCs w:val="1"/>
          <w:color w:val="auto"/>
        </w:rPr>
        <w:t>Related-Party Transactions</w:t>
      </w:r>
    </w:p>
    <w:p>
      <w:pPr>
        <w:spacing w:after="0" w:line="212"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During the first quarters of fiscal years 2019 and 2018, One Earth and NuGen purchased approximately $46.7 million and approximately $46.1 million, respectively, of corn from minority equity investors and board members of those subsidiaries. The Company had amounts payable to related parties for corn purchases of approximately $1.7 million and approximately $1.9 million at April 30, 2019 and January 31, 2019, respectively.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0" w:name="page21"/>
    <w:bookmarkEnd w:id="20"/>
    <w:p>
      <w:pPr>
        <w:ind w:right="160" w:firstLine="648"/>
        <w:spacing w:after="0" w:line="287" w:lineRule="auto"/>
        <w:rPr>
          <w:sz w:val="20"/>
          <w:szCs w:val="20"/>
          <w:color w:val="auto"/>
        </w:rPr>
      </w:pPr>
      <w:r>
        <w:rPr>
          <w:rFonts w:ascii="Arial" w:cs="Arial" w:eastAsia="Arial" w:hAnsi="Arial"/>
          <w:sz w:val="19"/>
          <w:szCs w:val="19"/>
          <w:color w:val="auto"/>
        </w:rPr>
        <w:t>During each of the first quarters of fiscal years 2019 and 2018, the Company recognized commission expense of approximately $0.1 million, payable to the minority investor in the refined coal entity. The commission expense is associated with the refined coal acquisition. The Company had accrued liabilities and accounts payable related to the commission expense of approximately $1.4 million and approximately $1.6 million at April 30, 2019 and January 31, 2019,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Segment Reporting</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The Company has two segments: ethanol and by-products and refined coal. The Company evaluates the performance of each reportable segment based on segment profit. The following table summarizes segment and other results and assets (amounts in thousands):</w:t>
      </w:r>
    </w:p>
    <w:p>
      <w:pPr>
        <w:spacing w:after="0" w:line="186" w:lineRule="exact"/>
        <w:rPr>
          <w:sz w:val="20"/>
          <w:szCs w:val="20"/>
          <w:color w:val="auto"/>
        </w:rPr>
      </w:pPr>
    </w:p>
    <w:p>
      <w:pPr>
        <w:jc w:val="center"/>
        <w:ind w:left="2320"/>
        <w:spacing w:after="0"/>
        <w:rPr>
          <w:sz w:val="20"/>
          <w:szCs w:val="20"/>
          <w:color w:val="auto"/>
        </w:rPr>
      </w:pPr>
      <w:r>
        <w:rPr>
          <w:rFonts w:ascii="Arial" w:cs="Arial" w:eastAsia="Arial" w:hAnsi="Arial"/>
          <w:sz w:val="22"/>
          <w:szCs w:val="22"/>
          <w:color w:val="auto"/>
        </w:rPr>
        <w:t>Three Months Ended</w:t>
      </w:r>
    </w:p>
    <w:p>
      <w:pPr>
        <w:spacing w:after="0" w:line="8" w:lineRule="exact"/>
        <w:rPr>
          <w:sz w:val="20"/>
          <w:szCs w:val="20"/>
          <w:color w:val="auto"/>
        </w:rPr>
      </w:pPr>
    </w:p>
    <w:p>
      <w:pPr>
        <w:jc w:val="center"/>
        <w:ind w:left="2320"/>
        <w:spacing w:after="0"/>
        <w:rPr>
          <w:sz w:val="20"/>
          <w:szCs w:val="20"/>
          <w:color w:val="auto"/>
        </w:rPr>
      </w:pPr>
      <w:r>
        <w:rPr>
          <w:rFonts w:ascii="Arial" w:cs="Arial" w:eastAsia="Arial" w:hAnsi="Arial"/>
          <w:sz w:val="22"/>
          <w:szCs w:val="22"/>
          <w:color w:val="auto"/>
        </w:rPr>
        <w:t>April 30,</w:t>
      </w:r>
    </w:p>
    <w:p>
      <w:pPr>
        <w:ind w:left="6060"/>
        <w:spacing w:after="0" w:line="237" w:lineRule="auto"/>
        <w:tabs>
          <w:tab w:leader="none" w:pos="7240" w:val="left"/>
        </w:tabs>
        <w:rPr>
          <w:sz w:val="20"/>
          <w:szCs w:val="20"/>
          <w:color w:val="auto"/>
        </w:rPr>
      </w:pPr>
      <w:r>
        <w:rPr>
          <w:rFonts w:ascii="Arial" w:cs="Arial" w:eastAsia="Arial" w:hAnsi="Arial"/>
          <w:sz w:val="22"/>
          <w:szCs w:val="22"/>
          <w:color w:val="auto"/>
        </w:rPr>
        <w:t>2019</w:t>
      </w:r>
      <w:r>
        <w:rPr>
          <w:sz w:val="20"/>
          <w:szCs w:val="20"/>
          <w:color w:val="auto"/>
        </w:rPr>
        <w:tab/>
      </w:r>
      <w:r>
        <w:rPr>
          <w:rFonts w:ascii="Arial" w:cs="Arial" w:eastAsia="Arial" w:hAnsi="Arial"/>
          <w:sz w:val="22"/>
          <w:szCs w:val="22"/>
          <w:color w:val="auto"/>
        </w:rPr>
        <w:t>2018</w:t>
      </w:r>
    </w:p>
    <w:tbl>
      <w:tblPr>
        <w:tblLayout w:type="fixed"/>
        <w:tblInd w:w="0" w:type="dxa"/>
        <w:tblCellMar>
          <w:top w:w="0" w:type="dxa"/>
          <w:left w:w="0" w:type="dxa"/>
          <w:bottom w:w="0" w:type="dxa"/>
          <w:right w:w="0" w:type="dxa"/>
        </w:tblCellMar>
      </w:tblPr>
      <w:tr>
        <w:trPr>
          <w:trHeight w:val="237"/>
        </w:trPr>
        <w:tc>
          <w:tcPr>
            <w:tcW w:w="408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1740" w:type="dxa"/>
            <w:vAlign w:val="bottom"/>
            <w:tcBorders>
              <w:top w:val="single" w:sz="8" w:color="E5FFFF"/>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spacing w:after="0"/>
              <w:rPr>
                <w:sz w:val="20"/>
                <w:szCs w:val="20"/>
                <w:color w:val="auto"/>
              </w:rPr>
            </w:pPr>
          </w:p>
        </w:tc>
        <w:tc>
          <w:tcPr>
            <w:tcW w:w="30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88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40" w:type="dxa"/>
            <w:vAlign w:val="bottom"/>
            <w:tcBorders>
              <w:top w:val="single" w:sz="8" w:color="E5FFFF"/>
            </w:tcBorders>
            <w:shd w:val="clear" w:color="auto" w:fill="E5FFFF"/>
          </w:tcPr>
          <w:p>
            <w:pPr>
              <w:spacing w:after="0"/>
              <w:rPr>
                <w:sz w:val="20"/>
                <w:szCs w:val="20"/>
                <w:color w:val="auto"/>
              </w:rPr>
            </w:pPr>
          </w:p>
        </w:tc>
      </w:tr>
      <w:tr>
        <w:trPr>
          <w:trHeight w:val="243"/>
        </w:trPr>
        <w:tc>
          <w:tcPr>
            <w:tcW w:w="40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2940" w:type="dxa"/>
            <w:vAlign w:val="bottom"/>
            <w:gridSpan w:val="3"/>
          </w:tcPr>
          <w:p>
            <w:pPr>
              <w:jc w:val="right"/>
              <w:ind w:right="300"/>
              <w:spacing w:after="0" w:line="243" w:lineRule="exact"/>
              <w:rPr>
                <w:sz w:val="20"/>
                <w:szCs w:val="20"/>
                <w:color w:val="auto"/>
              </w:rPr>
            </w:pPr>
            <w:r>
              <w:rPr>
                <w:rFonts w:ascii="Arial" w:cs="Arial" w:eastAsia="Arial" w:hAnsi="Arial"/>
                <w:sz w:val="22"/>
                <w:szCs w:val="22"/>
                <w:color w:val="auto"/>
              </w:rPr>
              <w:t>$ 104,453</w:t>
            </w:r>
          </w:p>
        </w:tc>
        <w:tc>
          <w:tcPr>
            <w:tcW w:w="9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w w:val="89"/>
              </w:rPr>
              <w:t>$ 120,680</w:t>
            </w:r>
          </w:p>
        </w:tc>
        <w:tc>
          <w:tcPr>
            <w:tcW w:w="40" w:type="dxa"/>
            <w:vAlign w:val="bottom"/>
          </w:tcPr>
          <w:p>
            <w:pPr>
              <w:spacing w:after="0"/>
              <w:rPr>
                <w:sz w:val="21"/>
                <w:szCs w:val="21"/>
                <w:color w:val="auto"/>
              </w:rPr>
            </w:pPr>
          </w:p>
        </w:tc>
      </w:tr>
      <w:tr>
        <w:trPr>
          <w:trHeight w:val="311"/>
        </w:trPr>
        <w:tc>
          <w:tcPr>
            <w:tcW w:w="408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6"/>
                <w:szCs w:val="36"/>
                <w:color w:val="auto"/>
                <w:vertAlign w:val="superscript"/>
              </w:rPr>
              <w:t>1</w:t>
            </w:r>
          </w:p>
        </w:tc>
        <w:tc>
          <w:tcPr>
            <w:tcW w:w="2940" w:type="dxa"/>
            <w:vAlign w:val="bottom"/>
            <w:gridSpan w:val="3"/>
            <w:shd w:val="clear" w:color="auto" w:fill="E5FFFF"/>
          </w:tcPr>
          <w:p>
            <w:pPr>
              <w:jc w:val="right"/>
              <w:ind w:right="300"/>
              <w:spacing w:after="0"/>
              <w:rPr>
                <w:sz w:val="20"/>
                <w:szCs w:val="20"/>
                <w:color w:val="auto"/>
              </w:rPr>
            </w:pPr>
            <w:r>
              <w:rPr>
                <w:rFonts w:ascii="Arial" w:cs="Arial" w:eastAsia="Arial" w:hAnsi="Arial"/>
                <w:sz w:val="22"/>
                <w:szCs w:val="22"/>
                <w:color w:val="auto"/>
              </w:rPr>
              <w:t>122</w:t>
            </w:r>
          </w:p>
        </w:tc>
        <w:tc>
          <w:tcPr>
            <w:tcW w:w="920" w:type="dxa"/>
            <w:vAlign w:val="bottom"/>
            <w:gridSpan w:val="3"/>
            <w:shd w:val="clear" w:color="auto" w:fill="E5FFFF"/>
          </w:tcPr>
          <w:p>
            <w:pPr>
              <w:jc w:val="right"/>
              <w:ind w:right="20"/>
              <w:spacing w:after="0"/>
              <w:rPr>
                <w:sz w:val="20"/>
                <w:szCs w:val="20"/>
                <w:color w:val="auto"/>
              </w:rPr>
            </w:pPr>
            <w:r>
              <w:rPr>
                <w:rFonts w:ascii="Arial" w:cs="Arial" w:eastAsia="Arial" w:hAnsi="Arial"/>
                <w:sz w:val="22"/>
                <w:szCs w:val="22"/>
                <w:color w:val="auto"/>
              </w:rPr>
              <w:t>140</w:t>
            </w:r>
          </w:p>
        </w:tc>
        <w:tc>
          <w:tcPr>
            <w:tcW w:w="40" w:type="dxa"/>
            <w:vAlign w:val="bottom"/>
            <w:shd w:val="clear" w:color="auto" w:fill="E5FFFF"/>
          </w:tcPr>
          <w:p>
            <w:pPr>
              <w:spacing w:after="0"/>
              <w:rPr>
                <w:sz w:val="24"/>
                <w:szCs w:val="24"/>
                <w:color w:val="auto"/>
              </w:rPr>
            </w:pPr>
          </w:p>
        </w:tc>
      </w:tr>
      <w:tr>
        <w:trPr>
          <w:trHeight w:val="250"/>
        </w:trPr>
        <w:tc>
          <w:tcPr>
            <w:tcW w:w="408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174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9"/>
              </w:rPr>
              <w:t>$ 104,575</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7"/>
              </w:rPr>
              <w:t>$ 120,820</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9" w:lineRule="exact"/>
        <w:rPr>
          <w:sz w:val="20"/>
          <w:szCs w:val="20"/>
          <w:color w:val="auto"/>
        </w:rPr>
      </w:pPr>
    </w:p>
    <w:p>
      <w:pPr>
        <w:ind w:right="780" w:firstLine="656"/>
        <w:spacing w:after="0" w:line="186" w:lineRule="auto"/>
        <w:tabs>
          <w:tab w:leader="none" w:pos="842" w:val="left"/>
        </w:tabs>
        <w:numPr>
          <w:ilvl w:val="0"/>
          <w:numId w:val="6"/>
        </w:numPr>
        <w:rPr>
          <w:rFonts w:ascii="Arial" w:cs="Arial" w:eastAsia="Arial" w:hAnsi="Arial"/>
          <w:sz w:val="36"/>
          <w:szCs w:val="36"/>
          <w:color w:val="auto"/>
          <w:vertAlign w:val="superscript"/>
        </w:rPr>
      </w:pPr>
      <w:r>
        <w:rPr>
          <w:rFonts w:ascii="Arial" w:cs="Arial" w:eastAsia="Arial" w:hAnsi="Arial"/>
          <w:sz w:val="22"/>
          <w:szCs w:val="22"/>
          <w:color w:val="auto"/>
        </w:rPr>
        <w:t>The Company records sales in the refined coal segment net of the cost of coal as the Company purchases the coal feedstock from the customer to which refined coal is sold.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380" w:type="dxa"/>
            <w:vAlign w:val="bottom"/>
            <w:shd w:val="clear" w:color="auto" w:fill="E5FFFF"/>
          </w:tcPr>
          <w:p>
            <w:pPr>
              <w:spacing w:after="0"/>
              <w:rPr>
                <w:sz w:val="20"/>
                <w:szCs w:val="20"/>
                <w:color w:val="auto"/>
              </w:rPr>
            </w:pPr>
            <w:r>
              <w:rPr>
                <w:rFonts w:ascii="Arial" w:cs="Arial" w:eastAsia="Arial" w:hAnsi="Arial"/>
                <w:sz w:val="22"/>
                <w:szCs w:val="22"/>
                <w:color w:val="auto"/>
              </w:rPr>
              <w:t>Segment gross profit (loss):</w:t>
            </w:r>
          </w:p>
        </w:tc>
        <w:tc>
          <w:tcPr>
            <w:tcW w:w="14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tcBorders>
              <w:right w:val="single" w:sz="8" w:color="E5FFFF"/>
            </w:tcBorders>
            <w:shd w:val="clear" w:color="auto" w:fill="E5FFFF"/>
          </w:tcPr>
          <w:p>
            <w:pPr>
              <w:spacing w:after="0"/>
              <w:rPr>
                <w:sz w:val="21"/>
                <w:szCs w:val="21"/>
                <w:color w:val="auto"/>
              </w:rPr>
            </w:pP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6,115</w:t>
            </w:r>
          </w:p>
        </w:tc>
        <w:tc>
          <w:tcPr>
            <w:tcW w:w="3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13,546</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14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60" w:type="dxa"/>
            <w:vAlign w:val="bottom"/>
            <w:gridSpan w:val="2"/>
            <w:shd w:val="clear" w:color="auto" w:fill="E5FFFF"/>
          </w:tcPr>
          <w:p>
            <w:pPr>
              <w:jc w:val="right"/>
              <w:ind w:right="140"/>
              <w:spacing w:after="0"/>
              <w:rPr>
                <w:sz w:val="20"/>
                <w:szCs w:val="20"/>
                <w:color w:val="auto"/>
              </w:rPr>
            </w:pPr>
            <w:r>
              <w:rPr>
                <w:rFonts w:ascii="Arial" w:cs="Arial" w:eastAsia="Arial" w:hAnsi="Arial"/>
                <w:sz w:val="22"/>
                <w:szCs w:val="22"/>
                <w:color w:val="auto"/>
              </w:rPr>
              <w:t>(2,469)</w:t>
            </w:r>
          </w:p>
        </w:tc>
        <w:tc>
          <w:tcPr>
            <w:tcW w:w="16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22"/>
                <w:szCs w:val="22"/>
                <w:color w:val="auto"/>
              </w:rPr>
              <w:t>(2,695)</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Pr>
          <w:p>
            <w:pPr>
              <w:spacing w:after="0" w:line="250" w:lineRule="exact"/>
              <w:rPr>
                <w:sz w:val="20"/>
                <w:szCs w:val="20"/>
                <w:color w:val="auto"/>
              </w:rPr>
            </w:pPr>
            <w:r>
              <w:rPr>
                <w:rFonts w:ascii="Arial" w:cs="Arial" w:eastAsia="Arial" w:hAnsi="Arial"/>
                <w:sz w:val="22"/>
                <w:szCs w:val="22"/>
                <w:color w:val="auto"/>
              </w:rPr>
              <w:t>Total gross profit</w:t>
            </w:r>
          </w:p>
        </w:tc>
        <w:tc>
          <w:tcPr>
            <w:tcW w:w="14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3,646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10,851</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(loss) before income taxes:</w:t>
            </w:r>
          </w:p>
        </w:tc>
        <w:tc>
          <w:tcPr>
            <w:tcW w:w="14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tcBorders>
              <w:right w:val="single" w:sz="8" w:color="E5FFFF"/>
            </w:tcBorders>
            <w:shd w:val="clear" w:color="auto" w:fill="E5FFFF"/>
          </w:tcPr>
          <w:p>
            <w:pPr>
              <w:spacing w:after="0"/>
              <w:rPr>
                <w:sz w:val="21"/>
                <w:szCs w:val="21"/>
                <w:color w:val="auto"/>
              </w:rPr>
            </w:pP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3,205</w:t>
            </w:r>
          </w:p>
        </w:tc>
        <w:tc>
          <w:tcPr>
            <w:tcW w:w="3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11,009</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4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(2,676)</w:t>
            </w:r>
          </w:p>
        </w:tc>
        <w:tc>
          <w:tcPr>
            <w:tcW w:w="1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(2,859)</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tcPr>
          <w:p>
            <w:pPr>
              <w:spacing w:after="0"/>
              <w:rPr>
                <w:sz w:val="20"/>
                <w:szCs w:val="20"/>
                <w:color w:val="auto"/>
              </w:rPr>
            </w:pPr>
            <w:r>
              <w:rPr>
                <w:rFonts w:ascii="Arial" w:cs="Arial" w:eastAsia="Arial" w:hAnsi="Arial"/>
                <w:sz w:val="22"/>
                <w:szCs w:val="22"/>
                <w:color w:val="auto"/>
              </w:rPr>
              <w:t>Corporate and other</w:t>
            </w: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22"/>
                <w:szCs w:val="22"/>
                <w:color w:val="auto"/>
              </w:rPr>
              <w:t>(362)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(501)</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income before income taxes</w:t>
            </w:r>
          </w:p>
        </w:tc>
        <w:tc>
          <w:tcPr>
            <w:tcW w:w="142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167</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right w:val="single" w:sz="8" w:color="E5FFFF"/>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7,649</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22"/>
                <w:szCs w:val="22"/>
                <w:color w:val="auto"/>
              </w:rPr>
              <w:t>Benefit (provision) for income taxes:</w:t>
            </w: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4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6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(486)</w:t>
            </w:r>
          </w:p>
        </w:tc>
        <w:tc>
          <w:tcPr>
            <w:tcW w:w="3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(1,420)</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3,946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3,999</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14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60" w:type="dxa"/>
            <w:vAlign w:val="bottom"/>
            <w:gridSpan w:val="2"/>
            <w:shd w:val="clear" w:color="auto" w:fill="E5FFFF"/>
          </w:tcPr>
          <w:p>
            <w:pPr>
              <w:jc w:val="right"/>
              <w:ind w:right="140"/>
              <w:spacing w:after="0"/>
              <w:rPr>
                <w:sz w:val="20"/>
                <w:szCs w:val="20"/>
                <w:color w:val="auto"/>
              </w:rPr>
            </w:pPr>
            <w:r>
              <w:rPr>
                <w:rFonts w:ascii="Arial" w:cs="Arial" w:eastAsia="Arial" w:hAnsi="Arial"/>
                <w:sz w:val="22"/>
                <w:szCs w:val="22"/>
                <w:color w:val="auto"/>
              </w:rPr>
              <w:t>88</w:t>
            </w:r>
          </w:p>
        </w:tc>
        <w:tc>
          <w:tcPr>
            <w:tcW w:w="16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22"/>
                <w:szCs w:val="22"/>
                <w:color w:val="auto"/>
              </w:rPr>
              <w:t>124</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Pr>
          <w:p>
            <w:pPr>
              <w:spacing w:after="0" w:line="250" w:lineRule="exact"/>
              <w:rPr>
                <w:sz w:val="20"/>
                <w:szCs w:val="20"/>
                <w:color w:val="auto"/>
              </w:rPr>
            </w:pPr>
            <w:r>
              <w:rPr>
                <w:rFonts w:ascii="Arial" w:cs="Arial" w:eastAsia="Arial" w:hAnsi="Arial"/>
                <w:sz w:val="22"/>
                <w:szCs w:val="22"/>
                <w:color w:val="auto"/>
              </w:rPr>
              <w:t>Total benefit for income taxes</w:t>
            </w:r>
          </w:p>
        </w:tc>
        <w:tc>
          <w:tcPr>
            <w:tcW w:w="14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3,548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2,703</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00" w:type="dxa"/>
            <w:vAlign w:val="bottom"/>
            <w:gridSpan w:val="2"/>
          </w:tcPr>
          <w:p>
            <w:pPr>
              <w:jc w:val="right"/>
              <w:ind w:right="83"/>
              <w:spacing w:after="0"/>
              <w:rPr>
                <w:sz w:val="20"/>
                <w:szCs w:val="20"/>
                <w:color w:val="auto"/>
              </w:rPr>
            </w:pPr>
            <w:r>
              <w:rPr>
                <w:rFonts w:ascii="Arial" w:cs="Arial" w:eastAsia="Arial" w:hAnsi="Arial"/>
                <w:sz w:val="22"/>
                <w:szCs w:val="22"/>
                <w:color w:val="auto"/>
              </w:rPr>
              <w:t>21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8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34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2" w:right="2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auto"/>
        </w:rPr>
        <w:t>Segment profit (loss) (net of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506857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Ethanol and by-products</w:t>
      </w:r>
    </w:p>
    <w:p>
      <w:pPr>
        <w:spacing w:after="0" w:line="230" w:lineRule="auto"/>
        <w:rPr>
          <w:sz w:val="20"/>
          <w:szCs w:val="20"/>
          <w:color w:val="auto"/>
        </w:rPr>
      </w:pPr>
      <w:r>
        <w:rPr>
          <w:rFonts w:ascii="Arial" w:cs="Arial" w:eastAsia="Arial" w:hAnsi="Arial"/>
          <w:sz w:val="22"/>
          <w:szCs w:val="22"/>
          <w:color w:val="auto"/>
        </w:rPr>
        <w:t>Refined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506857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Corporate and other</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Net income attributable to REX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06857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685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2861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Ethanol and by-products</w:t>
      </w:r>
    </w:p>
    <w:p>
      <w:pPr>
        <w:spacing w:after="0" w:line="230" w:lineRule="auto"/>
        <w:rPr>
          <w:sz w:val="20"/>
          <w:szCs w:val="20"/>
          <w:color w:val="auto"/>
        </w:rPr>
      </w:pPr>
      <w:r>
        <w:rPr>
          <w:rFonts w:ascii="Arial" w:cs="Arial" w:eastAsia="Arial" w:hAnsi="Arial"/>
          <w:sz w:val="22"/>
          <w:szCs w:val="22"/>
          <w:color w:val="auto"/>
        </w:rPr>
        <w:t>Refined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542861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Corporate and other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542861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2861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auto"/>
        </w:rPr>
        <w:t>Sales of products, ethanol and by-products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506857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Ethanol</w:t>
      </w:r>
    </w:p>
    <w:p>
      <w:pPr>
        <w:spacing w:after="0" w:line="230" w:lineRule="auto"/>
        <w:rPr>
          <w:sz w:val="20"/>
          <w:szCs w:val="20"/>
          <w:color w:val="auto"/>
        </w:rPr>
      </w:pPr>
      <w:r>
        <w:rPr>
          <w:rFonts w:ascii="Arial" w:cs="Arial" w:eastAsia="Arial" w:hAnsi="Arial"/>
          <w:sz w:val="22"/>
          <w:szCs w:val="22"/>
          <w:color w:val="auto"/>
        </w:rPr>
        <w:t>Dried distillers grains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506857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22"/>
          <w:szCs w:val="22"/>
          <w:color w:val="auto"/>
        </w:rPr>
        <w:t>Non-food grade corn oil</w:t>
      </w:r>
    </w:p>
    <w:p>
      <w:pPr>
        <w:spacing w:after="0" w:line="230" w:lineRule="auto"/>
        <w:rPr>
          <w:sz w:val="20"/>
          <w:szCs w:val="20"/>
          <w:color w:val="auto"/>
        </w:rPr>
      </w:pPr>
      <w:r>
        <w:rPr>
          <w:rFonts w:ascii="Arial" w:cs="Arial" w:eastAsia="Arial" w:hAnsi="Arial"/>
          <w:sz w:val="22"/>
          <w:szCs w:val="22"/>
          <w:color w:val="auto"/>
        </w:rPr>
        <w:t>Modified distillers grains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506857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Other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506857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68570" cy="18034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Sales of products, refined coal segment: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Refined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06857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615"/>
        <w:spacing w:after="0"/>
        <w:rPr>
          <w:sz w:val="20"/>
          <w:szCs w:val="20"/>
          <w:color w:val="auto"/>
        </w:rPr>
      </w:pPr>
      <w:r>
        <w:rPr>
          <w:rFonts w:ascii="Arial" w:cs="Arial" w:eastAsia="Arial" w:hAnsi="Arial"/>
          <w:sz w:val="22"/>
          <w:szCs w:val="22"/>
          <w:color w:val="auto"/>
        </w:rPr>
        <w:t>Three Months Ended</w:t>
      </w:r>
    </w:p>
    <w:p>
      <w:pPr>
        <w:spacing w:after="0" w:line="8" w:lineRule="exact"/>
        <w:rPr>
          <w:sz w:val="20"/>
          <w:szCs w:val="20"/>
          <w:color w:val="auto"/>
        </w:rPr>
      </w:pPr>
    </w:p>
    <w:p>
      <w:pPr>
        <w:jc w:val="center"/>
        <w:ind w:right="2615"/>
        <w:spacing w:after="0"/>
        <w:rPr>
          <w:sz w:val="20"/>
          <w:szCs w:val="20"/>
          <w:color w:val="auto"/>
        </w:rPr>
      </w:pPr>
      <w:r>
        <w:rPr>
          <w:rFonts w:ascii="Arial" w:cs="Arial" w:eastAsia="Arial" w:hAnsi="Arial"/>
          <w:sz w:val="22"/>
          <w:szCs w:val="22"/>
          <w:color w:val="auto"/>
        </w:rPr>
        <w:t>April 30,</w:t>
      </w:r>
    </w:p>
    <w:p>
      <w:pPr>
        <w:spacing w:after="0" w:line="4" w:lineRule="exact"/>
        <w:rPr>
          <w:sz w:val="20"/>
          <w:szCs w:val="20"/>
          <w:color w:val="auto"/>
        </w:rPr>
      </w:pPr>
    </w:p>
    <w:p>
      <w:pPr>
        <w:ind w:left="245"/>
        <w:spacing w:after="0"/>
        <w:tabs>
          <w:tab w:leader="none" w:pos="1424" w:val="left"/>
        </w:tabs>
        <w:rPr>
          <w:sz w:val="20"/>
          <w:szCs w:val="20"/>
          <w:color w:val="auto"/>
        </w:rPr>
      </w:pPr>
      <w:r>
        <w:rPr>
          <w:rFonts w:ascii="Arial" w:cs="Arial" w:eastAsia="Arial" w:hAnsi="Arial"/>
          <w:sz w:val="22"/>
          <w:szCs w:val="22"/>
          <w:color w:val="auto"/>
        </w:rPr>
        <w:t>2019</w:t>
      </w:r>
      <w:r>
        <w:rPr>
          <w:sz w:val="20"/>
          <w:szCs w:val="20"/>
          <w:color w:val="auto"/>
        </w:rPr>
        <w:tab/>
      </w:r>
      <w:r>
        <w:rPr>
          <w:rFonts w:ascii="Arial" w:cs="Arial" w:eastAsia="Arial" w:hAnsi="Arial"/>
          <w:sz w:val="22"/>
          <w:szCs w:val="22"/>
          <w:color w:val="auto"/>
        </w:rPr>
        <w:t>2018</w:t>
      </w:r>
    </w:p>
    <w:p>
      <w:pPr>
        <w:spacing w:after="0" w:line="229" w:lineRule="exact"/>
        <w:rPr>
          <w:sz w:val="20"/>
          <w:szCs w:val="20"/>
          <w:color w:val="auto"/>
        </w:rPr>
      </w:pPr>
    </w:p>
    <w:p>
      <w:pPr>
        <w:ind w:left="425" w:hanging="425"/>
        <w:spacing w:after="0"/>
        <w:tabs>
          <w:tab w:leader="none" w:pos="425" w:val="left"/>
        </w:tabs>
        <w:numPr>
          <w:ilvl w:val="0"/>
          <w:numId w:val="7"/>
        </w:numPr>
        <w:rPr>
          <w:rFonts w:ascii="Arial" w:cs="Arial" w:eastAsia="Arial" w:hAnsi="Arial"/>
          <w:sz w:val="22"/>
          <w:szCs w:val="22"/>
          <w:color w:val="auto"/>
        </w:rPr>
      </w:pPr>
      <w:r>
        <w:rPr>
          <w:rFonts w:ascii="Arial" w:cs="Arial" w:eastAsia="Arial" w:hAnsi="Arial"/>
          <w:sz w:val="22"/>
          <w:szCs w:val="22"/>
          <w:color w:val="auto"/>
        </w:rPr>
        <w:t>1,709   $   8,589</w:t>
      </w:r>
    </w:p>
    <w:p>
      <w:pPr>
        <w:spacing w:after="0" w:line="8" w:lineRule="exact"/>
        <w:rPr>
          <w:rFonts w:ascii="Arial" w:cs="Arial" w:eastAsia="Arial" w:hAnsi="Arial"/>
          <w:sz w:val="22"/>
          <w:szCs w:val="22"/>
          <w:color w:val="auto"/>
        </w:rPr>
      </w:pPr>
    </w:p>
    <w:p>
      <w:pPr>
        <w:ind w:left="425"/>
        <w:spacing w:after="0"/>
        <w:rPr>
          <w:rFonts w:ascii="Arial" w:cs="Arial" w:eastAsia="Arial" w:hAnsi="Arial"/>
          <w:sz w:val="22"/>
          <w:szCs w:val="22"/>
          <w:color w:val="auto"/>
        </w:rPr>
      </w:pPr>
      <w:r>
        <w:rPr>
          <w:rFonts w:ascii="Arial" w:cs="Arial" w:eastAsia="Arial" w:hAnsi="Arial"/>
          <w:sz w:val="22"/>
          <w:szCs w:val="22"/>
          <w:color w:val="auto"/>
        </w:rPr>
        <w:t>1,386</w:t>
      </w:r>
      <w:r>
        <w:rPr>
          <w:rFonts w:ascii="Arial" w:cs="Arial" w:eastAsia="Arial" w:hAnsi="Arial"/>
          <w:sz w:val="19"/>
          <w:szCs w:val="19"/>
          <w:color w:val="auto"/>
        </w:rPr>
        <w:t>1,271</w:t>
      </w:r>
    </w:p>
    <w:p>
      <w:pPr>
        <w:spacing w:after="0" w:line="3" w:lineRule="exact"/>
        <w:rPr>
          <w:rFonts w:ascii="Arial" w:cs="Arial" w:eastAsia="Arial" w:hAnsi="Arial"/>
          <w:sz w:val="22"/>
          <w:szCs w:val="22"/>
          <w:color w:val="auto"/>
        </w:rPr>
      </w:pPr>
    </w:p>
    <w:p>
      <w:pPr>
        <w:ind w:left="1645" w:hanging="1208"/>
        <w:spacing w:after="0"/>
        <w:tabs>
          <w:tab w:leader="none" w:pos="1645" w:val="left"/>
        </w:tabs>
        <w:numPr>
          <w:ilvl w:val="1"/>
          <w:numId w:val="7"/>
        </w:numPr>
        <w:rPr>
          <w:rFonts w:ascii="Arial" w:cs="Arial" w:eastAsia="Arial" w:hAnsi="Arial"/>
          <w:sz w:val="22"/>
          <w:szCs w:val="22"/>
          <w:color w:val="auto"/>
        </w:rPr>
      </w:pPr>
      <w:r>
        <w:rPr>
          <w:rFonts w:ascii="Arial" w:cs="Arial" w:eastAsia="Arial" w:hAnsi="Arial"/>
          <w:sz w:val="22"/>
          <w:szCs w:val="22"/>
          <w:color w:val="auto"/>
        </w:rPr>
        <w:t>(364)</w:t>
      </w:r>
    </w:p>
    <w:p>
      <w:pPr>
        <w:spacing w:after="0" w:line="3" w:lineRule="exact"/>
        <w:rPr>
          <w:rFonts w:ascii="Arial" w:cs="Arial" w:eastAsia="Arial" w:hAnsi="Arial"/>
          <w:sz w:val="22"/>
          <w:szCs w:val="22"/>
          <w:color w:val="auto"/>
        </w:rPr>
      </w:pPr>
    </w:p>
    <w:p>
      <w:pPr>
        <w:ind w:left="425" w:hanging="425"/>
        <w:spacing w:after="0"/>
        <w:tabs>
          <w:tab w:leader="none" w:pos="425" w:val="left"/>
        </w:tabs>
        <w:numPr>
          <w:ilvl w:val="0"/>
          <w:numId w:val="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2,821   $   9,496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3379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12" w:lineRule="exact"/>
        <w:rPr>
          <w:sz w:val="20"/>
          <w:szCs w:val="20"/>
          <w:color w:val="auto"/>
        </w:rPr>
      </w:pPr>
    </w:p>
    <w:tbl>
      <w:tblPr>
        <w:tblLayout w:type="fixed"/>
        <w:tblInd w:w="165" w:type="dxa"/>
        <w:tblCellMar>
          <w:top w:w="0" w:type="dxa"/>
          <w:left w:w="0" w:type="dxa"/>
          <w:bottom w:w="0" w:type="dxa"/>
          <w:right w:w="0" w:type="dxa"/>
        </w:tblCellMar>
      </w:tblPr>
      <w:tr>
        <w:trPr>
          <w:trHeight w:val="253"/>
        </w:trPr>
        <w:tc>
          <w:tcPr>
            <w:tcW w:w="1280" w:type="dxa"/>
            <w:vAlign w:val="bottom"/>
            <w:gridSpan w:val="3"/>
          </w:tcPr>
          <w:p>
            <w:pPr>
              <w:ind w:left="80"/>
              <w:spacing w:after="0"/>
              <w:rPr>
                <w:sz w:val="20"/>
                <w:szCs w:val="20"/>
                <w:color w:val="auto"/>
              </w:rPr>
            </w:pPr>
            <w:r>
              <w:rPr>
                <w:rFonts w:ascii="Arial" w:cs="Arial" w:eastAsia="Arial" w:hAnsi="Arial"/>
                <w:sz w:val="22"/>
                <w:szCs w:val="22"/>
                <w:color w:val="auto"/>
              </w:rPr>
              <w:t>April 30,</w:t>
            </w:r>
          </w:p>
        </w:tc>
        <w:tc>
          <w:tcPr>
            <w:tcW w:w="1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w w:val="85"/>
              </w:rPr>
              <w:t>January 31,</w:t>
            </w:r>
          </w:p>
        </w:tc>
      </w:tr>
      <w:tr>
        <w:trPr>
          <w:trHeight w:val="265"/>
        </w:trPr>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2019</w:t>
            </w:r>
          </w:p>
        </w:tc>
        <w:tc>
          <w:tcPr>
            <w:tcW w:w="3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2019</w:t>
            </w:r>
          </w:p>
        </w:tc>
      </w:tr>
      <w:tr>
        <w:trPr>
          <w:trHeight w:val="458"/>
        </w:trPr>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412,849</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393,691</w:t>
            </w:r>
          </w:p>
        </w:tc>
      </w:tr>
      <w:tr>
        <w:trPr>
          <w:trHeight w:val="257"/>
        </w:trPr>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8,283</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8,625</w:t>
            </w:r>
          </w:p>
        </w:tc>
      </w:tr>
      <w:tr>
        <w:trPr>
          <w:trHeight w:val="265"/>
        </w:trPr>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71,360</w:t>
            </w:r>
          </w:p>
        </w:tc>
        <w:tc>
          <w:tcPr>
            <w:tcW w:w="3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69,077</w:t>
            </w:r>
          </w:p>
        </w:tc>
      </w:tr>
      <w:tr>
        <w:trPr>
          <w:trHeight w:val="25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5"/>
              </w:rPr>
              <w:t>492,492</w:t>
            </w:r>
          </w:p>
        </w:tc>
        <w:tc>
          <w:tcPr>
            <w:tcW w:w="3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471,393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ind w:right="2615"/>
        <w:spacing w:after="0"/>
        <w:rPr>
          <w:sz w:val="20"/>
          <w:szCs w:val="20"/>
          <w:color w:val="auto"/>
        </w:rPr>
      </w:pPr>
      <w:r>
        <w:rPr>
          <w:rFonts w:ascii="Arial" w:cs="Arial" w:eastAsia="Arial" w:hAnsi="Arial"/>
          <w:sz w:val="22"/>
          <w:szCs w:val="22"/>
          <w:color w:val="auto"/>
        </w:rPr>
        <w:t>Three Months Ended</w:t>
      </w:r>
    </w:p>
    <w:p>
      <w:pPr>
        <w:spacing w:after="0" w:line="8" w:lineRule="exact"/>
        <w:rPr>
          <w:sz w:val="20"/>
          <w:szCs w:val="20"/>
          <w:color w:val="auto"/>
        </w:rPr>
      </w:pPr>
    </w:p>
    <w:p>
      <w:pPr>
        <w:jc w:val="center"/>
        <w:ind w:right="2615"/>
        <w:spacing w:after="0"/>
        <w:rPr>
          <w:sz w:val="20"/>
          <w:szCs w:val="20"/>
          <w:color w:val="auto"/>
        </w:rPr>
      </w:pPr>
      <w:r>
        <w:rPr>
          <w:rFonts w:ascii="Arial" w:cs="Arial" w:eastAsia="Arial" w:hAnsi="Arial"/>
          <w:sz w:val="22"/>
          <w:szCs w:val="22"/>
          <w:color w:val="auto"/>
        </w:rPr>
        <w:t>April 30,</w:t>
      </w:r>
    </w:p>
    <w:p>
      <w:pPr>
        <w:spacing w:after="0" w:line="4" w:lineRule="exact"/>
        <w:rPr>
          <w:sz w:val="20"/>
          <w:szCs w:val="20"/>
          <w:color w:val="auto"/>
        </w:rPr>
      </w:pPr>
    </w:p>
    <w:p>
      <w:pPr>
        <w:ind w:left="245"/>
        <w:spacing w:after="0"/>
        <w:tabs>
          <w:tab w:leader="none" w:pos="1424" w:val="left"/>
        </w:tabs>
        <w:rPr>
          <w:sz w:val="20"/>
          <w:szCs w:val="20"/>
          <w:color w:val="auto"/>
        </w:rPr>
      </w:pPr>
      <w:r>
        <w:rPr>
          <w:rFonts w:ascii="Arial" w:cs="Arial" w:eastAsia="Arial" w:hAnsi="Arial"/>
          <w:sz w:val="22"/>
          <w:szCs w:val="22"/>
          <w:color w:val="auto"/>
        </w:rPr>
        <w:t>2019</w:t>
      </w:r>
      <w:r>
        <w:rPr>
          <w:sz w:val="20"/>
          <w:szCs w:val="20"/>
          <w:color w:val="auto"/>
        </w:rPr>
        <w:tab/>
      </w:r>
      <w:r>
        <w:rPr>
          <w:rFonts w:ascii="Arial" w:cs="Arial" w:eastAsia="Arial" w:hAnsi="Arial"/>
          <w:sz w:val="22"/>
          <w:szCs w:val="22"/>
          <w:color w:val="auto"/>
        </w:rPr>
        <w:t>2018</w:t>
      </w:r>
    </w:p>
    <w:p>
      <w:pPr>
        <w:spacing w:after="0" w:line="229" w:lineRule="exact"/>
        <w:rPr>
          <w:sz w:val="20"/>
          <w:szCs w:val="20"/>
          <w:color w:val="auto"/>
        </w:rPr>
      </w:pPr>
    </w:p>
    <w:p>
      <w:pPr>
        <w:ind w:left="305" w:hanging="305"/>
        <w:spacing w:after="0"/>
        <w:tabs>
          <w:tab w:leader="none" w:pos="305" w:val="left"/>
        </w:tabs>
        <w:numPr>
          <w:ilvl w:val="0"/>
          <w:numId w:val="8"/>
        </w:numPr>
        <w:rPr>
          <w:rFonts w:ascii="Arial" w:cs="Arial" w:eastAsia="Arial" w:hAnsi="Arial"/>
          <w:sz w:val="22"/>
          <w:szCs w:val="22"/>
          <w:color w:val="auto"/>
        </w:rPr>
      </w:pPr>
      <w:r>
        <w:rPr>
          <w:rFonts w:ascii="Arial" w:cs="Arial" w:eastAsia="Arial" w:hAnsi="Arial"/>
          <w:sz w:val="22"/>
          <w:szCs w:val="22"/>
          <w:color w:val="auto"/>
        </w:rPr>
        <w:t>77,618   $  91,893</w:t>
      </w:r>
    </w:p>
    <w:p>
      <w:pPr>
        <w:spacing w:after="0" w:line="8" w:lineRule="exact"/>
        <w:rPr>
          <w:rFonts w:ascii="Arial" w:cs="Arial" w:eastAsia="Arial" w:hAnsi="Arial"/>
          <w:sz w:val="22"/>
          <w:szCs w:val="22"/>
          <w:color w:val="auto"/>
        </w:rPr>
      </w:pPr>
    </w:p>
    <w:p>
      <w:pPr>
        <w:ind w:left="305"/>
        <w:spacing w:after="0"/>
        <w:rPr>
          <w:rFonts w:ascii="Arial" w:cs="Arial" w:eastAsia="Arial" w:hAnsi="Arial"/>
          <w:sz w:val="22"/>
          <w:szCs w:val="22"/>
          <w:color w:val="auto"/>
        </w:rPr>
      </w:pPr>
      <w:r>
        <w:rPr>
          <w:rFonts w:ascii="Arial" w:cs="Arial" w:eastAsia="Arial" w:hAnsi="Arial"/>
          <w:sz w:val="22"/>
          <w:szCs w:val="22"/>
          <w:color w:val="auto"/>
        </w:rPr>
        <w:t>18,674</w:t>
      </w:r>
      <w:r>
        <w:rPr>
          <w:rFonts w:ascii="Arial" w:cs="Arial" w:eastAsia="Arial" w:hAnsi="Arial"/>
          <w:sz w:val="19"/>
          <w:szCs w:val="19"/>
          <w:color w:val="auto"/>
        </w:rPr>
        <w:t>20,083</w:t>
      </w:r>
    </w:p>
    <w:p>
      <w:pPr>
        <w:jc w:val="both"/>
        <w:ind w:left="425"/>
        <w:spacing w:after="0" w:line="231" w:lineRule="auto"/>
        <w:tabs>
          <w:tab w:leader="none" w:pos="1604" w:val="left"/>
        </w:tabs>
        <w:rPr>
          <w:sz w:val="20"/>
          <w:szCs w:val="20"/>
          <w:color w:val="auto"/>
        </w:rPr>
      </w:pPr>
      <w:r>
        <w:rPr>
          <w:rFonts w:ascii="Arial" w:cs="Arial" w:eastAsia="Arial" w:hAnsi="Arial"/>
          <w:sz w:val="22"/>
          <w:szCs w:val="22"/>
          <w:color w:val="auto"/>
        </w:rPr>
        <w:t>4,983</w:t>
      </w:r>
      <w:r>
        <w:rPr>
          <w:sz w:val="20"/>
          <w:szCs w:val="20"/>
          <w:color w:val="auto"/>
        </w:rPr>
        <w:tab/>
      </w:r>
      <w:r>
        <w:rPr>
          <w:rFonts w:ascii="Arial" w:cs="Arial" w:eastAsia="Arial" w:hAnsi="Arial"/>
          <w:sz w:val="22"/>
          <w:szCs w:val="22"/>
          <w:color w:val="auto"/>
        </w:rPr>
        <w:t>4,980</w:t>
      </w:r>
    </w:p>
    <w:p>
      <w:pPr>
        <w:jc w:val="both"/>
        <w:ind w:left="425"/>
        <w:spacing w:after="0"/>
        <w:tabs>
          <w:tab w:leader="none" w:pos="1604" w:val="left"/>
        </w:tabs>
        <w:rPr>
          <w:sz w:val="20"/>
          <w:szCs w:val="20"/>
          <w:color w:val="auto"/>
        </w:rPr>
      </w:pPr>
      <w:r>
        <w:rPr>
          <w:rFonts w:ascii="Arial" w:cs="Arial" w:eastAsia="Arial" w:hAnsi="Arial"/>
          <w:sz w:val="22"/>
          <w:szCs w:val="22"/>
          <w:color w:val="auto"/>
        </w:rPr>
        <w:t>3,140</w:t>
      </w:r>
      <w:r>
        <w:rPr>
          <w:sz w:val="20"/>
          <w:szCs w:val="20"/>
          <w:color w:val="auto"/>
        </w:rPr>
        <w:tab/>
      </w:r>
      <w:r>
        <w:rPr>
          <w:rFonts w:ascii="Arial" w:cs="Arial" w:eastAsia="Arial" w:hAnsi="Arial"/>
          <w:sz w:val="22"/>
          <w:szCs w:val="22"/>
          <w:color w:val="auto"/>
        </w:rPr>
        <w:t>3,717</w:t>
      </w:r>
    </w:p>
    <w:p>
      <w:pPr>
        <w:spacing w:after="0" w:line="4" w:lineRule="exact"/>
        <w:rPr>
          <w:sz w:val="20"/>
          <w:szCs w:val="20"/>
          <w:color w:val="auto"/>
        </w:rPr>
      </w:pPr>
    </w:p>
    <w:p>
      <w:pPr>
        <w:jc w:val="both"/>
        <w:ind w:left="685"/>
        <w:spacing w:after="0"/>
        <w:tabs>
          <w:tab w:leader="none" w:pos="1984"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2"/>
          <w:szCs w:val="22"/>
          <w:color w:val="auto"/>
        </w:rPr>
        <w:t>7</w:t>
      </w:r>
    </w:p>
    <w:p>
      <w:pPr>
        <w:spacing w:after="0" w:line="4" w:lineRule="exact"/>
        <w:rPr>
          <w:sz w:val="20"/>
          <w:szCs w:val="20"/>
          <w:color w:val="auto"/>
        </w:rPr>
      </w:pPr>
    </w:p>
    <w:p>
      <w:pPr>
        <w:ind w:left="205" w:hanging="205"/>
        <w:spacing w:after="0"/>
        <w:tabs>
          <w:tab w:leader="none" w:pos="205" w:val="left"/>
        </w:tabs>
        <w:numPr>
          <w:ilvl w:val="0"/>
          <w:numId w:val="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104,453   $ 120,680</w:t>
      </w:r>
    </w:p>
    <w:p>
      <w:pPr>
        <w:spacing w:after="0" w:line="200" w:lineRule="exact"/>
        <w:rPr>
          <w:rFonts w:ascii="Arial" w:cs="Arial" w:eastAsia="Arial" w:hAnsi="Arial"/>
          <w:sz w:val="22"/>
          <w:szCs w:val="22"/>
          <w:u w:val="single" w:color="auto"/>
          <w:color w:val="auto"/>
        </w:rPr>
      </w:pPr>
    </w:p>
    <w:p>
      <w:pPr>
        <w:spacing w:after="0" w:line="339" w:lineRule="exact"/>
        <w:rPr>
          <w:rFonts w:ascii="Arial" w:cs="Arial" w:eastAsia="Arial" w:hAnsi="Arial"/>
          <w:sz w:val="22"/>
          <w:szCs w:val="22"/>
          <w:u w:val="single" w:color="auto"/>
          <w:color w:val="auto"/>
        </w:rPr>
      </w:pPr>
    </w:p>
    <w:p>
      <w:pPr>
        <w:ind w:left="585" w:hanging="585"/>
        <w:spacing w:after="0"/>
        <w:tabs>
          <w:tab w:leader="none" w:pos="585" w:val="left"/>
        </w:tabs>
        <w:numPr>
          <w:ilvl w:val="0"/>
          <w:numId w:val="9"/>
        </w:numPr>
        <w:rPr>
          <w:rFonts w:ascii="Arial" w:cs="Arial" w:eastAsia="Arial" w:hAnsi="Arial"/>
          <w:sz w:val="22"/>
          <w:szCs w:val="22"/>
          <w:color w:val="auto"/>
        </w:rPr>
      </w:pPr>
      <w:r>
        <w:rPr>
          <w:rFonts w:ascii="Arial" w:cs="Arial" w:eastAsia="Arial" w:hAnsi="Arial"/>
          <w:sz w:val="22"/>
          <w:szCs w:val="22"/>
          <w:color w:val="auto"/>
        </w:rPr>
        <w:t>122   $</w:t>
      </w:r>
      <w:r>
        <w:rPr>
          <w:rFonts w:ascii="Arial" w:cs="Arial" w:eastAsia="Arial" w:hAnsi="Arial"/>
          <w:sz w:val="19"/>
          <w:szCs w:val="19"/>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13379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-480695</wp:posOffset>
            </wp:positionV>
            <wp:extent cx="13379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95" w:space="720"/>
            <w:col w:w="4725"/>
          </w:cols>
          <w:pgMar w:left="240" w:top="402" w:right="1119" w:bottom="1440" w:gutter="0" w:footer="0" w:header="0"/>
        </w:sectPr>
      </w:pPr>
    </w:p>
    <w:p>
      <w:pPr>
        <w:spacing w:after="0" w:line="41" w:lineRule="exact"/>
        <w:rPr>
          <w:sz w:val="20"/>
          <w:szCs w:val="20"/>
          <w:color w:val="auto"/>
        </w:rPr>
      </w:pPr>
    </w:p>
    <w:p>
      <w:pPr>
        <w:ind w:right="1820"/>
        <w:spacing w:after="0" w:line="438" w:lineRule="auto"/>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r>
        <w:rPr>
          <w:rFonts w:ascii="Arial" w:cs="Arial" w:eastAsia="Arial" w:hAnsi="Arial"/>
          <w:sz w:val="22"/>
          <w:szCs w:val="22"/>
          <w:b w:val="1"/>
          <w:bCs w:val="1"/>
          <w:color w:val="auto"/>
        </w:rPr>
        <w:t xml:space="preserve"> Ethanol and By-Products</w:t>
      </w:r>
    </w:p>
    <w:p>
      <w:pPr>
        <w:spacing w:after="0" w:line="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At April 30, 2019, investments in our ethanol business include equity investments in three ethanol limited liability companies, in two of which we have a majority ownership interest. The following table is</w:t>
      </w:r>
    </w:p>
    <w:p>
      <w:pPr>
        <w:spacing w:after="0" w:line="14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540"/>
          </w:cols>
          <w:pgMar w:left="240" w:top="402" w:right="11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2"/>
          <w:szCs w:val="22"/>
          <w:color w:val="auto"/>
        </w:rPr>
        <w:t>a summary of ethanol gallons shipped at our plants: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380" w:type="dxa"/>
            <w:vAlign w:val="bottom"/>
            <w:tcBorders>
              <w:top w:val="single" w:sz="8" w:color="auto"/>
              <w:left w:val="single" w:sz="8" w:color="auto"/>
              <w:right w:val="single" w:sz="8" w:color="auto"/>
            </w:tcBorders>
          </w:tcPr>
          <w:p>
            <w:pPr>
              <w:spacing w:after="0"/>
              <w:rPr>
                <w:sz w:val="19"/>
                <w:szCs w:val="19"/>
                <w:color w:val="auto"/>
              </w:rPr>
            </w:pPr>
          </w:p>
        </w:tc>
        <w:tc>
          <w:tcPr>
            <w:tcW w:w="1620" w:type="dxa"/>
            <w:vAlign w:val="bottom"/>
            <w:tcBorders>
              <w:top w:val="single" w:sz="8" w:color="auto"/>
            </w:tcBorders>
          </w:tcPr>
          <w:p>
            <w:pPr>
              <w:jc w:val="center"/>
              <w:ind w:left="212"/>
              <w:spacing w:after="0" w:line="229" w:lineRule="exact"/>
              <w:rPr>
                <w:sz w:val="20"/>
                <w:szCs w:val="20"/>
                <w:color w:val="auto"/>
              </w:rPr>
            </w:pPr>
            <w:r>
              <w:rPr>
                <w:rFonts w:ascii="Arial" w:cs="Arial" w:eastAsia="Arial" w:hAnsi="Arial"/>
                <w:sz w:val="22"/>
                <w:szCs w:val="22"/>
                <w:b w:val="1"/>
                <w:bCs w:val="1"/>
                <w:color w:val="auto"/>
                <w:w w:val="92"/>
              </w:rPr>
              <w:t>Trailing 12</w:t>
            </w:r>
          </w:p>
        </w:tc>
        <w:tc>
          <w:tcPr>
            <w:tcW w:w="340" w:type="dxa"/>
            <w:vAlign w:val="bottom"/>
            <w:tcBorders>
              <w:top w:val="single" w:sz="8" w:color="auto"/>
              <w:right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4"/>
              </w:rPr>
              <w:t>REX’s</w:t>
            </w:r>
          </w:p>
        </w:tc>
        <w:tc>
          <w:tcPr>
            <w:tcW w:w="2160" w:type="dxa"/>
            <w:vAlign w:val="bottom"/>
            <w:tcBorders>
              <w:top w:val="single" w:sz="8" w:color="auto"/>
            </w:tcBorders>
          </w:tcPr>
          <w:p>
            <w:pPr>
              <w:jc w:val="center"/>
              <w:ind w:left="232"/>
              <w:spacing w:after="0" w:line="229" w:lineRule="exact"/>
              <w:rPr>
                <w:sz w:val="20"/>
                <w:szCs w:val="20"/>
                <w:color w:val="auto"/>
              </w:rPr>
            </w:pPr>
            <w:r>
              <w:rPr>
                <w:rFonts w:ascii="Arial" w:cs="Arial" w:eastAsia="Arial" w:hAnsi="Arial"/>
                <w:sz w:val="22"/>
                <w:szCs w:val="22"/>
                <w:b w:val="1"/>
                <w:bCs w:val="1"/>
                <w:color w:val="auto"/>
                <w:w w:val="91"/>
              </w:rPr>
              <w:t>Current Effective</w:t>
            </w:r>
          </w:p>
        </w:tc>
        <w:tc>
          <w:tcPr>
            <w:tcW w:w="340" w:type="dxa"/>
            <w:vAlign w:val="bottom"/>
            <w:tcBorders>
              <w:top w:val="single" w:sz="8" w:color="auto"/>
              <w:right w:val="single" w:sz="8" w:color="auto"/>
            </w:tcBorders>
          </w:tcPr>
          <w:p>
            <w:pPr>
              <w:spacing w:after="0"/>
              <w:rPr>
                <w:sz w:val="19"/>
                <w:szCs w:val="19"/>
                <w:color w:val="auto"/>
              </w:rPr>
            </w:pPr>
          </w:p>
        </w:tc>
      </w:tr>
      <w:tr>
        <w:trPr>
          <w:trHeight w:val="243"/>
        </w:trPr>
        <w:tc>
          <w:tcPr>
            <w:tcW w:w="5380" w:type="dxa"/>
            <w:vAlign w:val="bottom"/>
            <w:tcBorders>
              <w:left w:val="single" w:sz="8" w:color="auto"/>
              <w:right w:val="single" w:sz="8" w:color="auto"/>
            </w:tcBorders>
          </w:tcPr>
          <w:p>
            <w:pPr>
              <w:spacing w:after="0"/>
              <w:rPr>
                <w:sz w:val="21"/>
                <w:szCs w:val="21"/>
                <w:color w:val="auto"/>
              </w:rPr>
            </w:pPr>
          </w:p>
        </w:tc>
        <w:tc>
          <w:tcPr>
            <w:tcW w:w="162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89"/>
              </w:rPr>
              <w:t>Months</w:t>
            </w:r>
          </w:p>
        </w:tc>
        <w:tc>
          <w:tcPr>
            <w:tcW w:w="3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5"/>
              </w:rPr>
              <w:t>Current</w:t>
            </w:r>
          </w:p>
        </w:tc>
        <w:tc>
          <w:tcPr>
            <w:tcW w:w="2160" w:type="dxa"/>
            <w:vAlign w:val="bottom"/>
          </w:tcPr>
          <w:p>
            <w:pPr>
              <w:jc w:val="center"/>
              <w:ind w:left="232"/>
              <w:spacing w:after="0" w:line="243" w:lineRule="exact"/>
              <w:rPr>
                <w:sz w:val="20"/>
                <w:szCs w:val="20"/>
                <w:color w:val="auto"/>
              </w:rPr>
            </w:pPr>
            <w:r>
              <w:rPr>
                <w:rFonts w:ascii="Arial" w:cs="Arial" w:eastAsia="Arial" w:hAnsi="Arial"/>
                <w:sz w:val="22"/>
                <w:szCs w:val="22"/>
                <w:b w:val="1"/>
                <w:bCs w:val="1"/>
                <w:color w:val="auto"/>
                <w:w w:val="89"/>
              </w:rPr>
              <w:t>Ownership of</w:t>
            </w:r>
          </w:p>
        </w:tc>
        <w:tc>
          <w:tcPr>
            <w:tcW w:w="340" w:type="dxa"/>
            <w:vAlign w:val="bottom"/>
            <w:tcBorders>
              <w:right w:val="single" w:sz="8" w:color="auto"/>
            </w:tcBorders>
          </w:tcPr>
          <w:p>
            <w:pPr>
              <w:spacing w:after="0"/>
              <w:rPr>
                <w:sz w:val="21"/>
                <w:szCs w:val="21"/>
                <w:color w:val="auto"/>
              </w:rPr>
            </w:pPr>
          </w:p>
        </w:tc>
      </w:tr>
      <w:tr>
        <w:trPr>
          <w:trHeight w:val="243"/>
        </w:trPr>
        <w:tc>
          <w:tcPr>
            <w:tcW w:w="5380" w:type="dxa"/>
            <w:vAlign w:val="bottom"/>
            <w:tcBorders>
              <w:left w:val="single" w:sz="8" w:color="auto"/>
              <w:right w:val="single" w:sz="8" w:color="auto"/>
            </w:tcBorders>
          </w:tcPr>
          <w:p>
            <w:pPr>
              <w:spacing w:after="0"/>
              <w:rPr>
                <w:sz w:val="21"/>
                <w:szCs w:val="21"/>
                <w:color w:val="auto"/>
              </w:rPr>
            </w:pPr>
          </w:p>
        </w:tc>
        <w:tc>
          <w:tcPr>
            <w:tcW w:w="162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91"/>
              </w:rPr>
              <w:t>Ethanol</w:t>
            </w:r>
          </w:p>
        </w:tc>
        <w:tc>
          <w:tcPr>
            <w:tcW w:w="3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7"/>
              </w:rPr>
              <w:t>Effective</w:t>
            </w:r>
          </w:p>
        </w:tc>
        <w:tc>
          <w:tcPr>
            <w:tcW w:w="216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90"/>
              </w:rPr>
              <w:t>Trailing 12</w:t>
            </w:r>
          </w:p>
        </w:tc>
        <w:tc>
          <w:tcPr>
            <w:tcW w:w="340" w:type="dxa"/>
            <w:vAlign w:val="bottom"/>
            <w:tcBorders>
              <w:right w:val="single" w:sz="8" w:color="auto"/>
            </w:tcBorders>
          </w:tcPr>
          <w:p>
            <w:pPr>
              <w:spacing w:after="0"/>
              <w:rPr>
                <w:sz w:val="21"/>
                <w:szCs w:val="21"/>
                <w:color w:val="auto"/>
              </w:rPr>
            </w:pPr>
          </w:p>
        </w:tc>
      </w:tr>
      <w:tr>
        <w:trPr>
          <w:trHeight w:val="243"/>
        </w:trPr>
        <w:tc>
          <w:tcPr>
            <w:tcW w:w="5380" w:type="dxa"/>
            <w:vAlign w:val="bottom"/>
            <w:tcBorders>
              <w:left w:val="single" w:sz="8" w:color="auto"/>
              <w:right w:val="single" w:sz="8" w:color="auto"/>
            </w:tcBorders>
          </w:tcPr>
          <w:p>
            <w:pPr>
              <w:spacing w:after="0"/>
              <w:rPr>
                <w:sz w:val="21"/>
                <w:szCs w:val="21"/>
                <w:color w:val="auto"/>
              </w:rPr>
            </w:pPr>
          </w:p>
        </w:tc>
        <w:tc>
          <w:tcPr>
            <w:tcW w:w="162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86"/>
              </w:rPr>
              <w:t>Gallons</w:t>
            </w:r>
          </w:p>
        </w:tc>
        <w:tc>
          <w:tcPr>
            <w:tcW w:w="3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Ownership</w:t>
            </w:r>
          </w:p>
        </w:tc>
        <w:tc>
          <w:tcPr>
            <w:tcW w:w="2160" w:type="dxa"/>
            <w:vAlign w:val="bottom"/>
          </w:tcPr>
          <w:p>
            <w:pPr>
              <w:jc w:val="center"/>
              <w:ind w:left="232"/>
              <w:spacing w:after="0" w:line="243" w:lineRule="exact"/>
              <w:rPr>
                <w:sz w:val="20"/>
                <w:szCs w:val="20"/>
                <w:color w:val="auto"/>
              </w:rPr>
            </w:pPr>
            <w:r>
              <w:rPr>
                <w:rFonts w:ascii="Arial" w:cs="Arial" w:eastAsia="Arial" w:hAnsi="Arial"/>
                <w:sz w:val="22"/>
                <w:szCs w:val="22"/>
                <w:b w:val="1"/>
                <w:bCs w:val="1"/>
                <w:color w:val="auto"/>
                <w:w w:val="90"/>
              </w:rPr>
              <w:t>Months Ethanol</w:t>
            </w:r>
          </w:p>
        </w:tc>
        <w:tc>
          <w:tcPr>
            <w:tcW w:w="340" w:type="dxa"/>
            <w:vAlign w:val="bottom"/>
            <w:tcBorders>
              <w:right w:val="single" w:sz="8" w:color="auto"/>
            </w:tcBorders>
          </w:tcPr>
          <w:p>
            <w:pPr>
              <w:spacing w:after="0"/>
              <w:rPr>
                <w:sz w:val="21"/>
                <w:szCs w:val="21"/>
                <w:color w:val="auto"/>
              </w:rPr>
            </w:pPr>
          </w:p>
        </w:tc>
      </w:tr>
      <w:tr>
        <w:trPr>
          <w:trHeight w:val="271"/>
        </w:trPr>
        <w:tc>
          <w:tcPr>
            <w:tcW w:w="5380" w:type="dxa"/>
            <w:vAlign w:val="bottom"/>
            <w:tcBorders>
              <w:left w:val="single" w:sz="8" w:color="auto"/>
              <w:bottom w:val="single" w:sz="8" w:color="auto"/>
              <w:right w:val="single" w:sz="8" w:color="auto"/>
            </w:tcBorders>
          </w:tcPr>
          <w:p>
            <w:pPr>
              <w:ind w:left="2400"/>
              <w:spacing w:after="0"/>
              <w:rPr>
                <w:sz w:val="20"/>
                <w:szCs w:val="20"/>
                <w:color w:val="auto"/>
              </w:rPr>
            </w:pPr>
            <w:r>
              <w:rPr>
                <w:rFonts w:ascii="Arial" w:cs="Arial" w:eastAsia="Arial" w:hAnsi="Arial"/>
                <w:sz w:val="22"/>
                <w:szCs w:val="22"/>
                <w:b w:val="1"/>
                <w:bCs w:val="1"/>
                <w:color w:val="auto"/>
              </w:rPr>
              <w:t>Entity</w:t>
            </w:r>
          </w:p>
        </w:tc>
        <w:tc>
          <w:tcPr>
            <w:tcW w:w="1620" w:type="dxa"/>
            <w:vAlign w:val="bottom"/>
            <w:tcBorders>
              <w:bottom w:val="single" w:sz="8" w:color="auto"/>
            </w:tcBorders>
          </w:tcPr>
          <w:p>
            <w:pPr>
              <w:jc w:val="center"/>
              <w:ind w:left="212"/>
              <w:spacing w:after="0"/>
              <w:rPr>
                <w:sz w:val="20"/>
                <w:szCs w:val="20"/>
                <w:color w:val="auto"/>
              </w:rPr>
            </w:pPr>
            <w:r>
              <w:rPr>
                <w:rFonts w:ascii="Arial" w:cs="Arial" w:eastAsia="Arial" w:hAnsi="Arial"/>
                <w:sz w:val="22"/>
                <w:szCs w:val="22"/>
                <w:b w:val="1"/>
                <w:bCs w:val="1"/>
                <w:color w:val="auto"/>
                <w:w w:val="85"/>
              </w:rPr>
              <w:t>Shipped</w:t>
            </w:r>
          </w:p>
        </w:tc>
        <w:tc>
          <w:tcPr>
            <w:tcW w:w="3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Interest</w:t>
            </w:r>
          </w:p>
        </w:tc>
        <w:tc>
          <w:tcPr>
            <w:tcW w:w="2160" w:type="dxa"/>
            <w:vAlign w:val="bottom"/>
            <w:tcBorders>
              <w:bottom w:val="single" w:sz="8" w:color="auto"/>
            </w:tcBorders>
          </w:tcPr>
          <w:p>
            <w:pPr>
              <w:jc w:val="center"/>
              <w:ind w:left="212"/>
              <w:spacing w:after="0"/>
              <w:rPr>
                <w:sz w:val="20"/>
                <w:szCs w:val="20"/>
                <w:color w:val="auto"/>
              </w:rPr>
            </w:pPr>
            <w:r>
              <w:rPr>
                <w:rFonts w:ascii="Arial" w:cs="Arial" w:eastAsia="Arial" w:hAnsi="Arial"/>
                <w:sz w:val="22"/>
                <w:szCs w:val="22"/>
                <w:b w:val="1"/>
                <w:bCs w:val="1"/>
                <w:color w:val="auto"/>
                <w:w w:val="87"/>
              </w:rPr>
              <w:t>Gallons Shipped</w:t>
            </w:r>
          </w:p>
        </w:tc>
        <w:tc>
          <w:tcPr>
            <w:tcW w:w="340" w:type="dxa"/>
            <w:vAlign w:val="bottom"/>
            <w:tcBorders>
              <w:bottom w:val="single" w:sz="8" w:color="auto"/>
              <w:right w:val="single" w:sz="8" w:color="auto"/>
            </w:tcBorders>
          </w:tcPr>
          <w:p>
            <w:pPr>
              <w:spacing w:after="0"/>
              <w:rPr>
                <w:sz w:val="23"/>
                <w:szCs w:val="23"/>
                <w:color w:val="auto"/>
              </w:rPr>
            </w:pPr>
          </w:p>
        </w:tc>
      </w:tr>
      <w:tr>
        <w:trPr>
          <w:trHeight w:val="237"/>
        </w:trPr>
        <w:tc>
          <w:tcPr>
            <w:tcW w:w="53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One Earth Energy, LLC</w:t>
            </w:r>
          </w:p>
        </w:tc>
        <w:tc>
          <w:tcPr>
            <w:tcW w:w="1960" w:type="dxa"/>
            <w:vAlign w:val="bottom"/>
            <w:tcBorders>
              <w:bottom w:val="single" w:sz="8" w:color="auto"/>
              <w:right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color w:val="auto"/>
              </w:rPr>
              <w:t>143.2 M</w:t>
            </w:r>
          </w:p>
        </w:tc>
        <w:tc>
          <w:tcPr>
            <w:tcW w:w="158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75.1%</w:t>
            </w:r>
          </w:p>
        </w:tc>
        <w:tc>
          <w:tcPr>
            <w:tcW w:w="2500" w:type="dxa"/>
            <w:vAlign w:val="bottom"/>
            <w:tcBorders>
              <w:bottom w:val="single" w:sz="8" w:color="auto"/>
              <w:right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color w:val="auto"/>
              </w:rPr>
              <w:t>107.5 M</w:t>
            </w:r>
          </w:p>
        </w:tc>
      </w:tr>
      <w:tr>
        <w:trPr>
          <w:trHeight w:val="237"/>
        </w:trPr>
        <w:tc>
          <w:tcPr>
            <w:tcW w:w="53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NuGen Energy, LLC</w:t>
            </w:r>
          </w:p>
        </w:tc>
        <w:tc>
          <w:tcPr>
            <w:tcW w:w="1960" w:type="dxa"/>
            <w:vAlign w:val="bottom"/>
            <w:tcBorders>
              <w:bottom w:val="single" w:sz="8" w:color="auto"/>
              <w:right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color w:val="auto"/>
              </w:rPr>
              <w:t>134.3 M</w:t>
            </w:r>
          </w:p>
        </w:tc>
        <w:tc>
          <w:tcPr>
            <w:tcW w:w="158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99.5%</w:t>
            </w:r>
          </w:p>
        </w:tc>
        <w:tc>
          <w:tcPr>
            <w:tcW w:w="2500" w:type="dxa"/>
            <w:vAlign w:val="bottom"/>
            <w:tcBorders>
              <w:bottom w:val="single" w:sz="8" w:color="auto"/>
              <w:right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color w:val="auto"/>
              </w:rPr>
              <w:t>133.6 M</w:t>
            </w:r>
          </w:p>
        </w:tc>
      </w:tr>
      <w:tr>
        <w:trPr>
          <w:trHeight w:val="215"/>
        </w:trPr>
        <w:tc>
          <w:tcPr>
            <w:tcW w:w="53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Big River Resources, LLC:</w:t>
            </w:r>
          </w:p>
        </w:tc>
        <w:tc>
          <w:tcPr>
            <w:tcW w:w="16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r>
      <w:tr>
        <w:trPr>
          <w:trHeight w:val="243"/>
        </w:trPr>
        <w:tc>
          <w:tcPr>
            <w:tcW w:w="5380" w:type="dxa"/>
            <w:vAlign w:val="bottom"/>
            <w:tcBorders>
              <w:left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Big River Resources W Burlington, LLC</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108.5</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158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11.2</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r>
      <w:tr>
        <w:trPr>
          <w:trHeight w:val="243"/>
        </w:trPr>
        <w:tc>
          <w:tcPr>
            <w:tcW w:w="5380" w:type="dxa"/>
            <w:vAlign w:val="bottom"/>
            <w:tcBorders>
              <w:left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Big River Resources Galva, LLC</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127.6</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158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r>
      <w:tr>
        <w:trPr>
          <w:trHeight w:val="243"/>
        </w:trPr>
        <w:tc>
          <w:tcPr>
            <w:tcW w:w="5380" w:type="dxa"/>
            <w:vAlign w:val="bottom"/>
            <w:tcBorders>
              <w:left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Big River United Energy, LLC</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131.1</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158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5.7%</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r>
      <w:tr>
        <w:trPr>
          <w:trHeight w:val="265"/>
        </w:trPr>
        <w:tc>
          <w:tcPr>
            <w:tcW w:w="538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Big River Resources Boyceville, LLC</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57.6</w:t>
            </w:r>
          </w:p>
        </w:tc>
        <w:tc>
          <w:tcPr>
            <w:tcW w:w="3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c>
          <w:tcPr>
            <w:tcW w:w="15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10.3%</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w:t>
            </w:r>
          </w:p>
        </w:tc>
        <w:tc>
          <w:tcPr>
            <w:tcW w:w="3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r>
      <w:tr>
        <w:trPr>
          <w:trHeight w:val="237"/>
        </w:trPr>
        <w:tc>
          <w:tcPr>
            <w:tcW w:w="53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Total</w:t>
            </w:r>
          </w:p>
        </w:tc>
        <w:tc>
          <w:tcPr>
            <w:tcW w:w="16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702.3</w:t>
            </w:r>
          </w:p>
        </w:tc>
        <w:tc>
          <w:tcPr>
            <w:tcW w:w="3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M</w:t>
            </w:r>
          </w:p>
        </w:tc>
        <w:tc>
          <w:tcPr>
            <w:tcW w:w="158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278.8</w:t>
            </w:r>
          </w:p>
        </w:tc>
        <w:tc>
          <w:tcPr>
            <w:tcW w:w="3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M</w:t>
            </w:r>
          </w:p>
        </w:tc>
      </w:tr>
    </w:tbl>
    <w:p>
      <w:pPr>
        <w:spacing w:after="0" w:line="195"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Our ethanol operations and the results thereof are highly dependent on commodity prices, especially prices for corn, ethanol, distillers grains, non-food grade corn oil and natural gas. As a result of price volatility for these commodities, our operating results can fluctuate substantially. The price and availability of corn is subject to significant fluctuations depending upon a number of factors that affect commodity prices in general, including crop conditions, weather, federal policy and foreign trade. Because the market price of ethanol is not always directly related to corn prices (for example, crude and other energy prices, the export market demand for ethanol and the results of federal policy decisions can impact ethanol prices), at times ethanol prices may not follow movements in corn prices and, in an environment of higher corn prices or lower ethanol prices, reduce the overall margin structure at the plants. As a result, at times, we may operate our plants at negative or minimally positive operating margins.</w:t>
      </w:r>
    </w:p>
    <w:p>
      <w:pPr>
        <w:spacing w:after="0" w:line="15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9"/>
          <w:szCs w:val="19"/>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51"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We attempt to manage the risk related to the volatility of commodity prices by utilizing forward grain purchase, forward ethanol, distillers grains and corn oil sale contracts and commodity futures 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the crush spread 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 w:name="page24"/>
    <w:bookmarkEnd w:id="23"/>
    <w:p>
      <w:pPr>
        <w:jc w:val="both"/>
        <w:ind w:right="40"/>
        <w:spacing w:after="0"/>
        <w:rPr>
          <w:sz w:val="20"/>
          <w:szCs w:val="20"/>
          <w:color w:val="auto"/>
        </w:rPr>
      </w:pPr>
      <w:r>
        <w:rPr>
          <w:rFonts w:ascii="Arial" w:cs="Arial" w:eastAsia="Arial" w:hAnsi="Arial"/>
          <w:sz w:val="22"/>
          <w:szCs w:val="22"/>
          <w:color w:val="auto"/>
        </w:rPr>
        <w:t>more than four months; thus, we are unable to predict the likelihood or amounts of future income or loss from the operations of our ethanol facilities. We utilize derivative financial instruments, primarily exchange traded commodity future contracts, in conjunction with certain of our grain procurement activities.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On August 10, 2017, we purchased the entire ownership interest of an entity that owns a refined coal facility, through a 95.35% owned subsidiary, for approximately $12.0 million. We began operating the refined coal facility immediately after the acquisition. We expect that the revenues from the sale of refined coal produced in the facility will be subsidized by federal production tax credits through November 2021, subject to meeting qualified emissions reductions as governed by Section 45 of the Internal Revenue Code. In order to maintain compliance with Section 45 of the Internal Revenue Code, we are required to test the effectiveness of our process with respect to emissions reductions every six months through an independent laboratory. Annually, the IRS publishes the amount of federal income tax credit earned per ton of refined coal produced and sold. We expect to earn credits at the rate of approximately $7.15 per ton of refined coal produced and sold during calendar year 2019.</w:t>
      </w:r>
    </w:p>
    <w:p>
      <w:pPr>
        <w:spacing w:after="0" w:line="15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The refined coal facility is located at the site of a utility-owned electrical generating power station, which is our refined coal operation’s sole customer. We expect future period refined coal production and sales amounts to vary depending on fluctuations in demand from the site host utility, which generally change based upon weather conditions in the geographic markets the utility serves and competing fuel prices and supplies. We have contracted with an experienced third party to operate and maintain the refined coal facility and to provide us with management reporting and operating data as required. We do not have any employees on site at the refined coal facility.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Energy</w:t>
      </w:r>
    </w:p>
    <w:p>
      <w:pPr>
        <w:spacing w:after="0" w:line="212"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color w:val="auto"/>
        </w:rPr>
        <w:t>During fiscal year 2013, we entered into a joint venture with Hytken HPGP, LLC (“Hytken”) to file and defend patents for eSteam technology relating to heavy oil and oil sands production methods, and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(“Future Energy”).</w:t>
      </w:r>
    </w:p>
    <w:p>
      <w:pPr>
        <w:spacing w:after="0" w:line="18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We have agreed to fund direct patent expenses relating to patent applications and defense, annual annuity fees and maintenance on a country by country basis, with the right to terminate funding and transfer related patent rights to Hytken. We may also fund, through loans, all costs relating to new intellectual property, consultants, future research and development, pilot field tests and equipment purchases with respect to the proposed commercialization stage of the technology. To date, we have paid approximately $2.0 million cumulatively primarily for patents and other expenses. We have not yet tested or proven the commercial feasibility of the technology.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three months ended April 30, 2019, we did not change any of our critical accounting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4" w:name="page25"/>
    <w:bookmarkEnd w:id="24"/>
    <w:p>
      <w:pPr>
        <w:ind w:right="300"/>
        <w:spacing w:after="0" w:line="251" w:lineRule="auto"/>
        <w:rPr>
          <w:sz w:val="20"/>
          <w:szCs w:val="20"/>
          <w:color w:val="auto"/>
        </w:rPr>
      </w:pPr>
      <w:r>
        <w:rPr>
          <w:rFonts w:ascii="Arial" w:cs="Arial" w:eastAsia="Arial" w:hAnsi="Arial"/>
          <w:sz w:val="22"/>
          <w:szCs w:val="22"/>
          <w:color w:val="auto"/>
        </w:rPr>
        <w:t>policies as disclosed in our 2018 Annual Report on Form 10-K as filed with the Securities and Exchange Commission on March 29, 2019, except as discussed in Note 2, adopted ASC Topic 842.</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12"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All references in this report to a particular fiscal year are to REX’s fiscal year ended January 31. For example, “fiscal year 2019” means the period February 1, 2019 to January 31, 2020.</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ind w:right="280" w:firstLine="648"/>
        <w:spacing w:after="0" w:line="251" w:lineRule="auto"/>
        <w:rPr>
          <w:sz w:val="20"/>
          <w:szCs w:val="20"/>
          <w:color w:val="auto"/>
        </w:rPr>
      </w:pPr>
      <w:r>
        <w:rPr>
          <w:rFonts w:ascii="Arial" w:cs="Arial" w:eastAsia="Arial" w:hAnsi="Arial"/>
          <w:sz w:val="22"/>
          <w:szCs w:val="22"/>
          <w:color w:val="auto"/>
        </w:rPr>
        <w:t>For a detailed analysis of period to period changes, see the segment discussion that follows this section as that discussion reflects how management views and monitors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Three Months Ended April 30, 2019 and 2018</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Net sales and revenue in the quarter ended April 30, 2019 were approximately $104.6 million compared to approximately $120.8 million in the prior year’s first quarter, representing a decrease of approximately $16.2 million, which was primarily caused by lower sales in our ethanol and by-products segment of approximately $16.2 million.</w:t>
      </w:r>
    </w:p>
    <w:p>
      <w:pPr>
        <w:spacing w:after="0" w:line="186"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Gross profit for the first quarter of fiscal year 2019 was approximately $3.6 million (3.5% of net sales and revenue) which was approximately $7.2 million lower compared to approximately $10.9 million of gross profit (9.0% of net sales and revenue) for the first quarter of fiscal year 2018. Gross profit for the first quarter of fiscal year 2019 decreased by approximately $7.4 million compared to the prior year first quarter as a result of operations in the ethanol and by-products segment. Gross loss in the refined coal segment was consistent in the first quarter of fiscal years 2019 and 2018.</w:t>
      </w:r>
    </w:p>
    <w:p>
      <w:pPr>
        <w:spacing w:after="0" w:line="179" w:lineRule="exact"/>
        <w:rPr>
          <w:sz w:val="20"/>
          <w:szCs w:val="20"/>
          <w:color w:val="auto"/>
        </w:rPr>
      </w:pPr>
    </w:p>
    <w:p>
      <w:pPr>
        <w:ind w:right="340" w:firstLine="648"/>
        <w:spacing w:after="0" w:line="251" w:lineRule="auto"/>
        <w:rPr>
          <w:sz w:val="20"/>
          <w:szCs w:val="20"/>
          <w:color w:val="auto"/>
        </w:rPr>
      </w:pPr>
      <w:r>
        <w:rPr>
          <w:rFonts w:ascii="Arial" w:cs="Arial" w:eastAsia="Arial" w:hAnsi="Arial"/>
          <w:sz w:val="22"/>
          <w:szCs w:val="22"/>
          <w:color w:val="auto"/>
        </w:rPr>
        <w:t>Selling, general and administrative (“SG&amp;A”) expenses for the first quarter of fiscal year 2019 were approximately $4.7 million, consistent with the first quarter of fiscal year 2018 amount of $4.6 million.</w:t>
      </w:r>
    </w:p>
    <w:p>
      <w:pPr>
        <w:spacing w:after="0" w:line="173"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During the first quarters of fiscal years 2019 and 2018, we recognized income of approximately $0.1 million and approximately $0.7 million, respectively, from our equity investment in Big River, which is included in our ethanol and by-products segment results. Big River has interests in four ethanol production plants that shipped approximately 425 million gallons in the trailing twelve months ended April 30, 2019 and has an effective ownership of ethanol gallons shipped for the same period of approximately 366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91"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Interest and other income was approximately $1.1 million for the first quarter of fiscal year 2019 versus approximately $0.7 million for the first quarter of fiscal year 2018. Income has increased as yields on our excess cash have improved compared to fiscal year 2018. In addition, excess cash investment balances in fiscal year 2019 increased compared to fiscal year 2018.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5" w:name="page26"/>
    <w:bookmarkEnd w:id="25"/>
    <w:p>
      <w:pPr>
        <w:ind w:right="180" w:firstLine="648"/>
        <w:spacing w:after="0" w:line="251" w:lineRule="auto"/>
        <w:rPr>
          <w:sz w:val="20"/>
          <w:szCs w:val="20"/>
          <w:color w:val="auto"/>
        </w:rPr>
      </w:pPr>
      <w:r>
        <w:rPr>
          <w:rFonts w:ascii="Arial" w:cs="Arial" w:eastAsia="Arial" w:hAnsi="Arial"/>
          <w:sz w:val="22"/>
          <w:szCs w:val="22"/>
          <w:color w:val="auto"/>
        </w:rPr>
        <w:t>As a result of the foregoing, income before income taxes was approximately $0.2 million for the first quarter of fiscal year 2019 versus approximately $7.6 million for the first quarter of fiscal year 2018.</w:t>
      </w:r>
    </w:p>
    <w:p>
      <w:pPr>
        <w:spacing w:after="0" w:line="173"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Historically, we recorded our interim tax provision or benefit for income taxes including the three months ended April 30, 2018, by applying an estimate of the annual effective tax rate for the full fiscal year to “ordinary” income or loss (pre-tax income or loss excluding unusual or infrequently occurring discrete items) for the reporting period. We determined that since small changes in estimated “ordinary” income would result in significant changes in the estimated annual effective tax rate, the historical method would not provide a reliable estimate for the three months ended April 30, 2019. Thus, we used a discrete effective tax rate method to calculate the provision or benefit for income taxes for the three months ended April 30, 2019. Our effective tax rate was approximately (2,124.6)% and approximately (35.3)% for the three months ended April 30, 2019 and 2018, respectively. The fluctuation in the rate results primarily from the production tax credits we expect to receive associated with our refined coal segment relative to lower pre-tax income in fiscal year 2019.</w:t>
      </w:r>
    </w:p>
    <w:p>
      <w:pPr>
        <w:spacing w:after="0" w:line="185"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As a result of the foregoing, net income was approximately $3.7 million for the first quarter of fiscal year 2019 compared to approximately $10.4 million for the first quarter of fiscal year 2018.</w:t>
      </w:r>
    </w:p>
    <w:p>
      <w:pPr>
        <w:spacing w:after="0" w:line="173"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Income related to noncontrolling interests was approximately $0.9 million during each of the first quarters of fiscal years 2019 and 2018. These amounts represent the other owners’ share of the income or loss of NuGen, One Earth, the refined coal entity and Future Energy.</w:t>
      </w:r>
    </w:p>
    <w:p>
      <w:pPr>
        <w:spacing w:after="0" w:line="186" w:lineRule="exact"/>
        <w:rPr>
          <w:sz w:val="20"/>
          <w:szCs w:val="20"/>
          <w:color w:val="auto"/>
        </w:rPr>
      </w:pPr>
    </w:p>
    <w:p>
      <w:pPr>
        <w:jc w:val="both"/>
        <w:ind w:right="200" w:firstLine="648"/>
        <w:spacing w:after="0"/>
        <w:rPr>
          <w:sz w:val="20"/>
          <w:szCs w:val="20"/>
          <w:color w:val="auto"/>
        </w:rPr>
      </w:pPr>
      <w:r>
        <w:rPr>
          <w:rFonts w:ascii="Arial" w:cs="Arial" w:eastAsia="Arial" w:hAnsi="Arial"/>
          <w:sz w:val="22"/>
          <w:szCs w:val="22"/>
          <w:color w:val="auto"/>
        </w:rPr>
        <w:t>As a result of the foregoing, net income attributable to REX common shareholders for the first quarter of fiscal year 2019 was approximately $2.8 million, a decrease of approximately $6.7 million from approximately $9.5 million for the first quarter of fiscal year 2018.</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 Results</w:t>
      </w:r>
    </w:p>
    <w:p>
      <w:pPr>
        <w:spacing w:after="0" w:line="212"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We have two segments: ethanol and by-products and refined coal. We evaluate the performance of each reportable segment based segment profit. Segment profit excludes indirect interest income and certain other items that are included in net income determined in accordance with accounting principles generally accepted in the United States of America. Segment profit includes realized and unrealized gains and losses on derivative financial instruments and the provision/benefit for income taxes.</w:t>
      </w:r>
    </w:p>
    <w:p>
      <w:pPr>
        <w:spacing w:after="0" w:line="14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The following sections discuss the results of operations for each of our business segments and corporate and other. Amounts in the corporate and other category include activities that are not separately reportable or related to a segment. The following tables summarizes segment and other results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60" w:type="dxa"/>
            <w:vAlign w:val="bottom"/>
            <w:gridSpan w:val="4"/>
          </w:tcPr>
          <w:p>
            <w:pPr>
              <w:jc w:val="right"/>
              <w:ind w:right="92"/>
              <w:spacing w:after="0"/>
              <w:rPr>
                <w:sz w:val="20"/>
                <w:szCs w:val="20"/>
                <w:color w:val="auto"/>
              </w:rPr>
            </w:pPr>
            <w:r>
              <w:rPr>
                <w:rFonts w:ascii="Arial" w:cs="Arial" w:eastAsia="Arial" w:hAnsi="Arial"/>
                <w:sz w:val="22"/>
                <w:szCs w:val="22"/>
                <w:color w:val="auto"/>
                <w:w w:val="94"/>
              </w:rPr>
              <w:t>Three Months Ended</w:t>
            </w:r>
          </w:p>
        </w:tc>
        <w:tc>
          <w:tcPr>
            <w:tcW w:w="3440" w:type="dxa"/>
            <w:vAlign w:val="bottom"/>
          </w:tcPr>
          <w:p>
            <w:pPr>
              <w:spacing w:after="0"/>
              <w:rPr>
                <w:sz w:val="21"/>
                <w:szCs w:val="21"/>
                <w:color w:val="auto"/>
              </w:rPr>
            </w:pPr>
          </w:p>
        </w:tc>
      </w:tr>
      <w:tr>
        <w:trPr>
          <w:trHeight w:val="257"/>
        </w:trPr>
        <w:tc>
          <w:tcPr>
            <w:tcW w:w="39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160" w:type="dxa"/>
            <w:vAlign w:val="bottom"/>
            <w:gridSpan w:val="4"/>
          </w:tcPr>
          <w:p>
            <w:pPr>
              <w:jc w:val="right"/>
              <w:ind w:right="612"/>
              <w:spacing w:after="0"/>
              <w:rPr>
                <w:sz w:val="20"/>
                <w:szCs w:val="20"/>
                <w:color w:val="auto"/>
              </w:rPr>
            </w:pPr>
            <w:r>
              <w:rPr>
                <w:rFonts w:ascii="Arial" w:cs="Arial" w:eastAsia="Arial" w:hAnsi="Arial"/>
                <w:sz w:val="22"/>
                <w:szCs w:val="22"/>
                <w:color w:val="auto"/>
              </w:rPr>
              <w:t>April 30,</w:t>
            </w:r>
          </w:p>
        </w:tc>
        <w:tc>
          <w:tcPr>
            <w:tcW w:w="3440" w:type="dxa"/>
            <w:vAlign w:val="bottom"/>
          </w:tcPr>
          <w:p>
            <w:pPr>
              <w:spacing w:after="0"/>
              <w:rPr>
                <w:sz w:val="22"/>
                <w:szCs w:val="22"/>
                <w:color w:val="auto"/>
              </w:rPr>
            </w:pPr>
          </w:p>
        </w:tc>
      </w:tr>
      <w:tr>
        <w:trPr>
          <w:trHeight w:val="265"/>
        </w:trPr>
        <w:tc>
          <w:tcPr>
            <w:tcW w:w="3980" w:type="dxa"/>
            <w:vAlign w:val="bottom"/>
          </w:tcPr>
          <w:p>
            <w:pPr>
              <w:spacing w:after="0"/>
              <w:rPr>
                <w:sz w:val="23"/>
                <w:szCs w:val="23"/>
                <w:color w:val="auto"/>
              </w:rPr>
            </w:pPr>
          </w:p>
        </w:tc>
        <w:tc>
          <w:tcPr>
            <w:tcW w:w="2740" w:type="dxa"/>
            <w:vAlign w:val="bottom"/>
            <w:gridSpan w:val="2"/>
          </w:tcPr>
          <w:p>
            <w:pPr>
              <w:jc w:val="right"/>
              <w:ind w:right="132"/>
              <w:spacing w:after="0"/>
              <w:rPr>
                <w:sz w:val="20"/>
                <w:szCs w:val="20"/>
                <w:color w:val="auto"/>
              </w:rPr>
            </w:pPr>
            <w:r>
              <w:rPr>
                <w:rFonts w:ascii="Arial" w:cs="Arial" w:eastAsia="Arial" w:hAnsi="Arial"/>
                <w:sz w:val="22"/>
                <w:szCs w:val="22"/>
                <w:color w:val="auto"/>
              </w:rPr>
              <w:t>2019</w:t>
            </w:r>
          </w:p>
        </w:tc>
        <w:tc>
          <w:tcPr>
            <w:tcW w:w="140" w:type="dxa"/>
            <w:vAlign w:val="bottom"/>
          </w:tcPr>
          <w:p>
            <w:pPr>
              <w:spacing w:after="0"/>
              <w:rPr>
                <w:sz w:val="23"/>
                <w:szCs w:val="23"/>
                <w:color w:val="auto"/>
              </w:rPr>
            </w:pPr>
          </w:p>
        </w:tc>
        <w:tc>
          <w:tcPr>
            <w:tcW w:w="1120" w:type="dxa"/>
            <w:vAlign w:val="bottom"/>
            <w:gridSpan w:val="2"/>
          </w:tcPr>
          <w:p>
            <w:pPr>
              <w:jc w:val="right"/>
              <w:ind w:right="192"/>
              <w:spacing w:after="0"/>
              <w:rPr>
                <w:sz w:val="20"/>
                <w:szCs w:val="20"/>
                <w:color w:val="auto"/>
              </w:rPr>
            </w:pPr>
            <w:r>
              <w:rPr>
                <w:rFonts w:ascii="Arial" w:cs="Arial" w:eastAsia="Arial" w:hAnsi="Arial"/>
                <w:sz w:val="22"/>
                <w:szCs w:val="22"/>
                <w:color w:val="auto"/>
              </w:rPr>
              <w:t>2018</w:t>
            </w:r>
          </w:p>
        </w:tc>
        <w:tc>
          <w:tcPr>
            <w:tcW w:w="3440" w:type="dxa"/>
            <w:vAlign w:val="bottom"/>
          </w:tcPr>
          <w:p>
            <w:pPr>
              <w:spacing w:after="0"/>
              <w:rPr>
                <w:sz w:val="23"/>
                <w:szCs w:val="23"/>
                <w:color w:val="auto"/>
              </w:rPr>
            </w:pPr>
          </w:p>
        </w:tc>
      </w:tr>
      <w:tr>
        <w:trPr>
          <w:trHeight w:val="237"/>
        </w:trPr>
        <w:tc>
          <w:tcPr>
            <w:tcW w:w="398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1840" w:type="dxa"/>
            <w:vAlign w:val="bottom"/>
            <w:tcBorders>
              <w:top w:val="single" w:sz="8" w:color="E5FFFF"/>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spacing w:after="0"/>
              <w:rPr>
                <w:sz w:val="20"/>
                <w:szCs w:val="20"/>
                <w:color w:val="auto"/>
              </w:rPr>
            </w:pPr>
          </w:p>
        </w:tc>
        <w:tc>
          <w:tcPr>
            <w:tcW w:w="14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E5FFFF"/>
            </w:tcBorders>
            <w:shd w:val="clear" w:color="auto" w:fill="E5FFFF"/>
          </w:tcPr>
          <w:p>
            <w:pPr>
              <w:spacing w:after="0"/>
              <w:rPr>
                <w:sz w:val="20"/>
                <w:szCs w:val="20"/>
                <w:color w:val="auto"/>
              </w:rPr>
            </w:pPr>
          </w:p>
        </w:tc>
        <w:tc>
          <w:tcPr>
            <w:tcW w:w="960" w:type="dxa"/>
            <w:vAlign w:val="bottom"/>
            <w:tcBorders>
              <w:top w:val="single" w:sz="8" w:color="auto"/>
              <w:right w:val="single" w:sz="8" w:color="E5FFFF"/>
            </w:tcBorders>
            <w:shd w:val="clear" w:color="auto" w:fill="E5FFFF"/>
          </w:tcPr>
          <w:p>
            <w:pPr>
              <w:spacing w:after="0"/>
              <w:rPr>
                <w:sz w:val="20"/>
                <w:szCs w:val="20"/>
                <w:color w:val="auto"/>
              </w:rPr>
            </w:pPr>
          </w:p>
        </w:tc>
        <w:tc>
          <w:tcPr>
            <w:tcW w:w="3440" w:type="dxa"/>
            <w:vAlign w:val="bottom"/>
          </w:tcPr>
          <w:p>
            <w:pPr>
              <w:spacing w:after="0"/>
              <w:rPr>
                <w:sz w:val="20"/>
                <w:szCs w:val="20"/>
                <w:color w:val="auto"/>
              </w:rPr>
            </w:pPr>
          </w:p>
        </w:tc>
      </w:tr>
      <w:tr>
        <w:trPr>
          <w:trHeight w:val="243"/>
        </w:trPr>
        <w:tc>
          <w:tcPr>
            <w:tcW w:w="39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288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$ 104,453</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$ 120,680</w:t>
            </w:r>
          </w:p>
        </w:tc>
        <w:tc>
          <w:tcPr>
            <w:tcW w:w="3440" w:type="dxa"/>
            <w:vAlign w:val="bottom"/>
          </w:tcPr>
          <w:p>
            <w:pPr>
              <w:spacing w:after="0"/>
              <w:rPr>
                <w:sz w:val="21"/>
                <w:szCs w:val="21"/>
                <w:color w:val="auto"/>
              </w:rPr>
            </w:pPr>
          </w:p>
        </w:tc>
      </w:tr>
      <w:tr>
        <w:trPr>
          <w:trHeight w:val="311"/>
        </w:trPr>
        <w:tc>
          <w:tcPr>
            <w:tcW w:w="398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6"/>
                <w:szCs w:val="36"/>
                <w:color w:val="auto"/>
                <w:vertAlign w:val="superscript"/>
              </w:rPr>
              <w:t>1</w:t>
            </w:r>
          </w:p>
        </w:tc>
        <w:tc>
          <w:tcPr>
            <w:tcW w:w="2880" w:type="dxa"/>
            <w:vAlign w:val="bottom"/>
            <w:gridSpan w:val="3"/>
            <w:shd w:val="clear" w:color="auto" w:fill="E5FFFF"/>
          </w:tcPr>
          <w:p>
            <w:pPr>
              <w:jc w:val="right"/>
              <w:ind w:right="140"/>
              <w:spacing w:after="0"/>
              <w:rPr>
                <w:sz w:val="20"/>
                <w:szCs w:val="20"/>
                <w:color w:val="auto"/>
              </w:rPr>
            </w:pPr>
            <w:r>
              <w:rPr>
                <w:rFonts w:ascii="Arial" w:cs="Arial" w:eastAsia="Arial" w:hAnsi="Arial"/>
                <w:sz w:val="22"/>
                <w:szCs w:val="22"/>
                <w:color w:val="auto"/>
              </w:rPr>
              <w:t>122</w:t>
            </w:r>
          </w:p>
        </w:tc>
        <w:tc>
          <w:tcPr>
            <w:tcW w:w="112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22"/>
                <w:szCs w:val="22"/>
                <w:color w:val="auto"/>
              </w:rPr>
              <w:t>140</w:t>
            </w:r>
          </w:p>
        </w:tc>
        <w:tc>
          <w:tcPr>
            <w:tcW w:w="3440" w:type="dxa"/>
            <w:vAlign w:val="bottom"/>
          </w:tcPr>
          <w:p>
            <w:pPr>
              <w:spacing w:after="0"/>
              <w:rPr>
                <w:sz w:val="24"/>
                <w:szCs w:val="24"/>
                <w:color w:val="auto"/>
              </w:rPr>
            </w:pPr>
          </w:p>
        </w:tc>
      </w:tr>
      <w:tr>
        <w:trPr>
          <w:trHeight w:val="250"/>
        </w:trPr>
        <w:tc>
          <w:tcPr>
            <w:tcW w:w="398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184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9"/>
              </w:rPr>
              <w:t>$ 104,575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9"/>
              </w:rPr>
              <w:t>$ 120,820</w:t>
            </w:r>
          </w:p>
        </w:tc>
        <w:tc>
          <w:tcPr>
            <w:tcW w:w="3440" w:type="dxa"/>
            <w:vAlign w:val="bottom"/>
          </w:tcPr>
          <w:p>
            <w:pPr>
              <w:spacing w:after="0"/>
              <w:rPr>
                <w:sz w:val="21"/>
                <w:szCs w:val="21"/>
                <w:color w:val="auto"/>
              </w:rPr>
            </w:pPr>
          </w:p>
        </w:tc>
      </w:tr>
      <w:tr>
        <w:trPr>
          <w:trHeight w:val="20"/>
        </w:trPr>
        <w:tc>
          <w:tcPr>
            <w:tcW w:w="3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23"/>
        </w:trPr>
        <w:tc>
          <w:tcPr>
            <w:tcW w:w="3980" w:type="dxa"/>
            <w:vAlign w:val="bottom"/>
          </w:tcPr>
          <w:p>
            <w:pPr>
              <w:spacing w:after="0"/>
              <w:rPr>
                <w:sz w:val="24"/>
                <w:szCs w:val="24"/>
                <w:color w:val="auto"/>
              </w:rPr>
            </w:pPr>
          </w:p>
        </w:tc>
        <w:tc>
          <w:tcPr>
            <w:tcW w:w="2740" w:type="dxa"/>
            <w:vAlign w:val="bottom"/>
            <w:gridSpan w:val="2"/>
          </w:tcPr>
          <w:p>
            <w:pPr>
              <w:jc w:val="right"/>
              <w:ind w:right="792"/>
              <w:spacing w:after="0"/>
              <w:rPr>
                <w:sz w:val="20"/>
                <w:szCs w:val="20"/>
                <w:color w:val="auto"/>
              </w:rPr>
            </w:pPr>
            <w:r>
              <w:rPr>
                <w:rFonts w:ascii="Arial" w:cs="Arial" w:eastAsia="Arial" w:hAnsi="Arial"/>
                <w:sz w:val="22"/>
                <w:szCs w:val="22"/>
                <w:color w:val="auto"/>
              </w:rPr>
              <w:t>26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40"/>
        </w:trPr>
        <w:tc>
          <w:tcPr>
            <w:tcW w:w="3980" w:type="dxa"/>
            <w:vAlign w:val="bottom"/>
            <w:tcBorders>
              <w:bottom w:val="single" w:sz="8" w:color="C0C0C0"/>
            </w:tcBorders>
          </w:tcPr>
          <w:p>
            <w:pPr>
              <w:spacing w:after="0"/>
              <w:rPr>
                <w:sz w:val="20"/>
                <w:szCs w:val="20"/>
                <w:color w:val="auto"/>
              </w:rPr>
            </w:pPr>
          </w:p>
        </w:tc>
        <w:tc>
          <w:tcPr>
            <w:tcW w:w="184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34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2" w:right="239" w:bottom="1440" w:gutter="0" w:footer="0" w:header="0"/>
        </w:sectPr>
      </w:pPr>
    </w:p>
    <w:bookmarkStart w:id="26" w:name="page27"/>
    <w:bookmarkEnd w:id="26"/>
    <w:p>
      <w:pPr>
        <w:ind w:left="820" w:hanging="353"/>
        <w:spacing w:after="0" w:line="251"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22"/>
          <w:szCs w:val="22"/>
          <w:color w:val="auto"/>
        </w:rPr>
        <w:t>We record sales in the refined coal segment net of the cost of coal as we purchase the coal feedstock from the customer to which refined coal is sold.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6"/>
          </w:tcPr>
          <w:p>
            <w:pPr>
              <w:jc w:val="right"/>
              <w:ind w:right="200"/>
              <w:spacing w:after="0"/>
              <w:rPr>
                <w:sz w:val="20"/>
                <w:szCs w:val="20"/>
                <w:color w:val="auto"/>
              </w:rPr>
            </w:pPr>
            <w:r>
              <w:rPr>
                <w:rFonts w:ascii="Arial" w:cs="Arial" w:eastAsia="Arial" w:hAnsi="Arial"/>
                <w:sz w:val="22"/>
                <w:szCs w:val="22"/>
                <w:color w:val="auto"/>
                <w:w w:val="88"/>
              </w:rPr>
              <w:t>Three Months Ended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6"/>
          </w:tcPr>
          <w:p>
            <w:pPr>
              <w:jc w:val="right"/>
              <w:ind w:right="720"/>
              <w:spacing w:after="0"/>
              <w:rPr>
                <w:sz w:val="20"/>
                <w:szCs w:val="20"/>
                <w:color w:val="auto"/>
              </w:rPr>
            </w:pPr>
            <w:r>
              <w:rPr>
                <w:rFonts w:ascii="Arial" w:cs="Arial" w:eastAsia="Arial" w:hAnsi="Arial"/>
                <w:sz w:val="22"/>
                <w:szCs w:val="22"/>
                <w:color w:val="auto"/>
              </w:rPr>
              <w:t>April 30,</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40" w:type="dxa"/>
            <w:vAlign w:val="bottom"/>
            <w:tcBorders>
              <w:bottom w:val="single" w:sz="8" w:color="E5FFFF"/>
            </w:tcBorders>
          </w:tcPr>
          <w:p>
            <w:pPr>
              <w:spacing w:after="0"/>
              <w:rPr>
                <w:sz w:val="23"/>
                <w:szCs w:val="23"/>
                <w:color w:val="auto"/>
              </w:rPr>
            </w:pPr>
          </w:p>
        </w:tc>
        <w:tc>
          <w:tcPr>
            <w:tcW w:w="560" w:type="dxa"/>
            <w:vAlign w:val="bottom"/>
            <w:tcBorders>
              <w:bottom w:val="single" w:sz="8" w:color="E5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2019</w:t>
            </w:r>
          </w:p>
        </w:tc>
        <w:tc>
          <w:tcPr>
            <w:tcW w:w="140" w:type="dxa"/>
            <w:vAlign w:val="bottom"/>
            <w:tcBorders>
              <w:bottom w:val="single" w:sz="8" w:color="E5FFFF"/>
            </w:tcBorders>
          </w:tcPr>
          <w:p>
            <w:pPr>
              <w:spacing w:after="0"/>
              <w:rPr>
                <w:sz w:val="23"/>
                <w:szCs w:val="23"/>
                <w:color w:val="auto"/>
              </w:rPr>
            </w:pPr>
          </w:p>
        </w:tc>
        <w:tc>
          <w:tcPr>
            <w:tcW w:w="160" w:type="dxa"/>
            <w:vAlign w:val="bottom"/>
            <w:tcBorders>
              <w:bottom w:val="single" w:sz="8" w:color="E5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8"/>
              </w:rPr>
              <w:t>2018</w:t>
            </w:r>
          </w:p>
        </w:tc>
        <w:tc>
          <w:tcPr>
            <w:tcW w:w="60" w:type="dxa"/>
            <w:vAlign w:val="bottom"/>
            <w:tcBorders>
              <w:bottom w:val="single" w:sz="8" w:color="E5FF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Segment gross profit (loss):</w:t>
            </w:r>
          </w:p>
        </w:tc>
        <w:tc>
          <w:tcPr>
            <w:tcW w:w="5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6,115</w:t>
            </w:r>
          </w:p>
        </w:tc>
        <w:tc>
          <w:tcPr>
            <w:tcW w:w="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13,546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56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22"/>
                <w:szCs w:val="22"/>
                <w:color w:val="auto"/>
              </w:rPr>
              <w:t>(2,469)</w:t>
            </w:r>
          </w:p>
        </w:tc>
        <w:tc>
          <w:tcPr>
            <w:tcW w:w="1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22"/>
                <w:szCs w:val="22"/>
                <w:color w:val="auto"/>
              </w:rPr>
              <w:t>(2,695)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Pr>
          <w:p>
            <w:pPr>
              <w:spacing w:after="0" w:line="250" w:lineRule="exact"/>
              <w:rPr>
                <w:sz w:val="20"/>
                <w:szCs w:val="20"/>
                <w:color w:val="auto"/>
              </w:rPr>
            </w:pPr>
            <w:r>
              <w:rPr>
                <w:rFonts w:ascii="Arial" w:cs="Arial" w:eastAsia="Arial" w:hAnsi="Arial"/>
                <w:sz w:val="22"/>
                <w:szCs w:val="22"/>
                <w:color w:val="auto"/>
              </w:rPr>
              <w:t>Total gross profit</w:t>
            </w:r>
          </w:p>
        </w:tc>
        <w:tc>
          <w:tcPr>
            <w:tcW w:w="5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3,646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10,851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(loss) before income taxes:</w:t>
            </w:r>
          </w:p>
        </w:tc>
        <w:tc>
          <w:tcPr>
            <w:tcW w:w="5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3,205</w:t>
            </w:r>
          </w:p>
        </w:tc>
        <w:tc>
          <w:tcPr>
            <w:tcW w:w="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11,009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5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(2,676)</w:t>
            </w: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(2,859)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Corporate and other</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22"/>
                <w:szCs w:val="22"/>
                <w:color w:val="auto"/>
              </w:rPr>
              <w:t>(362)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(501)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income before income taxes</w:t>
            </w:r>
          </w:p>
        </w:tc>
        <w:tc>
          <w:tcPr>
            <w:tcW w:w="56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167</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7,649</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22"/>
                <w:szCs w:val="22"/>
                <w:color w:val="auto"/>
              </w:rPr>
              <w:t>Benefit (provision) for income taxes:</w:t>
            </w: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6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(486)</w:t>
            </w:r>
          </w:p>
        </w:tc>
        <w:tc>
          <w:tcPr>
            <w:tcW w:w="3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(1,420)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3,946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3,999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56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20" w:type="dxa"/>
            <w:vAlign w:val="bottom"/>
            <w:gridSpan w:val="2"/>
            <w:shd w:val="clear" w:color="auto" w:fill="E5FFFF"/>
          </w:tcPr>
          <w:p>
            <w:pPr>
              <w:jc w:val="right"/>
              <w:ind w:right="140"/>
              <w:spacing w:after="0"/>
              <w:rPr>
                <w:sz w:val="20"/>
                <w:szCs w:val="20"/>
                <w:color w:val="auto"/>
              </w:rPr>
            </w:pPr>
            <w:r>
              <w:rPr>
                <w:rFonts w:ascii="Arial" w:cs="Arial" w:eastAsia="Arial" w:hAnsi="Arial"/>
                <w:sz w:val="22"/>
                <w:szCs w:val="22"/>
                <w:color w:val="auto"/>
              </w:rPr>
              <w:t>88</w:t>
            </w:r>
          </w:p>
        </w:tc>
        <w:tc>
          <w:tcPr>
            <w:tcW w:w="1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Pr>
          <w:p>
            <w:pPr>
              <w:spacing w:after="0" w:line="250" w:lineRule="exact"/>
              <w:rPr>
                <w:sz w:val="20"/>
                <w:szCs w:val="20"/>
                <w:color w:val="auto"/>
              </w:rPr>
            </w:pPr>
            <w:r>
              <w:rPr>
                <w:rFonts w:ascii="Arial" w:cs="Arial" w:eastAsia="Arial" w:hAnsi="Arial"/>
                <w:sz w:val="22"/>
                <w:szCs w:val="22"/>
                <w:color w:val="auto"/>
              </w:rPr>
              <w:t>Total benefit for income taxes</w:t>
            </w:r>
          </w:p>
        </w:tc>
        <w:tc>
          <w:tcPr>
            <w:tcW w:w="5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3,548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2,703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Segment profit (loss) (net of noncontrolling interests):</w:t>
            </w:r>
          </w:p>
        </w:tc>
        <w:tc>
          <w:tcPr>
            <w:tcW w:w="5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1,709</w:t>
            </w:r>
          </w:p>
        </w:tc>
        <w:tc>
          <w:tcPr>
            <w:tcW w:w="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8,589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5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1,386</w:t>
            </w: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1,271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Corporate and other</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22"/>
                <w:szCs w:val="22"/>
                <w:color w:val="auto"/>
              </w:rPr>
              <w:t>(274)</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(364)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w w:val="99"/>
              </w:rPr>
              <w:t>Net income attributable to REX common shareholders</w:t>
            </w:r>
          </w:p>
        </w:tc>
        <w:tc>
          <w:tcPr>
            <w:tcW w:w="56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2,821</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9,496</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12"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The ethanol and by-products segment includes the consolidated financial results of One Earth and NuGen, our equity investment in Big River and certain administrative expenses.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02" w:right="319" w:bottom="1440" w:gutter="0" w:footer="0" w:header="0"/>
        </w:sectPr>
      </w:pPr>
    </w:p>
    <w:bookmarkStart w:id="27" w:name="page28"/>
    <w:bookmarkEnd w:id="27"/>
    <w:p>
      <w:pPr>
        <w:ind w:left="660"/>
        <w:spacing w:after="0"/>
        <w:rPr>
          <w:sz w:val="20"/>
          <w:szCs w:val="20"/>
          <w:color w:val="auto"/>
        </w:rPr>
      </w:pPr>
      <w:r>
        <w:rPr>
          <w:rFonts w:ascii="Arial" w:cs="Arial" w:eastAsia="Arial" w:hAnsi="Arial"/>
          <w:sz w:val="22"/>
          <w:szCs w:val="22"/>
          <w:color w:val="auto"/>
        </w:rPr>
        <w:t>The following table summarizes sales from One Earth and NuGen by product group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6"/>
          </w:tcPr>
          <w:p>
            <w:pPr>
              <w:jc w:val="right"/>
              <w:ind w:right="200"/>
              <w:spacing w:after="0"/>
              <w:rPr>
                <w:sz w:val="20"/>
                <w:szCs w:val="20"/>
                <w:color w:val="auto"/>
              </w:rPr>
            </w:pPr>
            <w:r>
              <w:rPr>
                <w:rFonts w:ascii="Arial" w:cs="Arial" w:eastAsia="Arial" w:hAnsi="Arial"/>
                <w:sz w:val="22"/>
                <w:szCs w:val="22"/>
                <w:color w:val="auto"/>
                <w:w w:val="88"/>
              </w:rPr>
              <w:t>Three Months Ended</w:t>
            </w:r>
          </w:p>
        </w:tc>
      </w:tr>
      <w:tr>
        <w:trPr>
          <w:trHeight w:val="257"/>
        </w:trPr>
        <w:tc>
          <w:tcPr>
            <w:tcW w:w="5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6"/>
          </w:tcPr>
          <w:p>
            <w:pPr>
              <w:jc w:val="right"/>
              <w:ind w:right="720"/>
              <w:spacing w:after="0"/>
              <w:rPr>
                <w:sz w:val="20"/>
                <w:szCs w:val="20"/>
                <w:color w:val="auto"/>
              </w:rPr>
            </w:pPr>
            <w:r>
              <w:rPr>
                <w:rFonts w:ascii="Arial" w:cs="Arial" w:eastAsia="Arial" w:hAnsi="Arial"/>
                <w:sz w:val="22"/>
                <w:szCs w:val="22"/>
                <w:color w:val="auto"/>
              </w:rPr>
              <w:t>April 30,</w:t>
            </w:r>
          </w:p>
        </w:tc>
      </w:tr>
      <w:tr>
        <w:trPr>
          <w:trHeight w:val="265"/>
        </w:trPr>
        <w:tc>
          <w:tcPr>
            <w:tcW w:w="5180" w:type="dxa"/>
            <w:vAlign w:val="bottom"/>
            <w:tcBorders>
              <w:bottom w:val="single" w:sz="8" w:color="E5FFFF"/>
            </w:tcBorders>
          </w:tcPr>
          <w:p>
            <w:pPr>
              <w:spacing w:after="0"/>
              <w:rPr>
                <w:sz w:val="23"/>
                <w:szCs w:val="23"/>
                <w:color w:val="auto"/>
              </w:rPr>
            </w:pPr>
          </w:p>
        </w:tc>
        <w:tc>
          <w:tcPr>
            <w:tcW w:w="640" w:type="dxa"/>
            <w:vAlign w:val="bottom"/>
            <w:tcBorders>
              <w:bottom w:val="single" w:sz="8" w:color="E5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2019</w:t>
            </w:r>
          </w:p>
        </w:tc>
        <w:tc>
          <w:tcPr>
            <w:tcW w:w="140" w:type="dxa"/>
            <w:vAlign w:val="bottom"/>
            <w:tcBorders>
              <w:bottom w:val="single" w:sz="8" w:color="E5FFFF"/>
            </w:tcBorders>
          </w:tcPr>
          <w:p>
            <w:pPr>
              <w:spacing w:after="0"/>
              <w:rPr>
                <w:sz w:val="23"/>
                <w:szCs w:val="23"/>
                <w:color w:val="auto"/>
              </w:rPr>
            </w:pPr>
          </w:p>
        </w:tc>
        <w:tc>
          <w:tcPr>
            <w:tcW w:w="160" w:type="dxa"/>
            <w:vAlign w:val="bottom"/>
            <w:tcBorders>
              <w:bottom w:val="single" w:sz="8" w:color="E5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8"/>
              </w:rPr>
              <w:t>2018</w:t>
            </w:r>
          </w:p>
        </w:tc>
        <w:tc>
          <w:tcPr>
            <w:tcW w:w="60" w:type="dxa"/>
            <w:vAlign w:val="bottom"/>
            <w:tcBorders>
              <w:bottom w:val="single" w:sz="8" w:color="E5FFFF"/>
            </w:tcBorders>
          </w:tcPr>
          <w:p>
            <w:pPr>
              <w:spacing w:after="0"/>
              <w:rPr>
                <w:sz w:val="23"/>
                <w:szCs w:val="23"/>
                <w:color w:val="auto"/>
              </w:rPr>
            </w:pPr>
          </w:p>
        </w:tc>
      </w:tr>
      <w:tr>
        <w:trPr>
          <w:trHeight w:val="237"/>
        </w:trPr>
        <w:tc>
          <w:tcPr>
            <w:tcW w:w="518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Sales of products, ethanol and by-products segment:</w:t>
            </w:r>
          </w:p>
        </w:tc>
        <w:tc>
          <w:tcPr>
            <w:tcW w:w="6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r>
      <w:tr>
        <w:trPr>
          <w:trHeight w:val="243"/>
        </w:trPr>
        <w:tc>
          <w:tcPr>
            <w:tcW w:w="5180" w:type="dxa"/>
            <w:vAlign w:val="bottom"/>
          </w:tcPr>
          <w:p>
            <w:pPr>
              <w:spacing w:after="0" w:line="243" w:lineRule="exact"/>
              <w:rPr>
                <w:sz w:val="20"/>
                <w:szCs w:val="20"/>
                <w:color w:val="auto"/>
              </w:rPr>
            </w:pPr>
            <w:r>
              <w:rPr>
                <w:rFonts w:ascii="Arial" w:cs="Arial" w:eastAsia="Arial" w:hAnsi="Arial"/>
                <w:sz w:val="22"/>
                <w:szCs w:val="22"/>
                <w:color w:val="auto"/>
              </w:rPr>
              <w:t>Ethanol</w:t>
            </w: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77,618</w:t>
            </w:r>
          </w:p>
        </w:tc>
        <w:tc>
          <w:tcPr>
            <w:tcW w:w="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91,893</w:t>
            </w:r>
          </w:p>
        </w:tc>
      </w:tr>
      <w:tr>
        <w:trPr>
          <w:trHeight w:val="243"/>
        </w:trPr>
        <w:tc>
          <w:tcPr>
            <w:tcW w:w="51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Dried distillers grains</w:t>
            </w:r>
          </w:p>
        </w:tc>
        <w:tc>
          <w:tcPr>
            <w:tcW w:w="6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18,674</w:t>
            </w: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20,083</w:t>
            </w:r>
          </w:p>
        </w:tc>
      </w:tr>
      <w:tr>
        <w:trPr>
          <w:trHeight w:val="243"/>
        </w:trPr>
        <w:tc>
          <w:tcPr>
            <w:tcW w:w="5180" w:type="dxa"/>
            <w:vAlign w:val="bottom"/>
          </w:tcPr>
          <w:p>
            <w:pPr>
              <w:spacing w:after="0" w:line="243" w:lineRule="exact"/>
              <w:rPr>
                <w:sz w:val="20"/>
                <w:szCs w:val="20"/>
                <w:color w:val="auto"/>
              </w:rPr>
            </w:pPr>
            <w:r>
              <w:rPr>
                <w:rFonts w:ascii="Arial" w:cs="Arial" w:eastAsia="Arial" w:hAnsi="Arial"/>
                <w:sz w:val="22"/>
                <w:szCs w:val="22"/>
                <w:color w:val="auto"/>
              </w:rPr>
              <w:t>Non-food grade corn oil</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4,983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4,980</w:t>
            </w:r>
          </w:p>
        </w:tc>
      </w:tr>
      <w:tr>
        <w:trPr>
          <w:trHeight w:val="243"/>
        </w:trPr>
        <w:tc>
          <w:tcPr>
            <w:tcW w:w="51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Modified distillers grains</w:t>
            </w:r>
          </w:p>
        </w:tc>
        <w:tc>
          <w:tcPr>
            <w:tcW w:w="6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3,140</w:t>
            </w: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3,717</w:t>
            </w:r>
          </w:p>
        </w:tc>
      </w:tr>
      <w:tr>
        <w:trPr>
          <w:trHeight w:val="257"/>
        </w:trPr>
        <w:tc>
          <w:tcPr>
            <w:tcW w:w="5180" w:type="dxa"/>
            <w:vAlign w:val="bottom"/>
          </w:tcPr>
          <w:p>
            <w:pPr>
              <w:spacing w:after="0"/>
              <w:rPr>
                <w:sz w:val="20"/>
                <w:szCs w:val="20"/>
                <w:color w:val="auto"/>
              </w:rPr>
            </w:pPr>
            <w:r>
              <w:rPr>
                <w:rFonts w:ascii="Arial" w:cs="Arial" w:eastAsia="Arial" w:hAnsi="Arial"/>
                <w:sz w:val="22"/>
                <w:szCs w:val="22"/>
                <w:color w:val="auto"/>
              </w:rPr>
              <w:t>Other</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22"/>
                <w:szCs w:val="22"/>
                <w:color w:val="auto"/>
              </w:rPr>
              <w:t>38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7</w:t>
            </w:r>
          </w:p>
        </w:tc>
      </w:tr>
      <w:tr>
        <w:trPr>
          <w:trHeight w:val="250"/>
        </w:trPr>
        <w:tc>
          <w:tcPr>
            <w:tcW w:w="51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64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5"/>
              </w:rPr>
              <w:t>104,453</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0"/>
              </w:rPr>
              <w:t>120,680</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selected operating data from One Earth and NuGen: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6"/>
          </w:tcPr>
          <w:p>
            <w:pPr>
              <w:jc w:val="right"/>
              <w:ind w:right="200"/>
              <w:spacing w:after="0"/>
              <w:rPr>
                <w:sz w:val="20"/>
                <w:szCs w:val="20"/>
                <w:color w:val="auto"/>
              </w:rPr>
            </w:pPr>
            <w:r>
              <w:rPr>
                <w:rFonts w:ascii="Arial" w:cs="Arial" w:eastAsia="Arial" w:hAnsi="Arial"/>
                <w:sz w:val="22"/>
                <w:szCs w:val="22"/>
                <w:color w:val="auto"/>
                <w:w w:val="88"/>
              </w:rPr>
              <w:t>Three Months Ended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6"/>
          </w:tcPr>
          <w:p>
            <w:pPr>
              <w:jc w:val="right"/>
              <w:ind w:right="720"/>
              <w:spacing w:after="0"/>
              <w:rPr>
                <w:sz w:val="20"/>
                <w:szCs w:val="20"/>
                <w:color w:val="auto"/>
              </w:rPr>
            </w:pPr>
            <w:r>
              <w:rPr>
                <w:rFonts w:ascii="Arial" w:cs="Arial" w:eastAsia="Arial" w:hAnsi="Arial"/>
                <w:sz w:val="22"/>
                <w:szCs w:val="22"/>
                <w:color w:val="auto"/>
              </w:rPr>
              <w:t>April 30,</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2019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8"/>
              </w:rPr>
              <w:t>2018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gallon of ethanol</w:t>
            </w:r>
          </w:p>
        </w:tc>
        <w:tc>
          <w:tcPr>
            <w:tcW w:w="4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1.27</w:t>
            </w:r>
          </w:p>
        </w:tc>
        <w:tc>
          <w:tcPr>
            <w:tcW w:w="32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61.3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69.2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dried distillers grains</w:t>
            </w:r>
          </w:p>
        </w:tc>
        <w:tc>
          <w:tcPr>
            <w:tcW w:w="4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142.02</w:t>
            </w:r>
          </w:p>
        </w:tc>
        <w:tc>
          <w:tcPr>
            <w:tcW w:w="32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137.75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w w:val="95"/>
              </w:rPr>
              <w:t>131,490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0"/>
              </w:rPr>
              <w:t>145,794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5"/>
              </w:rPr>
              <w:t>Average selling price per pound of non-food grade corn oil</w:t>
            </w:r>
          </w:p>
        </w:tc>
        <w:tc>
          <w:tcPr>
            <w:tcW w:w="4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0.25</w:t>
            </w:r>
          </w:p>
        </w:tc>
        <w:tc>
          <w:tcPr>
            <w:tcW w:w="32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0.25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Arial" w:cs="Arial" w:eastAsia="Arial" w:hAnsi="Arial"/>
                <w:sz w:val="22"/>
                <w:szCs w:val="22"/>
                <w:color w:val="auto"/>
              </w:rPr>
              <w:t>Pounds of non-food grade corn oil sold (in millions)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19.8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9"/>
              </w:rPr>
              <w:t>Average selling price per ton of modified distillers grains</w:t>
            </w:r>
          </w:p>
        </w:tc>
        <w:tc>
          <w:tcPr>
            <w:tcW w:w="4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65.75</w:t>
            </w:r>
          </w:p>
        </w:tc>
        <w:tc>
          <w:tcPr>
            <w:tcW w:w="32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70.29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Arial" w:cs="Arial" w:eastAsia="Arial" w:hAnsi="Arial"/>
                <w:sz w:val="22"/>
                <w:szCs w:val="22"/>
                <w:color w:val="auto"/>
              </w:rPr>
              <w:t>Tons of modified distillers grains sold</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47,760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52,886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cost per bushel of grain</w:t>
            </w:r>
          </w:p>
        </w:tc>
        <w:tc>
          <w:tcPr>
            <w:tcW w:w="4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3.53</w:t>
            </w:r>
          </w:p>
        </w:tc>
        <w:tc>
          <w:tcPr>
            <w:tcW w:w="32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3.50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440" w:type="dxa"/>
            <w:vAlign w:val="bottom"/>
          </w:tcPr>
          <w:p>
            <w:pPr>
              <w:spacing w:after="0"/>
              <w:rPr>
                <w:sz w:val="20"/>
                <w:szCs w:val="20"/>
                <w:color w:val="auto"/>
              </w:rPr>
            </w:pPr>
            <w:r>
              <w:rPr>
                <w:rFonts w:ascii="Arial" w:cs="Arial" w:eastAsia="Arial" w:hAnsi="Arial"/>
                <w:sz w:val="22"/>
                <w:szCs w:val="22"/>
                <w:color w:val="auto"/>
              </w:rPr>
              <w:t>Average cost of natural gas (per mmbtu)</w:t>
            </w:r>
          </w:p>
        </w:tc>
        <w:tc>
          <w:tcPr>
            <w:tcW w:w="48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22"/>
                <w:szCs w:val="22"/>
                <w:color w:val="auto"/>
              </w:rPr>
              <w:t>3.66</w:t>
            </w:r>
          </w:p>
        </w:tc>
        <w:tc>
          <w:tcPr>
            <w:tcW w:w="32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3.46</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Ethanol sales decreased from approximately $91.9 million in the first quarter of fiscal year 2018 to approximately $77.6 million in the first quarter of fiscal year 2019, primarily a result of a 11% decrease in gallons sold compared to the first quarter of fiscal year 2018. In addition, the price per gallon sold decreased by $0.06 compared to the first quarter of fiscal year 2018. The volume decrease was primarily a result of weather related logistical delays which impacted production. Management believes the price decrease is primarily related to a general oversupply of ethanol in fiscal year 2019 as the industry has operated at historically high production levels and the EPA has recently granted waivers to small refiners which lowered the RINs obligation and we believe weakened domestic ethanol demand. Dried distillers grains sales decreased from approximately $20.1 million in the first quarter of fiscal year 2018 to approximately $18.7 million in the first quarter of fiscal year 2019, primarily a result of a 10% decrease in tons sold compared to the first quarter of fiscal year 2018. This fluctuation was partially offset</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402" w:right="379" w:bottom="1440" w:gutter="0" w:footer="0" w:header="0"/>
        </w:sectPr>
      </w:pPr>
    </w:p>
    <w:bookmarkStart w:id="28" w:name="page29"/>
    <w:bookmarkEnd w:id="28"/>
    <w:p>
      <w:pPr>
        <w:spacing w:after="0"/>
        <w:rPr>
          <w:sz w:val="20"/>
          <w:szCs w:val="20"/>
          <w:color w:val="auto"/>
        </w:rPr>
      </w:pPr>
      <w:r>
        <w:rPr>
          <w:rFonts w:ascii="Arial" w:cs="Arial" w:eastAsia="Arial" w:hAnsi="Arial"/>
          <w:sz w:val="19"/>
          <w:szCs w:val="19"/>
          <w:color w:val="auto"/>
        </w:rPr>
        <w:t>by a $4.27 increase in the price per ton sold compared to the first quarter of fiscal year 2018. The volume decrease was primarily 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result of weather related logistical delays which impacted production. Non-food grade corn oil sales were approximately $5.0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million in each of the first quarters of fiscal years 2019 and 2018. Modified distillers grains sales decreased from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$3.7 million in the first quarter of fiscal year 2018 to approximately $3.1 million in the first quarter of fiscal year 2019, primarily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result of a 10% decrease in pounds sold compared to the first quarter of fiscal year 2018. In addition, the price per pound sold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decreased by $4.54 compared to the first quarter of fiscal year 2018. The volume decrease was primarily a result of weather related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logistical delays which impacted production.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expect that sales in future periods will be based upon the following (One Earth and NuGen only):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40" w:type="dxa"/>
            <w:vAlign w:val="bottom"/>
            <w:gridSpan w:val="2"/>
          </w:tcPr>
          <w:p>
            <w:pPr>
              <w:spacing w:after="0"/>
              <w:rPr>
                <w:sz w:val="20"/>
                <w:szCs w:val="20"/>
                <w:color w:val="auto"/>
              </w:rPr>
            </w:pPr>
            <w:r>
              <w:rPr>
                <w:rFonts w:ascii="Arial" w:cs="Arial" w:eastAsia="Arial" w:hAnsi="Arial"/>
                <w:sz w:val="22"/>
                <w:szCs w:val="22"/>
                <w:color w:val="auto"/>
              </w:rPr>
              <w:t>Product</w:t>
            </w:r>
          </w:p>
        </w:tc>
        <w:tc>
          <w:tcPr>
            <w:tcW w:w="4320" w:type="dxa"/>
            <w:vAlign w:val="bottom"/>
          </w:tcPr>
          <w:p>
            <w:pPr>
              <w:ind w:left="340"/>
              <w:spacing w:after="0"/>
              <w:rPr>
                <w:sz w:val="20"/>
                <w:szCs w:val="20"/>
                <w:color w:val="auto"/>
              </w:rPr>
            </w:pPr>
            <w:r>
              <w:rPr>
                <w:rFonts w:ascii="Arial" w:cs="Arial" w:eastAsia="Arial" w:hAnsi="Arial"/>
                <w:sz w:val="22"/>
                <w:szCs w:val="22"/>
                <w:color w:val="auto"/>
              </w:rPr>
              <w:t>Annual Sales Quantity</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25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4320" w:type="dxa"/>
            <w:vAlign w:val="bottom"/>
            <w:shd w:val="clear" w:color="auto" w:fill="E5FFFF"/>
          </w:tcPr>
          <w:p>
            <w:pPr>
              <w:ind w:left="340"/>
              <w:spacing w:after="0" w:line="243" w:lineRule="exact"/>
              <w:rPr>
                <w:sz w:val="20"/>
                <w:szCs w:val="20"/>
                <w:color w:val="auto"/>
              </w:rPr>
            </w:pPr>
            <w:r>
              <w:rPr>
                <w:rFonts w:ascii="Arial" w:cs="Arial" w:eastAsia="Arial" w:hAnsi="Arial"/>
                <w:sz w:val="22"/>
                <w:szCs w:val="22"/>
                <w:color w:val="auto"/>
              </w:rPr>
              <w:t>270 million to 300 million gallons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4320" w:type="dxa"/>
            <w:vAlign w:val="bottom"/>
          </w:tcPr>
          <w:p>
            <w:pPr>
              <w:ind w:left="340"/>
              <w:spacing w:after="0" w:line="243" w:lineRule="exact"/>
              <w:rPr>
                <w:sz w:val="20"/>
                <w:szCs w:val="20"/>
                <w:color w:val="auto"/>
              </w:rPr>
            </w:pPr>
            <w:r>
              <w:rPr>
                <w:rFonts w:ascii="Arial" w:cs="Arial" w:eastAsia="Arial" w:hAnsi="Arial"/>
                <w:sz w:val="22"/>
                <w:szCs w:val="22"/>
                <w:color w:val="auto"/>
              </w:rPr>
              <w:t>580,000 to 650,000 tons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4320" w:type="dxa"/>
            <w:vAlign w:val="bottom"/>
            <w:shd w:val="clear" w:color="auto" w:fill="E5FFFF"/>
          </w:tcPr>
          <w:p>
            <w:pPr>
              <w:ind w:left="340"/>
              <w:spacing w:after="0" w:line="243" w:lineRule="exact"/>
              <w:rPr>
                <w:sz w:val="20"/>
                <w:szCs w:val="20"/>
                <w:color w:val="auto"/>
              </w:rPr>
            </w:pPr>
            <w:r>
              <w:rPr>
                <w:rFonts w:ascii="Arial" w:cs="Arial" w:eastAsia="Arial" w:hAnsi="Arial"/>
                <w:sz w:val="22"/>
                <w:szCs w:val="22"/>
                <w:color w:val="auto"/>
              </w:rPr>
              <w:t>70 million to 90 million pounds</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520" w:type="dxa"/>
            <w:vAlign w:val="bottom"/>
          </w:tcPr>
          <w:p>
            <w:pPr>
              <w:spacing w:after="0"/>
              <w:rPr>
                <w:sz w:val="20"/>
                <w:szCs w:val="20"/>
                <w:color w:val="auto"/>
              </w:rPr>
            </w:pPr>
            <w:r>
              <w:rPr>
                <w:rFonts w:ascii="Arial" w:cs="Arial" w:eastAsia="Arial" w:hAnsi="Arial"/>
                <w:sz w:val="22"/>
                <w:szCs w:val="22"/>
                <w:color w:val="auto"/>
              </w:rPr>
              <w:t>Modified distillers grains</w:t>
            </w:r>
          </w:p>
        </w:tc>
        <w:tc>
          <w:tcPr>
            <w:tcW w:w="4320" w:type="dxa"/>
            <w:vAlign w:val="bottom"/>
          </w:tcPr>
          <w:p>
            <w:pPr>
              <w:ind w:left="340"/>
              <w:spacing w:after="0"/>
              <w:rPr>
                <w:sz w:val="20"/>
                <w:szCs w:val="20"/>
                <w:color w:val="auto"/>
              </w:rPr>
            </w:pPr>
            <w:r>
              <w:rPr>
                <w:rFonts w:ascii="Arial" w:cs="Arial" w:eastAsia="Arial" w:hAnsi="Arial"/>
                <w:sz w:val="22"/>
                <w:szCs w:val="22"/>
                <w:color w:val="auto"/>
              </w:rPr>
              <w:t>180,000 to 270,000 tons</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200" w:firstLine="648"/>
        <w:spacing w:after="0" w:line="282" w:lineRule="auto"/>
        <w:rPr>
          <w:sz w:val="20"/>
          <w:szCs w:val="20"/>
          <w:color w:val="auto"/>
        </w:rPr>
      </w:pPr>
      <w:r>
        <w:rPr>
          <w:rFonts w:ascii="Arial" w:cs="Arial" w:eastAsia="Arial" w:hAnsi="Arial"/>
          <w:sz w:val="19"/>
          <w:szCs w:val="19"/>
          <w:color w:val="auto"/>
        </w:rPr>
        <w:t>This expectation assumes that One Earth and NuGen will operate at slightly above historical production levels, as we seek to benefit from our recently completed plant expansion projects, which is dependent upon market conditions, logistics, plant profitability and efficient plant operations. We may vary the amounts of ethanol, dried and modified distillers grains and corn oil production, and thus, the resulting sales, based upon market conditions. NuGen and One Earth have received the EPA pathway approval and have permits to increase each of their production levels to 150 million gallons annually.</w:t>
      </w:r>
    </w:p>
    <w:p>
      <w:pPr>
        <w:spacing w:after="0" w:line="148"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Gross profit for the first quarter of fiscal year 2019 was approximately $6.1 million (5.9% of net sales and revenue), which was approximately $7.4 million lower compared to approximately $13.5 million of gross profit (11.2% of net sales and revenue) for the first quarter of fiscal year 2018. The crush spread for the first quarter of fiscal year 2019 was approximately $0.02 per gallon of ethanol sold compared to the first quarter of fiscal year 2018 which was approximately $0.12 per gallon of ethanol sold. Recent USDA reports indicate that current year progress of corn planted is lower than historical averages. Should this continue and cause the corn harvest to be delayed and/or reduced, future period corn prices could increase. The decrease of approximately $1.4 million in sales of dried distillers grains compared to the first quarter of fiscal year 2018 negatively affected gross profit and was primarily a result of weather related logistical delays which impacted production.</w:t>
      </w:r>
    </w:p>
    <w:p>
      <w:pPr>
        <w:spacing w:after="0" w:line="158"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Grain accounted for approximately 77% ($75.6 million) of our cost of sales during the first quarter of fiscal year 2019 consistent with the approximately 78% ($83.2 million) during the first quarter of fiscal year 2018. Natural gas accounted for approximately 6% ($6.2 million) of our cost of sales during the first quarter of fiscal year 2019 consistent with the approximately 6% ($6.4 million) during the first quarter of fiscal year 2018.</w:t>
      </w:r>
    </w:p>
    <w:p>
      <w:pPr>
        <w:spacing w:after="0" w:line="185"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We attempt to match quantities of ethanol, distillers grains and non-food grade corn oil sales contracts with an appropriate quantity of grain purchase contracts over a given period of time when we can obtain a satisfactory margin resulting from the crush spread inherent in the contracts we have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9" w:name="page30"/>
    <w:bookmarkEnd w:id="29"/>
    <w:p>
      <w:pPr>
        <w:spacing w:after="0" w:line="271" w:lineRule="auto"/>
        <w:rPr>
          <w:sz w:val="20"/>
          <w:szCs w:val="20"/>
          <w:color w:val="auto"/>
        </w:rPr>
      </w:pPr>
      <w:r>
        <w:rPr>
          <w:rFonts w:ascii="Arial" w:cs="Arial" w:eastAsia="Arial" w:hAnsi="Arial"/>
          <w:sz w:val="19"/>
          <w:szCs w:val="19"/>
          <w:color w:val="auto"/>
        </w:rPr>
        <w:t>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the crush spread for more than four months. Based on existing contracts at the end of the first quarter of fiscal year 2019, approximately 3% of our forecasted ethanol, approximately 8% of our forecasted distillers grains and approximately 23% of our forecasted non-food grade corn oil production for the next 12 months are subject to fixed-price contracts. The effect of a 10% adverse change in the selling price of these commodities from the current pricing would result in a decrease in annual revenues of approximately $44.3 million for the remaining forecasted sales. Similarly, approximately 6% of our estimated corn usage for the next 12 months was subject to fixed-price contracts at the end of the first quarter of fiscal year 2019. The effect of a 10% adverse change in the price of corn from the current pricing would result in an increase in annual cost of goods sold of approximately $34.8 million for the remaining forecasted grain purchases. At the end of the first quarter of fiscal year 2019, approximately 7% of our estimated natural gas usage for the next 12 months was subject to fixed-price contracts. The effect of a 10% adverse change in the price of natural gas from the current pricing would result in an increase in annual cost of goods sold of approximately $1.7 million for the remaining forecasted natural gas purchases.</w:t>
      </w:r>
    </w:p>
    <w:p>
      <w:pPr>
        <w:spacing w:after="0" w:line="162"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SG&amp;A expenses for the first quarter of fiscal year 2019 were approximately $3.9 million, consistent with the first quarter of fiscal year 2018 amount of $3.6 million.</w:t>
      </w:r>
    </w:p>
    <w:p>
      <w:pPr>
        <w:spacing w:after="0" w:line="173"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During the first quarters of fiscal years 2019 and 2018, we recognized income of approximately $0.1 million and $0.7 million, respectively, from our equity investment in Big River. Big River has interests in four ethanol production plants that shipped approximately 425 million gallons in the trailing twelve months ended April 30, 2019 and has an effective ownership of ethanol gallons shipped for the same period of approximately 366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77"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Interest and other income was approximately $0.8 million for the first quarter of fiscal year 2019 versus approximately $0.4 million for the first quarter of fiscal year 2018. Income has increased as yields on our excess cash have improved compared to fiscal year 2018 and the balance of our excess cash invested has increased compared to fiscal year 2018.</w:t>
      </w:r>
    </w:p>
    <w:p>
      <w:pPr>
        <w:spacing w:after="0" w:line="134"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The provision for income taxes was approximately $0.5 million in the first quarter of fiscal year 2019 compared to approximately $1.4 million in the first quarter of fiscal year 2018. The segment income tax provision was lower in fiscal year 2019 compared to fiscal year 2018 primarily a result of lower pre-tax income during fiscal year 2019.</w:t>
      </w:r>
    </w:p>
    <w:p>
      <w:pPr>
        <w:spacing w:after="0" w:line="167" w:lineRule="exact"/>
        <w:rPr>
          <w:sz w:val="20"/>
          <w:szCs w:val="20"/>
          <w:color w:val="auto"/>
        </w:rPr>
      </w:pPr>
    </w:p>
    <w:p>
      <w:pPr>
        <w:ind w:right="200" w:firstLine="648"/>
        <w:spacing w:after="0" w:line="274" w:lineRule="auto"/>
        <w:rPr>
          <w:sz w:val="20"/>
          <w:szCs w:val="20"/>
          <w:color w:val="auto"/>
        </w:rPr>
      </w:pPr>
      <w:r>
        <w:rPr>
          <w:rFonts w:ascii="Arial" w:cs="Arial" w:eastAsia="Arial" w:hAnsi="Arial"/>
          <w:sz w:val="21"/>
          <w:szCs w:val="21"/>
          <w:color w:val="auto"/>
        </w:rPr>
        <w:t>Income related to noncontrolling interests was approximately $1.0 million in each of the first quarters of fiscal years 2019 and 2018. These amounts represent the other owners’ share of the income of NuGen and One Earth.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0" w:name="page31"/>
    <w:bookmarkEnd w:id="30"/>
    <w:p>
      <w:pPr>
        <w:ind w:right="520" w:firstLine="648"/>
        <w:spacing w:after="0" w:line="251" w:lineRule="auto"/>
        <w:rPr>
          <w:sz w:val="20"/>
          <w:szCs w:val="20"/>
          <w:color w:val="auto"/>
        </w:rPr>
      </w:pPr>
      <w:r>
        <w:rPr>
          <w:rFonts w:ascii="Arial" w:cs="Arial" w:eastAsia="Arial" w:hAnsi="Arial"/>
          <w:sz w:val="22"/>
          <w:szCs w:val="22"/>
          <w:color w:val="auto"/>
        </w:rPr>
        <w:t>Segment profit for the first quarter of fiscal year 2019 was approximately $1.7 million, which was approximately $6.9 million lower compared to the prior year first quarter profit of approximately $8.6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12" w:lineRule="exact"/>
        <w:rPr>
          <w:sz w:val="20"/>
          <w:szCs w:val="20"/>
          <w:color w:val="auto"/>
        </w:rPr>
      </w:pPr>
    </w:p>
    <w:p>
      <w:pPr>
        <w:jc w:val="both"/>
        <w:ind w:right="380" w:firstLine="648"/>
        <w:spacing w:after="0"/>
        <w:rPr>
          <w:sz w:val="20"/>
          <w:szCs w:val="20"/>
          <w:color w:val="auto"/>
        </w:rPr>
      </w:pPr>
      <w:r>
        <w:rPr>
          <w:rFonts w:ascii="Arial" w:cs="Arial" w:eastAsia="Arial" w:hAnsi="Arial"/>
          <w:sz w:val="22"/>
          <w:szCs w:val="22"/>
          <w:color w:val="auto"/>
        </w:rPr>
        <w:t>The refined coal segment includes the consolidated financial results of our refined coal entity and certain administrative expenses. We acquired the refined coal entity during the third quarter of fiscal year 2017. The following table summarizes sales from refined coal operations by product group (amounts in thousands):</w:t>
      </w:r>
    </w:p>
    <w:p>
      <w:pPr>
        <w:spacing w:after="0" w:line="186" w:lineRule="exact"/>
        <w:rPr>
          <w:sz w:val="20"/>
          <w:szCs w:val="20"/>
          <w:color w:val="auto"/>
        </w:rPr>
      </w:pPr>
    </w:p>
    <w:p>
      <w:pPr>
        <w:jc w:val="center"/>
        <w:ind w:left="2320"/>
        <w:spacing w:after="0"/>
        <w:rPr>
          <w:sz w:val="20"/>
          <w:szCs w:val="20"/>
          <w:color w:val="auto"/>
        </w:rPr>
      </w:pPr>
      <w:r>
        <w:rPr>
          <w:rFonts w:ascii="Arial" w:cs="Arial" w:eastAsia="Arial" w:hAnsi="Arial"/>
          <w:sz w:val="22"/>
          <w:szCs w:val="22"/>
          <w:color w:val="auto"/>
        </w:rPr>
        <w:t>Three Months Ended</w:t>
      </w:r>
    </w:p>
    <w:p>
      <w:pPr>
        <w:spacing w:after="0" w:line="8" w:lineRule="exact"/>
        <w:rPr>
          <w:sz w:val="20"/>
          <w:szCs w:val="20"/>
          <w:color w:val="auto"/>
        </w:rPr>
      </w:pPr>
    </w:p>
    <w:p>
      <w:pPr>
        <w:jc w:val="center"/>
        <w:ind w:left="2320"/>
        <w:spacing w:after="0"/>
        <w:rPr>
          <w:sz w:val="20"/>
          <w:szCs w:val="20"/>
          <w:color w:val="auto"/>
        </w:rPr>
      </w:pPr>
      <w:r>
        <w:rPr>
          <w:rFonts w:ascii="Arial" w:cs="Arial" w:eastAsia="Arial" w:hAnsi="Arial"/>
          <w:sz w:val="22"/>
          <w:szCs w:val="22"/>
          <w:color w:val="auto"/>
        </w:rPr>
        <w:t>April 30,</w:t>
      </w:r>
    </w:p>
    <w:p>
      <w:pPr>
        <w:spacing w:after="0" w:line="4" w:lineRule="exact"/>
        <w:rPr>
          <w:sz w:val="20"/>
          <w:szCs w:val="20"/>
          <w:color w:val="auto"/>
        </w:rPr>
      </w:pPr>
    </w:p>
    <w:p>
      <w:pPr>
        <w:ind w:left="6060"/>
        <w:spacing w:after="0"/>
        <w:tabs>
          <w:tab w:leader="none" w:pos="7240" w:val="left"/>
        </w:tabs>
        <w:rPr>
          <w:sz w:val="20"/>
          <w:szCs w:val="20"/>
          <w:color w:val="auto"/>
        </w:rPr>
      </w:pPr>
      <w:r>
        <w:rPr>
          <w:rFonts w:ascii="Arial" w:cs="Arial" w:eastAsia="Arial" w:hAnsi="Arial"/>
          <w:sz w:val="22"/>
          <w:szCs w:val="22"/>
          <w:color w:val="auto"/>
        </w:rPr>
        <w:t>2019</w:t>
      </w:r>
      <w:r>
        <w:rPr>
          <w:sz w:val="20"/>
          <w:szCs w:val="20"/>
          <w:color w:val="auto"/>
        </w:rPr>
        <w:tab/>
      </w:r>
      <w:r>
        <w:rPr>
          <w:rFonts w:ascii="Arial" w:cs="Arial" w:eastAsia="Arial" w:hAnsi="Arial"/>
          <w:sz w:val="22"/>
          <w:szCs w:val="22"/>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wp:posOffset>
            </wp:positionV>
            <wp:extent cx="13379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Sales of products, refined coal segment:</w:t>
      </w:r>
    </w:p>
    <w:p>
      <w:pPr>
        <w:spacing w:after="0" w:line="222" w:lineRule="exact"/>
        <w:rPr>
          <w:sz w:val="20"/>
          <w:szCs w:val="20"/>
          <w:color w:val="auto"/>
        </w:rPr>
      </w:pPr>
    </w:p>
    <w:p>
      <w:pPr>
        <w:spacing w:after="0"/>
        <w:tabs>
          <w:tab w:leader="none" w:pos="5800" w:val="left"/>
          <w:tab w:leader="none" w:pos="6380" w:val="left"/>
          <w:tab w:leader="none" w:pos="7000" w:val="left"/>
          <w:tab w:leader="none" w:pos="7580" w:val="left"/>
        </w:tabs>
        <w:rPr>
          <w:sz w:val="20"/>
          <w:szCs w:val="20"/>
          <w:color w:val="auto"/>
        </w:rPr>
      </w:pPr>
      <w:r>
        <w:rPr>
          <w:rFonts w:ascii="Arial" w:cs="Arial" w:eastAsia="Arial" w:hAnsi="Arial"/>
          <w:sz w:val="22"/>
          <w:szCs w:val="22"/>
          <w:color w:val="auto"/>
        </w:rPr>
        <w:t xml:space="preserve">Refined coal </w:t>
      </w:r>
      <w:r>
        <w:rPr>
          <w:rFonts w:ascii="Arial" w:cs="Arial" w:eastAsia="Arial" w:hAnsi="Arial"/>
          <w:sz w:val="36"/>
          <w:szCs w:val="36"/>
          <w:color w:val="auto"/>
          <w:vertAlign w:val="superscript"/>
        </w:rPr>
        <w:t>1</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122</w:t>
        <w:tab/>
        <w:t>$</w:t>
      </w:r>
      <w:r>
        <w:rPr>
          <w:sz w:val="20"/>
          <w:szCs w:val="20"/>
          <w:color w:val="auto"/>
        </w:rPr>
        <w:tab/>
      </w:r>
      <w:r>
        <w:rPr>
          <w:rFonts w:ascii="Arial" w:cs="Arial" w:eastAsia="Arial" w:hAnsi="Arial"/>
          <w:sz w:val="19"/>
          <w:szCs w:val="19"/>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-46990</wp:posOffset>
            </wp:positionV>
            <wp:extent cx="133794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37945" cy="26035"/>
                    </a:xfrm>
                    <a:prstGeom prst="rect">
                      <a:avLst/>
                    </a:prstGeom>
                    <a:noFill/>
                  </pic:spPr>
                </pic:pic>
              </a:graphicData>
            </a:graphic>
          </wp:anchor>
        </w:drawing>
      </w:r>
    </w:p>
    <w:p>
      <w:pPr>
        <w:spacing w:after="0" w:line="194" w:lineRule="exact"/>
        <w:rPr>
          <w:sz w:val="20"/>
          <w:szCs w:val="20"/>
          <w:color w:val="auto"/>
        </w:rPr>
      </w:pPr>
    </w:p>
    <w:p>
      <w:pPr>
        <w:ind w:right="80" w:firstLine="656"/>
        <w:spacing w:after="0" w:line="186" w:lineRule="auto"/>
        <w:tabs>
          <w:tab w:leader="none" w:pos="792" w:val="left"/>
        </w:tabs>
        <w:numPr>
          <w:ilvl w:val="0"/>
          <w:numId w:val="11"/>
        </w:numPr>
        <w:rPr>
          <w:rFonts w:ascii="Arial" w:cs="Arial" w:eastAsia="Arial" w:hAnsi="Arial"/>
          <w:sz w:val="36"/>
          <w:szCs w:val="36"/>
          <w:color w:val="auto"/>
          <w:vertAlign w:val="superscript"/>
        </w:rPr>
      </w:pPr>
      <w:r>
        <w:rPr>
          <w:rFonts w:ascii="Arial" w:cs="Arial" w:eastAsia="Arial" w:hAnsi="Arial"/>
          <w:sz w:val="22"/>
          <w:szCs w:val="22"/>
          <w:color w:val="auto"/>
        </w:rPr>
        <w:t>We record sales in the refined coal segment net of the cost of coal as we purchase the coal feedstock from the customer to which refined coal is sold.</w:t>
      </w:r>
    </w:p>
    <w:p>
      <w:pPr>
        <w:spacing w:after="0" w:line="185" w:lineRule="exact"/>
        <w:rPr>
          <w:sz w:val="20"/>
          <w:szCs w:val="20"/>
          <w:color w:val="auto"/>
        </w:rPr>
      </w:pPr>
    </w:p>
    <w:p>
      <w:pPr>
        <w:ind w:right="300" w:firstLine="648"/>
        <w:spacing w:after="0" w:line="297" w:lineRule="auto"/>
        <w:rPr>
          <w:sz w:val="20"/>
          <w:szCs w:val="20"/>
          <w:color w:val="auto"/>
        </w:rPr>
      </w:pPr>
      <w:r>
        <w:rPr>
          <w:rFonts w:ascii="Arial" w:cs="Arial" w:eastAsia="Arial" w:hAnsi="Arial"/>
          <w:sz w:val="19"/>
          <w:szCs w:val="19"/>
          <w:color w:val="auto"/>
        </w:rPr>
        <w:t>Refined coal sales were approximately $0.1 million in each of the first quarters of fiscal years 2019 and 2018. We expect future period refined coal sales to vary depending on fluctuations in demand from the site host utility, which generally change based upon weather conditions in the geographic markets the utility serves and competing fuel prices and supplies.</w:t>
      </w:r>
    </w:p>
    <w:p>
      <w:pPr>
        <w:spacing w:after="0" w:line="134"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Gross loss was approximately $2.5 million and approximately $2.7 million in the first quarters of fiscal year 2019 and 2018, respectively. We expect future period gross loss to vary similar to the sales fluctuations described above. Based upon the agreements in place that govern the operation, sales and purchasing activities of the refined coal plant, we expect the refined coal operation to continue operating at a gross loss. We expect that the ongoing losses will be subsidized by federal production income tax credits.</w:t>
      </w:r>
    </w:p>
    <w:p>
      <w:pPr>
        <w:spacing w:after="0" w:line="188" w:lineRule="exact"/>
        <w:rPr>
          <w:sz w:val="20"/>
          <w:szCs w:val="20"/>
          <w:color w:val="auto"/>
        </w:rPr>
      </w:pPr>
    </w:p>
    <w:p>
      <w:pPr>
        <w:ind w:right="440" w:firstLine="648"/>
        <w:spacing w:after="0" w:line="251" w:lineRule="auto"/>
        <w:rPr>
          <w:sz w:val="20"/>
          <w:szCs w:val="20"/>
          <w:color w:val="auto"/>
        </w:rPr>
      </w:pPr>
      <w:r>
        <w:rPr>
          <w:rFonts w:ascii="Arial" w:cs="Arial" w:eastAsia="Arial" w:hAnsi="Arial"/>
          <w:sz w:val="22"/>
          <w:szCs w:val="22"/>
          <w:color w:val="auto"/>
        </w:rPr>
        <w:t>SG&amp;A expenses were approximately $0.2 million in each of the first quarters of fiscal years 2019 and 2018. We expect future period expenses to be less than $1.0 million per quarter.</w:t>
      </w:r>
    </w:p>
    <w:p>
      <w:pPr>
        <w:spacing w:after="0" w:line="173" w:lineRule="exact"/>
        <w:rPr>
          <w:sz w:val="20"/>
          <w:szCs w:val="20"/>
          <w:color w:val="auto"/>
        </w:rPr>
      </w:pPr>
    </w:p>
    <w:p>
      <w:pPr>
        <w:ind w:right="80" w:firstLine="648"/>
        <w:spacing w:after="0" w:line="328" w:lineRule="auto"/>
        <w:rPr>
          <w:sz w:val="20"/>
          <w:szCs w:val="20"/>
          <w:color w:val="auto"/>
        </w:rPr>
      </w:pPr>
      <w:r>
        <w:rPr>
          <w:rFonts w:ascii="Arial" w:cs="Arial" w:eastAsia="Arial" w:hAnsi="Arial"/>
          <w:sz w:val="19"/>
          <w:szCs w:val="19"/>
          <w:color w:val="auto"/>
        </w:rPr>
        <w:t>Loss related to noncontrolling interests was approximately $0.1 million in each of the first quarters of fiscal years 2019 and 2018, respectively. This amount represents the other owner’s share of the pre-tax loss of refined coal operations.</w:t>
      </w:r>
    </w:p>
    <w:p>
      <w:pPr>
        <w:spacing w:after="0" w:line="105"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The benefit for income taxes was approximately $3.9 million and approximately $4.0 million in the first quarters of fiscal years 2019 and 2018, respectively. The refined coal segment tax benefit is comprised of an estimated statutory benefit of its pre-tax losses and an estimated benefit from the federal production tax credits we expect to earn from producing and selling refined coal. The amount of benefit we recognize during interim periods will fluctuate based on actual production and profitability levels.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1" w:name="page32"/>
    <w:bookmarkEnd w:id="31"/>
    <w:p>
      <w:pPr>
        <w:jc w:val="both"/>
        <w:ind w:right="140" w:firstLine="648"/>
        <w:spacing w:after="0"/>
        <w:rPr>
          <w:sz w:val="20"/>
          <w:szCs w:val="20"/>
          <w:color w:val="auto"/>
        </w:rPr>
      </w:pPr>
      <w:r>
        <w:rPr>
          <w:rFonts w:ascii="Arial" w:cs="Arial" w:eastAsia="Arial" w:hAnsi="Arial"/>
          <w:sz w:val="22"/>
          <w:szCs w:val="22"/>
          <w:color w:val="auto"/>
        </w:rPr>
        <w:t>As a result of the foregoing, including the benefit of federal production tax credits associated with refined coal production and sales, segment profit was approximately $1.4 million and approximately $1.3 million for the first quarters of fiscal years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212" w:lineRule="exact"/>
        <w:rPr>
          <w:sz w:val="20"/>
          <w:szCs w:val="20"/>
          <w:color w:val="auto"/>
        </w:rPr>
      </w:pPr>
    </w:p>
    <w:p>
      <w:pPr>
        <w:ind w:right="360" w:firstLine="648"/>
        <w:spacing w:after="0" w:line="251" w:lineRule="auto"/>
        <w:rPr>
          <w:sz w:val="20"/>
          <w:szCs w:val="20"/>
          <w:color w:val="auto"/>
        </w:rPr>
      </w:pPr>
      <w:r>
        <w:rPr>
          <w:rFonts w:ascii="Arial" w:cs="Arial" w:eastAsia="Arial" w:hAnsi="Arial"/>
          <w:sz w:val="22"/>
          <w:szCs w:val="22"/>
          <w:color w:val="auto"/>
        </w:rPr>
        <w:t>SG&amp;A expenses for the first quarter of fiscal year 2019 were approximately $0.7 million, which was consistent with the approximately $0.8 million of expenses for the first quarter of fiscal year 2018.</w:t>
      </w:r>
    </w:p>
    <w:p>
      <w:pPr>
        <w:spacing w:after="0" w:line="173" w:lineRule="exact"/>
        <w:rPr>
          <w:sz w:val="20"/>
          <w:szCs w:val="20"/>
          <w:color w:val="auto"/>
        </w:rPr>
      </w:pPr>
    </w:p>
    <w:p>
      <w:pPr>
        <w:ind w:right="700" w:firstLine="648"/>
        <w:spacing w:after="0" w:line="435" w:lineRule="auto"/>
        <w:rPr>
          <w:sz w:val="20"/>
          <w:szCs w:val="20"/>
          <w:color w:val="auto"/>
        </w:rPr>
      </w:pPr>
      <w:r>
        <w:rPr>
          <w:rFonts w:ascii="Arial" w:cs="Arial" w:eastAsia="Arial" w:hAnsi="Arial"/>
          <w:sz w:val="22"/>
          <w:szCs w:val="22"/>
          <w:color w:val="auto"/>
        </w:rPr>
        <w:t xml:space="preserve">Interest and other income was approximately $0.3 million for each of the first quarters of fiscal year 2019 and 2018. </w:t>
      </w:r>
      <w:r>
        <w:rPr>
          <w:rFonts w:ascii="Arial" w:cs="Arial" w:eastAsia="Arial" w:hAnsi="Arial"/>
          <w:sz w:val="22"/>
          <w:szCs w:val="22"/>
          <w:b w:val="1"/>
          <w:bCs w:val="1"/>
          <w:color w:val="auto"/>
        </w:rPr>
        <w:t>Liquidity and Capital Resources</w:t>
      </w:r>
    </w:p>
    <w:p>
      <w:pPr>
        <w:spacing w:after="0" w:line="1"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Net cash provided by operating activities was approximately $1.5 million for the first quarter of fiscal year 2019, compared to net cash used of approximately $3.5 million for the first quarter of fiscal year 2018. For the first quarter of fiscal year 2019, cash was provided by net income of approximately $3.7 million, adjusted for non-cash items of approximately $4.0 million, which consisted of depreciation, amortization of operating lease right-of-use assets, income from equity method investments, interest income from short-term investments, the deferred income tax provision and stock based compensation expense. An increase in the balance of inventories used cash of approximately $1.7 million, which was primarily a result of the timing of receipt of raw materials. A decrease in the balance of accounts payable used cash of approximately $0.8 million, which was primarily a result of the timing of inventory receipts and vendor payments. A decrease in the balance of other liabilities used cash of approximately $3.4 million, which was primarily a result of payments of operating leases and incentive compensation as well as lower accruals for utilities.</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Net cash used in operating activities was approximately $3.5 million for the first quarter of fiscal year 2018. For the first quarter of fiscal year 2018, cash was provided by net income of approximately $10.4 million, adjusted for non-cash items of approximately $2.7 million, which consisted of depreciation, income from equity method investments, accrued interest income, the deferred income tax provision and stock based compensation expense. An increase in the balance of accounts receivable used cash of approximately $8.4 million, which was primarily a result of the timing of customer shipments and payments. An increase in the balance of inventories used cash of approximately $5.3 million, which was primarily a result of the timing of receipt of raw materials as we took advantage of purchasing opportunities that existed during the first quarter of fiscal year 2018. An increase in refundable income taxes used cash of approximately $1.2 million, which was primarily a result of recognizing the benefit of an expected filing of an amended income tax return to claim a refund for prior years. An increase in the balance of accounts payable provided cash of approximately $1.0 million, which was primarily a result of the timing of inventory receipts and vendor payments. A decrease in the balance of other liabilities used cash of approximately $2.0 million which was primarily a result of payments of incentive compensation and real estate taxes.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2" w:name="page33"/>
    <w:bookmarkEnd w:id="32"/>
    <w:p>
      <w:pPr>
        <w:ind w:firstLine="648"/>
        <w:spacing w:after="0" w:line="328" w:lineRule="auto"/>
        <w:rPr>
          <w:sz w:val="20"/>
          <w:szCs w:val="20"/>
          <w:color w:val="auto"/>
        </w:rPr>
      </w:pPr>
      <w:r>
        <w:rPr>
          <w:rFonts w:ascii="Arial" w:cs="Arial" w:eastAsia="Arial" w:hAnsi="Arial"/>
          <w:sz w:val="19"/>
          <w:szCs w:val="19"/>
          <w:color w:val="auto"/>
        </w:rPr>
        <w:t>At April 30, 2019, working capital was approximately $233.3 million, compared to approximately $233.6 million at January 31, 2019. The ratio of current assets to current liabilities was 12.5 to 1 at April 30, 2019 and 14.7 to 1 at January 31, 2019.</w:t>
      </w:r>
    </w:p>
    <w:p>
      <w:pPr>
        <w:spacing w:after="0" w:line="105"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Cash of approximately $14.4 million was provided by investing activities for the first quarter of fiscal year 2019, compared to cash used of approximately $114.2 million during the first quarter of fiscal year 2018. During the first quarter of fiscal year 2019, we had capital expenditures of approximately $0.6 million. We expect to spend between $3.0 million and $6.0 million during the remainder of fiscal year 2019 on various capital projects. During the first quarter of fiscal year 2019, we sold United States treasury bills (classified as short-term investments) of approximately $15.0 million. Depending on investment options available, we may elect to retain the funds, or a portion thereof, in cash investments, short-term investments or long-term investments.</w:t>
      </w:r>
    </w:p>
    <w:p>
      <w:pPr>
        <w:spacing w:after="0" w:line="151" w:lineRule="exact"/>
        <w:rPr>
          <w:sz w:val="20"/>
          <w:szCs w:val="20"/>
          <w:color w:val="auto"/>
        </w:rPr>
      </w:pPr>
    </w:p>
    <w:p>
      <w:pPr>
        <w:ind w:right="240" w:firstLine="648"/>
        <w:spacing w:after="0" w:line="249" w:lineRule="auto"/>
        <w:rPr>
          <w:sz w:val="20"/>
          <w:szCs w:val="20"/>
          <w:color w:val="auto"/>
        </w:rPr>
      </w:pPr>
      <w:r>
        <w:rPr>
          <w:rFonts w:ascii="Arial" w:cs="Arial" w:eastAsia="Arial" w:hAnsi="Arial"/>
          <w:sz w:val="21"/>
          <w:szCs w:val="21"/>
          <w:color w:val="auto"/>
        </w:rPr>
        <w:t>Cash of approximately $114.2 million was used in investing activities for the first quarter of fiscal year 2018. During the first quarter of fiscal year 2018, we had capital expenditures of approximately $3.1 million, the majority of which were plant capacity expansion projects at the One Earth and NuGen ethanol plants. During the first quarter of fiscal year 2018, we used cash of approximately $111.2 million for the purchase of United States treasury bills (classified as short-term investments) to increase the income we receive on our excess cash balances.</w:t>
      </w:r>
    </w:p>
    <w:p>
      <w:pPr>
        <w:spacing w:after="0" w:line="179" w:lineRule="exact"/>
        <w:rPr>
          <w:sz w:val="20"/>
          <w:szCs w:val="20"/>
          <w:color w:val="auto"/>
        </w:rPr>
      </w:pPr>
    </w:p>
    <w:p>
      <w:pPr>
        <w:ind w:right="200" w:firstLine="648"/>
        <w:spacing w:after="0" w:line="236" w:lineRule="auto"/>
        <w:rPr>
          <w:sz w:val="20"/>
          <w:szCs w:val="20"/>
          <w:color w:val="auto"/>
        </w:rPr>
      </w:pPr>
      <w:r>
        <w:rPr>
          <w:rFonts w:ascii="Arial" w:cs="Arial" w:eastAsia="Arial" w:hAnsi="Arial"/>
          <w:sz w:val="22"/>
          <w:szCs w:val="22"/>
          <w:color w:val="auto"/>
        </w:rPr>
        <w:t>Cash provided by financing activities was insignificant for the first quarter of fiscal year 2019 compared to cash used of approximately $8.5 million for the first quarter of fiscal year 2018. During the first quarter of fiscal year 2018, we used cash of approximately $8.6 million to purchase approximately 119,000 shares of our common stock in open market transactions. During the first quarters of fiscal years 2019 and 2018, we received approximately $0.1 million in capital contributions from the minority investor in the refined coal entity.</w:t>
      </w:r>
    </w:p>
    <w:p>
      <w:pPr>
        <w:spacing w:after="0" w:line="188"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We are investigating various uses for our excess cash and short-term investments. We have a stock buyback program, and given our current authorization level, can repurchase a total of approximately 350,000 shares. We also plan to seek and evaluate investment opportunities including energy related, agricultural or other ventures we believe fit our investment criteria in addition to investing in highly liquid short-term securities.</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Effective April 1, 2016, One Earth and NuGen each entered into $10.0 million revolving loan facilities that mature June 1, 2019 as extended. We do not expect to renew these facilities based upon liquidity considerations. Neither One Earth nor NuGen had outstanding borrowings on the revolving loans during the quarters ended April 30, 2019 and 2018. These agreements do not contain any financial covenants.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3" w:name="page34"/>
    <w:bookmarkEnd w:id="33"/>
    <w:p>
      <w:pPr>
        <w:ind w:right="60"/>
        <w:spacing w:after="0" w:line="275" w:lineRule="auto"/>
        <w:rPr>
          <w:sz w:val="20"/>
          <w:szCs w:val="20"/>
          <w:color w:val="auto"/>
        </w:rPr>
      </w:pPr>
      <w:r>
        <w:rPr>
          <w:rFonts w:ascii="Arial" w:cs="Arial" w:eastAsia="Arial" w:hAnsi="Arial"/>
          <w:sz w:val="19"/>
          <w:szCs w:val="19"/>
          <w:color w:val="auto"/>
        </w:rPr>
        <w:t>forward-looking statements. These risks and uncertainties include the risk factors set forth from time to time in the Company’s filings with the Securities and Exchange Commission and include among other things: the impact of legislative changes, the price volatility and availability of corn, distillers grains, ethanol, non-food grade corn oil, gasoline, natural gas, our ethanol and refined coal plants operating efficiently and according to forecasts and projections, changes in the international, national or regional economies, weather, results of income tax audits, changes in income tax laws or regulations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2019 (File No. 001-09097).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06" w:lineRule="exact"/>
        <w:rPr>
          <w:sz w:val="20"/>
          <w:szCs w:val="20"/>
          <w:color w:val="auto"/>
        </w:rPr>
      </w:pPr>
    </w:p>
    <w:p>
      <w:pPr>
        <w:ind w:firstLine="495"/>
        <w:spacing w:after="0" w:line="273" w:lineRule="auto"/>
        <w:rPr>
          <w:sz w:val="20"/>
          <w:szCs w:val="20"/>
          <w:color w:val="auto"/>
        </w:rPr>
      </w:pPr>
      <w:r>
        <w:rPr>
          <w:rFonts w:ascii="Arial" w:cs="Arial" w:eastAsia="Arial" w:hAnsi="Arial"/>
          <w:sz w:val="19"/>
          <w:szCs w:val="19"/>
          <w:color w:val="auto"/>
        </w:rPr>
        <w:t>We manage a portion of our risk with respect to the volatility of commodity prices inherent in the ethanol industry by using forward purchase and sale contracts. At April 30, 2019, One Earth and NuGen combined have forward purchase contracts for approximately 11.2 million bushels of corn, the principal raw material for their ethanol plants. One Earth and NuGen expect to take delivery of the corn through July 2019. At April 30, 2019, One Earth and NuGen combined have forward purchase contracts for approximately 388,000 Mnbtu of natural gas. They expect to take delivery of the natural gas through June 2019. At April 30, 2019, One Earth and NuGen have combined sales commitments for approximately 45.2 million gallons of ethanol, approximately 65,000 tons of distillers grains and approximately 18.5 million pounds of non-food grade corn oil. One Earth and NuGen expect to deliver the majority of the ethanol, distillers grains and non-food grade corn oil through July 2019. Our exposure to market risk, which includes the impact of our risk management activities, is based on the estimated effect on pre-tax income starting on April 30, 2019 is as follows (amounts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60" w:type="dxa"/>
            <w:vAlign w:val="bottom"/>
            <w:gridSpan w:val="2"/>
          </w:tcPr>
          <w:p>
            <w:pPr>
              <w:ind w:left="600"/>
              <w:spacing w:after="0"/>
              <w:rPr>
                <w:sz w:val="20"/>
                <w:szCs w:val="20"/>
                <w:color w:val="auto"/>
              </w:rPr>
            </w:pPr>
            <w:r>
              <w:rPr>
                <w:rFonts w:ascii="Arial" w:cs="Arial" w:eastAsia="Arial" w:hAnsi="Arial"/>
                <w:sz w:val="22"/>
                <w:szCs w:val="22"/>
                <w:b w:val="1"/>
                <w:bCs w:val="1"/>
                <w:color w:val="auto"/>
                <w:w w:val="87"/>
              </w:rPr>
              <w:t>Estimated Total</w:t>
            </w:r>
          </w:p>
        </w:tc>
        <w:tc>
          <w:tcPr>
            <w:tcW w:w="10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Arial" w:cs="Arial" w:eastAsia="Arial" w:hAnsi="Arial"/>
                <w:sz w:val="22"/>
                <w:szCs w:val="22"/>
                <w:b w:val="1"/>
                <w:bCs w:val="1"/>
                <w:color w:val="auto"/>
              </w:rPr>
              <w:t>Decrease in Pre-tax</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60" w:type="dxa"/>
            <w:vAlign w:val="bottom"/>
            <w:gridSpan w:val="2"/>
          </w:tcPr>
          <w:p>
            <w:pPr>
              <w:ind w:left="600"/>
              <w:spacing w:after="0" w:line="243" w:lineRule="exact"/>
              <w:rPr>
                <w:sz w:val="20"/>
                <w:szCs w:val="20"/>
                <w:color w:val="auto"/>
              </w:rPr>
            </w:pPr>
            <w:r>
              <w:rPr>
                <w:rFonts w:ascii="Arial" w:cs="Arial" w:eastAsia="Arial" w:hAnsi="Arial"/>
                <w:sz w:val="22"/>
                <w:szCs w:val="22"/>
                <w:b w:val="1"/>
                <w:bCs w:val="1"/>
                <w:color w:val="auto"/>
                <w:w w:val="93"/>
              </w:rPr>
              <w:t>Volume for the</w:t>
            </w:r>
          </w:p>
        </w:tc>
        <w:tc>
          <w:tcPr>
            <w:tcW w:w="10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8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Income From a 10%</w:t>
            </w:r>
          </w:p>
        </w:tc>
        <w:tc>
          <w:tcPr>
            <w:tcW w:w="0" w:type="dxa"/>
            <w:vAlign w:val="bottom"/>
          </w:tcPr>
          <w:p>
            <w:pPr>
              <w:spacing w:after="0"/>
              <w:rPr>
                <w:sz w:val="1"/>
                <w:szCs w:val="1"/>
                <w:color w:val="auto"/>
              </w:rPr>
            </w:pPr>
          </w:p>
        </w:tc>
      </w:tr>
      <w:tr>
        <w:trPr>
          <w:trHeight w:val="230"/>
        </w:trPr>
        <w:tc>
          <w:tcPr>
            <w:tcW w:w="2780" w:type="dxa"/>
            <w:vAlign w:val="bottom"/>
            <w:gridSpan w:val="3"/>
          </w:tcPr>
          <w:p>
            <w:pPr>
              <w:spacing w:after="0" w:line="230" w:lineRule="exact"/>
              <w:rPr>
                <w:sz w:val="20"/>
                <w:szCs w:val="20"/>
                <w:color w:val="auto"/>
              </w:rPr>
            </w:pPr>
            <w:r>
              <w:rPr>
                <w:rFonts w:ascii="Arial" w:cs="Arial" w:eastAsia="Arial" w:hAnsi="Arial"/>
                <w:sz w:val="22"/>
                <w:szCs w:val="22"/>
                <w:b w:val="1"/>
                <w:bCs w:val="1"/>
                <w:color w:val="auto"/>
              </w:rPr>
              <w:t>Commodity</w:t>
            </w:r>
          </w:p>
        </w:tc>
        <w:tc>
          <w:tcPr>
            <w:tcW w:w="2060" w:type="dxa"/>
            <w:vAlign w:val="bottom"/>
            <w:gridSpan w:val="2"/>
          </w:tcPr>
          <w:p>
            <w:pPr>
              <w:ind w:left="600"/>
              <w:spacing w:after="0" w:line="230" w:lineRule="exact"/>
              <w:rPr>
                <w:sz w:val="20"/>
                <w:szCs w:val="20"/>
                <w:color w:val="auto"/>
              </w:rPr>
            </w:pPr>
            <w:r>
              <w:rPr>
                <w:rFonts w:ascii="Arial" w:cs="Arial" w:eastAsia="Arial" w:hAnsi="Arial"/>
                <w:sz w:val="22"/>
                <w:szCs w:val="22"/>
                <w:b w:val="1"/>
                <w:bCs w:val="1"/>
                <w:color w:val="auto"/>
                <w:w w:val="88"/>
              </w:rPr>
              <w:t>Next 12 Months</w:t>
            </w:r>
          </w:p>
        </w:tc>
        <w:tc>
          <w:tcPr>
            <w:tcW w:w="3420" w:type="dxa"/>
            <w:vAlign w:val="bottom"/>
            <w:gridSpan w:val="3"/>
          </w:tcPr>
          <w:p>
            <w:pPr>
              <w:ind w:left="1040"/>
              <w:spacing w:after="0" w:line="230" w:lineRule="exact"/>
              <w:rPr>
                <w:sz w:val="20"/>
                <w:szCs w:val="20"/>
                <w:color w:val="auto"/>
              </w:rPr>
            </w:pPr>
            <w:r>
              <w:rPr>
                <w:rFonts w:ascii="Arial" w:cs="Arial" w:eastAsia="Arial" w:hAnsi="Arial"/>
                <w:sz w:val="22"/>
                <w:szCs w:val="22"/>
                <w:b w:val="1"/>
                <w:bCs w:val="1"/>
                <w:color w:val="auto"/>
              </w:rPr>
              <w:t>Unit of Measure</w:t>
            </w:r>
          </w:p>
        </w:tc>
        <w:tc>
          <w:tcPr>
            <w:tcW w:w="2580" w:type="dxa"/>
            <w:vAlign w:val="bottom"/>
            <w:gridSpan w:val="3"/>
          </w:tcPr>
          <w:p>
            <w:pPr>
              <w:spacing w:after="0" w:line="230" w:lineRule="exact"/>
              <w:rPr>
                <w:sz w:val="20"/>
                <w:szCs w:val="20"/>
                <w:color w:val="auto"/>
              </w:rPr>
            </w:pPr>
            <w:r>
              <w:rPr>
                <w:rFonts w:ascii="Arial" w:cs="Arial" w:eastAsia="Arial" w:hAnsi="Arial"/>
                <w:sz w:val="22"/>
                <w:szCs w:val="22"/>
                <w:b w:val="1"/>
                <w:bCs w:val="1"/>
                <w:color w:val="auto"/>
                <w:w w:val="98"/>
              </w:rPr>
              <w:t>Adverse Change in Price</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20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295,000</w:t>
            </w:r>
          </w:p>
        </w:tc>
        <w:tc>
          <w:tcPr>
            <w:tcW w:w="3420" w:type="dxa"/>
            <w:vAlign w:val="bottom"/>
            <w:gridSpan w:val="3"/>
            <w:shd w:val="clear" w:color="auto" w:fill="E5FFFF"/>
          </w:tcPr>
          <w:p>
            <w:pPr>
              <w:ind w:left="1040"/>
              <w:spacing w:after="0" w:line="243" w:lineRule="exact"/>
              <w:rPr>
                <w:sz w:val="20"/>
                <w:szCs w:val="20"/>
                <w:color w:val="auto"/>
              </w:rPr>
            </w:pPr>
            <w:r>
              <w:rPr>
                <w:rFonts w:ascii="Arial" w:cs="Arial" w:eastAsia="Arial" w:hAnsi="Arial"/>
                <w:sz w:val="22"/>
                <w:szCs w:val="22"/>
                <w:color w:val="auto"/>
              </w:rPr>
              <w:t>Gallons</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shd w:val="clear" w:color="auto" w:fill="E5FFFF"/>
          </w:tcPr>
          <w:p>
            <w:pPr>
              <w:jc w:val="right"/>
              <w:ind w:right="432"/>
              <w:spacing w:after="0" w:line="243" w:lineRule="exact"/>
              <w:rPr>
                <w:sz w:val="20"/>
                <w:szCs w:val="20"/>
                <w:color w:val="auto"/>
              </w:rPr>
            </w:pPr>
            <w:r>
              <w:rPr>
                <w:rFonts w:ascii="Arial" w:cs="Arial" w:eastAsia="Arial" w:hAnsi="Arial"/>
                <w:sz w:val="22"/>
                <w:szCs w:val="22"/>
                <w:color w:val="auto"/>
                <w:w w:val="86"/>
              </w:rPr>
              <w:t>34,264</w:t>
            </w:r>
          </w:p>
        </w:tc>
        <w:tc>
          <w:tcPr>
            <w:tcW w:w="3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gridSpan w:val="2"/>
          </w:tcPr>
          <w:p>
            <w:pPr>
              <w:spacing w:after="0" w:line="243" w:lineRule="exact"/>
              <w:rPr>
                <w:sz w:val="20"/>
                <w:szCs w:val="20"/>
                <w:color w:val="auto"/>
              </w:rPr>
            </w:pPr>
            <w:r>
              <w:rPr>
                <w:rFonts w:ascii="Arial" w:cs="Arial" w:eastAsia="Arial" w:hAnsi="Arial"/>
                <w:sz w:val="22"/>
                <w:szCs w:val="22"/>
                <w:color w:val="auto"/>
              </w:rPr>
              <w:t>Corn</w:t>
            </w:r>
          </w:p>
        </w:tc>
        <w:tc>
          <w:tcPr>
            <w:tcW w:w="2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105,357</w:t>
            </w:r>
          </w:p>
        </w:tc>
        <w:tc>
          <w:tcPr>
            <w:tcW w:w="3420" w:type="dxa"/>
            <w:vAlign w:val="bottom"/>
            <w:gridSpan w:val="3"/>
          </w:tcPr>
          <w:p>
            <w:pPr>
              <w:ind w:left="1040"/>
              <w:spacing w:after="0" w:line="243" w:lineRule="exact"/>
              <w:rPr>
                <w:sz w:val="20"/>
                <w:szCs w:val="20"/>
                <w:color w:val="auto"/>
              </w:rPr>
            </w:pPr>
            <w:r>
              <w:rPr>
                <w:rFonts w:ascii="Arial" w:cs="Arial" w:eastAsia="Arial" w:hAnsi="Arial"/>
                <w:sz w:val="22"/>
                <w:szCs w:val="22"/>
                <w:color w:val="auto"/>
              </w:rPr>
              <w:t>Bushels</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tcPr>
          <w:p>
            <w:pPr>
              <w:jc w:val="right"/>
              <w:ind w:right="432"/>
              <w:spacing w:after="0" w:line="243" w:lineRule="exact"/>
              <w:rPr>
                <w:sz w:val="20"/>
                <w:szCs w:val="20"/>
                <w:color w:val="auto"/>
              </w:rPr>
            </w:pPr>
            <w:r>
              <w:rPr>
                <w:rFonts w:ascii="Arial" w:cs="Arial" w:eastAsia="Arial" w:hAnsi="Arial"/>
                <w:sz w:val="22"/>
                <w:szCs w:val="22"/>
                <w:color w:val="auto"/>
                <w:w w:val="86"/>
              </w:rPr>
              <w:t>34,818</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20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852</w:t>
            </w:r>
          </w:p>
        </w:tc>
        <w:tc>
          <w:tcPr>
            <w:tcW w:w="3420" w:type="dxa"/>
            <w:vAlign w:val="bottom"/>
            <w:gridSpan w:val="3"/>
            <w:shd w:val="clear" w:color="auto" w:fill="E5FFFF"/>
          </w:tcPr>
          <w:p>
            <w:pPr>
              <w:ind w:left="1040"/>
              <w:spacing w:after="0" w:line="243" w:lineRule="exact"/>
              <w:rPr>
                <w:sz w:val="20"/>
                <w:szCs w:val="20"/>
                <w:color w:val="auto"/>
              </w:rPr>
            </w:pPr>
            <w:r>
              <w:rPr>
                <w:rFonts w:ascii="Arial" w:cs="Arial" w:eastAsia="Arial" w:hAnsi="Arial"/>
                <w:sz w:val="22"/>
                <w:szCs w:val="22"/>
                <w:color w:val="auto"/>
              </w:rPr>
              <w:t>Tons</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shd w:val="clear" w:color="auto" w:fill="E5FFFF"/>
          </w:tcPr>
          <w:p>
            <w:pPr>
              <w:jc w:val="right"/>
              <w:ind w:right="432"/>
              <w:spacing w:after="0" w:line="243" w:lineRule="exact"/>
              <w:rPr>
                <w:sz w:val="20"/>
                <w:szCs w:val="20"/>
                <w:color w:val="auto"/>
              </w:rPr>
            </w:pPr>
            <w:r>
              <w:rPr>
                <w:rFonts w:ascii="Arial" w:cs="Arial" w:eastAsia="Arial" w:hAnsi="Arial"/>
                <w:sz w:val="22"/>
                <w:szCs w:val="22"/>
                <w:color w:val="auto"/>
              </w:rPr>
              <w:t>8,492</w:t>
            </w:r>
          </w:p>
        </w:tc>
        <w:tc>
          <w:tcPr>
            <w:tcW w:w="3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gridSpan w:val="2"/>
          </w:tcPr>
          <w:p>
            <w:pPr>
              <w:spacing w:after="0" w:line="243" w:lineRule="exact"/>
              <w:rPr>
                <w:sz w:val="20"/>
                <w:szCs w:val="20"/>
                <w:color w:val="auto"/>
              </w:rPr>
            </w:pPr>
            <w:r>
              <w:rPr>
                <w:rFonts w:ascii="Arial" w:cs="Arial" w:eastAsia="Arial" w:hAnsi="Arial"/>
                <w:sz w:val="22"/>
                <w:szCs w:val="22"/>
                <w:color w:val="auto"/>
              </w:rPr>
              <w:t>Non-food grade Corn Oil</w:t>
            </w:r>
          </w:p>
        </w:tc>
        <w:tc>
          <w:tcPr>
            <w:tcW w:w="2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79,000</w:t>
            </w:r>
          </w:p>
        </w:tc>
        <w:tc>
          <w:tcPr>
            <w:tcW w:w="3420" w:type="dxa"/>
            <w:vAlign w:val="bottom"/>
            <w:gridSpan w:val="3"/>
          </w:tcPr>
          <w:p>
            <w:pPr>
              <w:ind w:left="1040"/>
              <w:spacing w:after="0" w:line="243" w:lineRule="exact"/>
              <w:rPr>
                <w:sz w:val="20"/>
                <w:szCs w:val="20"/>
                <w:color w:val="auto"/>
              </w:rPr>
            </w:pPr>
            <w:r>
              <w:rPr>
                <w:rFonts w:ascii="Arial" w:cs="Arial" w:eastAsia="Arial" w:hAnsi="Arial"/>
                <w:sz w:val="22"/>
                <w:szCs w:val="22"/>
                <w:color w:val="auto"/>
              </w:rPr>
              <w:t>Pounds</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1,522</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Natural Gas</w:t>
            </w:r>
          </w:p>
        </w:tc>
        <w:tc>
          <w:tcPr>
            <w:tcW w:w="20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5,964</w:t>
            </w:r>
          </w:p>
        </w:tc>
        <w:tc>
          <w:tcPr>
            <w:tcW w:w="3420" w:type="dxa"/>
            <w:vAlign w:val="bottom"/>
            <w:gridSpan w:val="3"/>
            <w:shd w:val="clear" w:color="auto" w:fill="E5FFFF"/>
          </w:tcPr>
          <w:p>
            <w:pPr>
              <w:ind w:left="1040"/>
              <w:spacing w:after="0" w:line="243" w:lineRule="exact"/>
              <w:rPr>
                <w:sz w:val="20"/>
                <w:szCs w:val="20"/>
                <w:color w:val="auto"/>
              </w:rPr>
            </w:pPr>
            <w:r>
              <w:rPr>
                <w:rFonts w:ascii="Arial" w:cs="Arial" w:eastAsia="Arial" w:hAnsi="Arial"/>
                <w:sz w:val="22"/>
                <w:szCs w:val="22"/>
                <w:color w:val="auto"/>
              </w:rPr>
              <w:t>MMBTU</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shd w:val="clear" w:color="auto" w:fill="E5FFFF"/>
          </w:tcPr>
          <w:p>
            <w:pPr>
              <w:jc w:val="right"/>
              <w:ind w:right="432"/>
              <w:spacing w:after="0" w:line="243" w:lineRule="exact"/>
              <w:rPr>
                <w:sz w:val="20"/>
                <w:szCs w:val="20"/>
                <w:color w:val="auto"/>
              </w:rPr>
            </w:pPr>
            <w:r>
              <w:rPr>
                <w:rFonts w:ascii="Arial" w:cs="Arial" w:eastAsia="Arial" w:hAnsi="Arial"/>
                <w:sz w:val="22"/>
                <w:szCs w:val="22"/>
                <w:color w:val="auto"/>
              </w:rPr>
              <w:t>1,662</w:t>
            </w:r>
          </w:p>
        </w:tc>
        <w:tc>
          <w:tcPr>
            <w:tcW w:w="3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86" w:lineRule="exact"/>
        <w:rPr>
          <w:sz w:val="20"/>
          <w:szCs w:val="20"/>
          <w:color w:val="auto"/>
        </w:rPr>
      </w:pPr>
    </w:p>
    <w:p>
      <w:pPr>
        <w:ind w:right="180"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12"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We are not party to any legal proceedings that we believe would, individually or in the aggregate, have a material adverse effect on our financial condition,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12" w:lineRule="exact"/>
        <w:rPr>
          <w:sz w:val="20"/>
          <w:szCs w:val="20"/>
          <w:color w:val="auto"/>
        </w:rPr>
      </w:pPr>
    </w:p>
    <w:p>
      <w:pPr>
        <w:ind w:right="320" w:firstLine="648"/>
        <w:spacing w:after="0" w:line="251" w:lineRule="auto"/>
        <w:rPr>
          <w:sz w:val="20"/>
          <w:szCs w:val="20"/>
          <w:color w:val="auto"/>
        </w:rPr>
      </w:pPr>
      <w:r>
        <w:rPr>
          <w:rFonts w:ascii="Arial" w:cs="Arial" w:eastAsia="Arial" w:hAnsi="Arial"/>
          <w:sz w:val="22"/>
          <w:szCs w:val="22"/>
          <w:color w:val="auto"/>
        </w:rPr>
        <w:t>During the quarter ended April 30, 2019, there have been no material changes to the risk factors discussed in our Annual Report on Form 10-K for the year ended January 31, 2019.</w:t>
      </w:r>
    </w:p>
    <w:p>
      <w:pPr>
        <w:spacing w:after="0" w:line="167" w:lineRule="exact"/>
        <w:rPr>
          <w:sz w:val="20"/>
          <w:szCs w:val="20"/>
          <w:color w:val="auto"/>
        </w:rPr>
      </w:pPr>
    </w:p>
    <w:p>
      <w:pPr>
        <w:ind w:right="5340"/>
        <w:spacing w:after="0" w:line="438" w:lineRule="auto"/>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Dividend Policy</w:t>
      </w:r>
    </w:p>
    <w:p>
      <w:pPr>
        <w:spacing w:after="0" w:line="1"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REX did not pay dividends in the current or prior years. We currently have no restrictions on the payment of dividends. None of our consolidated subsidiaries have restrictions on their ability to pay dividends to us. During the first quarter of fiscal year 2019, NuGen paid dividends to REX of approximately $3.1 million. Neither One Earth nor NuGen paid dividends to REX during the first quarter of fiscal year 2018.</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06" w:lineRule="exact"/>
        <w:rPr>
          <w:sz w:val="20"/>
          <w:szCs w:val="20"/>
          <w:color w:val="auto"/>
        </w:rPr>
      </w:pPr>
    </w:p>
    <w:p>
      <w:pPr>
        <w:ind w:left="1340" w:hanging="549"/>
        <w:spacing w:after="0"/>
        <w:tabs>
          <w:tab w:leader="none" w:pos="134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0000EE"/>
        </w:rPr>
        <w:t>Rule 13a-14(a)/15d-14(a) Certifications</w:t>
      </w:r>
    </w:p>
    <w:p>
      <w:pPr>
        <w:spacing w:after="0" w:line="206" w:lineRule="exact"/>
        <w:rPr>
          <w:rFonts w:ascii="Arial" w:cs="Arial" w:eastAsia="Arial" w:hAnsi="Arial"/>
          <w:sz w:val="22"/>
          <w:szCs w:val="22"/>
          <w:color w:val="auto"/>
        </w:rPr>
      </w:pPr>
    </w:p>
    <w:p>
      <w:pPr>
        <w:ind w:left="1340" w:hanging="549"/>
        <w:spacing w:after="0"/>
        <w:tabs>
          <w:tab w:leader="none" w:pos="134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0000EE"/>
        </w:rPr>
        <w:t>Section 1350 Certifications</w:t>
      </w:r>
    </w:p>
    <w:p>
      <w:pPr>
        <w:spacing w:after="0" w:line="206" w:lineRule="exact"/>
        <w:rPr>
          <w:sz w:val="20"/>
          <w:szCs w:val="20"/>
          <w:color w:val="auto"/>
        </w:rPr>
      </w:pPr>
    </w:p>
    <w:p>
      <w:pPr>
        <w:jc w:val="both"/>
        <w:ind w:left="1340" w:hanging="657"/>
        <w:spacing w:after="0" w:line="287" w:lineRule="auto"/>
        <w:tabs>
          <w:tab w:leader="none" w:pos="13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following information from REX American Resources Corporation Quarterly Report on Form 10-Q for the quarter ended April 30, 2019, formatted in 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60" w:type="dxa"/>
            <w:vAlign w:val="bottom"/>
            <w:gridSpan w:val="3"/>
          </w:tcPr>
          <w:p>
            <w:pPr>
              <w:ind w:left="2160"/>
              <w:spacing w:after="0"/>
              <w:rPr>
                <w:sz w:val="20"/>
                <w:szCs w:val="20"/>
                <w:color w:val="auto"/>
              </w:rPr>
            </w:pPr>
            <w:r>
              <w:rPr>
                <w:rFonts w:ascii="Arial" w:cs="Arial" w:eastAsia="Arial" w:hAnsi="Arial"/>
                <w:sz w:val="22"/>
                <w:szCs w:val="22"/>
                <w:color w:val="auto"/>
                <w:w w:val="89"/>
              </w:rPr>
              <w:t>REX American Resources Corporation</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5"/>
        </w:trPr>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60" w:type="dxa"/>
            <w:vAlign w:val="bottom"/>
            <w:gridSpan w:val="3"/>
          </w:tcPr>
          <w:p>
            <w:pPr>
              <w:ind w:left="2160"/>
              <w:spacing w:after="0"/>
              <w:rPr>
                <w:sz w:val="20"/>
                <w:szCs w:val="20"/>
                <w:color w:val="auto"/>
              </w:rPr>
            </w:pPr>
            <w:r>
              <w:rPr>
                <w:rFonts w:ascii="Arial" w:cs="Arial" w:eastAsia="Arial" w:hAnsi="Arial"/>
                <w:sz w:val="22"/>
                <w:szCs w:val="22"/>
                <w:color w:val="auto"/>
              </w:rPr>
              <w:t>Registrant</w:t>
            </w:r>
          </w:p>
        </w:tc>
        <w:tc>
          <w:tcPr>
            <w:tcW w:w="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09"/>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4"/>
          </w:tcPr>
          <w:p>
            <w:pPr>
              <w:jc w:val="center"/>
              <w:ind w:right="1280"/>
              <w:spacing w:after="0"/>
              <w:rPr>
                <w:sz w:val="20"/>
                <w:szCs w:val="20"/>
                <w:color w:val="auto"/>
              </w:rPr>
            </w:pPr>
            <w:r>
              <w:rPr>
                <w:rFonts w:ascii="Arial" w:cs="Arial" w:eastAsia="Arial" w:hAnsi="Arial"/>
                <w:sz w:val="22"/>
                <w:szCs w:val="22"/>
                <w:b w:val="1"/>
                <w:bCs w:val="1"/>
                <w:color w:val="auto"/>
                <w:w w:val="88"/>
              </w:rPr>
              <w:t>Signature</w:t>
            </w:r>
          </w:p>
        </w:tc>
        <w:tc>
          <w:tcPr>
            <w:tcW w:w="26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22"/>
                <w:szCs w:val="22"/>
                <w:b w:val="1"/>
                <w:bCs w:val="1"/>
                <w:color w:val="auto"/>
              </w:rPr>
              <w:t>Title</w:t>
            </w:r>
          </w:p>
        </w:tc>
        <w:tc>
          <w:tcPr>
            <w:tcW w:w="2300" w:type="dxa"/>
            <w:vAlign w:val="bottom"/>
            <w:gridSpan w:val="3"/>
          </w:tcPr>
          <w:p>
            <w:pPr>
              <w:ind w:left="940"/>
              <w:spacing w:after="0"/>
              <w:rPr>
                <w:sz w:val="20"/>
                <w:szCs w:val="20"/>
                <w:color w:val="auto"/>
              </w:rPr>
            </w:pPr>
            <w:r>
              <w:rPr>
                <w:rFonts w:ascii="Arial" w:cs="Arial" w:eastAsia="Arial" w:hAnsi="Arial"/>
                <w:sz w:val="22"/>
                <w:szCs w:val="22"/>
                <w:b w:val="1"/>
                <w:bCs w:val="1"/>
                <w:color w:val="auto"/>
              </w:rPr>
              <w:t>Date</w:t>
            </w: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39"/>
        </w:trPr>
        <w:tc>
          <w:tcPr>
            <w:tcW w:w="700" w:type="dxa"/>
            <w:vAlign w:val="bottom"/>
          </w:tcPr>
          <w:p>
            <w:pPr>
              <w:spacing w:after="0"/>
              <w:rPr>
                <w:sz w:val="24"/>
                <w:szCs w:val="24"/>
                <w:color w:val="auto"/>
              </w:rPr>
            </w:pPr>
          </w:p>
        </w:tc>
        <w:tc>
          <w:tcPr>
            <w:tcW w:w="2860" w:type="dxa"/>
            <w:vAlign w:val="bottom"/>
            <w:gridSpan w:val="6"/>
          </w:tcPr>
          <w:p>
            <w:pPr>
              <w:jc w:val="center"/>
              <w:ind w:right="580"/>
              <w:spacing w:after="0"/>
              <w:rPr>
                <w:sz w:val="20"/>
                <w:szCs w:val="20"/>
                <w:color w:val="auto"/>
              </w:rPr>
            </w:pPr>
            <w:r>
              <w:rPr>
                <w:rFonts w:ascii="Arial" w:cs="Arial" w:eastAsia="Arial" w:hAnsi="Arial"/>
                <w:sz w:val="22"/>
                <w:szCs w:val="22"/>
                <w:color w:val="auto"/>
                <w:w w:val="92"/>
              </w:rPr>
              <w:t>/s/ Zafar Rizvi</w:t>
            </w:r>
          </w:p>
        </w:tc>
        <w:tc>
          <w:tcPr>
            <w:tcW w:w="5560" w:type="dxa"/>
            <w:vAlign w:val="bottom"/>
            <w:gridSpan w:val="3"/>
          </w:tcPr>
          <w:p>
            <w:pPr>
              <w:ind w:left="560"/>
              <w:spacing w:after="0"/>
              <w:rPr>
                <w:sz w:val="20"/>
                <w:szCs w:val="20"/>
                <w:color w:val="auto"/>
              </w:rPr>
            </w:pPr>
            <w:r>
              <w:rPr>
                <w:rFonts w:ascii="Arial" w:cs="Arial" w:eastAsia="Arial" w:hAnsi="Arial"/>
                <w:sz w:val="22"/>
                <w:szCs w:val="22"/>
                <w:color w:val="auto"/>
              </w:rPr>
              <w:t>Chief Executive Officer and President</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4"/>
        </w:trPr>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color w:val="auto"/>
                <w:w w:val="93"/>
              </w:rPr>
              <w:t>(Zafar Rizvi)</w:t>
            </w:r>
          </w:p>
        </w:tc>
        <w:tc>
          <w:tcPr>
            <w:tcW w:w="1100" w:type="dxa"/>
            <w:vAlign w:val="bottom"/>
            <w:gridSpan w:val="2"/>
          </w:tcPr>
          <w:p>
            <w:pPr>
              <w:spacing w:after="0"/>
              <w:rPr>
                <w:sz w:val="23"/>
                <w:szCs w:val="23"/>
                <w:color w:val="auto"/>
              </w:rPr>
            </w:pPr>
          </w:p>
        </w:tc>
        <w:tc>
          <w:tcPr>
            <w:tcW w:w="5560" w:type="dxa"/>
            <w:vAlign w:val="bottom"/>
            <w:gridSpan w:val="3"/>
          </w:tcPr>
          <w:p>
            <w:pPr>
              <w:ind w:left="740"/>
              <w:spacing w:after="0"/>
              <w:rPr>
                <w:sz w:val="20"/>
                <w:szCs w:val="20"/>
                <w:color w:val="auto"/>
              </w:rPr>
            </w:pPr>
            <w:r>
              <w:rPr>
                <w:rFonts w:ascii="Arial" w:cs="Arial" w:eastAsia="Arial" w:hAnsi="Arial"/>
                <w:sz w:val="22"/>
                <w:szCs w:val="22"/>
                <w:color w:val="auto"/>
              </w:rPr>
              <w:t>(Chief Executive Officer)</w:t>
            </w:r>
          </w:p>
        </w:tc>
        <w:tc>
          <w:tcPr>
            <w:tcW w:w="2300" w:type="dxa"/>
            <w:vAlign w:val="bottom"/>
            <w:gridSpan w:val="3"/>
          </w:tcPr>
          <w:p>
            <w:pPr>
              <w:ind w:left="20"/>
              <w:spacing w:after="0"/>
              <w:rPr>
                <w:sz w:val="20"/>
                <w:szCs w:val="20"/>
                <w:color w:val="auto"/>
              </w:rPr>
            </w:pPr>
            <w:r>
              <w:rPr>
                <w:rFonts w:ascii="Arial" w:cs="Arial" w:eastAsia="Arial" w:hAnsi="Arial"/>
                <w:sz w:val="22"/>
                <w:szCs w:val="22"/>
                <w:color w:val="auto"/>
              </w:rPr>
              <w:t>June 4, 2019</w:t>
            </w:r>
          </w:p>
        </w:tc>
      </w:tr>
      <w:tr>
        <w:trPr>
          <w:trHeight w:val="409"/>
        </w:trPr>
        <w:tc>
          <w:tcPr>
            <w:tcW w:w="3560" w:type="dxa"/>
            <w:vAlign w:val="bottom"/>
            <w:gridSpan w:val="7"/>
          </w:tcPr>
          <w:p>
            <w:pPr>
              <w:jc w:val="center"/>
              <w:ind w:left="12"/>
              <w:spacing w:after="0"/>
              <w:rPr>
                <w:sz w:val="20"/>
                <w:szCs w:val="20"/>
                <w:color w:val="auto"/>
              </w:rPr>
            </w:pPr>
            <w:r>
              <w:rPr>
                <w:rFonts w:ascii="Arial" w:cs="Arial" w:eastAsia="Arial" w:hAnsi="Arial"/>
                <w:sz w:val="22"/>
                <w:szCs w:val="22"/>
                <w:color w:val="auto"/>
                <w:w w:val="89"/>
              </w:rPr>
              <w:t>/s/ Douglas L. Bruggeman</w:t>
            </w:r>
          </w:p>
        </w:tc>
        <w:tc>
          <w:tcPr>
            <w:tcW w:w="5560" w:type="dxa"/>
            <w:vAlign w:val="bottom"/>
            <w:gridSpan w:val="3"/>
          </w:tcPr>
          <w:p>
            <w:pPr>
              <w:ind w:left="560"/>
              <w:spacing w:after="0"/>
              <w:rPr>
                <w:sz w:val="20"/>
                <w:szCs w:val="20"/>
                <w:color w:val="auto"/>
              </w:rPr>
            </w:pPr>
            <w:r>
              <w:rPr>
                <w:rFonts w:ascii="Arial" w:cs="Arial" w:eastAsia="Arial" w:hAnsi="Arial"/>
                <w:sz w:val="22"/>
                <w:szCs w:val="22"/>
                <w:color w:val="auto"/>
              </w:rPr>
              <w:t>Vice President, Finance and Treasurer</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4"/>
        </w:trPr>
        <w:tc>
          <w:tcPr>
            <w:tcW w:w="70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Arial" w:cs="Arial" w:eastAsia="Arial" w:hAnsi="Arial"/>
                <w:sz w:val="22"/>
                <w:szCs w:val="22"/>
                <w:color w:val="auto"/>
                <w:w w:val="90"/>
              </w:rPr>
              <w:t>(Douglas L. Bruggeman)</w:t>
            </w:r>
          </w:p>
        </w:tc>
        <w:tc>
          <w:tcPr>
            <w:tcW w:w="580" w:type="dxa"/>
            <w:vAlign w:val="bottom"/>
          </w:tcPr>
          <w:p>
            <w:pPr>
              <w:spacing w:after="0"/>
              <w:rPr>
                <w:sz w:val="23"/>
                <w:szCs w:val="23"/>
                <w:color w:val="auto"/>
              </w:rPr>
            </w:pPr>
          </w:p>
        </w:tc>
        <w:tc>
          <w:tcPr>
            <w:tcW w:w="5560" w:type="dxa"/>
            <w:vAlign w:val="bottom"/>
            <w:gridSpan w:val="3"/>
          </w:tcPr>
          <w:p>
            <w:pPr>
              <w:ind w:left="740"/>
              <w:spacing w:after="0"/>
              <w:rPr>
                <w:sz w:val="20"/>
                <w:szCs w:val="20"/>
                <w:color w:val="auto"/>
              </w:rPr>
            </w:pPr>
            <w:r>
              <w:rPr>
                <w:rFonts w:ascii="Arial" w:cs="Arial" w:eastAsia="Arial" w:hAnsi="Arial"/>
                <w:sz w:val="22"/>
                <w:szCs w:val="22"/>
                <w:color w:val="auto"/>
              </w:rPr>
              <w:t>(Chief Financial Officer)</w:t>
            </w:r>
          </w:p>
        </w:tc>
        <w:tc>
          <w:tcPr>
            <w:tcW w:w="2300" w:type="dxa"/>
            <w:vAlign w:val="bottom"/>
            <w:gridSpan w:val="3"/>
          </w:tcPr>
          <w:p>
            <w:pPr>
              <w:ind w:left="20"/>
              <w:spacing w:after="0"/>
              <w:rPr>
                <w:sz w:val="20"/>
                <w:szCs w:val="20"/>
                <w:color w:val="auto"/>
              </w:rPr>
            </w:pPr>
            <w:r>
              <w:rPr>
                <w:rFonts w:ascii="Arial" w:cs="Arial" w:eastAsia="Arial" w:hAnsi="Arial"/>
                <w:sz w:val="22"/>
                <w:szCs w:val="22"/>
                <w:color w:val="auto"/>
              </w:rPr>
              <w:t>June 4, 2019</w:t>
            </w:r>
          </w:p>
        </w:tc>
      </w:tr>
      <w:tr>
        <w:trPr>
          <w:trHeight w:val="432"/>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tcPr>
          <w:p>
            <w:pPr>
              <w:ind w:left="2040"/>
              <w:spacing w:after="0"/>
              <w:rPr>
                <w:sz w:val="20"/>
                <w:szCs w:val="20"/>
                <w:color w:val="auto"/>
              </w:rPr>
            </w:pPr>
            <w:r>
              <w:rPr>
                <w:rFonts w:ascii="Arial" w:cs="Arial" w:eastAsia="Arial" w:hAnsi="Arial"/>
                <w:sz w:val="22"/>
                <w:szCs w:val="22"/>
                <w:color w:val="auto"/>
              </w:rPr>
              <w:t>37</w:t>
            </w: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70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26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50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6"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Zafar Rizvi, certify that:</w:t>
      </w:r>
    </w:p>
    <w:p>
      <w:pPr>
        <w:spacing w:after="0" w:line="225" w:lineRule="exact"/>
        <w:rPr>
          <w:sz w:val="20"/>
          <w:szCs w:val="20"/>
          <w:color w:val="auto"/>
        </w:rPr>
      </w:pPr>
    </w:p>
    <w:p>
      <w:pPr>
        <w:ind w:left="1020" w:hanging="36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jc w:val="both"/>
        <w:ind w:right="180" w:firstLine="656"/>
        <w:spacing w:after="0" w:line="342" w:lineRule="auto"/>
        <w:tabs>
          <w:tab w:leader="none" w:pos="10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60" w:firstLine="656"/>
        <w:spacing w:after="0" w:line="308" w:lineRule="auto"/>
        <w:tabs>
          <w:tab w:leader="none" w:pos="100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60" w:firstLine="656"/>
        <w:spacing w:after="0" w:line="264" w:lineRule="auto"/>
        <w:tabs>
          <w:tab w:leader="none" w:pos="10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ind w:left="660" w:right="460" w:firstLine="320"/>
        <w:spacing w:after="0" w:line="264" w:lineRule="auto"/>
        <w:tabs>
          <w:tab w:leader="none" w:pos="140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right="180" w:firstLine="320"/>
        <w:spacing w:after="0" w:line="264" w:lineRule="auto"/>
        <w:tabs>
          <w:tab w:leader="none" w:pos="141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320" w:firstLine="320"/>
        <w:spacing w:after="0" w:line="342" w:lineRule="auto"/>
        <w:tabs>
          <w:tab w:leader="none" w:pos="1409"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80" w:firstLine="320"/>
        <w:spacing w:after="0" w:line="264" w:lineRule="auto"/>
        <w:tabs>
          <w:tab w:leader="none" w:pos="141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656" w:firstLine="656"/>
        <w:spacing w:after="0" w:line="308" w:lineRule="auto"/>
        <w:tabs>
          <w:tab w:leader="none" w:pos="3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460" w:firstLine="320"/>
        <w:spacing w:after="0" w:line="308" w:lineRule="auto"/>
        <w:tabs>
          <w:tab w:leader="none" w:pos="74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140" w:firstLine="320"/>
        <w:spacing w:after="0" w:line="277" w:lineRule="auto"/>
        <w:tabs>
          <w:tab w:leader="none" w:pos="75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864"/>
        <w:spacing w:after="0"/>
        <w:rPr>
          <w:sz w:val="20"/>
          <w:szCs w:val="20"/>
          <w:color w:val="auto"/>
        </w:rPr>
      </w:pPr>
      <w:r>
        <w:rPr>
          <w:rFonts w:ascii="Arial" w:cs="Arial" w:eastAsia="Arial" w:hAnsi="Arial"/>
          <w:sz w:val="18"/>
          <w:szCs w:val="18"/>
          <w:color w:val="auto"/>
        </w:rPr>
        <w:t>Date: June 4, 2019</w:t>
      </w:r>
    </w:p>
    <w:p>
      <w:pPr>
        <w:spacing w:after="0" w:line="225" w:lineRule="exact"/>
        <w:rPr>
          <w:sz w:val="20"/>
          <w:szCs w:val="20"/>
          <w:color w:val="auto"/>
        </w:rPr>
      </w:pPr>
    </w:p>
    <w:p>
      <w:pPr>
        <w:ind w:left="5864"/>
        <w:spacing w:after="0"/>
        <w:rPr>
          <w:sz w:val="20"/>
          <w:szCs w:val="20"/>
          <w:color w:val="auto"/>
        </w:rPr>
      </w:pPr>
      <w:r>
        <w:rPr>
          <w:rFonts w:ascii="Arial" w:cs="Arial" w:eastAsia="Arial" w:hAnsi="Arial"/>
          <w:sz w:val="18"/>
          <w:szCs w:val="18"/>
          <w:color w:val="auto"/>
        </w:rPr>
        <w:t>/s/ Zafar Rizvi</w:t>
      </w:r>
    </w:p>
    <w:p>
      <w:pPr>
        <w:spacing w:after="0" w:line="23" w:lineRule="exact"/>
        <w:rPr>
          <w:sz w:val="20"/>
          <w:szCs w:val="20"/>
          <w:color w:val="auto"/>
        </w:rPr>
      </w:pPr>
    </w:p>
    <w:p>
      <w:pPr>
        <w:ind w:left="5864"/>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ind w:left="586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84"/>
          </w:cols>
          <w:pgMar w:left="896" w:top="409" w:right="31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1020" w:hanging="36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jc w:val="both"/>
        <w:ind w:right="120" w:firstLine="656"/>
        <w:spacing w:after="0" w:line="342" w:lineRule="auto"/>
        <w:tabs>
          <w:tab w:leader="none" w:pos="10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656"/>
        <w:spacing w:after="0" w:line="308" w:lineRule="auto"/>
        <w:tabs>
          <w:tab w:leader="none" w:pos="10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ind w:left="660" w:right="100" w:firstLine="320"/>
        <w:spacing w:after="0" w:line="264" w:lineRule="auto"/>
        <w:tabs>
          <w:tab w:leader="none" w:pos="12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80" w:firstLine="320"/>
        <w:spacing w:after="0" w:line="264" w:lineRule="auto"/>
        <w:tabs>
          <w:tab w:leader="none" w:pos="12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40" w:firstLine="320"/>
        <w:spacing w:after="0" w:line="342" w:lineRule="auto"/>
        <w:tabs>
          <w:tab w:leader="none" w:pos="122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400" w:firstLine="320"/>
        <w:spacing w:after="0" w:line="264" w:lineRule="auto"/>
        <w:tabs>
          <w:tab w:leader="none" w:pos="12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5" w:right="299" w:bottom="1440" w:gutter="0" w:footer="0" w:header="0"/>
        </w:sectPr>
      </w:pPr>
    </w:p>
    <w:bookmarkStart w:id="40" w:name="page41"/>
    <w:bookmarkEnd w:id="40"/>
    <w:p>
      <w:pPr>
        <w:ind w:left="-656" w:right="20" w:firstLine="656"/>
        <w:spacing w:after="0" w:line="308" w:lineRule="auto"/>
        <w:tabs>
          <w:tab w:leader="none" w:pos="3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320" w:firstLine="645"/>
        <w:spacing w:after="0" w:line="308" w:lineRule="auto"/>
        <w:tabs>
          <w:tab w:leader="none" w:pos="897"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firstLine="645"/>
        <w:spacing w:after="0" w:line="277" w:lineRule="auto"/>
        <w:tabs>
          <w:tab w:leader="none" w:pos="90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864"/>
        <w:spacing w:after="0"/>
        <w:rPr>
          <w:sz w:val="20"/>
          <w:szCs w:val="20"/>
          <w:color w:val="auto"/>
        </w:rPr>
      </w:pPr>
      <w:r>
        <w:rPr>
          <w:rFonts w:ascii="Arial" w:cs="Arial" w:eastAsia="Arial" w:hAnsi="Arial"/>
          <w:sz w:val="18"/>
          <w:szCs w:val="18"/>
          <w:color w:val="auto"/>
        </w:rPr>
        <w:t>Date: June 4, 2019</w:t>
      </w:r>
    </w:p>
    <w:p>
      <w:pPr>
        <w:spacing w:after="0" w:line="225" w:lineRule="exact"/>
        <w:rPr>
          <w:sz w:val="20"/>
          <w:szCs w:val="20"/>
          <w:color w:val="auto"/>
        </w:rPr>
      </w:pPr>
    </w:p>
    <w:p>
      <w:pPr>
        <w:ind w:left="586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586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5864"/>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ind w:left="5864"/>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04"/>
          </w:cols>
          <w:pgMar w:left="896" w:top="409" w:right="2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Quarterly Report on Form 10-Q for the period ended April 30, 2019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/s/Zafar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3"/>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
      <w:numFmt w:val="bullet"/>
      <w:start w:val="1"/>
    </w:lvl>
    <w:lvl w:ilvl="1">
      <w:lvlJc w:val="left"/>
      <w:lvlText w:val="(%2)"/>
      <w:numFmt w:val="decimal"/>
      <w:start w:val="274"/>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1"/>
      <w:numFmt w:val="decimal"/>
      <w:start w:val="3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5"/>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2019-12-02T00:10:38Z</dcterms:created>
  <dcterms:modified xsi:type="dcterms:W3CDTF">2019-12-02T00:10:38Z</dcterms:modified>
</cp:coreProperties>
</file>