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7" w:lineRule="exact"/>
        <w:rPr>
          <w:sz w:val="24"/>
          <w:szCs w:val="24"/>
          <w:color w:val="auto"/>
        </w:rPr>
      </w:pPr>
    </w:p>
    <w:p>
      <w:pPr>
        <w:ind w:left="340" w:right="1740" w:hanging="332"/>
        <w:spacing w:after="0" w:line="261" w:lineRule="auto"/>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30, 2022</w:t>
      </w:r>
    </w:p>
    <w:p>
      <w:pPr>
        <w:jc w:val="center"/>
        <w:ind w:right="-33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102870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p>
      <w:pPr>
        <w:spacing w:after="0" w:line="200" w:lineRule="exact"/>
        <w:rPr>
          <w:sz w:val="24"/>
          <w:szCs w:val="24"/>
          <w:color w:val="auto"/>
        </w:rPr>
      </w:pPr>
    </w:p>
    <w:p>
      <w:pPr>
        <w:spacing w:after="0" w:line="23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jc w:val="center"/>
        <w:ind w:right="302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3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302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526" w:right="339" w:bottom="1440" w:gutter="0" w:footer="0" w:header="0"/>
          <w:type w:val="continuous"/>
        </w:sectPr>
      </w:pPr>
    </w:p>
    <w:p>
      <w:pPr>
        <w:spacing w:after="0" w:line="30" w:lineRule="exact"/>
        <w:rPr>
          <w:sz w:val="24"/>
          <w:szCs w:val="24"/>
          <w:color w:val="auto"/>
        </w:rPr>
      </w:pPr>
    </w:p>
    <w:p>
      <w:pPr>
        <w:jc w:val="center"/>
        <w:ind w:left="374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37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72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960" w:space="720"/>
            <w:col w:w="3560"/>
          </w:cols>
          <w:pgMar w:left="320" w:top="52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526" w:right="3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11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1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368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38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108585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460" w:space="100"/>
            <w:col w:w="7680"/>
          </w:cols>
          <w:pgMar w:left="320" w:top="526" w:right="339" w:bottom="1440" w:gutter="0" w:footer="0" w:header="0"/>
          <w:type w:val="continuous"/>
        </w:sectPr>
      </w:pPr>
    </w:p>
    <w:p>
      <w:pPr>
        <w:spacing w:after="0" w:line="146"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8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8"/>
          <w:szCs w:val="18"/>
          <w:color w:val="auto"/>
        </w:rPr>
        <w:t>☒</w:t>
      </w:r>
      <w:r>
        <w:rPr>
          <w:rFonts w:ascii="Arial" w:cs="Arial" w:eastAsia="Arial" w:hAnsi="Arial"/>
          <w:sz w:val="15"/>
          <w:szCs w:val="15"/>
          <w:color w:val="auto"/>
        </w:rPr>
        <w:t xml:space="preserve"> </w:t>
      </w:r>
      <w:r>
        <w:rPr>
          <w:rFonts w:ascii="Arial" w:cs="Arial" w:eastAsia="Arial" w:hAnsi="Arial"/>
          <w:sz w:val="14"/>
          <w:szCs w:val="14"/>
          <w:color w:val="auto"/>
        </w:rPr>
        <w:t>No</w:t>
      </w:r>
      <w:r>
        <w:rPr>
          <w:rFonts w:ascii="Arial" w:cs="Arial" w:eastAsia="Arial" w:hAnsi="Arial"/>
          <w:sz w:val="15"/>
          <w:szCs w:val="15"/>
          <w:color w:val="auto"/>
        </w:rPr>
        <w:t xml:space="preserve">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6" w:lineRule="exact"/>
        <w:rPr>
          <w:sz w:val="24"/>
          <w:szCs w:val="24"/>
          <w:color w:val="auto"/>
        </w:rPr>
      </w:pPr>
    </w:p>
    <w:p>
      <w:pPr>
        <w:spacing w:after="0" w:line="207" w:lineRule="exact"/>
        <w:tabs>
          <w:tab w:leader="none" w:pos="964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8"/>
          <w:szCs w:val="18"/>
          <w:color w:val="auto"/>
        </w:rPr>
        <w:t>☒</w:t>
      </w:r>
      <w:r>
        <w:rPr>
          <w:rFonts w:ascii="Arial" w:cs="Arial" w:eastAsia="Arial" w:hAnsi="Arial"/>
          <w:sz w:val="15"/>
          <w:szCs w:val="15"/>
          <w:color w:val="auto"/>
        </w:rPr>
        <w:t xml:space="preserve"> </w:t>
      </w:r>
      <w:r>
        <w:rPr>
          <w:rFonts w:ascii="Arial" w:cs="Arial" w:eastAsia="Arial" w:hAnsi="Arial"/>
          <w:sz w:val="14"/>
          <w:szCs w:val="14"/>
          <w:color w:val="auto"/>
        </w:rPr>
        <w:t>No</w:t>
      </w:r>
      <w:r>
        <w:rPr>
          <w:rFonts w:ascii="Arial" w:cs="Arial" w:eastAsia="Arial" w:hAnsi="Arial"/>
          <w:sz w:val="15"/>
          <w:szCs w:val="15"/>
          <w:color w:val="auto"/>
        </w:rPr>
        <w:t xml:space="preserve"> </w:t>
      </w:r>
      <w:r>
        <w:rPr>
          <w:rFonts w:ascii="MS PGothic" w:cs="MS PGothic" w:eastAsia="MS PGothic" w:hAnsi="MS PGothic"/>
          <w:sz w:val="18"/>
          <w:szCs w:val="18"/>
          <w:color w:val="auto"/>
        </w:rPr>
        <w:t>☐</w:t>
      </w:r>
    </w:p>
    <w:p>
      <w:pPr>
        <w:spacing w:after="0" w:line="23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26" w:right="339" w:bottom="1440" w:gutter="0" w:footer="0" w:header="0"/>
          <w:type w:val="continuous"/>
        </w:sectPr>
      </w:pP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60" w:space="720"/>
            <w:col w:w="3360"/>
          </w:cols>
          <w:pgMar w:left="320" w:top="526" w:right="339" w:bottom="1440" w:gutter="0" w:footer="0" w:header="0"/>
          <w:type w:val="continuous"/>
        </w:sectPr>
      </w:pPr>
    </w:p>
    <w:p>
      <w:pPr>
        <w:spacing w:after="0" w:line="1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23" w:lineRule="exact"/>
        <w:rPr>
          <w:sz w:val="24"/>
          <w:szCs w:val="24"/>
          <w:color w:val="auto"/>
        </w:rPr>
      </w:pPr>
    </w:p>
    <w:p>
      <w:pPr>
        <w:spacing w:after="0" w:line="207" w:lineRule="exact"/>
        <w:tabs>
          <w:tab w:leader="none" w:pos="85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3"/>
          <w:szCs w:val="13"/>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May 26, 2022 the registrant had 5,920,351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gridSpan w:val="15"/>
          </w:tcPr>
          <w:p>
            <w:pPr>
              <w:jc w:val="center"/>
              <w:ind w:right="780"/>
              <w:spacing w:after="0"/>
              <w:rPr>
                <w:sz w:val="20"/>
                <w:szCs w:val="20"/>
                <w:color w:val="auto"/>
              </w:rPr>
            </w:pPr>
            <w:r>
              <w:rPr>
                <w:rFonts w:ascii="Arial" w:cs="Arial" w:eastAsia="Arial" w:hAnsi="Arial"/>
                <w:sz w:val="22"/>
                <w:szCs w:val="22"/>
                <w:color w:val="auto"/>
                <w:w w:val="94"/>
              </w:rPr>
              <w:t>REX AMERICAN RESOURCES CORPORATION AND SUBSIDIARIES</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7"/>
          </w:tcPr>
          <w:p>
            <w:pPr>
              <w:jc w:val="center"/>
              <w:ind w:right="3740"/>
              <w:spacing w:after="0"/>
              <w:rPr>
                <w:sz w:val="20"/>
                <w:szCs w:val="20"/>
                <w:color w:val="auto"/>
              </w:rPr>
            </w:pPr>
            <w:r>
              <w:rPr>
                <w:rFonts w:ascii="Arial" w:cs="Arial" w:eastAsia="Arial" w:hAnsi="Arial"/>
                <w:sz w:val="22"/>
                <w:szCs w:val="22"/>
                <w:color w:val="auto"/>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40" w:type="dxa"/>
            <w:vAlign w:val="bottom"/>
            <w:gridSpan w:val="5"/>
            <w:vMerge w:val="restart"/>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8680" w:type="dxa"/>
            <w:vAlign w:val="bottom"/>
            <w:gridSpan w:val="17"/>
            <w:vMerge w:val="restart"/>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192"/>
        </w:trPr>
        <w:tc>
          <w:tcPr>
            <w:tcW w:w="1140" w:type="dxa"/>
            <w:vAlign w:val="bottom"/>
            <w:gridSpan w:val="5"/>
            <w:vMerge w:val="continue"/>
          </w:tcPr>
          <w:p>
            <w:pPr>
              <w:spacing w:after="0"/>
              <w:rPr>
                <w:sz w:val="16"/>
                <w:szCs w:val="16"/>
                <w:color w:val="auto"/>
              </w:rPr>
            </w:pPr>
          </w:p>
        </w:tc>
        <w:tc>
          <w:tcPr>
            <w:tcW w:w="8680" w:type="dxa"/>
            <w:vAlign w:val="bottom"/>
            <w:gridSpan w:val="17"/>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
              <w:r>
                <w:rPr>
                  <w:rFonts w:ascii="Arial" w:cs="Arial" w:eastAsia="Arial" w:hAnsi="Arial"/>
                  <w:sz w:val="22"/>
                  <w:szCs w:val="22"/>
                  <w:color w:val="0000EE"/>
                  <w:w w:val="89"/>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598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Consolidated Condensed Balance Sheets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vMerge w:val="restart"/>
          </w:tcPr>
          <w:p>
            <w:pPr>
              <w:jc w:val="right"/>
              <w:ind w:right="72"/>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Consolidated Condensed Statements of Operations</w:t>
              </w:r>
            </w:hyperlink>
          </w:p>
        </w:tc>
        <w:tc>
          <w:tcPr>
            <w:tcW w:w="4280" w:type="dxa"/>
            <w:vAlign w:val="bottom"/>
            <w:gridSpan w:val="6"/>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80" w:type="dxa"/>
            <w:vAlign w:val="bottom"/>
            <w:gridSpan w:val="17"/>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Consolidated Condensed Statements of Equity</w:t>
              </w:r>
            </w:hyperlink>
          </w:p>
        </w:tc>
        <w:tc>
          <w:tcPr>
            <w:tcW w:w="1420" w:type="dxa"/>
            <w:vAlign w:val="bottom"/>
          </w:tcPr>
          <w:p>
            <w:pPr>
              <w:jc w:val="right"/>
              <w:ind w:right="72"/>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vMerge w:val="restart"/>
          </w:tcPr>
          <w:p>
            <w:pPr>
              <w:jc w:val="right"/>
              <w:ind w:right="72"/>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6">
              <w:r>
                <w:rPr>
                  <w:rFonts w:ascii="Arial" w:cs="Arial" w:eastAsia="Arial" w:hAnsi="Arial"/>
                  <w:sz w:val="22"/>
                  <w:szCs w:val="22"/>
                  <w:color w:val="0000EE"/>
                  <w:w w:val="87"/>
                </w:rPr>
                <w:t>Consolidated Condensed Statements of Cash Flows</w:t>
              </w:r>
            </w:hyperlink>
          </w:p>
        </w:tc>
        <w:tc>
          <w:tcPr>
            <w:tcW w:w="4220" w:type="dxa"/>
            <w:vAlign w:val="bottom"/>
            <w:gridSpan w:val="5"/>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8">
              <w:r>
                <w:rPr>
                  <w:rFonts w:ascii="Arial" w:cs="Arial" w:eastAsia="Arial" w:hAnsi="Arial"/>
                  <w:sz w:val="22"/>
                  <w:szCs w:val="22"/>
                  <w:color w:val="0000EE"/>
                  <w:w w:val="87"/>
                </w:rPr>
                <w:t>Notes to Consolidated Condensed Financial Statements</w:t>
              </w:r>
            </w:hyperlink>
          </w:p>
        </w:tc>
        <w:tc>
          <w:tcPr>
            <w:tcW w:w="3880" w:type="dxa"/>
            <w:vAlign w:val="bottom"/>
            <w:gridSpan w:val="4"/>
          </w:tcPr>
          <w:p>
            <w:pPr>
              <w:spacing w:after="0"/>
              <w:rPr>
                <w:sz w:val="19"/>
                <w:szCs w:val="19"/>
                <w:color w:val="auto"/>
              </w:rPr>
            </w:pPr>
          </w:p>
        </w:tc>
        <w:tc>
          <w:tcPr>
            <w:tcW w:w="1420" w:type="dxa"/>
            <w:vAlign w:val="bottom"/>
          </w:tcPr>
          <w:p>
            <w:pPr>
              <w:jc w:val="right"/>
              <w:ind w:right="72"/>
              <w:spacing w:after="0" w:line="22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rPr>
            </w:pPr>
            <w:hyperlink w:anchor="page23">
              <w:r>
                <w:rPr>
                  <w:rFonts w:ascii="Arial" w:cs="Arial" w:eastAsia="Arial" w:hAnsi="Arial"/>
                  <w:sz w:val="22"/>
                  <w:szCs w:val="22"/>
                  <w:color w:val="0000EE"/>
                </w:rPr>
                <w:t>Item 2.</w:t>
              </w:r>
            </w:hyperlink>
          </w:p>
        </w:tc>
        <w:tc>
          <w:tcPr>
            <w:tcW w:w="360" w:type="dxa"/>
            <w:vAlign w:val="bottom"/>
            <w:gridSpan w:val="2"/>
          </w:tcPr>
          <w:p>
            <w:pPr>
              <w:spacing w:after="0"/>
              <w:rPr>
                <w:sz w:val="24"/>
                <w:szCs w:val="24"/>
                <w:color w:val="auto"/>
              </w:rPr>
            </w:pPr>
          </w:p>
        </w:tc>
        <w:tc>
          <w:tcPr>
            <w:tcW w:w="776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23">
              <w:r>
                <w:rPr>
                  <w:rFonts w:ascii="Arial" w:cs="Arial" w:eastAsia="Arial" w:hAnsi="Arial"/>
                  <w:sz w:val="22"/>
                  <w:szCs w:val="22"/>
                  <w:color w:val="0000EE"/>
                  <w:w w:val="89"/>
                </w:rPr>
                <w:t>Management’s Discussion and Analysis of Financial Condition and Results of Operations</w:t>
              </w:r>
            </w:hyperlink>
          </w:p>
        </w:tc>
        <w:tc>
          <w:tcPr>
            <w:tcW w:w="92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33">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33">
              <w:r>
                <w:rPr>
                  <w:rFonts w:ascii="Arial" w:cs="Arial" w:eastAsia="Arial" w:hAnsi="Arial"/>
                  <w:sz w:val="22"/>
                  <w:szCs w:val="22"/>
                  <w:color w:val="0000EE"/>
                  <w:w w:val="90"/>
                </w:rPr>
                <w:t>Quantitative and Qualitative Disclosures About Market Risk</w:t>
              </w:r>
            </w:hyperlink>
          </w:p>
        </w:tc>
        <w:tc>
          <w:tcPr>
            <w:tcW w:w="3440" w:type="dxa"/>
            <w:vAlign w:val="bottom"/>
            <w:gridSpan w:val="2"/>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3">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Controls and Procedures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22"/>
                <w:szCs w:val="22"/>
                <w:color w:val="0000EE"/>
                <w:w w:val="93"/>
              </w:rPr>
            </w:pPr>
            <w:hyperlink w:anchor="page34">
              <w:r>
                <w:rPr>
                  <w:rFonts w:ascii="Arial" w:cs="Arial" w:eastAsia="Arial" w:hAnsi="Arial"/>
                  <w:sz w:val="22"/>
                  <w:szCs w:val="22"/>
                  <w:color w:val="0000EE"/>
                  <w:w w:val="93"/>
                </w:rPr>
                <w:t>PART II.</w:t>
              </w:r>
            </w:hyperlink>
          </w:p>
        </w:tc>
        <w:tc>
          <w:tcPr>
            <w:tcW w:w="34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OTHER INFORMATION</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1.</w:t>
              </w:r>
            </w:hyperlink>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Legal Proceedings</w:t>
              </w:r>
            </w:hyperlink>
          </w:p>
        </w:tc>
        <w:tc>
          <w:tcPr>
            <w:tcW w:w="6420" w:type="dxa"/>
            <w:vAlign w:val="bottom"/>
            <w:gridSpan w:val="11"/>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34">
              <w:r>
                <w:rPr>
                  <w:rFonts w:ascii="Arial" w:cs="Arial" w:eastAsia="Arial" w:hAnsi="Arial"/>
                  <w:sz w:val="22"/>
                  <w:szCs w:val="22"/>
                  <w:color w:val="0000EE"/>
                  <w:w w:val="92"/>
                </w:rPr>
                <w:t>Item 1A.</w:t>
              </w:r>
            </w:hyperlink>
          </w:p>
        </w:tc>
        <w:tc>
          <w:tcPr>
            <w:tcW w:w="360" w:type="dxa"/>
            <w:vAlign w:val="bottom"/>
            <w:gridSpan w:val="2"/>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Risk Factors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2.</w:t>
              </w:r>
            </w:hyperlink>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Unregistered Sales of Equity Securities and Use of Proceeds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Defaults upon Senior Securities</w:t>
              </w:r>
            </w:hyperlink>
          </w:p>
        </w:tc>
        <w:tc>
          <w:tcPr>
            <w:tcW w:w="3460" w:type="dxa"/>
            <w:vAlign w:val="bottom"/>
            <w:gridSpan w:val="3"/>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Mine Safety Disclosures</w:t>
              </w:r>
            </w:hyperlink>
          </w:p>
        </w:tc>
        <w:tc>
          <w:tcPr>
            <w:tcW w:w="5940" w:type="dxa"/>
            <w:vAlign w:val="bottom"/>
            <w:gridSpan w:val="9"/>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5.</w:t>
              </w:r>
            </w:hyperlink>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91"/>
              </w:rPr>
            </w:pPr>
            <w:hyperlink w:anchor="page34">
              <w:r>
                <w:rPr>
                  <w:rFonts w:ascii="Arial" w:cs="Arial" w:eastAsia="Arial" w:hAnsi="Arial"/>
                  <w:sz w:val="22"/>
                  <w:szCs w:val="22"/>
                  <w:color w:val="0000EE"/>
                  <w:w w:val="91"/>
                </w:rPr>
                <w:t>Other Information</w:t>
              </w:r>
            </w:hyperlink>
          </w:p>
        </w:tc>
        <w:tc>
          <w:tcPr>
            <w:tcW w:w="520" w:type="dxa"/>
            <w:vAlign w:val="bottom"/>
            <w:tcBorders>
              <w:top w:val="single" w:sz="8" w:color="0000EE"/>
            </w:tcBorders>
            <w:gridSpan w:val="2"/>
          </w:tcPr>
          <w:p>
            <w:pPr>
              <w:spacing w:after="0"/>
              <w:rPr>
                <w:sz w:val="24"/>
                <w:szCs w:val="24"/>
                <w:color w:val="auto"/>
              </w:rPr>
            </w:pPr>
          </w:p>
        </w:tc>
        <w:tc>
          <w:tcPr>
            <w:tcW w:w="6560" w:type="dxa"/>
            <w:vAlign w:val="bottom"/>
            <w:gridSpan w:val="12"/>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6.</w:t>
              </w:r>
            </w:hyperlink>
          </w:p>
        </w:tc>
        <w:tc>
          <w:tcPr>
            <w:tcW w:w="520" w:type="dxa"/>
            <w:vAlign w:val="bottom"/>
            <w:gridSpan w:val="4"/>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Exhibits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463"/>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352"/>
              <w:spacing w:after="0"/>
              <w:rPr>
                <w:sz w:val="20"/>
                <w:szCs w:val="20"/>
                <w:color w:val="auto"/>
              </w:rPr>
            </w:pPr>
            <w:r>
              <w:rPr>
                <w:rFonts w:ascii="Arial" w:cs="Arial" w:eastAsia="Arial" w:hAnsi="Arial"/>
                <w:sz w:val="22"/>
                <w:szCs w:val="22"/>
                <w:color w:val="auto"/>
                <w:w w:val="81"/>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822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2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24"/>
                <w:szCs w:val="2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January 31,</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80"/>
              <w:spacing w:after="0" w:line="194" w:lineRule="exact"/>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E5FFFF"/>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66,685</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229,846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167,347</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25,877</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4,920</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25,440</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25,821</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56,388</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42,225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6,096</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16,006</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342,882</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345,167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134,575</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137,554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Deferred taxes and other assets</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24,817</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32,517</w:t>
            </w:r>
          </w:p>
        </w:tc>
        <w:tc>
          <w:tcPr>
            <w:tcW w:w="12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30,566</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548,041</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550,361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w w:val="95"/>
              </w:rPr>
              <w:t>Accounts payable, trade (includes $0.5 million with related parties at April 30, 2022 and January 31, 2022)</w:t>
            </w:r>
          </w:p>
        </w:tc>
        <w:tc>
          <w:tcPr>
            <w:tcW w:w="500" w:type="dxa"/>
            <w:vAlign w:val="bottom"/>
            <w:gridSpan w:val="2"/>
            <w:shd w:val="clear" w:color="auto" w:fill="E5FFFF"/>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19,160</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32,266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4,515</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15,184</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38,859</w:t>
            </w:r>
          </w:p>
        </w:tc>
        <w:tc>
          <w:tcPr>
            <w:tcW w:w="44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50,483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8,539</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long-term liabilities</w:t>
            </w:r>
          </w:p>
        </w:tc>
        <w:tc>
          <w:tcPr>
            <w:tcW w:w="3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14,591</w:t>
            </w:r>
          </w:p>
        </w:tc>
        <w:tc>
          <w:tcPr>
            <w:tcW w:w="4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REX shareholders’ equity:</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54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149,370</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149,334</w:t>
            </w:r>
          </w:p>
        </w:tc>
        <w:tc>
          <w:tcPr>
            <w:tcW w:w="0" w:type="dxa"/>
            <w:vAlign w:val="bottom"/>
          </w:tcPr>
          <w:p>
            <w:pPr>
              <w:spacing w:after="0"/>
              <w:rPr>
                <w:sz w:val="1"/>
                <w:szCs w:val="1"/>
                <w:color w:val="auto"/>
              </w:rPr>
            </w:pPr>
          </w:p>
        </w:tc>
      </w:tr>
      <w:tr>
        <w:trPr>
          <w:trHeight w:val="216"/>
        </w:trPr>
        <w:tc>
          <w:tcPr>
            <w:tcW w:w="8220" w:type="dxa"/>
            <w:vAlign w:val="bottom"/>
          </w:tcPr>
          <w:p>
            <w:pPr>
              <w:ind w:left="5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647,532</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642,350</w:t>
            </w: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(361,183)</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(361,191)</w:t>
            </w:r>
          </w:p>
        </w:tc>
        <w:tc>
          <w:tcPr>
            <w:tcW w:w="0" w:type="dxa"/>
            <w:vAlign w:val="bottom"/>
          </w:tcPr>
          <w:p>
            <w:pPr>
              <w:spacing w:after="0"/>
              <w:rPr>
                <w:sz w:val="1"/>
                <w:szCs w:val="1"/>
                <w:color w:val="auto"/>
              </w:rPr>
            </w:pPr>
          </w:p>
        </w:tc>
      </w:tr>
      <w:tr>
        <w:trPr>
          <w:trHeight w:val="210"/>
        </w:trPr>
        <w:tc>
          <w:tcPr>
            <w:tcW w:w="8220" w:type="dxa"/>
            <w:vAlign w:val="bottom"/>
          </w:tcPr>
          <w:p>
            <w:pPr>
              <w:ind w:left="720"/>
              <w:spacing w:after="0"/>
              <w:rPr>
                <w:sz w:val="20"/>
                <w:szCs w:val="20"/>
                <w:color w:val="auto"/>
              </w:rPr>
            </w:pPr>
            <w:r>
              <w:rPr>
                <w:rFonts w:ascii="Arial" w:cs="Arial" w:eastAsia="Arial" w:hAnsi="Arial"/>
                <w:sz w:val="18"/>
                <w:szCs w:val="18"/>
                <w:color w:val="auto"/>
              </w:rPr>
              <w:t>Total REX shareholders’ equity</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436,018</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430,792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58,573</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56,770</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494,591</w:t>
            </w:r>
          </w:p>
        </w:tc>
        <w:tc>
          <w:tcPr>
            <w:tcW w:w="44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487,562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548,041</w:t>
            </w:r>
          </w:p>
        </w:tc>
        <w:tc>
          <w:tcPr>
            <w:tcW w:w="44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550,361</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7"/>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April 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190"/>
              <w:spacing w:after="0" w:line="194" w:lineRule="exact"/>
              <w:rPr>
                <w:sz w:val="20"/>
                <w:szCs w:val="20"/>
                <w:color w:val="auto"/>
              </w:rPr>
            </w:pPr>
            <w:r>
              <w:rPr>
                <w:rFonts w:ascii="Arial" w:cs="Arial" w:eastAsia="Arial" w:hAnsi="Arial"/>
                <w:sz w:val="18"/>
                <w:szCs w:val="18"/>
                <w:b w:val="1"/>
                <w:bCs w:val="1"/>
                <w:color w:val="auto"/>
                <w:w w:val="84"/>
              </w:rPr>
              <w:t>2022</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640" w:type="dxa"/>
            <w:vAlign w:val="bottom"/>
            <w:gridSpan w:val="2"/>
            <w:shd w:val="clear" w:color="auto" w:fill="E5FFFF"/>
          </w:tcPr>
          <w:p>
            <w:pPr>
              <w:jc w:val="right"/>
              <w:ind w:right="227"/>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w w:val="95"/>
              </w:rPr>
              <w:t>194,228</w:t>
            </w:r>
          </w:p>
        </w:tc>
        <w:tc>
          <w:tcPr>
            <w:tcW w:w="4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164,042</w:t>
            </w: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w w:val="93"/>
              </w:rPr>
              <w:t>Cost of sales (includes $30,765 and $16,733 with related parties for the three months ended April 30, 2022 and</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2021, respectively.)</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182,316</w:t>
            </w:r>
          </w:p>
        </w:tc>
        <w:tc>
          <w:tcPr>
            <w:tcW w:w="44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144,565</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11,912</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19,477</w:t>
            </w: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(5,203)</w:t>
            </w:r>
          </w:p>
        </w:tc>
        <w:tc>
          <w:tcPr>
            <w:tcW w:w="44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2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1,951</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8,834</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(1,848)</w:t>
            </w:r>
          </w:p>
        </w:tc>
        <w:tc>
          <w:tcPr>
            <w:tcW w:w="4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6,986</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Net income attributable to noncontrolling interests (continuing operations)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(1,804)</w:t>
            </w:r>
          </w:p>
        </w:tc>
        <w:tc>
          <w:tcPr>
            <w:tcW w:w="4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9"/>
        </w:trPr>
        <w:tc>
          <w:tcPr>
            <w:tcW w:w="8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 (continuing operations)</w:t>
            </w:r>
          </w:p>
        </w:tc>
        <w:tc>
          <w:tcPr>
            <w:tcW w:w="26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5,182</w:t>
            </w:r>
          </w:p>
        </w:tc>
        <w:tc>
          <w:tcPr>
            <w:tcW w:w="44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rPr>
              <w:t>Net income from discontinued operations, net of tax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Net loss attributable to noncontrolling interests (discontinued operations)</w:t>
            </w:r>
          </w:p>
        </w:tc>
        <w:tc>
          <w:tcPr>
            <w:tcW w:w="26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8"/>
                <w:szCs w:val="18"/>
                <w:color w:val="auto"/>
              </w:rPr>
              <w:t>Net income attributable to REX common shareholders (discontinued operations)</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640" w:type="dxa"/>
            <w:vAlign w:val="bottom"/>
            <w:gridSpan w:val="2"/>
            <w:shd w:val="clear" w:color="auto" w:fill="E5FFFF"/>
          </w:tcPr>
          <w:p>
            <w:pPr>
              <w:jc w:val="right"/>
              <w:ind w:right="227"/>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5,182</w:t>
            </w:r>
          </w:p>
        </w:tc>
        <w:tc>
          <w:tcPr>
            <w:tcW w:w="4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0"/>
        </w:trPr>
        <w:tc>
          <w:tcPr>
            <w:tcW w:w="83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6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5,945</w:t>
            </w:r>
          </w:p>
        </w:tc>
        <w:tc>
          <w:tcPr>
            <w:tcW w:w="44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E5FFFF"/>
          </w:tcPr>
          <w:p>
            <w:pPr>
              <w:spacing w:after="0"/>
              <w:rPr>
                <w:sz w:val="20"/>
                <w:szCs w:val="20"/>
                <w:color w:val="auto"/>
              </w:rPr>
            </w:pPr>
            <w:r>
              <w:rPr>
                <w:rFonts w:ascii="Arial" w:cs="Arial" w:eastAsia="Arial" w:hAnsi="Arial"/>
                <w:sz w:val="18"/>
                <w:szCs w:val="18"/>
                <w:color w:val="auto"/>
                <w:w w:val="95"/>
              </w:rPr>
              <w:t>Basic and diluted net income per share from continuing operations attributable to REX common shareholders</w:t>
            </w:r>
          </w:p>
        </w:tc>
        <w:tc>
          <w:tcPr>
            <w:tcW w:w="640" w:type="dxa"/>
            <w:vAlign w:val="bottom"/>
            <w:gridSpan w:val="2"/>
            <w:shd w:val="clear" w:color="auto" w:fill="E5FFFF"/>
          </w:tcPr>
          <w:p>
            <w:pPr>
              <w:jc w:val="right"/>
              <w:ind w:right="227"/>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0.87</w:t>
            </w:r>
          </w:p>
        </w:tc>
        <w:tc>
          <w:tcPr>
            <w:tcW w:w="4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w w:val="93"/>
              </w:rPr>
              <w:t>Basic and diluted net income per share from discontinued operations attributable to REX common shareholders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83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Basic and diluted net income per share attributable to REX common shareholders</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380" w:type="dxa"/>
            <w:vAlign w:val="bottom"/>
            <w:tcBorders>
              <w:top w:val="single" w:sz="8" w:color="auto"/>
              <w:bottom w:val="single" w:sz="8" w:color="auto"/>
            </w:tcBorders>
            <w:shd w:val="clear" w:color="auto" w:fill="E5FFFF"/>
          </w:tcPr>
          <w:p>
            <w:pPr>
              <w:jc w:val="right"/>
              <w:ind w:right="2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0.87</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440" w:type="dxa"/>
            <w:vAlign w:val="bottom"/>
            <w:tcBorders>
              <w:top w:val="single" w:sz="8" w:color="auto"/>
              <w:bottom w:val="single" w:sz="8" w:color="auto"/>
            </w:tcBorders>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April 30,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Common Shares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104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1"/>
              </w:rPr>
              <w:t>Retained</w:t>
            </w:r>
          </w:p>
        </w:tc>
        <w:tc>
          <w:tcPr>
            <w:tcW w:w="13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ind w:right="340"/>
              <w:spacing w:after="0" w:line="158" w:lineRule="exact"/>
              <w:rPr>
                <w:sz w:val="20"/>
                <w:szCs w:val="20"/>
                <w:color w:val="auto"/>
              </w:rPr>
            </w:pPr>
            <w:r>
              <w:rPr>
                <w:rFonts w:ascii="Arial" w:cs="Arial" w:eastAsia="Arial" w:hAnsi="Arial"/>
                <w:sz w:val="14"/>
                <w:szCs w:val="14"/>
                <w:b w:val="1"/>
                <w:bCs w:val="1"/>
                <w:color w:val="auto"/>
                <w:w w:val="81"/>
              </w:rPr>
              <w:t>Issued</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5"/>
            <w:vMerge w:val="continue"/>
          </w:tcPr>
          <w:p>
            <w:pPr>
              <w:spacing w:after="0"/>
              <w:rPr>
                <w:sz w:val="13"/>
                <w:szCs w:val="13"/>
                <w:color w:val="auto"/>
              </w:rPr>
            </w:pPr>
          </w:p>
        </w:tc>
        <w:tc>
          <w:tcPr>
            <w:tcW w:w="134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w w:val="81"/>
              </w:rPr>
              <w:t>Shares</w:t>
            </w:r>
          </w:p>
        </w:tc>
        <w:tc>
          <w:tcPr>
            <w:tcW w:w="380" w:type="dxa"/>
            <w:vAlign w:val="bottom"/>
            <w:tcBorders>
              <w:top w:val="single" w:sz="8" w:color="auto"/>
            </w:tcBorders>
          </w:tcPr>
          <w:p>
            <w:pPr>
              <w:spacing w:after="0"/>
              <w:rPr>
                <w:sz w:val="11"/>
                <w:szCs w:val="11"/>
                <w:color w:val="auto"/>
              </w:rPr>
            </w:pPr>
          </w:p>
        </w:tc>
        <w:tc>
          <w:tcPr>
            <w:tcW w:w="1000" w:type="dxa"/>
            <w:vAlign w:val="bottom"/>
            <w:gridSpan w:val="5"/>
          </w:tcPr>
          <w:p>
            <w:pPr>
              <w:jc w:val="right"/>
              <w:ind w:right="420"/>
              <w:spacing w:after="0" w:line="129"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1"/>
                <w:szCs w:val="11"/>
                <w:color w:val="auto"/>
              </w:rPr>
            </w:pPr>
          </w:p>
        </w:tc>
        <w:tc>
          <w:tcPr>
            <w:tcW w:w="840" w:type="dxa"/>
            <w:vAlign w:val="bottom"/>
            <w:gridSpan w:val="5"/>
          </w:tcPr>
          <w:p>
            <w:pPr>
              <w:ind w:left="40"/>
              <w:spacing w:after="0" w:line="129" w:lineRule="exact"/>
              <w:rPr>
                <w:sz w:val="20"/>
                <w:szCs w:val="20"/>
                <w:color w:val="auto"/>
              </w:rPr>
            </w:pPr>
            <w:r>
              <w:rPr>
                <w:rFonts w:ascii="Arial" w:cs="Arial" w:eastAsia="Arial" w:hAnsi="Arial"/>
                <w:sz w:val="14"/>
                <w:szCs w:val="14"/>
                <w:b w:val="1"/>
                <w:bCs w:val="1"/>
                <w:color w:val="auto"/>
              </w:rPr>
              <w:t>Capital</w:t>
            </w:r>
          </w:p>
        </w:tc>
        <w:tc>
          <w:tcPr>
            <w:tcW w:w="1220" w:type="dxa"/>
            <w:vAlign w:val="bottom"/>
            <w:gridSpan w:val="6"/>
          </w:tcPr>
          <w:p>
            <w:pPr>
              <w:jc w:val="right"/>
              <w:ind w:right="480"/>
              <w:spacing w:after="0" w:line="129" w:lineRule="exact"/>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1"/>
                <w:szCs w:val="11"/>
                <w:color w:val="auto"/>
              </w:rPr>
            </w:pPr>
          </w:p>
        </w:tc>
        <w:tc>
          <w:tcPr>
            <w:tcW w:w="1040" w:type="dxa"/>
            <w:vAlign w:val="bottom"/>
            <w:gridSpan w:val="5"/>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1"/>
                <w:szCs w:val="11"/>
                <w:color w:val="auto"/>
              </w:rPr>
            </w:pPr>
          </w:p>
        </w:tc>
        <w:tc>
          <w:tcPr>
            <w:tcW w:w="760" w:type="dxa"/>
            <w:vAlign w:val="bottom"/>
            <w:gridSpan w:val="5"/>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2022</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29,853</w:t>
            </w:r>
          </w:p>
        </w:tc>
        <w:tc>
          <w:tcPr>
            <w:tcW w:w="720" w:type="dxa"/>
            <w:vAlign w:val="bottom"/>
            <w:gridSpan w:val="4"/>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FFFF"/>
          </w:tcPr>
          <w:p>
            <w:pPr>
              <w:jc w:val="right"/>
              <w:ind w:right="420"/>
              <w:spacing w:after="0" w:line="149" w:lineRule="exact"/>
              <w:rPr>
                <w:sz w:val="20"/>
                <w:szCs w:val="20"/>
                <w:color w:val="auto"/>
              </w:rPr>
            </w:pPr>
            <w:r>
              <w:rPr>
                <w:rFonts w:ascii="Arial" w:cs="Arial" w:eastAsia="Arial" w:hAnsi="Arial"/>
                <w:sz w:val="14"/>
                <w:szCs w:val="14"/>
                <w:color w:val="auto"/>
                <w:w w:val="94"/>
              </w:rPr>
              <w:t>299</w:t>
            </w:r>
          </w:p>
        </w:tc>
        <w:tc>
          <w:tcPr>
            <w:tcW w:w="58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23,933</w:t>
            </w:r>
          </w:p>
        </w:tc>
        <w:tc>
          <w:tcPr>
            <w:tcW w:w="50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(361,191)</w:t>
            </w:r>
          </w:p>
        </w:tc>
        <w:tc>
          <w:tcPr>
            <w:tcW w:w="240" w:type="dxa"/>
            <w:vAlign w:val="bottom"/>
            <w:gridSpan w:val="3"/>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149,334</w:t>
            </w:r>
          </w:p>
        </w:tc>
        <w:tc>
          <w:tcPr>
            <w:tcW w:w="36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642,350</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56,770</w:t>
            </w:r>
          </w:p>
        </w:tc>
        <w:tc>
          <w:tcPr>
            <w:tcW w:w="32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487,562</w:t>
            </w:r>
          </w:p>
        </w:tc>
        <w:tc>
          <w:tcPr>
            <w:tcW w:w="0" w:type="dxa"/>
            <w:vAlign w:val="bottom"/>
          </w:tcPr>
          <w:p>
            <w:pPr>
              <w:spacing w:after="0"/>
              <w:rPr>
                <w:sz w:val="1"/>
                <w:szCs w:val="1"/>
                <w:color w:val="auto"/>
              </w:rPr>
            </w:pPr>
          </w:p>
        </w:tc>
      </w:tr>
      <w:tr>
        <w:trPr>
          <w:trHeight w:val="312"/>
        </w:trPr>
        <w:tc>
          <w:tcPr>
            <w:tcW w:w="29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5,182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1,804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6,986</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14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8"/>
        </w:trPr>
        <w:tc>
          <w:tcPr>
            <w:tcW w:w="2920" w:type="dxa"/>
            <w:vAlign w:val="bottom"/>
            <w:gridSpan w:val="2"/>
          </w:tcPr>
          <w:p>
            <w:pPr>
              <w:spacing w:after="0"/>
              <w:rPr>
                <w:sz w:val="20"/>
                <w:szCs w:val="20"/>
                <w:color w:val="auto"/>
              </w:rPr>
            </w:pPr>
            <w:r>
              <w:rPr>
                <w:rFonts w:ascii="Arial" w:cs="Arial" w:eastAsia="Arial" w:hAnsi="Arial"/>
                <w:sz w:val="14"/>
                <w:szCs w:val="14"/>
                <w:color w:val="auto"/>
              </w:rPr>
              <w:t>Issuance of equity awards and stock based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9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2022</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29,853</w:t>
            </w:r>
          </w:p>
        </w:tc>
        <w:tc>
          <w:tcPr>
            <w:tcW w:w="720" w:type="dxa"/>
            <w:vAlign w:val="bottom"/>
            <w:gridSpan w:val="4"/>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FFFF"/>
          </w:tcPr>
          <w:p>
            <w:pPr>
              <w:jc w:val="right"/>
              <w:ind w:right="420"/>
              <w:spacing w:after="0" w:line="149" w:lineRule="exact"/>
              <w:rPr>
                <w:sz w:val="20"/>
                <w:szCs w:val="20"/>
                <w:color w:val="auto"/>
              </w:rPr>
            </w:pPr>
            <w:r>
              <w:rPr>
                <w:rFonts w:ascii="Arial" w:cs="Arial" w:eastAsia="Arial" w:hAnsi="Arial"/>
                <w:sz w:val="14"/>
                <w:szCs w:val="14"/>
                <w:color w:val="auto"/>
                <w:w w:val="94"/>
              </w:rPr>
              <w:t>299</w:t>
            </w:r>
          </w:p>
        </w:tc>
        <w:tc>
          <w:tcPr>
            <w:tcW w:w="58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23,933</w:t>
            </w:r>
          </w:p>
        </w:tc>
        <w:tc>
          <w:tcPr>
            <w:tcW w:w="50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w w:val="90"/>
              </w:rPr>
              <w:t>(361,183)</w:t>
            </w:r>
          </w:p>
        </w:tc>
        <w:tc>
          <w:tcPr>
            <w:tcW w:w="240" w:type="dxa"/>
            <w:vAlign w:val="bottom"/>
            <w:gridSpan w:val="3"/>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149,370</w:t>
            </w:r>
          </w:p>
        </w:tc>
        <w:tc>
          <w:tcPr>
            <w:tcW w:w="36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647,532</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58,573</w:t>
            </w:r>
          </w:p>
        </w:tc>
        <w:tc>
          <w:tcPr>
            <w:tcW w:w="32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494,591</w:t>
            </w:r>
          </w:p>
        </w:tc>
        <w:tc>
          <w:tcPr>
            <w:tcW w:w="0" w:type="dxa"/>
            <w:vAlign w:val="bottom"/>
          </w:tcPr>
          <w:p>
            <w:pPr>
              <w:spacing w:after="0"/>
              <w:rPr>
                <w:sz w:val="1"/>
                <w:szCs w:val="1"/>
                <w:color w:val="auto"/>
              </w:rPr>
            </w:pPr>
          </w:p>
        </w:tc>
      </w:tr>
      <w:tr>
        <w:trPr>
          <w:trHeight w:val="20"/>
        </w:trPr>
        <w:tc>
          <w:tcPr>
            <w:tcW w:w="28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920" w:type="dxa"/>
            <w:vAlign w:val="bottom"/>
            <w:gridSpan w:val="2"/>
          </w:tcPr>
          <w:p>
            <w:pPr>
              <w:spacing w:after="0"/>
              <w:rPr>
                <w:sz w:val="20"/>
                <w:szCs w:val="20"/>
                <w:color w:val="auto"/>
              </w:rPr>
            </w:pPr>
            <w:r>
              <w:rPr>
                <w:rFonts w:ascii="Arial" w:cs="Arial" w:eastAsia="Arial" w:hAnsi="Arial"/>
                <w:sz w:val="14"/>
                <w:szCs w:val="14"/>
                <w:color w:val="auto"/>
              </w:rPr>
              <w:t>Balance at January 31, 2021</w:t>
            </w: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29,853</w:t>
            </w:r>
          </w:p>
        </w:tc>
        <w:tc>
          <w:tcPr>
            <w:tcW w:w="7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299</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23,861</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140"/>
              <w:spacing w:after="0"/>
              <w:rPr>
                <w:sz w:val="20"/>
                <w:szCs w:val="20"/>
                <w:color w:val="auto"/>
              </w:rPr>
            </w:pPr>
            <w:r>
              <w:rPr>
                <w:rFonts w:ascii="Arial" w:cs="Arial" w:eastAsia="Arial" w:hAnsi="Arial"/>
                <w:sz w:val="14"/>
                <w:szCs w:val="14"/>
                <w:color w:val="auto"/>
              </w:rPr>
              <w:t>(354,612)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149,110</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589,986</w:t>
            </w: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52,400</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437,183</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7,784</w:t>
            </w:r>
          </w:p>
        </w:tc>
        <w:tc>
          <w:tcPr>
            <w:tcW w:w="3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614</w:t>
            </w: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312"/>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 distribution and other</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14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8"/>
        </w:trPr>
        <w:tc>
          <w:tcPr>
            <w:tcW w:w="2920" w:type="dxa"/>
            <w:vAlign w:val="bottom"/>
            <w:gridSpan w:val="2"/>
          </w:tcPr>
          <w:p>
            <w:pPr>
              <w:spacing w:after="0"/>
              <w:rPr>
                <w:sz w:val="20"/>
                <w:szCs w:val="20"/>
                <w:color w:val="auto"/>
              </w:rPr>
            </w:pPr>
            <w:r>
              <w:rPr>
                <w:rFonts w:ascii="Arial" w:cs="Arial" w:eastAsia="Arial" w:hAnsi="Arial"/>
                <w:sz w:val="14"/>
                <w:szCs w:val="14"/>
                <w:color w:val="auto"/>
              </w:rPr>
              <w:t>Issuance of equity awards and stock based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9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2021</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29,853</w:t>
            </w:r>
          </w:p>
        </w:tc>
        <w:tc>
          <w:tcPr>
            <w:tcW w:w="720" w:type="dxa"/>
            <w:vAlign w:val="bottom"/>
            <w:gridSpan w:val="4"/>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FFFF"/>
          </w:tcPr>
          <w:p>
            <w:pPr>
              <w:jc w:val="right"/>
              <w:ind w:right="420"/>
              <w:spacing w:after="0" w:line="149" w:lineRule="exact"/>
              <w:rPr>
                <w:sz w:val="20"/>
                <w:szCs w:val="20"/>
                <w:color w:val="auto"/>
              </w:rPr>
            </w:pPr>
            <w:r>
              <w:rPr>
                <w:rFonts w:ascii="Arial" w:cs="Arial" w:eastAsia="Arial" w:hAnsi="Arial"/>
                <w:sz w:val="14"/>
                <w:szCs w:val="14"/>
                <w:color w:val="auto"/>
                <w:w w:val="94"/>
              </w:rPr>
              <w:t>299</w:t>
            </w:r>
          </w:p>
        </w:tc>
        <w:tc>
          <w:tcPr>
            <w:tcW w:w="58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23,861</w:t>
            </w:r>
          </w:p>
        </w:tc>
        <w:tc>
          <w:tcPr>
            <w:tcW w:w="50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w w:val="90"/>
              </w:rPr>
              <w:t>(354,604)</w:t>
            </w:r>
          </w:p>
        </w:tc>
        <w:tc>
          <w:tcPr>
            <w:tcW w:w="240" w:type="dxa"/>
            <w:vAlign w:val="bottom"/>
            <w:gridSpan w:val="3"/>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149,144</w:t>
            </w:r>
          </w:p>
        </w:tc>
        <w:tc>
          <w:tcPr>
            <w:tcW w:w="36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597,770</w:t>
            </w:r>
          </w:p>
        </w:tc>
        <w:tc>
          <w:tcPr>
            <w:tcW w:w="5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53,007</w:t>
            </w:r>
          </w:p>
        </w:tc>
        <w:tc>
          <w:tcPr>
            <w:tcW w:w="32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445,616</w:t>
            </w:r>
          </w:p>
        </w:tc>
        <w:tc>
          <w:tcPr>
            <w:tcW w:w="0" w:type="dxa"/>
            <w:vAlign w:val="bottom"/>
          </w:tcPr>
          <w:p>
            <w:pPr>
              <w:spacing w:after="0"/>
              <w:rPr>
                <w:sz w:val="1"/>
                <w:szCs w:val="1"/>
                <w:color w:val="auto"/>
              </w:rPr>
            </w:pPr>
          </w:p>
        </w:tc>
      </w:tr>
      <w:tr>
        <w:trPr>
          <w:trHeight w:val="20"/>
        </w:trPr>
        <w:tc>
          <w:tcPr>
            <w:tcW w:w="28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April 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190"/>
              <w:spacing w:after="0" w:line="194" w:lineRule="exact"/>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7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6,986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8,398</w:t>
            </w:r>
          </w:p>
        </w:tc>
      </w:tr>
      <w:tr>
        <w:trPr>
          <w:trHeight w:val="230"/>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435</w:t>
            </w: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6,986</w:t>
            </w: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8"/>
                <w:szCs w:val="18"/>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4,459</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4,551</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1,430</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1,389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(1,951)</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Interest income from investments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(148)</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Deferred income tax</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1,161</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Stock based compensation expense</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218</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Loss (gain) on sale of property and equipment –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381</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(7,844)</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(14,163)</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11,206</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581</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(3,529)</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(2,169)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(13,233)</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(654)</w:t>
            </w:r>
          </w:p>
        </w:tc>
      </w:tr>
      <w:tr>
        <w:trPr>
          <w:trHeight w:val="229"/>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liabilities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(1,264)</w:t>
            </w: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(17,679)</w:t>
            </w: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15,096</w:t>
            </w:r>
          </w:p>
        </w:tc>
        <w:tc>
          <w:tcPr>
            <w:tcW w:w="100" w:type="dxa"/>
            <w:vAlign w:val="bottom"/>
          </w:tcPr>
          <w:p>
            <w:pPr>
              <w:spacing w:after="0"/>
              <w:rPr>
                <w:sz w:val="18"/>
                <w:szCs w:val="18"/>
                <w:color w:val="auto"/>
              </w:rPr>
            </w:pPr>
          </w:p>
        </w:tc>
      </w:tr>
      <w:tr>
        <w:trPr>
          <w:trHeight w:val="230"/>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(1,533)</w:t>
            </w:r>
          </w:p>
        </w:tc>
      </w:tr>
      <w:tr>
        <w:trPr>
          <w:trHeight w:val="209"/>
        </w:trPr>
        <w:tc>
          <w:tcPr>
            <w:tcW w:w="7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13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(17,679)</w:t>
            </w:r>
          </w:p>
        </w:tc>
        <w:tc>
          <w:tcPr>
            <w:tcW w:w="440" w:type="dxa"/>
            <w:vAlign w:val="bottom"/>
            <w:tcBorders>
              <w:bottom w:val="single" w:sz="8" w:color="E5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Borders>
              <w:bottom w:val="single" w:sz="8" w:color="E5FFFF"/>
            </w:tcBorders>
          </w:tcPr>
          <w:p>
            <w:pPr>
              <w:spacing w:after="0"/>
              <w:rPr>
                <w:sz w:val="18"/>
                <w:szCs w:val="18"/>
                <w:color w:val="auto"/>
              </w:rPr>
            </w:pPr>
          </w:p>
        </w:tc>
      </w:tr>
      <w:tr>
        <w:trPr>
          <w:trHeight w:val="210"/>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(1,462)</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(1,267)</w:t>
            </w:r>
          </w:p>
        </w:tc>
      </w:tr>
      <w:tr>
        <w:trPr>
          <w:trHeight w:val="216"/>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Purchase of short-term investments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(161,599)</w:t>
            </w:r>
          </w:p>
        </w:tc>
        <w:tc>
          <w:tcPr>
            <w:tcW w:w="44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w w:val="98"/>
              </w:rPr>
              <w:t>(25,930)</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Sale of short-term investments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20,278</w:t>
            </w: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26,275</w:t>
            </w:r>
          </w:p>
        </w:tc>
      </w:tr>
      <w:tr>
        <w:trPr>
          <w:trHeight w:val="230"/>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30</w:t>
            </w:r>
          </w:p>
        </w:tc>
      </w:tr>
      <w:tr>
        <w:trPr>
          <w:trHeight w:val="209"/>
        </w:trPr>
        <w:tc>
          <w:tcPr>
            <w:tcW w:w="7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(142,783)</w:t>
            </w:r>
          </w:p>
        </w:tc>
        <w:tc>
          <w:tcPr>
            <w:tcW w:w="440" w:type="dxa"/>
            <w:vAlign w:val="bottom"/>
            <w:tcBorders>
              <w:bottom w:val="single" w:sz="8" w:color="E5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E5FFFF"/>
            </w:tcBorders>
          </w:tcPr>
          <w:p>
            <w:pPr>
              <w:spacing w:after="0"/>
              <w:rPr>
                <w:sz w:val="18"/>
                <w:szCs w:val="18"/>
                <w:color w:val="auto"/>
              </w:rPr>
            </w:pPr>
          </w:p>
        </w:tc>
      </w:tr>
      <w:tr>
        <w:trPr>
          <w:trHeight w:val="210"/>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r>
      <w:tr>
        <w:trPr>
          <w:trHeight w:val="210"/>
        </w:trPr>
        <w:tc>
          <w:tcPr>
            <w:tcW w:w="7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 from continuing operations</w:t>
            </w:r>
          </w:p>
        </w:tc>
        <w:tc>
          <w:tcPr>
            <w:tcW w:w="13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E5FFFF"/>
            </w:tcBorders>
            <w:shd w:val="clear" w:color="auto" w:fill="E5FFFF"/>
          </w:tcPr>
          <w:p>
            <w:pPr>
              <w:spacing w:after="0"/>
              <w:rPr>
                <w:sz w:val="18"/>
                <w:szCs w:val="18"/>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Net cash provided by financing activities from discontinued operations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r>
      <w:tr>
        <w:trPr>
          <w:trHeight w:val="210"/>
        </w:trPr>
        <w:tc>
          <w:tcPr>
            <w:tcW w:w="7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bottom w:val="single" w:sz="8" w:color="auto"/>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E5FFFF"/>
            </w:tcBorders>
            <w:shd w:val="clear" w:color="auto" w:fill="E5FF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Continued on the following page</w:t>
      </w:r>
    </w:p>
    <w:p>
      <w:pPr>
        <w:spacing w:after="0" w:line="20" w:lineRule="exact"/>
        <w:rPr>
          <w:sz w:val="20"/>
          <w:szCs w:val="20"/>
          <w:color w:val="auto"/>
        </w:rPr>
      </w:pPr>
      <w:r>
        <w:rPr>
          <w:sz w:val="20"/>
          <w:szCs w:val="20"/>
          <w:color w:val="auto"/>
        </w:rPr>
        <w:br w:type="column"/>
      </w:r>
    </w:p>
    <w:p>
      <w:pPr>
        <w:jc w:val="both"/>
        <w:ind w:left="320"/>
        <w:spacing w:after="0"/>
        <w:tabs>
          <w:tab w:leader="none" w:pos="2060" w:val="left"/>
        </w:tabs>
        <w:rPr>
          <w:sz w:val="20"/>
          <w:szCs w:val="20"/>
          <w:color w:val="auto"/>
        </w:rPr>
      </w:pPr>
      <w:r>
        <w:rPr>
          <w:rFonts w:ascii="Arial" w:cs="Arial" w:eastAsia="Arial" w:hAnsi="Arial"/>
          <w:sz w:val="18"/>
          <w:szCs w:val="18"/>
          <w:color w:val="auto"/>
        </w:rPr>
        <w:t>(160,463)</w:t>
      </w:r>
      <w:r>
        <w:rPr>
          <w:sz w:val="20"/>
          <w:szCs w:val="20"/>
          <w:color w:val="auto"/>
        </w:rPr>
        <w:tab/>
      </w:r>
      <w:r>
        <w:rPr>
          <w:rFonts w:ascii="Arial" w:cs="Arial" w:eastAsia="Arial" w:hAnsi="Arial"/>
          <w:sz w:val="18"/>
          <w:szCs w:val="18"/>
          <w:color w:val="auto"/>
        </w:rPr>
        <w:t>12,664</w:t>
      </w:r>
    </w:p>
    <w:p>
      <w:pPr>
        <w:spacing w:after="0" w:line="23" w:lineRule="exact"/>
        <w:rPr>
          <w:sz w:val="20"/>
          <w:szCs w:val="20"/>
          <w:color w:val="auto"/>
        </w:rPr>
      </w:pPr>
    </w:p>
    <w:p>
      <w:pPr>
        <w:ind w:left="440"/>
        <w:spacing w:after="0"/>
        <w:tabs>
          <w:tab w:leader="none" w:pos="1960" w:val="left"/>
        </w:tabs>
        <w:rPr>
          <w:sz w:val="20"/>
          <w:szCs w:val="20"/>
          <w:color w:val="auto"/>
        </w:rPr>
      </w:pPr>
      <w:r>
        <w:rPr>
          <w:rFonts w:ascii="Arial" w:cs="Arial" w:eastAsia="Arial" w:hAnsi="Arial"/>
          <w:sz w:val="16"/>
          <w:szCs w:val="16"/>
          <w:color w:val="auto"/>
        </w:rPr>
        <w:t>232,068</w:t>
      </w:r>
      <w:r>
        <w:rPr>
          <w:sz w:val="20"/>
          <w:szCs w:val="20"/>
          <w:color w:val="auto"/>
        </w:rPr>
        <w:tab/>
      </w:r>
      <w:r>
        <w:rPr>
          <w:rFonts w:ascii="Arial" w:cs="Arial" w:eastAsia="Arial" w:hAnsi="Arial"/>
          <w:sz w:val="16"/>
          <w:szCs w:val="16"/>
          <w:color w:val="auto"/>
        </w:rPr>
        <w:t>146,158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637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8"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71,605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158,822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370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030" cy="2540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7840" w:space="720"/>
            <w:col w:w="2680"/>
          </w:cols>
          <w:pgMar w:left="320" w:top="405"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6" w:name="page7"/>
    <w:bookmarkEnd w:id="6"/>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 cash investing activities – Accrued capital expenditures</w:t>
            </w:r>
          </w:p>
        </w:tc>
        <w:tc>
          <w:tcPr>
            <w:tcW w:w="1860" w:type="dxa"/>
            <w:vAlign w:val="bottom"/>
            <w:gridSpan w:val="2"/>
            <w:shd w:val="clear" w:color="auto" w:fill="E5FFFF"/>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7000" w:type="dxa"/>
            <w:vAlign w:val="bottom"/>
            <w:tcBorders>
              <w:top w:val="single" w:sz="8" w:color="E5FFFF"/>
              <w:bottom w:val="single" w:sz="8" w:color="E5FFFF"/>
            </w:tcBorders>
            <w:vMerge w:val="restart"/>
          </w:tcPr>
          <w:p>
            <w:pPr>
              <w:ind w:left="180"/>
              <w:spacing w:after="0"/>
              <w:rPr>
                <w:sz w:val="20"/>
                <w:szCs w:val="20"/>
                <w:color w:val="auto"/>
              </w:rPr>
            </w:pPr>
            <w:r>
              <w:rPr>
                <w:rFonts w:ascii="Arial" w:cs="Arial" w:eastAsia="Arial" w:hAnsi="Arial"/>
                <w:sz w:val="18"/>
                <w:szCs w:val="18"/>
                <w:color w:val="auto"/>
              </w:rPr>
              <w:t>Non cash financing activities – Stock awards accrued</w:t>
            </w:r>
          </w:p>
        </w:tc>
        <w:tc>
          <w:tcPr>
            <w:tcW w:w="1560" w:type="dxa"/>
            <w:vAlign w:val="bottom"/>
            <w:tcBorders>
              <w:top w:val="single" w:sz="8" w:color="E5FFFF"/>
              <w:bottom w:val="single" w:sz="8" w:color="E5FF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bottom w:val="single" w:sz="8" w:color="E5FF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0" w:type="dxa"/>
            <w:vAlign w:val="bottom"/>
            <w:tcBorders>
              <w:bottom w:val="single" w:sz="8" w:color="E5FFFF"/>
            </w:tcBorders>
            <w:vMerge w:val="continue"/>
          </w:tcPr>
          <w:p>
            <w:pPr>
              <w:spacing w:after="0"/>
              <w:rPr>
                <w:sz w:val="20"/>
                <w:szCs w:val="20"/>
                <w:color w:val="auto"/>
              </w:rPr>
            </w:pPr>
          </w:p>
        </w:tc>
        <w:tc>
          <w:tcPr>
            <w:tcW w:w="1560" w:type="dxa"/>
            <w:vAlign w:val="bottom"/>
            <w:tcBorders>
              <w:bottom w:val="single" w:sz="8" w:color="E5FFFF"/>
            </w:tcBorders>
            <w:vMerge w:val="continue"/>
          </w:tcPr>
          <w:p>
            <w:pPr>
              <w:spacing w:after="0"/>
              <w:rPr>
                <w:sz w:val="20"/>
                <w:szCs w:val="20"/>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w:t>
            </w:r>
          </w:p>
        </w:tc>
        <w:tc>
          <w:tcPr>
            <w:tcW w:w="440" w:type="dxa"/>
            <w:vAlign w:val="bottom"/>
            <w:tcBorders>
              <w:bottom w:val="single" w:sz="8" w:color="E5FF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000" w:type="dxa"/>
            <w:vAlign w:val="bottom"/>
            <w:tcBorders>
              <w:bottom w:val="single" w:sz="8" w:color="E5FFFF"/>
            </w:tcBorders>
            <w:shd w:val="clear" w:color="auto" w:fill="E5FFFF"/>
          </w:tcPr>
          <w:p>
            <w:pPr>
              <w:ind w:left="180"/>
              <w:spacing w:after="0" w:line="190" w:lineRule="exact"/>
              <w:rPr>
                <w:sz w:val="20"/>
                <w:szCs w:val="20"/>
                <w:color w:val="auto"/>
              </w:rPr>
            </w:pPr>
            <w:r>
              <w:rPr>
                <w:rFonts w:ascii="Arial" w:cs="Arial" w:eastAsia="Arial" w:hAnsi="Arial"/>
                <w:sz w:val="18"/>
                <w:szCs w:val="18"/>
                <w:color w:val="auto"/>
              </w:rPr>
              <w:t>Right-of-use assets acquired and liabilities incurred upon lease execution</w:t>
            </w:r>
          </w:p>
        </w:tc>
        <w:tc>
          <w:tcPr>
            <w:tcW w:w="156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3,460</w:t>
            </w:r>
          </w:p>
        </w:tc>
        <w:tc>
          <w:tcPr>
            <w:tcW w:w="4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80"/>
              <w:spacing w:after="0"/>
              <w:rPr>
                <w:sz w:val="20"/>
                <w:szCs w:val="20"/>
                <w:color w:val="auto"/>
              </w:rPr>
            </w:pPr>
            <w:r>
              <w:rPr>
                <w:rFonts w:ascii="Arial" w:cs="Arial" w:eastAsia="Arial" w:hAnsi="Arial"/>
                <w:sz w:val="18"/>
                <w:szCs w:val="18"/>
                <w:color w:val="auto"/>
              </w:rPr>
              <w:t>Reconciliation of total cash, cash equivalents and restricted cash:</w:t>
            </w: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E5FFFF"/>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66,685</w:t>
            </w: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157,105</w:t>
            </w:r>
          </w:p>
        </w:tc>
        <w:tc>
          <w:tcPr>
            <w:tcW w:w="0" w:type="dxa"/>
            <w:vAlign w:val="bottom"/>
          </w:tcPr>
          <w:p>
            <w:pPr>
              <w:spacing w:after="0"/>
              <w:rPr>
                <w:sz w:val="1"/>
                <w:szCs w:val="1"/>
                <w:color w:val="auto"/>
              </w:rPr>
            </w:pPr>
          </w:p>
        </w:tc>
      </w:tr>
      <w:tr>
        <w:trPr>
          <w:trHeight w:val="229"/>
        </w:trPr>
        <w:tc>
          <w:tcPr>
            <w:tcW w:w="70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4,920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3"/>
        </w:trPr>
        <w:tc>
          <w:tcPr>
            <w:tcW w:w="700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560" w:type="dxa"/>
            <w:vAlign w:val="bottom"/>
            <w:tcBorders>
              <w:top w:val="single" w:sz="8" w:color="E5FFFF"/>
              <w:bottom w:val="single" w:sz="8" w:color="E5FFFF"/>
            </w:tcBorders>
            <w:shd w:val="clear" w:color="auto" w:fill="E5FFFF"/>
          </w:tcPr>
          <w:p>
            <w:pPr>
              <w:spacing w:after="0"/>
              <w:rPr>
                <w:sz w:val="19"/>
                <w:szCs w:val="19"/>
                <w:color w:val="auto"/>
              </w:rPr>
            </w:pPr>
          </w:p>
        </w:tc>
        <w:tc>
          <w:tcPr>
            <w:tcW w:w="300" w:type="dxa"/>
            <w:vAlign w:val="bottom"/>
            <w:tcBorders>
              <w:top w:val="single" w:sz="8" w:color="auto"/>
              <w:bottom w:val="single" w:sz="8" w:color="auto"/>
            </w:tcBorders>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71,605</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158,822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April 30, 2022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6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2022 included in these financial statements has been derived from the audited consolidated financial statements included in the Company’s Annual Report on Form 10-K for the year ended January 31, 2022 (fiscal year 2021). It is suggested that these unaudited consolidated condensed financial statements be read in conjunction with the consolidated financial statements and the notes thereto included in the Company’s Annual Report on Form 10-K for the year ended January 31, 2022.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wholly owned and majority owned subsidiaries. The Company includes the results of operations of One Earth Energy, LLC (“One Earth”) in its Consolidated Condensed Statements of Operations on a delayed basis of one month as One Earth has a fiscal year end of December 31. On November 18, 2021, the Company ceased operation of its refined coal business as tax credits could no longer be earned on its operations. Beginning in the third quarter of fiscal year 2021, the results of the operation of the refined coal business were recognized in discontinued operations. Prior period amounts have been reclassified to conform with discontinued operations reporting.</w:t>
      </w:r>
    </w:p>
    <w:p>
      <w:pPr>
        <w:spacing w:after="0" w:line="184"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Nature of Operations – Beginning in the third quarter of fiscal year 2021, the Company now has one reportable segment, ethanol and by-products. Within the ethanol and by-products segment, the Company has equity investments in three ethanol limited liability companies, two of which are majority ownership interests. Prior period amounts have been reclassified to conform to the current segment reporting.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The interim consolidated condensed financial statements have been prepared in accordance with the accounting policies described in the notes to the consolidated financial statements included in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 w:name="page9"/>
    <w:bookmarkEnd w:id="8"/>
    <w:p>
      <w:pPr>
        <w:ind w:right="20"/>
        <w:spacing w:after="0" w:line="249" w:lineRule="auto"/>
        <w:rPr>
          <w:sz w:val="20"/>
          <w:szCs w:val="20"/>
          <w:color w:val="auto"/>
        </w:rPr>
      </w:pPr>
      <w:r>
        <w:rPr>
          <w:rFonts w:ascii="Arial" w:cs="Arial" w:eastAsia="Arial" w:hAnsi="Arial"/>
          <w:sz w:val="21"/>
          <w:szCs w:val="21"/>
          <w:color w:val="auto"/>
        </w:rPr>
        <w:t>Company’s fiscal year 2021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120" w:firstLine="648"/>
        <w:spacing w:after="0" w:line="257" w:lineRule="auto"/>
        <w:rPr>
          <w:sz w:val="20"/>
          <w:szCs w:val="20"/>
          <w:color w:val="auto"/>
        </w:rPr>
      </w:pPr>
      <w:r>
        <w:rPr>
          <w:rFonts w:ascii="Arial" w:cs="Arial" w:eastAsia="Arial" w:hAnsi="Arial"/>
          <w:sz w:val="21"/>
          <w:szCs w:val="21"/>
          <w:color w:val="auto"/>
        </w:rPr>
        <w:t>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repair and maintenance costs, plant management, certain compensation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Company includes non-production related costs such as professional fees, outbound freight charges, selling charges and certain payroll in SG&amp;A expenses. Outbound freight charges were approximately $273,000 and $5,596,000 in the first quarter of fiscal years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9" w:name="page10"/>
    <w:bookmarkEnd w:id="9"/>
    <w:p>
      <w:pPr>
        <w:ind w:right="40"/>
        <w:spacing w:after="0"/>
        <w:rPr>
          <w:sz w:val="20"/>
          <w:szCs w:val="20"/>
          <w:color w:val="auto"/>
        </w:rPr>
      </w:pPr>
      <w:r>
        <w:rPr>
          <w:rFonts w:ascii="Arial" w:cs="Arial" w:eastAsia="Arial" w:hAnsi="Arial"/>
          <w:sz w:val="22"/>
          <w:szCs w:val="22"/>
          <w:color w:val="auto"/>
        </w:rPr>
        <w:t>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Prior to the third quarter of fiscal year 2021, the Company determined that small changes in estimated “ordinary” income could result in significant changes in the estimated annual effective tax rate. Thus, the Company used a discrete effective tax rate method to calculate the provision or benefit for income taxes for the three months ended April 30, 2021. Beginning on November 18, 2021, we were unable to earn additional tax credits related to the refined coal facility, and therefore, ceased operation of that facility. As earning these credits is what had caused the significant changes in the estimated annual effective tax rate from small changes in estimated “ordinary” income and we have now classified the refined coal segment as discontinued operations, we have returned to using the annual effective tax rate method to calculate the provision or benefit for income taxes from continuing operations beginning in the three and nine month periods ended October 31, 2021.</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no income taxes and received no refunds of income taxes during the three months ended April 30, 2022 and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of April 30, 2022, and January 31, 2022, total unrecognized tax benefits were approximately $16,827,000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$16,741,000, respectively. Accrued penalties and interest were approximately $42,000 and approximately $40,000 at April 30,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2022 and January 31, 2022, respectively. If the Company were to prevail on all unrecognized tax benefits recorded, the provision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income taxes would be reduced by approximately $16.7 million. In addition, the impact of penalties and interest would also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benefit the effective tax rate. Interest and penalties associated with unrecognized tax benefits are recorded within income tax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 On a quarterly basis, the Company accrues for the effects of open uncertain tax positions and the related potential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penalties and interest.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approximately $0.5 million of inventory write-downs in cost of sales at April 30, 2022 and January 31, 2022. Fluctuations in the write-down of inventory generally relate to the levels and composition of such inventory and changes in commodity prices at a given point in time.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color w:val="auto"/>
        </w:rPr>
        <w:t>The components of inventory are as follows as of the dates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spacing w:after="0"/>
              <w:rPr>
                <w:sz w:val="21"/>
                <w:szCs w:val="21"/>
                <w:color w:val="auto"/>
              </w:rPr>
            </w:pPr>
          </w:p>
        </w:tc>
        <w:tc>
          <w:tcPr>
            <w:tcW w:w="2740" w:type="dxa"/>
            <w:vAlign w:val="bottom"/>
            <w:gridSpan w:val="4"/>
          </w:tcPr>
          <w:p>
            <w:pPr>
              <w:jc w:val="right"/>
              <w:ind w:right="160"/>
              <w:spacing w:after="0"/>
              <w:rPr>
                <w:sz w:val="20"/>
                <w:szCs w:val="20"/>
                <w:color w:val="auto"/>
              </w:rPr>
            </w:pPr>
            <w:r>
              <w:rPr>
                <w:rFonts w:ascii="Arial" w:cs="Arial" w:eastAsia="Arial" w:hAnsi="Arial"/>
                <w:sz w:val="22"/>
                <w:szCs w:val="22"/>
                <w:b w:val="1"/>
                <w:bCs w:val="1"/>
                <w:color w:val="auto"/>
              </w:rPr>
              <w:t>April 30,</w:t>
            </w:r>
          </w:p>
        </w:tc>
        <w:tc>
          <w:tcPr>
            <w:tcW w:w="1500" w:type="dxa"/>
            <w:vAlign w:val="bottom"/>
            <w:gridSpan w:val="6"/>
          </w:tcPr>
          <w:p>
            <w:pPr>
              <w:ind w:left="340"/>
              <w:spacing w:after="0"/>
              <w:rPr>
                <w:sz w:val="20"/>
                <w:szCs w:val="20"/>
                <w:color w:val="auto"/>
              </w:rPr>
            </w:pPr>
            <w:r>
              <w:rPr>
                <w:rFonts w:ascii="Arial" w:cs="Arial" w:eastAsia="Arial" w:hAnsi="Arial"/>
                <w:sz w:val="22"/>
                <w:szCs w:val="22"/>
                <w:b w:val="1"/>
                <w:bCs w:val="1"/>
                <w:color w:val="auto"/>
                <w:w w:val="94"/>
              </w:rPr>
              <w:t>January 31,</w:t>
            </w:r>
          </w:p>
        </w:tc>
      </w:tr>
      <w:tr>
        <w:trPr>
          <w:trHeight w:val="230"/>
        </w:trPr>
        <w:tc>
          <w:tcPr>
            <w:tcW w:w="4740" w:type="dxa"/>
            <w:vAlign w:val="bottom"/>
          </w:tcPr>
          <w:p>
            <w:pPr>
              <w:spacing w:after="0"/>
              <w:rPr>
                <w:sz w:val="19"/>
                <w:szCs w:val="19"/>
                <w:color w:val="auto"/>
              </w:rPr>
            </w:pPr>
          </w:p>
        </w:tc>
        <w:tc>
          <w:tcPr>
            <w:tcW w:w="2740" w:type="dxa"/>
            <w:vAlign w:val="bottom"/>
            <w:gridSpan w:val="4"/>
          </w:tcPr>
          <w:p>
            <w:pPr>
              <w:jc w:val="right"/>
              <w:ind w:right="340"/>
              <w:spacing w:after="0" w:line="230" w:lineRule="exact"/>
              <w:rPr>
                <w:sz w:val="20"/>
                <w:szCs w:val="20"/>
                <w:color w:val="auto"/>
              </w:rPr>
            </w:pPr>
            <w:r>
              <w:rPr>
                <w:rFonts w:ascii="Arial" w:cs="Arial" w:eastAsia="Arial" w:hAnsi="Arial"/>
                <w:sz w:val="22"/>
                <w:szCs w:val="22"/>
                <w:b w:val="1"/>
                <w:bCs w:val="1"/>
                <w:color w:val="auto"/>
              </w:rPr>
              <w:t>2022</w:t>
            </w:r>
          </w:p>
        </w:tc>
        <w:tc>
          <w:tcPr>
            <w:tcW w:w="1420" w:type="dxa"/>
            <w:vAlign w:val="bottom"/>
            <w:gridSpan w:val="5"/>
          </w:tcPr>
          <w:p>
            <w:pPr>
              <w:jc w:val="right"/>
              <w:ind w:right="320"/>
              <w:spacing w:after="0" w:line="230" w:lineRule="exact"/>
              <w:rPr>
                <w:sz w:val="20"/>
                <w:szCs w:val="20"/>
                <w:color w:val="auto"/>
              </w:rPr>
            </w:pPr>
            <w:r>
              <w:rPr>
                <w:rFonts w:ascii="Arial" w:cs="Arial" w:eastAsia="Arial" w:hAnsi="Arial"/>
                <w:sz w:val="22"/>
                <w:szCs w:val="22"/>
                <w:b w:val="1"/>
                <w:bCs w:val="1"/>
                <w:color w:val="auto"/>
              </w:rPr>
              <w:t>2022</w:t>
            </w:r>
          </w:p>
        </w:tc>
        <w:tc>
          <w:tcPr>
            <w:tcW w:w="80" w:type="dxa"/>
            <w:vAlign w:val="bottom"/>
          </w:tcPr>
          <w:p>
            <w:pPr>
              <w:spacing w:after="0"/>
              <w:rPr>
                <w:sz w:val="19"/>
                <w:szCs w:val="19"/>
                <w:color w:val="auto"/>
              </w:rPr>
            </w:pPr>
          </w:p>
        </w:tc>
      </w:tr>
      <w:tr>
        <w:trPr>
          <w:trHeight w:val="263"/>
        </w:trPr>
        <w:tc>
          <w:tcPr>
            <w:tcW w:w="4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74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Ethanol and other finished goods</w:t>
            </w:r>
          </w:p>
        </w:tc>
        <w:tc>
          <w:tcPr>
            <w:tcW w:w="27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$ 22,241</w:t>
            </w:r>
          </w:p>
        </w:tc>
        <w:tc>
          <w:tcPr>
            <w:tcW w:w="142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$13,158</w:t>
            </w:r>
          </w:p>
        </w:tc>
        <w:tc>
          <w:tcPr>
            <w:tcW w:w="80" w:type="dxa"/>
            <w:vAlign w:val="bottom"/>
            <w:shd w:val="clear" w:color="auto" w:fill="E5FFFF"/>
          </w:tcPr>
          <w:p>
            <w:pPr>
              <w:spacing w:after="0"/>
              <w:rPr>
                <w:sz w:val="21"/>
                <w:szCs w:val="21"/>
                <w:color w:val="auto"/>
              </w:rPr>
            </w:pPr>
          </w:p>
        </w:tc>
      </w:tr>
      <w:tr>
        <w:trPr>
          <w:trHeight w:val="243"/>
        </w:trPr>
        <w:tc>
          <w:tcPr>
            <w:tcW w:w="4740" w:type="dxa"/>
            <w:vAlign w:val="bottom"/>
          </w:tcPr>
          <w:p>
            <w:pPr>
              <w:ind w:left="120"/>
              <w:spacing w:after="0" w:line="243" w:lineRule="exact"/>
              <w:rPr>
                <w:sz w:val="20"/>
                <w:szCs w:val="20"/>
                <w:color w:val="auto"/>
              </w:rPr>
            </w:pPr>
            <w:r>
              <w:rPr>
                <w:rFonts w:ascii="Arial" w:cs="Arial" w:eastAsia="Arial" w:hAnsi="Arial"/>
                <w:sz w:val="22"/>
                <w:szCs w:val="22"/>
                <w:color w:val="auto"/>
              </w:rPr>
              <w:t>Work in process</w:t>
            </w:r>
          </w:p>
        </w:tc>
        <w:tc>
          <w:tcPr>
            <w:tcW w:w="27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6,846</w:t>
            </w:r>
          </w:p>
        </w:tc>
        <w:tc>
          <w:tcPr>
            <w:tcW w:w="14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5,473</w:t>
            </w:r>
          </w:p>
        </w:tc>
        <w:tc>
          <w:tcPr>
            <w:tcW w:w="80" w:type="dxa"/>
            <w:vAlign w:val="bottom"/>
          </w:tcPr>
          <w:p>
            <w:pPr>
              <w:spacing w:after="0"/>
              <w:rPr>
                <w:sz w:val="21"/>
                <w:szCs w:val="21"/>
                <w:color w:val="auto"/>
              </w:rPr>
            </w:pPr>
          </w:p>
        </w:tc>
      </w:tr>
      <w:tr>
        <w:trPr>
          <w:trHeight w:val="243"/>
        </w:trPr>
        <w:tc>
          <w:tcPr>
            <w:tcW w:w="474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Grain and other raw materials</w:t>
            </w:r>
          </w:p>
        </w:tc>
        <w:tc>
          <w:tcPr>
            <w:tcW w:w="27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27,301</w:t>
            </w:r>
          </w:p>
        </w:tc>
        <w:tc>
          <w:tcPr>
            <w:tcW w:w="142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23,594</w:t>
            </w:r>
          </w:p>
        </w:tc>
        <w:tc>
          <w:tcPr>
            <w:tcW w:w="80" w:type="dxa"/>
            <w:vAlign w:val="bottom"/>
            <w:shd w:val="clear" w:color="auto" w:fill="E5FFFF"/>
          </w:tcPr>
          <w:p>
            <w:pPr>
              <w:spacing w:after="0"/>
              <w:rPr>
                <w:sz w:val="21"/>
                <w:szCs w:val="21"/>
                <w:color w:val="auto"/>
              </w:rPr>
            </w:pPr>
          </w:p>
        </w:tc>
      </w:tr>
      <w:tr>
        <w:trPr>
          <w:trHeight w:val="237"/>
        </w:trPr>
        <w:tc>
          <w:tcPr>
            <w:tcW w:w="4740" w:type="dxa"/>
            <w:vAlign w:val="bottom"/>
          </w:tcPr>
          <w:p>
            <w:pPr>
              <w:ind w:left="120"/>
              <w:spacing w:after="0" w:line="237" w:lineRule="exact"/>
              <w:rPr>
                <w:sz w:val="20"/>
                <w:szCs w:val="20"/>
                <w:color w:val="auto"/>
              </w:rPr>
            </w:pPr>
            <w:r>
              <w:rPr>
                <w:rFonts w:ascii="Arial" w:cs="Arial" w:eastAsia="Arial" w:hAnsi="Arial"/>
                <w:sz w:val="22"/>
                <w:szCs w:val="22"/>
                <w:color w:val="auto"/>
              </w:rPr>
              <w:t>Total</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w w:val="86"/>
              </w:rPr>
              <w:t>$ 56,388</w:t>
            </w:r>
          </w:p>
        </w:tc>
        <w:tc>
          <w:tcPr>
            <w:tcW w:w="6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68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u w:val="single" w:color="auto"/>
                <w:color w:val="auto"/>
                <w:w w:val="82"/>
              </w:rPr>
              <w:t>$</w:t>
            </w:r>
            <w:r>
              <w:rPr>
                <w:rFonts w:ascii="Arial" w:cs="Arial" w:eastAsia="Arial" w:hAnsi="Arial"/>
                <w:sz w:val="22"/>
                <w:szCs w:val="22"/>
                <w:color w:val="auto"/>
                <w:w w:val="82"/>
              </w:rPr>
              <w:t>42,225</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 Company did not identify any indicators of impairment during the first three months of fiscal year 2022 or 2021, thus there were no impairment charges in the first three months of fiscal year 2022 or 2021.</w:t>
      </w:r>
    </w:p>
    <w:p>
      <w:pPr>
        <w:spacing w:after="0" w:line="20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8"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1" w:name="page12"/>
    <w:bookmarkEnd w:id="11"/>
    <w:p>
      <w:pPr>
        <w:ind w:right="20"/>
        <w:spacing w:after="0" w:line="250" w:lineRule="auto"/>
        <w:rPr>
          <w:sz w:val="20"/>
          <w:szCs w:val="20"/>
          <w:color w:val="auto"/>
        </w:rPr>
      </w:pPr>
      <w:r>
        <w:rPr>
          <w:rFonts w:ascii="Arial" w:cs="Arial" w:eastAsia="Arial" w:hAnsi="Arial"/>
          <w:sz w:val="22"/>
          <w:szCs w:val="22"/>
          <w:color w:val="auto"/>
        </w:rPr>
        <w:t>temporary, then a charge to earnings is recorded in the Consolidated Condensed Statements of Operations and a new cost basis in the investment is established.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23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On November 18, 2021, the Company ceased operation of its refined coal business as tax credits could no longer be earned on its operation. Beginning in the third quarter of fiscal year 2021, the results of the operation of the refined coal business have been recognized in discontinued operations. Prior period amounts have been reclassified to conform with discontinued operations reporting.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In November 2021, the FASB issued ASU 2021-10, “Government Assistance (Topic 832): Disclosures by Business Entities about Government Assistance”, which increases the transparency of government assistance received by businesses by expanding the disclosure requirements for annual reporting periods. The Company will be required to adopt this update for the fiscal year ending January 31, 2023. The Company will provide necessary disclosures required related to government assistance received in the annual reporting for the year ending January 31, 2023.</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The following tables shows disaggregated revenue by product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2280" w:type="dxa"/>
            <w:vAlign w:val="bottom"/>
            <w:gridSpan w:val="11"/>
          </w:tcPr>
          <w:p>
            <w:pPr>
              <w:ind w:left="100"/>
              <w:spacing w:after="0"/>
              <w:rPr>
                <w:sz w:val="20"/>
                <w:szCs w:val="20"/>
                <w:color w:val="auto"/>
              </w:rPr>
            </w:pPr>
            <w:r>
              <w:rPr>
                <w:rFonts w:ascii="Arial" w:cs="Arial" w:eastAsia="Arial" w:hAnsi="Arial"/>
                <w:sz w:val="22"/>
                <w:szCs w:val="22"/>
                <w:b w:val="1"/>
                <w:bCs w:val="1"/>
                <w:color w:val="auto"/>
                <w:w w:val="99"/>
              </w:rPr>
              <w:t>Three Months Ended</w:t>
            </w:r>
          </w:p>
        </w:tc>
      </w:tr>
      <w:tr>
        <w:trPr>
          <w:trHeight w:val="243"/>
        </w:trPr>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gridSpan w:val="8"/>
          </w:tcPr>
          <w:p>
            <w:pPr>
              <w:ind w:left="80"/>
              <w:spacing w:after="0" w:line="243" w:lineRule="exact"/>
              <w:rPr>
                <w:sz w:val="20"/>
                <w:szCs w:val="20"/>
                <w:color w:val="auto"/>
              </w:rPr>
            </w:pPr>
            <w:r>
              <w:rPr>
                <w:rFonts w:ascii="Arial" w:cs="Arial" w:eastAsia="Arial" w:hAnsi="Arial"/>
                <w:sz w:val="22"/>
                <w:szCs w:val="22"/>
                <w:b w:val="1"/>
                <w:bCs w:val="1"/>
                <w:color w:val="auto"/>
              </w:rPr>
              <w:t>April 30,</w:t>
            </w:r>
          </w:p>
        </w:tc>
      </w:tr>
      <w:tr>
        <w:trPr>
          <w:trHeight w:val="230"/>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92"/>
              <w:spacing w:after="0" w:line="230" w:lineRule="exact"/>
              <w:rPr>
                <w:sz w:val="20"/>
                <w:szCs w:val="20"/>
                <w:color w:val="auto"/>
              </w:rPr>
            </w:pPr>
            <w:r>
              <w:rPr>
                <w:rFonts w:ascii="Arial" w:cs="Arial" w:eastAsia="Arial" w:hAnsi="Arial"/>
                <w:sz w:val="22"/>
                <w:szCs w:val="22"/>
                <w:b w:val="1"/>
                <w:bCs w:val="1"/>
                <w:color w:val="auto"/>
                <w:w w:val="98"/>
              </w:rPr>
              <w:t>2022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6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Sales of products, continuing operations</w:t>
            </w: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Ethanol</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8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w w:val="85"/>
              </w:rPr>
              <w:t>146,462</w:t>
            </w: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85"/>
              </w:rPr>
              <w:t>126,069</w:t>
            </w:r>
          </w:p>
        </w:tc>
        <w:tc>
          <w:tcPr>
            <w:tcW w:w="80" w:type="dxa"/>
            <w:vAlign w:val="bottom"/>
          </w:tcPr>
          <w:p>
            <w:pPr>
              <w:spacing w:after="0"/>
              <w:rPr>
                <w:sz w:val="21"/>
                <w:szCs w:val="21"/>
                <w:color w:val="auto"/>
              </w:rPr>
            </w:pPr>
          </w:p>
        </w:tc>
      </w:tr>
      <w:tr>
        <w:trPr>
          <w:trHeight w:val="243"/>
        </w:trPr>
        <w:tc>
          <w:tcPr>
            <w:tcW w:w="6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Dried distillers grains</w:t>
            </w:r>
          </w:p>
        </w:tc>
        <w:tc>
          <w:tcPr>
            <w:tcW w:w="120" w:type="dxa"/>
            <w:vAlign w:val="bottom"/>
            <w:shd w:val="clear" w:color="auto" w:fill="E5FFFF"/>
          </w:tcPr>
          <w:p>
            <w:pPr>
              <w:spacing w:after="0"/>
              <w:rPr>
                <w:sz w:val="21"/>
                <w:szCs w:val="21"/>
                <w:color w:val="auto"/>
              </w:rPr>
            </w:pPr>
          </w:p>
        </w:tc>
        <w:tc>
          <w:tcPr>
            <w:tcW w:w="1280" w:type="dxa"/>
            <w:vAlign w:val="bottom"/>
            <w:gridSpan w:val="4"/>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31,897</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31,119</w:t>
            </w:r>
          </w:p>
        </w:tc>
        <w:tc>
          <w:tcPr>
            <w:tcW w:w="80" w:type="dxa"/>
            <w:vAlign w:val="bottom"/>
            <w:shd w:val="clear" w:color="auto" w:fill="E5FFFF"/>
          </w:tcPr>
          <w:p>
            <w:pPr>
              <w:spacing w:after="0"/>
              <w:rPr>
                <w:sz w:val="21"/>
                <w:szCs w:val="2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Non-food grade corn oil</w:t>
            </w:r>
          </w:p>
        </w:tc>
        <w:tc>
          <w:tcPr>
            <w:tcW w:w="120" w:type="dxa"/>
            <w:vAlign w:val="bottom"/>
          </w:tcPr>
          <w:p>
            <w:pPr>
              <w:spacing w:after="0"/>
              <w:rPr>
                <w:sz w:val="21"/>
                <w:szCs w:val="21"/>
                <w:color w:val="auto"/>
              </w:rPr>
            </w:pPr>
          </w:p>
        </w:tc>
        <w:tc>
          <w:tcPr>
            <w:tcW w:w="128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11,102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5,594</w:t>
            </w:r>
          </w:p>
        </w:tc>
        <w:tc>
          <w:tcPr>
            <w:tcW w:w="80" w:type="dxa"/>
            <w:vAlign w:val="bottom"/>
          </w:tcPr>
          <w:p>
            <w:pPr>
              <w:spacing w:after="0"/>
              <w:rPr>
                <w:sz w:val="21"/>
                <w:szCs w:val="21"/>
                <w:color w:val="auto"/>
              </w:rPr>
            </w:pPr>
          </w:p>
        </w:tc>
      </w:tr>
      <w:tr>
        <w:trPr>
          <w:trHeight w:val="243"/>
        </w:trPr>
        <w:tc>
          <w:tcPr>
            <w:tcW w:w="6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Modified distillers grains</w:t>
            </w:r>
          </w:p>
        </w:tc>
        <w:tc>
          <w:tcPr>
            <w:tcW w:w="120" w:type="dxa"/>
            <w:vAlign w:val="bottom"/>
            <w:shd w:val="clear" w:color="auto" w:fill="E5FFFF"/>
          </w:tcPr>
          <w:p>
            <w:pPr>
              <w:spacing w:after="0"/>
              <w:rPr>
                <w:sz w:val="21"/>
                <w:szCs w:val="21"/>
                <w:color w:val="auto"/>
              </w:rPr>
            </w:pPr>
          </w:p>
        </w:tc>
        <w:tc>
          <w:tcPr>
            <w:tcW w:w="1280" w:type="dxa"/>
            <w:vAlign w:val="bottom"/>
            <w:gridSpan w:val="4"/>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4,355</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2,293</w:t>
            </w:r>
          </w:p>
        </w:tc>
        <w:tc>
          <w:tcPr>
            <w:tcW w:w="80" w:type="dxa"/>
            <w:vAlign w:val="bottom"/>
            <w:shd w:val="clear" w:color="auto" w:fill="E5FFFF"/>
          </w:tcPr>
          <w:p>
            <w:pPr>
              <w:spacing w:after="0"/>
              <w:rPr>
                <w:sz w:val="21"/>
                <w:szCs w:val="2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Derivative financial instruments gains (losses)</w:t>
            </w:r>
          </w:p>
        </w:tc>
        <w:tc>
          <w:tcPr>
            <w:tcW w:w="120" w:type="dxa"/>
            <w:vAlign w:val="bottom"/>
          </w:tcPr>
          <w:p>
            <w:pPr>
              <w:spacing w:after="0"/>
              <w:rPr>
                <w:sz w:val="21"/>
                <w:szCs w:val="21"/>
                <w:color w:val="auto"/>
              </w:rPr>
            </w:pPr>
          </w:p>
        </w:tc>
        <w:tc>
          <w:tcPr>
            <w:tcW w:w="128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322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7"/>
              </w:rPr>
              <w:t>(1,126)</w:t>
            </w:r>
          </w:p>
        </w:tc>
        <w:tc>
          <w:tcPr>
            <w:tcW w:w="80" w:type="dxa"/>
            <w:vAlign w:val="bottom"/>
          </w:tcPr>
          <w:p>
            <w:pPr>
              <w:spacing w:after="0"/>
              <w:rPr>
                <w:sz w:val="21"/>
                <w:szCs w:val="21"/>
                <w:color w:val="auto"/>
              </w:rPr>
            </w:pPr>
          </w:p>
        </w:tc>
      </w:tr>
      <w:tr>
        <w:trPr>
          <w:trHeight w:val="243"/>
        </w:trPr>
        <w:tc>
          <w:tcPr>
            <w:tcW w:w="6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Other</w:t>
            </w:r>
          </w:p>
        </w:tc>
        <w:tc>
          <w:tcPr>
            <w:tcW w:w="120" w:type="dxa"/>
            <w:vAlign w:val="bottom"/>
            <w:shd w:val="clear" w:color="auto" w:fill="E5FFFF"/>
          </w:tcPr>
          <w:p>
            <w:pPr>
              <w:spacing w:after="0"/>
              <w:rPr>
                <w:sz w:val="21"/>
                <w:szCs w:val="21"/>
                <w:color w:val="auto"/>
              </w:rPr>
            </w:pPr>
          </w:p>
        </w:tc>
        <w:tc>
          <w:tcPr>
            <w:tcW w:w="1280" w:type="dxa"/>
            <w:vAlign w:val="bottom"/>
            <w:gridSpan w:val="4"/>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90</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93</w:t>
            </w:r>
          </w:p>
        </w:tc>
        <w:tc>
          <w:tcPr>
            <w:tcW w:w="80" w:type="dxa"/>
            <w:vAlign w:val="bottom"/>
            <w:shd w:val="clear" w:color="auto" w:fill="E5FFFF"/>
          </w:tcPr>
          <w:p>
            <w:pPr>
              <w:spacing w:after="0"/>
              <w:rPr>
                <w:sz w:val="21"/>
                <w:szCs w:val="21"/>
                <w:color w:val="auto"/>
              </w:rPr>
            </w:pPr>
          </w:p>
        </w:tc>
      </w:tr>
      <w:tr>
        <w:trPr>
          <w:trHeight w:val="236"/>
        </w:trPr>
        <w:tc>
          <w:tcPr>
            <w:tcW w:w="6700" w:type="dxa"/>
            <w:vAlign w:val="bottom"/>
          </w:tcPr>
          <w:p>
            <w:pPr>
              <w:ind w:left="120"/>
              <w:spacing w:after="0" w:line="237" w:lineRule="exact"/>
              <w:rPr>
                <w:sz w:val="20"/>
                <w:szCs w:val="20"/>
                <w:color w:val="auto"/>
              </w:rPr>
            </w:pPr>
            <w:r>
              <w:rPr>
                <w:rFonts w:ascii="Arial" w:cs="Arial" w:eastAsia="Arial" w:hAnsi="Arial"/>
                <w:sz w:val="22"/>
                <w:szCs w:val="22"/>
                <w:color w:val="auto"/>
              </w:rPr>
              <w:t>Total</w:t>
            </w:r>
          </w:p>
        </w:tc>
        <w:tc>
          <w:tcPr>
            <w:tcW w:w="1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u w:val="single" w:color="auto"/>
                <w:color w:val="auto"/>
                <w:w w:val="81"/>
              </w:rPr>
              <w:t>$</w:t>
            </w:r>
          </w:p>
        </w:tc>
        <w:tc>
          <w:tcPr>
            <w:tcW w:w="70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Arial" w:cs="Arial" w:eastAsia="Arial" w:hAnsi="Arial"/>
                <w:sz w:val="22"/>
                <w:szCs w:val="22"/>
                <w:color w:val="auto"/>
                <w:w w:val="85"/>
              </w:rPr>
              <w:t>194,228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Arial" w:cs="Arial" w:eastAsia="Arial" w:hAnsi="Arial"/>
                <w:sz w:val="22"/>
                <w:szCs w:val="22"/>
                <w:color w:val="auto"/>
                <w:w w:val="85"/>
              </w:rPr>
              <w:t>164,042</w:t>
            </w:r>
          </w:p>
        </w:tc>
        <w:tc>
          <w:tcPr>
            <w:tcW w:w="8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6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6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Sales of products, discontinued operations:</w:t>
            </w: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83"/>
        </w:trPr>
        <w:tc>
          <w:tcPr>
            <w:tcW w:w="6700" w:type="dxa"/>
            <w:vAlign w:val="bottom"/>
          </w:tcPr>
          <w:p>
            <w:pPr>
              <w:ind w:left="120"/>
              <w:spacing w:after="0" w:line="283" w:lineRule="exact"/>
              <w:rPr>
                <w:sz w:val="20"/>
                <w:szCs w:val="20"/>
                <w:color w:val="auto"/>
              </w:rPr>
            </w:pPr>
            <w:r>
              <w:rPr>
                <w:rFonts w:ascii="Arial" w:cs="Arial" w:eastAsia="Arial" w:hAnsi="Arial"/>
                <w:sz w:val="20"/>
                <w:szCs w:val="20"/>
                <w:color w:val="auto"/>
              </w:rPr>
              <w:t>Refined coal</w:t>
            </w:r>
            <w:r>
              <w:rPr>
                <w:rFonts w:ascii="Arial" w:cs="Arial" w:eastAsia="Arial" w:hAnsi="Arial"/>
                <w:sz w:val="32"/>
                <w:szCs w:val="3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gridSpan w:val="4"/>
          </w:tcPr>
          <w:p>
            <w:pPr>
              <w:jc w:val="right"/>
              <w:ind w:right="580"/>
              <w:spacing w:after="0"/>
              <w:rPr>
                <w:sz w:val="20"/>
                <w:szCs w:val="20"/>
                <w:color w:val="auto"/>
              </w:rPr>
            </w:pPr>
            <w:r>
              <w:rPr>
                <w:rFonts w:ascii="Arial" w:cs="Arial" w:eastAsia="Arial" w:hAnsi="Arial"/>
                <w:sz w:val="22"/>
                <w:szCs w:val="22"/>
                <w:color w:val="auto"/>
              </w:rPr>
              <w:t>-</w:t>
            </w: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62</w:t>
            </w:r>
          </w:p>
        </w:tc>
        <w:tc>
          <w:tcPr>
            <w:tcW w:w="80" w:type="dxa"/>
            <w:vAlign w:val="bottom"/>
          </w:tcPr>
          <w:p>
            <w:pPr>
              <w:spacing w:after="0"/>
              <w:rPr>
                <w:sz w:val="24"/>
                <w:szCs w:val="24"/>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6" w:lineRule="exact"/>
        <w:rPr>
          <w:sz w:val="20"/>
          <w:szCs w:val="20"/>
          <w:color w:val="auto"/>
        </w:rPr>
      </w:pPr>
    </w:p>
    <w:p>
      <w:pPr>
        <w:ind w:right="40" w:firstLine="656"/>
        <w:spacing w:after="0" w:line="196" w:lineRule="auto"/>
        <w:tabs>
          <w:tab w:leader="none" w:pos="783" w:val="left"/>
        </w:tabs>
        <w:numPr>
          <w:ilvl w:val="0"/>
          <w:numId w:val="3"/>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At April 30, 2022,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60" w:type="dxa"/>
            <w:vAlign w:val="bottom"/>
          </w:tcPr>
          <w:p>
            <w:pPr>
              <w:spacing w:after="0"/>
              <w:rPr>
                <w:sz w:val="21"/>
                <w:szCs w:val="21"/>
                <w:color w:val="auto"/>
              </w:rPr>
            </w:pPr>
          </w:p>
        </w:tc>
        <w:tc>
          <w:tcPr>
            <w:tcW w:w="3640" w:type="dxa"/>
            <w:vAlign w:val="bottom"/>
            <w:gridSpan w:val="9"/>
          </w:tcPr>
          <w:p>
            <w:pPr>
              <w:jc w:val="center"/>
              <w:ind w:left="1132"/>
              <w:spacing w:after="0"/>
              <w:rPr>
                <w:sz w:val="20"/>
                <w:szCs w:val="20"/>
                <w:color w:val="auto"/>
              </w:rPr>
            </w:pPr>
            <w:r>
              <w:rPr>
                <w:rFonts w:ascii="Arial" w:cs="Arial" w:eastAsia="Arial" w:hAnsi="Arial"/>
                <w:sz w:val="22"/>
                <w:szCs w:val="22"/>
                <w:b w:val="1"/>
                <w:bCs w:val="1"/>
                <w:color w:val="auto"/>
                <w:w w:val="90"/>
              </w:rPr>
              <w:t>Three Months Ended</w:t>
            </w:r>
          </w:p>
        </w:tc>
        <w:tc>
          <w:tcPr>
            <w:tcW w:w="394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left="132"/>
              <w:spacing w:after="0" w:line="243" w:lineRule="exact"/>
              <w:rPr>
                <w:sz w:val="20"/>
                <w:szCs w:val="20"/>
                <w:color w:val="auto"/>
              </w:rPr>
            </w:pPr>
            <w:r>
              <w:rPr>
                <w:rFonts w:ascii="Arial" w:cs="Arial" w:eastAsia="Arial" w:hAnsi="Arial"/>
                <w:sz w:val="22"/>
                <w:szCs w:val="22"/>
                <w:b w:val="1"/>
                <w:bCs w:val="1"/>
                <w:color w:val="auto"/>
                <w:w w:val="94"/>
              </w:rPr>
              <w:t>April 30,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230"/>
        </w:trPr>
        <w:tc>
          <w:tcPr>
            <w:tcW w:w="3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line="230" w:lineRule="exact"/>
              <w:rPr>
                <w:sz w:val="20"/>
                <w:szCs w:val="20"/>
                <w:color w:val="auto"/>
              </w:rPr>
            </w:pPr>
            <w:r>
              <w:rPr>
                <w:rFonts w:ascii="Arial" w:cs="Arial" w:eastAsia="Arial" w:hAnsi="Arial"/>
                <w:sz w:val="22"/>
                <w:szCs w:val="22"/>
                <w:b w:val="1"/>
                <w:bCs w:val="1"/>
                <w:color w:val="auto"/>
                <w:w w:val="85"/>
              </w:rPr>
              <w:t>2022</w:t>
            </w:r>
          </w:p>
        </w:tc>
        <w:tc>
          <w:tcPr>
            <w:tcW w:w="600" w:type="dxa"/>
            <w:vAlign w:val="bottom"/>
          </w:tcPr>
          <w:p>
            <w:pPr>
              <w:spacing w:after="0"/>
              <w:rPr>
                <w:sz w:val="19"/>
                <w:szCs w:val="19"/>
                <w:color w:val="auto"/>
              </w:rPr>
            </w:pPr>
          </w:p>
        </w:tc>
        <w:tc>
          <w:tcPr>
            <w:tcW w:w="56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63"/>
        </w:trPr>
        <w:tc>
          <w:tcPr>
            <w:tcW w:w="3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43"/>
        </w:trPr>
        <w:tc>
          <w:tcPr>
            <w:tcW w:w="36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Operating lease expense</w:t>
            </w:r>
          </w:p>
        </w:tc>
        <w:tc>
          <w:tcPr>
            <w:tcW w:w="1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3"/>
            <w:shd w:val="clear" w:color="auto" w:fill="E5FFFF"/>
          </w:tcPr>
          <w:p>
            <w:pPr>
              <w:jc w:val="right"/>
              <w:ind w:right="600"/>
              <w:spacing w:after="0" w:line="243" w:lineRule="exact"/>
              <w:rPr>
                <w:sz w:val="20"/>
                <w:szCs w:val="20"/>
                <w:color w:val="auto"/>
              </w:rPr>
            </w:pPr>
            <w:r>
              <w:rPr>
                <w:rFonts w:ascii="Arial" w:cs="Arial" w:eastAsia="Arial" w:hAnsi="Arial"/>
                <w:sz w:val="22"/>
                <w:szCs w:val="22"/>
                <w:color w:val="auto"/>
              </w:rPr>
              <w:t>1,610</w:t>
            </w:r>
          </w:p>
        </w:tc>
        <w:tc>
          <w:tcPr>
            <w:tcW w:w="720" w:type="dxa"/>
            <w:vAlign w:val="bottom"/>
            <w:tcBorders>
              <w:right w:val="single" w:sz="8" w:color="E5FFFF"/>
            </w:tcBorders>
            <w:gridSpan w:val="4"/>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5"/>
              </w:rPr>
              <w:t>$1,550</w:t>
            </w:r>
          </w:p>
        </w:tc>
        <w:tc>
          <w:tcPr>
            <w:tcW w:w="3940" w:type="dxa"/>
            <w:vAlign w:val="bottom"/>
          </w:tcPr>
          <w:p>
            <w:pPr>
              <w:spacing w:after="0"/>
              <w:rPr>
                <w:sz w:val="21"/>
                <w:szCs w:val="21"/>
                <w:color w:val="auto"/>
              </w:rPr>
            </w:pPr>
          </w:p>
        </w:tc>
      </w:tr>
      <w:tr>
        <w:trPr>
          <w:trHeight w:val="243"/>
        </w:trPr>
        <w:tc>
          <w:tcPr>
            <w:tcW w:w="3660" w:type="dxa"/>
            <w:vAlign w:val="bottom"/>
          </w:tcPr>
          <w:p>
            <w:pPr>
              <w:ind w:left="120"/>
              <w:spacing w:after="0" w:line="243" w:lineRule="exact"/>
              <w:rPr>
                <w:sz w:val="20"/>
                <w:szCs w:val="20"/>
                <w:color w:val="auto"/>
              </w:rPr>
            </w:pPr>
            <w:r>
              <w:rPr>
                <w:rFonts w:ascii="Arial" w:cs="Arial" w:eastAsia="Arial" w:hAnsi="Arial"/>
                <w:sz w:val="22"/>
                <w:szCs w:val="22"/>
                <w:color w:val="auto"/>
              </w:rPr>
              <w:t>Variable lease expense</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394</w:t>
            </w:r>
          </w:p>
        </w:tc>
        <w:tc>
          <w:tcPr>
            <w:tcW w:w="720" w:type="dxa"/>
            <w:vAlign w:val="bottom"/>
            <w:gridSpan w:val="4"/>
          </w:tcPr>
          <w:p>
            <w:pPr>
              <w:jc w:val="right"/>
              <w:ind w:right="60"/>
              <w:spacing w:after="0" w:line="243" w:lineRule="exact"/>
              <w:rPr>
                <w:sz w:val="20"/>
                <w:szCs w:val="20"/>
                <w:color w:val="auto"/>
              </w:rPr>
            </w:pPr>
            <w:r>
              <w:rPr>
                <w:rFonts w:ascii="Arial" w:cs="Arial" w:eastAsia="Arial" w:hAnsi="Arial"/>
                <w:sz w:val="22"/>
                <w:szCs w:val="22"/>
                <w:color w:val="auto"/>
              </w:rPr>
              <w:t>44</w:t>
            </w:r>
          </w:p>
        </w:tc>
        <w:tc>
          <w:tcPr>
            <w:tcW w:w="3940" w:type="dxa"/>
            <w:vAlign w:val="bottom"/>
          </w:tcPr>
          <w:p>
            <w:pPr>
              <w:spacing w:after="0"/>
              <w:rPr>
                <w:sz w:val="21"/>
                <w:szCs w:val="21"/>
                <w:color w:val="auto"/>
              </w:rPr>
            </w:pPr>
          </w:p>
        </w:tc>
      </w:tr>
      <w:tr>
        <w:trPr>
          <w:trHeight w:val="236"/>
        </w:trPr>
        <w:tc>
          <w:tcPr>
            <w:tcW w:w="3660" w:type="dxa"/>
            <w:vAlign w:val="bottom"/>
            <w:tcBorders>
              <w:top w:val="single" w:sz="8" w:color="E5FFFF"/>
              <w:bottom w:val="single" w:sz="8" w:color="E5FFFF"/>
            </w:tcBorders>
            <w:shd w:val="clear" w:color="auto" w:fill="E5FFFF"/>
          </w:tcPr>
          <w:p>
            <w:pPr>
              <w:ind w:left="120"/>
              <w:spacing w:after="0" w:line="237" w:lineRule="exact"/>
              <w:rPr>
                <w:sz w:val="20"/>
                <w:szCs w:val="20"/>
                <w:color w:val="auto"/>
              </w:rPr>
            </w:pPr>
            <w:r>
              <w:rPr>
                <w:rFonts w:ascii="Arial" w:cs="Arial" w:eastAsia="Arial" w:hAnsi="Arial"/>
                <w:sz w:val="22"/>
                <w:szCs w:val="22"/>
                <w:color w:val="auto"/>
              </w:rPr>
              <w:t>Total lease expense</w:t>
            </w:r>
          </w:p>
        </w:tc>
        <w:tc>
          <w:tcPr>
            <w:tcW w:w="152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2,004</w:t>
            </w:r>
          </w:p>
        </w:tc>
        <w:tc>
          <w:tcPr>
            <w:tcW w:w="600" w:type="dxa"/>
            <w:vAlign w:val="bottom"/>
            <w:tcBorders>
              <w:top w:val="single" w:sz="8" w:color="E5FFFF"/>
              <w:bottom w:val="single" w:sz="8" w:color="E5FFFF"/>
            </w:tcBorders>
            <w:shd w:val="clear" w:color="auto" w:fill="E5FFFF"/>
          </w:tcPr>
          <w:p>
            <w:pPr>
              <w:spacing w:after="0"/>
              <w:rPr>
                <w:sz w:val="20"/>
                <w:szCs w:val="20"/>
                <w:color w:val="auto"/>
              </w:rPr>
            </w:pP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660" w:type="dxa"/>
            <w:vAlign w:val="bottom"/>
            <w:tcBorders>
              <w:top w:val="single" w:sz="8" w:color="auto"/>
              <w:bottom w:val="single" w:sz="8" w:color="auto"/>
              <w:right w:val="single" w:sz="8" w:color="E5FFFF"/>
            </w:tcBorders>
            <w:gridSpan w:val="3"/>
            <w:shd w:val="clear" w:color="auto" w:fill="E5FFFF"/>
          </w:tcPr>
          <w:p>
            <w:pPr>
              <w:jc w:val="right"/>
              <w:ind w:right="60"/>
              <w:spacing w:after="0" w:line="237"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1,594</w:t>
            </w:r>
          </w:p>
        </w:tc>
        <w:tc>
          <w:tcPr>
            <w:tcW w:w="394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3"/>
        </w:trPr>
        <w:tc>
          <w:tcPr>
            <w:tcW w:w="3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13</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40"/>
        </w:trPr>
        <w:tc>
          <w:tcPr>
            <w:tcW w:w="3660" w:type="dxa"/>
            <w:vAlign w:val="bottom"/>
            <w:tcBorders>
              <w:bottom w:val="single" w:sz="8" w:color="C0C0C0"/>
            </w:tcBorders>
          </w:tcPr>
          <w:p>
            <w:pPr>
              <w:spacing w:after="0"/>
              <w:rPr>
                <w:sz w:val="20"/>
                <w:szCs w:val="20"/>
                <w:color w:val="auto"/>
              </w:rPr>
            </w:pPr>
          </w:p>
        </w:tc>
        <w:tc>
          <w:tcPr>
            <w:tcW w:w="15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3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April 30, 2022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gridSpan w:val="4"/>
          </w:tcPr>
          <w:p>
            <w:pPr>
              <w:ind w:left="460"/>
              <w:spacing w:after="0"/>
              <w:rPr>
                <w:sz w:val="20"/>
                <w:szCs w:val="20"/>
                <w:color w:val="auto"/>
              </w:rPr>
            </w:pPr>
            <w:r>
              <w:rPr>
                <w:rFonts w:ascii="Arial" w:cs="Arial" w:eastAsia="Arial" w:hAnsi="Arial"/>
                <w:sz w:val="22"/>
                <w:szCs w:val="22"/>
                <w:b w:val="1"/>
                <w:bCs w:val="1"/>
                <w:color w:val="auto"/>
              </w:rPr>
              <w:t>Minimum</w:t>
            </w:r>
          </w:p>
        </w:tc>
      </w:tr>
      <w:tr>
        <w:trPr>
          <w:trHeight w:val="230"/>
        </w:trPr>
        <w:tc>
          <w:tcPr>
            <w:tcW w:w="120" w:type="dxa"/>
            <w:vAlign w:val="bottom"/>
          </w:tcPr>
          <w:p>
            <w:pPr>
              <w:spacing w:after="0"/>
              <w:rPr>
                <w:sz w:val="19"/>
                <w:szCs w:val="19"/>
                <w:color w:val="auto"/>
              </w:rPr>
            </w:pPr>
          </w:p>
        </w:tc>
        <w:tc>
          <w:tcPr>
            <w:tcW w:w="28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Years Ended January 31,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w w:val="90"/>
              </w:rPr>
              <w:t>Rentals</w:t>
            </w:r>
          </w:p>
        </w:tc>
      </w:tr>
      <w:tr>
        <w:trPr>
          <w:trHeight w:val="264"/>
        </w:trPr>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120" w:type="dxa"/>
            <w:vAlign w:val="bottom"/>
            <w:shd w:val="clear" w:color="auto" w:fill="E5FFFF"/>
          </w:tcPr>
          <w:p>
            <w:pPr>
              <w:spacing w:after="0"/>
              <w:rPr>
                <w:sz w:val="21"/>
                <w:szCs w:val="21"/>
                <w:color w:val="auto"/>
              </w:rPr>
            </w:pPr>
          </w:p>
        </w:tc>
        <w:tc>
          <w:tcPr>
            <w:tcW w:w="2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2023</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3,839</w:t>
            </w: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2024</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4,636</w:t>
            </w: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2025</w:t>
            </w:r>
          </w:p>
        </w:tc>
        <w:tc>
          <w:tcPr>
            <w:tcW w:w="5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3,188</w:t>
            </w: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2026</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1,015</w:t>
            </w: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2027</w:t>
            </w:r>
          </w:p>
        </w:tc>
        <w:tc>
          <w:tcPr>
            <w:tcW w:w="5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951</w:t>
            </w:r>
          </w:p>
        </w:tc>
      </w:tr>
      <w:tr>
        <w:trPr>
          <w:trHeight w:val="243"/>
        </w:trPr>
        <w:tc>
          <w:tcPr>
            <w:tcW w:w="120" w:type="dxa"/>
            <w:vAlign w:val="bottom"/>
          </w:tcPr>
          <w:p>
            <w:pPr>
              <w:spacing w:after="0"/>
              <w:rPr>
                <w:sz w:val="21"/>
                <w:szCs w:val="21"/>
                <w:color w:val="auto"/>
              </w:rPr>
            </w:pPr>
          </w:p>
        </w:tc>
        <w:tc>
          <w:tcPr>
            <w:tcW w:w="2880" w:type="dxa"/>
            <w:vAlign w:val="bottom"/>
            <w:gridSpan w:val="2"/>
          </w:tcPr>
          <w:p>
            <w:pPr>
              <w:spacing w:after="0" w:line="243" w:lineRule="exact"/>
              <w:rPr>
                <w:sz w:val="20"/>
                <w:szCs w:val="20"/>
                <w:color w:val="auto"/>
              </w:rPr>
            </w:pPr>
            <w:r>
              <w:rPr>
                <w:rFonts w:ascii="Arial" w:cs="Arial" w:eastAsia="Arial" w:hAnsi="Arial"/>
                <w:sz w:val="22"/>
                <w:szCs w:val="22"/>
                <w:color w:val="auto"/>
              </w:rPr>
              <w:t>Thereafter</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510</w:t>
            </w:r>
          </w:p>
        </w:tc>
      </w:tr>
      <w:tr>
        <w:trPr>
          <w:trHeight w:val="237"/>
        </w:trPr>
        <w:tc>
          <w:tcPr>
            <w:tcW w:w="120" w:type="dxa"/>
            <w:vAlign w:val="bottom"/>
            <w:tcBorders>
              <w:top w:val="single" w:sz="8" w:color="E5FFFF"/>
            </w:tcBorders>
            <w:shd w:val="clear" w:color="auto" w:fill="E5FFFF"/>
          </w:tcPr>
          <w:p>
            <w:pPr>
              <w:spacing w:after="0"/>
              <w:rPr>
                <w:sz w:val="20"/>
                <w:szCs w:val="20"/>
                <w:color w:val="auto"/>
              </w:rPr>
            </w:pPr>
          </w:p>
        </w:tc>
        <w:tc>
          <w:tcPr>
            <w:tcW w:w="288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5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14,139</w:t>
            </w: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2880" w:type="dxa"/>
            <w:vAlign w:val="bottom"/>
            <w:gridSpan w:val="2"/>
          </w:tcPr>
          <w:p>
            <w:pPr>
              <w:spacing w:after="0" w:line="243" w:lineRule="exact"/>
              <w:rPr>
                <w:sz w:val="20"/>
                <w:szCs w:val="20"/>
                <w:color w:val="auto"/>
              </w:rPr>
            </w:pPr>
            <w:r>
              <w:rPr>
                <w:rFonts w:ascii="Arial" w:cs="Arial" w:eastAsia="Arial" w:hAnsi="Arial"/>
                <w:sz w:val="22"/>
                <w:szCs w:val="22"/>
                <w:color w:val="auto"/>
              </w:rPr>
              <w:t>Less: present value discount</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1,085</w:t>
            </w:r>
          </w:p>
        </w:tc>
      </w:tr>
      <w:tr>
        <w:trPr>
          <w:trHeight w:val="237"/>
        </w:trPr>
        <w:tc>
          <w:tcPr>
            <w:tcW w:w="120" w:type="dxa"/>
            <w:vAlign w:val="bottom"/>
            <w:tcBorders>
              <w:top w:val="single" w:sz="8" w:color="E5FFFF"/>
              <w:bottom w:val="single" w:sz="8" w:color="E5FFFF"/>
            </w:tcBorders>
            <w:shd w:val="clear" w:color="auto" w:fill="E5FFFF"/>
          </w:tcPr>
          <w:p>
            <w:pPr>
              <w:spacing w:after="0"/>
              <w:rPr>
                <w:sz w:val="20"/>
                <w:szCs w:val="20"/>
                <w:color w:val="auto"/>
              </w:rPr>
            </w:pPr>
          </w:p>
        </w:tc>
        <w:tc>
          <w:tcPr>
            <w:tcW w:w="288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Operating lease liabilities</w:t>
            </w:r>
          </w:p>
        </w:tc>
        <w:tc>
          <w:tcPr>
            <w:tcW w:w="58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13,054</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At April 30, 2022, the weighted average remaining lease term is 2.9 years, and the weighted average discount rate is 5.05% for the above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2022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gridSpan w:val="6"/>
          </w:tcPr>
          <w:p>
            <w:pPr>
              <w:ind w:left="460"/>
              <w:spacing w:after="0"/>
              <w:rPr>
                <w:sz w:val="20"/>
                <w:szCs w:val="20"/>
                <w:color w:val="auto"/>
              </w:rPr>
            </w:pPr>
            <w:r>
              <w:rPr>
                <w:rFonts w:ascii="Arial" w:cs="Arial" w:eastAsia="Arial" w:hAnsi="Arial"/>
                <w:sz w:val="22"/>
                <w:szCs w:val="22"/>
                <w:b w:val="1"/>
                <w:bCs w:val="1"/>
                <w:color w:val="auto"/>
              </w:rPr>
              <w:t>Minimum</w:t>
            </w:r>
          </w:p>
        </w:tc>
      </w:tr>
      <w:tr>
        <w:trPr>
          <w:trHeight w:val="230"/>
        </w:trPr>
        <w:tc>
          <w:tcPr>
            <w:tcW w:w="120" w:type="dxa"/>
            <w:vAlign w:val="bottom"/>
          </w:tcPr>
          <w:p>
            <w:pPr>
              <w:spacing w:after="0"/>
              <w:rPr>
                <w:sz w:val="19"/>
                <w:szCs w:val="19"/>
                <w:color w:val="auto"/>
              </w:rPr>
            </w:pPr>
          </w:p>
        </w:tc>
        <w:tc>
          <w:tcPr>
            <w:tcW w:w="28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Years Ended January 31,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w w:val="90"/>
              </w:rPr>
              <w:t>Rentals</w:t>
            </w:r>
          </w:p>
        </w:tc>
      </w:tr>
      <w:tr>
        <w:trPr>
          <w:trHeight w:val="263"/>
        </w:trPr>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2023</w:t>
            </w:r>
          </w:p>
        </w:tc>
        <w:tc>
          <w:tcPr>
            <w:tcW w:w="58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5,015</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2024</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3,856</w:t>
            </w:r>
          </w:p>
        </w:tc>
        <w:tc>
          <w:tcPr>
            <w:tcW w:w="20" w:type="dxa"/>
            <w:vAlign w:val="bottom"/>
          </w:tcPr>
          <w:p>
            <w:pPr>
              <w:spacing w:after="0"/>
              <w:rPr>
                <w:sz w:val="21"/>
                <w:szCs w:val="21"/>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2025</w:t>
            </w:r>
          </w:p>
        </w:tc>
        <w:tc>
          <w:tcPr>
            <w:tcW w:w="5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2,408</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2026</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235</w:t>
            </w:r>
          </w:p>
        </w:tc>
        <w:tc>
          <w:tcPr>
            <w:tcW w:w="20" w:type="dxa"/>
            <w:vAlign w:val="bottom"/>
          </w:tcPr>
          <w:p>
            <w:pPr>
              <w:spacing w:after="0"/>
              <w:rPr>
                <w:sz w:val="21"/>
                <w:szCs w:val="21"/>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2027</w:t>
            </w:r>
          </w:p>
        </w:tc>
        <w:tc>
          <w:tcPr>
            <w:tcW w:w="5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171</w:t>
            </w:r>
          </w:p>
        </w:tc>
        <w:tc>
          <w:tcPr>
            <w:tcW w:w="20" w:type="dxa"/>
            <w:vAlign w:val="bottom"/>
            <w:shd w:val="clear" w:color="auto" w:fill="E5FFFF"/>
          </w:tcPr>
          <w:p>
            <w:pPr>
              <w:spacing w:after="0"/>
              <w:rPr>
                <w:sz w:val="21"/>
                <w:szCs w:val="21"/>
                <w:color w:val="auto"/>
              </w:rPr>
            </w:pPr>
          </w:p>
        </w:tc>
      </w:tr>
      <w:tr>
        <w:trPr>
          <w:trHeight w:val="236"/>
        </w:trPr>
        <w:tc>
          <w:tcPr>
            <w:tcW w:w="120" w:type="dxa"/>
            <w:vAlign w:val="bottom"/>
          </w:tcPr>
          <w:p>
            <w:pPr>
              <w:spacing w:after="0"/>
              <w:rPr>
                <w:sz w:val="20"/>
                <w:szCs w:val="20"/>
                <w:color w:val="auto"/>
              </w:rPr>
            </w:pPr>
          </w:p>
        </w:tc>
        <w:tc>
          <w:tcPr>
            <w:tcW w:w="288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11,685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20" w:type="dxa"/>
            <w:vAlign w:val="bottom"/>
            <w:shd w:val="clear" w:color="auto" w:fill="E5FFFF"/>
          </w:tcPr>
          <w:p>
            <w:pPr>
              <w:spacing w:after="0"/>
              <w:rPr>
                <w:sz w:val="21"/>
                <w:szCs w:val="21"/>
                <w:color w:val="auto"/>
              </w:rPr>
            </w:pPr>
          </w:p>
        </w:tc>
        <w:tc>
          <w:tcPr>
            <w:tcW w:w="2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Less: present value discount</w:t>
            </w: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695</w:t>
            </w:r>
          </w:p>
        </w:tc>
        <w:tc>
          <w:tcPr>
            <w:tcW w:w="20" w:type="dxa"/>
            <w:vAlign w:val="bottom"/>
            <w:shd w:val="clear" w:color="auto" w:fill="E5FFFF"/>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2880" w:type="dxa"/>
            <w:vAlign w:val="bottom"/>
            <w:gridSpan w:val="2"/>
          </w:tcPr>
          <w:p>
            <w:pPr>
              <w:spacing w:after="0" w:line="237" w:lineRule="exact"/>
              <w:rPr>
                <w:sz w:val="20"/>
                <w:szCs w:val="20"/>
                <w:color w:val="auto"/>
              </w:rPr>
            </w:pPr>
            <w:r>
              <w:rPr>
                <w:rFonts w:ascii="Arial" w:cs="Arial" w:eastAsia="Arial" w:hAnsi="Arial"/>
                <w:sz w:val="22"/>
                <w:szCs w:val="22"/>
                <w:color w:val="auto"/>
              </w:rPr>
              <w:t>Operating lease liabilities</w:t>
            </w:r>
          </w:p>
        </w:tc>
        <w:tc>
          <w:tcPr>
            <w:tcW w:w="6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10,990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At January 31, 2022, the weighted average remaining lease term was 2.5 years, and the weighted average discount rate was 4.85%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4" w:name="page15"/>
    <w:bookmarkEnd w:id="14"/>
    <w:p>
      <w:pPr>
        <w:ind w:right="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0" w:firstLine="8"/>
        <w:spacing w:after="0" w:line="287" w:lineRule="auto"/>
        <w:tabs>
          <w:tab w:leader="none" w:pos="258" w:val="left"/>
        </w:tabs>
        <w:numPr>
          <w:ilvl w:val="0"/>
          <w:numId w:val="4"/>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2022 are summarized below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Pr>
          <w:p>
            <w:pPr>
              <w:spacing w:after="0"/>
              <w:rPr>
                <w:sz w:val="21"/>
                <w:szCs w:val="21"/>
                <w:color w:val="auto"/>
              </w:rPr>
            </w:pPr>
          </w:p>
        </w:tc>
        <w:tc>
          <w:tcPr>
            <w:tcW w:w="2120" w:type="dxa"/>
            <w:vAlign w:val="bottom"/>
            <w:gridSpan w:val="5"/>
          </w:tcPr>
          <w:p>
            <w:pPr>
              <w:jc w:val="right"/>
              <w:ind w:right="280"/>
              <w:spacing w:after="0"/>
              <w:rPr>
                <w:sz w:val="20"/>
                <w:szCs w:val="20"/>
                <w:color w:val="auto"/>
              </w:rPr>
            </w:pPr>
            <w:r>
              <w:rPr>
                <w:rFonts w:ascii="Arial" w:cs="Arial" w:eastAsia="Arial" w:hAnsi="Arial"/>
                <w:sz w:val="22"/>
                <w:szCs w:val="22"/>
                <w:b w:val="1"/>
                <w:bCs w:val="1"/>
                <w:color w:val="auto"/>
              </w:rPr>
              <w:t>Level 1</w:t>
            </w:r>
          </w:p>
        </w:tc>
        <w:tc>
          <w:tcPr>
            <w:tcW w:w="2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22"/>
                <w:szCs w:val="22"/>
                <w:b w:val="1"/>
                <w:bCs w:val="1"/>
                <w:color w:val="auto"/>
              </w:rPr>
              <w:t>Level 2</w:t>
            </w:r>
          </w:p>
        </w:tc>
        <w:tc>
          <w:tcPr>
            <w:tcW w:w="960" w:type="dxa"/>
            <w:vAlign w:val="bottom"/>
            <w:gridSpan w:val="4"/>
          </w:tcPr>
          <w:p>
            <w:pPr>
              <w:spacing w:after="0"/>
              <w:rPr>
                <w:sz w:val="20"/>
                <w:szCs w:val="20"/>
                <w:color w:val="auto"/>
              </w:rPr>
            </w:pPr>
            <w:r>
              <w:rPr>
                <w:rFonts w:ascii="Arial" w:cs="Arial" w:eastAsia="Arial" w:hAnsi="Arial"/>
                <w:sz w:val="22"/>
                <w:szCs w:val="22"/>
                <w:b w:val="1"/>
                <w:bCs w:val="1"/>
                <w:color w:val="auto"/>
              </w:rPr>
              <w:t>Level 3</w:t>
            </w:r>
          </w:p>
        </w:tc>
        <w:tc>
          <w:tcPr>
            <w:tcW w:w="1060" w:type="dxa"/>
            <w:vAlign w:val="bottom"/>
            <w:gridSpan w:val="6"/>
          </w:tcPr>
          <w:p>
            <w:pPr>
              <w:spacing w:after="0"/>
              <w:rPr>
                <w:sz w:val="20"/>
                <w:szCs w:val="20"/>
                <w:color w:val="auto"/>
              </w:rPr>
            </w:pPr>
            <w:r>
              <w:rPr>
                <w:rFonts w:ascii="Arial" w:cs="Arial" w:eastAsia="Arial" w:hAnsi="Arial"/>
                <w:sz w:val="22"/>
                <w:szCs w:val="22"/>
                <w:b w:val="1"/>
                <w:bCs w:val="1"/>
                <w:color w:val="auto"/>
                <w:w w:val="98"/>
              </w:rPr>
              <w:t>Fair Value</w:t>
            </w:r>
          </w:p>
        </w:tc>
      </w:tr>
      <w:tr>
        <w:trPr>
          <w:trHeight w:val="263"/>
        </w:trPr>
        <w:tc>
          <w:tcPr>
            <w:tcW w:w="4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0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Investment in cooperative (1)</w:t>
            </w:r>
          </w:p>
        </w:tc>
        <w:tc>
          <w:tcPr>
            <w:tcW w:w="1560" w:type="dxa"/>
            <w:vAlign w:val="bottom"/>
            <w:gridSpan w:val="3"/>
            <w:shd w:val="clear" w:color="auto" w:fill="E5FFFF"/>
          </w:tcPr>
          <w:p>
            <w:pPr>
              <w:jc w:val="right"/>
              <w:ind w:right="103"/>
              <w:spacing w:after="0" w:line="243" w:lineRule="exact"/>
              <w:rPr>
                <w:sz w:val="20"/>
                <w:szCs w:val="20"/>
                <w:color w:val="auto"/>
              </w:rPr>
            </w:pPr>
            <w:r>
              <w:rPr>
                <w:rFonts w:ascii="Arial" w:cs="Arial" w:eastAsia="Arial" w:hAnsi="Arial"/>
                <w:sz w:val="22"/>
                <w:szCs w:val="22"/>
                <w:color w:val="auto"/>
              </w:rPr>
              <w:t>$</w:t>
            </w:r>
          </w:p>
        </w:tc>
        <w:tc>
          <w:tcPr>
            <w:tcW w:w="5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420" w:type="dxa"/>
            <w:vAlign w:val="bottom"/>
            <w:gridSpan w:val="2"/>
            <w:shd w:val="clear" w:color="auto" w:fill="E5FFFF"/>
          </w:tcPr>
          <w:p>
            <w:pPr>
              <w:ind w:left="280"/>
              <w:spacing w:after="0" w:line="243" w:lineRule="exact"/>
              <w:rPr>
                <w:sz w:val="20"/>
                <w:szCs w:val="20"/>
                <w:color w:val="auto"/>
              </w:rPr>
            </w:pPr>
            <w:r>
              <w:rPr>
                <w:rFonts w:ascii="Arial" w:cs="Arial" w:eastAsia="Arial" w:hAnsi="Arial"/>
                <w:sz w:val="22"/>
                <w:szCs w:val="22"/>
                <w:color w:val="auto"/>
                <w:w w:val="97"/>
              </w:rPr>
              <w:t>$</w:t>
            </w: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354</w:t>
            </w:r>
          </w:p>
        </w:tc>
        <w:tc>
          <w:tcPr>
            <w:tcW w:w="30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r>
      <w:tr>
        <w:trPr>
          <w:trHeight w:val="243"/>
        </w:trPr>
        <w:tc>
          <w:tcPr>
            <w:tcW w:w="4000" w:type="dxa"/>
            <w:vAlign w:val="bottom"/>
          </w:tcPr>
          <w:p>
            <w:pPr>
              <w:ind w:left="120"/>
              <w:spacing w:after="0" w:line="243" w:lineRule="exact"/>
              <w:rPr>
                <w:sz w:val="20"/>
                <w:szCs w:val="20"/>
                <w:color w:val="auto"/>
              </w:rPr>
            </w:pPr>
            <w:r>
              <w:rPr>
                <w:rFonts w:ascii="Arial" w:cs="Arial" w:eastAsia="Arial" w:hAnsi="Arial"/>
                <w:sz w:val="22"/>
                <w:szCs w:val="22"/>
                <w:color w:val="auto"/>
              </w:rPr>
              <w:t>Forward purchase contracts (2)</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4,432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7"/>
              </w:rPr>
              <w:t>4,432</w:t>
            </w:r>
          </w:p>
        </w:tc>
        <w:tc>
          <w:tcPr>
            <w:tcW w:w="80" w:type="dxa"/>
            <w:vAlign w:val="bottom"/>
          </w:tcPr>
          <w:p>
            <w:pPr>
              <w:spacing w:after="0"/>
              <w:rPr>
                <w:sz w:val="21"/>
                <w:szCs w:val="21"/>
                <w:color w:val="auto"/>
              </w:rPr>
            </w:pPr>
          </w:p>
        </w:tc>
      </w:tr>
      <w:tr>
        <w:trPr>
          <w:trHeight w:val="236"/>
        </w:trPr>
        <w:tc>
          <w:tcPr>
            <w:tcW w:w="4000" w:type="dxa"/>
            <w:vAlign w:val="bottom"/>
            <w:tcBorders>
              <w:top w:val="single" w:sz="8" w:color="E5FFFF"/>
              <w:bottom w:val="single" w:sz="8" w:color="E5FFFF"/>
            </w:tcBorders>
            <w:shd w:val="clear" w:color="auto" w:fill="E5FFFF"/>
          </w:tcPr>
          <w:p>
            <w:pPr>
              <w:ind w:left="120"/>
              <w:spacing w:after="0" w:line="237" w:lineRule="exact"/>
              <w:rPr>
                <w:sz w:val="20"/>
                <w:szCs w:val="20"/>
                <w:color w:val="auto"/>
              </w:rPr>
            </w:pPr>
            <w:r>
              <w:rPr>
                <w:rFonts w:ascii="Arial" w:cs="Arial" w:eastAsia="Arial" w:hAnsi="Arial"/>
                <w:sz w:val="22"/>
                <w:szCs w:val="22"/>
                <w:color w:val="auto"/>
              </w:rPr>
              <w:t>Total assets</w:t>
            </w:r>
          </w:p>
        </w:tc>
        <w:tc>
          <w:tcPr>
            <w:tcW w:w="118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c>
          <w:tcPr>
            <w:tcW w:w="300" w:type="dxa"/>
            <w:vAlign w:val="bottom"/>
            <w:tcBorders>
              <w:top w:val="single" w:sz="8" w:color="auto"/>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0"/>
                <w:szCs w:val="20"/>
                <w:color w:val="auto"/>
              </w:rPr>
            </w:pPr>
          </w:p>
        </w:tc>
        <w:tc>
          <w:tcPr>
            <w:tcW w:w="28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0"/>
              </w:rPr>
              <w:t>4,432</w:t>
            </w:r>
          </w:p>
        </w:tc>
        <w:tc>
          <w:tcPr>
            <w:tcW w:w="48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354</w:t>
            </w:r>
          </w:p>
        </w:tc>
        <w:tc>
          <w:tcPr>
            <w:tcW w:w="300" w:type="dxa"/>
            <w:vAlign w:val="bottom"/>
            <w:tcBorders>
              <w:top w:val="single" w:sz="8" w:color="E5FFFF"/>
              <w:bottom w:val="single" w:sz="8" w:color="E5FFFF"/>
            </w:tcBorders>
            <w:shd w:val="clear" w:color="auto" w:fill="E5FFFF"/>
          </w:tcPr>
          <w:p>
            <w:pPr>
              <w:spacing w:after="0"/>
              <w:rPr>
                <w:sz w:val="20"/>
                <w:szCs w:val="20"/>
                <w:color w:val="auto"/>
              </w:rPr>
            </w:pPr>
          </w:p>
        </w:tc>
        <w:tc>
          <w:tcPr>
            <w:tcW w:w="380" w:type="dxa"/>
            <w:vAlign w:val="bottom"/>
            <w:tcBorders>
              <w:top w:val="single" w:sz="8" w:color="E5FFFF"/>
              <w:bottom w:val="single" w:sz="8" w:color="E5FFFF"/>
            </w:tcBorders>
            <w:gridSpan w:val="2"/>
            <w:shd w:val="clear" w:color="auto" w:fill="E5FFFF"/>
          </w:tcPr>
          <w:p>
            <w:pPr>
              <w:spacing w:after="0"/>
              <w:rPr>
                <w:sz w:val="20"/>
                <w:szCs w:val="20"/>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7"/>
              </w:rPr>
              <w:t>4,786</w:t>
            </w: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4000" w:type="dxa"/>
            <w:vAlign w:val="bottom"/>
          </w:tcPr>
          <w:p>
            <w:pPr>
              <w:ind w:left="120"/>
              <w:spacing w:after="0"/>
              <w:rPr>
                <w:sz w:val="20"/>
                <w:szCs w:val="20"/>
                <w:color w:val="auto"/>
              </w:rPr>
            </w:pPr>
            <w:r>
              <w:rPr>
                <w:rFonts w:ascii="Arial" w:cs="Arial" w:eastAsia="Arial" w:hAnsi="Arial"/>
                <w:sz w:val="22"/>
                <w:szCs w:val="22"/>
                <w:color w:val="auto"/>
              </w:rPr>
              <w:t>Commodity futures liability (3)</w:t>
            </w:r>
          </w:p>
        </w:tc>
        <w:tc>
          <w:tcPr>
            <w:tcW w:w="1560" w:type="dxa"/>
            <w:vAlign w:val="bottom"/>
            <w:gridSpan w:val="3"/>
          </w:tcPr>
          <w:p>
            <w:pPr>
              <w:jc w:val="right"/>
              <w:ind w:right="103"/>
              <w:spacing w:after="0"/>
              <w:rPr>
                <w:sz w:val="20"/>
                <w:szCs w:val="20"/>
                <w:color w:val="auto"/>
              </w:rPr>
            </w:pPr>
            <w:r>
              <w:rPr>
                <w:rFonts w:ascii="Arial" w:cs="Arial" w:eastAsia="Arial" w:hAnsi="Arial"/>
                <w:sz w:val="22"/>
                <w:szCs w:val="22"/>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420" w:type="dxa"/>
            <w:vAlign w:val="bottom"/>
            <w:gridSpan w:val="2"/>
          </w:tcPr>
          <w:p>
            <w:pPr>
              <w:ind w:left="280"/>
              <w:spacing w:after="0"/>
              <w:rPr>
                <w:sz w:val="20"/>
                <w:szCs w:val="20"/>
                <w:color w:val="auto"/>
              </w:rPr>
            </w:pPr>
            <w:r>
              <w:rPr>
                <w:rFonts w:ascii="Arial" w:cs="Arial" w:eastAsia="Arial" w:hAnsi="Arial"/>
                <w:sz w:val="22"/>
                <w:szCs w:val="22"/>
                <w:color w:val="auto"/>
                <w:w w:val="97"/>
              </w:rPr>
              <w:t>$</w:t>
            </w:r>
          </w:p>
        </w:tc>
        <w:tc>
          <w:tcPr>
            <w:tcW w:w="520" w:type="dxa"/>
            <w:vAlign w:val="bottom"/>
          </w:tcPr>
          <w:p>
            <w:pPr>
              <w:jc w:val="right"/>
              <w:spacing w:after="0"/>
              <w:rPr>
                <w:sz w:val="20"/>
                <w:szCs w:val="20"/>
                <w:color w:val="auto"/>
              </w:rPr>
            </w:pPr>
            <w:r>
              <w:rPr>
                <w:rFonts w:ascii="Arial" w:cs="Arial" w:eastAsia="Arial" w:hAnsi="Arial"/>
                <w:sz w:val="22"/>
                <w:szCs w:val="22"/>
                <w:color w:val="auto"/>
                <w:w w:val="90"/>
              </w:rPr>
              <w:t>4,066</w:t>
            </w:r>
          </w:p>
        </w:tc>
        <w:tc>
          <w:tcPr>
            <w:tcW w:w="4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22"/>
                <w:szCs w:val="22"/>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22"/>
                <w:szCs w:val="22"/>
                <w:color w:val="auto"/>
                <w:w w:val="87"/>
              </w:rPr>
              <w:t>4,066</w:t>
            </w:r>
          </w:p>
        </w:tc>
        <w:tc>
          <w:tcPr>
            <w:tcW w:w="8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2022 are summarized below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22"/>
                <w:szCs w:val="22"/>
                <w:b w:val="1"/>
                <w:bCs w:val="1"/>
                <w:color w:val="auto"/>
                <w:w w:val="88"/>
              </w:rPr>
              <w:t>Level 1</w:t>
            </w:r>
          </w:p>
        </w:tc>
        <w:tc>
          <w:tcPr>
            <w:tcW w:w="1140" w:type="dxa"/>
            <w:vAlign w:val="bottom"/>
            <w:gridSpan w:val="4"/>
          </w:tcPr>
          <w:p>
            <w:pPr>
              <w:spacing w:after="0"/>
              <w:rPr>
                <w:sz w:val="20"/>
                <w:szCs w:val="20"/>
                <w:color w:val="auto"/>
              </w:rPr>
            </w:pPr>
            <w:r>
              <w:rPr>
                <w:rFonts w:ascii="Arial" w:cs="Arial" w:eastAsia="Arial" w:hAnsi="Arial"/>
                <w:sz w:val="22"/>
                <w:szCs w:val="22"/>
                <w:b w:val="1"/>
                <w:bCs w:val="1"/>
                <w:color w:val="auto"/>
              </w:rPr>
              <w:t>Level 2</w:t>
            </w:r>
          </w:p>
        </w:tc>
        <w:tc>
          <w:tcPr>
            <w:tcW w:w="960" w:type="dxa"/>
            <w:vAlign w:val="bottom"/>
            <w:gridSpan w:val="4"/>
          </w:tcPr>
          <w:p>
            <w:pPr>
              <w:spacing w:after="0"/>
              <w:rPr>
                <w:sz w:val="20"/>
                <w:szCs w:val="20"/>
                <w:color w:val="auto"/>
              </w:rPr>
            </w:pPr>
            <w:r>
              <w:rPr>
                <w:rFonts w:ascii="Arial" w:cs="Arial" w:eastAsia="Arial" w:hAnsi="Arial"/>
                <w:sz w:val="22"/>
                <w:szCs w:val="22"/>
                <w:b w:val="1"/>
                <w:bCs w:val="1"/>
                <w:color w:val="auto"/>
              </w:rPr>
              <w:t>Level 3</w:t>
            </w:r>
          </w:p>
        </w:tc>
        <w:tc>
          <w:tcPr>
            <w:tcW w:w="1060" w:type="dxa"/>
            <w:vAlign w:val="bottom"/>
            <w:gridSpan w:val="6"/>
          </w:tcPr>
          <w:p>
            <w:pPr>
              <w:spacing w:after="0"/>
              <w:rPr>
                <w:sz w:val="20"/>
                <w:szCs w:val="20"/>
                <w:color w:val="auto"/>
              </w:rPr>
            </w:pPr>
            <w:r>
              <w:rPr>
                <w:rFonts w:ascii="Arial" w:cs="Arial" w:eastAsia="Arial" w:hAnsi="Arial"/>
                <w:sz w:val="22"/>
                <w:szCs w:val="22"/>
                <w:b w:val="1"/>
                <w:bCs w:val="1"/>
                <w:color w:val="auto"/>
                <w:w w:val="98"/>
              </w:rPr>
              <w:t>Fair Value</w:t>
            </w:r>
          </w:p>
        </w:tc>
      </w:tr>
      <w:tr>
        <w:trPr>
          <w:trHeight w:val="263"/>
        </w:trPr>
        <w:tc>
          <w:tcPr>
            <w:tcW w:w="5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Investment in cooperative (1)</w:t>
            </w:r>
          </w:p>
        </w:tc>
        <w:tc>
          <w:tcPr>
            <w:tcW w:w="400" w:type="dxa"/>
            <w:vAlign w:val="bottom"/>
            <w:gridSpan w:val="2"/>
            <w:shd w:val="clear" w:color="auto" w:fill="E5FFFF"/>
          </w:tcPr>
          <w:p>
            <w:pPr>
              <w:jc w:val="right"/>
              <w:ind w:right="103"/>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354</w:t>
            </w:r>
          </w:p>
        </w:tc>
        <w:tc>
          <w:tcPr>
            <w:tcW w:w="30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r>
      <w:tr>
        <w:trPr>
          <w:trHeight w:val="243"/>
        </w:trPr>
        <w:tc>
          <w:tcPr>
            <w:tcW w:w="5260" w:type="dxa"/>
            <w:vAlign w:val="bottom"/>
          </w:tcPr>
          <w:p>
            <w:pPr>
              <w:ind w:left="120"/>
              <w:spacing w:after="0" w:line="243" w:lineRule="exact"/>
              <w:rPr>
                <w:sz w:val="20"/>
                <w:szCs w:val="20"/>
                <w:color w:val="auto"/>
              </w:rPr>
            </w:pPr>
            <w:r>
              <w:rPr>
                <w:rFonts w:ascii="Arial" w:cs="Arial" w:eastAsia="Arial" w:hAnsi="Arial"/>
                <w:sz w:val="22"/>
                <w:szCs w:val="22"/>
                <w:color w:val="auto"/>
              </w:rPr>
              <w:t>Forward purchase contracts (2)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97"/>
              </w:rPr>
              <w:t>993</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993</w:t>
            </w:r>
          </w:p>
        </w:tc>
        <w:tc>
          <w:tcPr>
            <w:tcW w:w="80" w:type="dxa"/>
            <w:vAlign w:val="bottom"/>
          </w:tcPr>
          <w:p>
            <w:pPr>
              <w:spacing w:after="0"/>
              <w:rPr>
                <w:sz w:val="21"/>
                <w:szCs w:val="21"/>
                <w:color w:val="auto"/>
              </w:rPr>
            </w:pPr>
          </w:p>
        </w:tc>
      </w:tr>
      <w:tr>
        <w:trPr>
          <w:trHeight w:val="236"/>
        </w:trPr>
        <w:tc>
          <w:tcPr>
            <w:tcW w:w="5260" w:type="dxa"/>
            <w:vAlign w:val="bottom"/>
            <w:tcBorders>
              <w:top w:val="single" w:sz="8" w:color="E5FFFF"/>
              <w:bottom w:val="single" w:sz="8" w:color="E5FFFF"/>
            </w:tcBorders>
            <w:shd w:val="clear" w:color="auto" w:fill="E5FFFF"/>
          </w:tcPr>
          <w:p>
            <w:pPr>
              <w:ind w:left="120"/>
              <w:spacing w:after="0" w:line="237" w:lineRule="exact"/>
              <w:rPr>
                <w:sz w:val="20"/>
                <w:szCs w:val="20"/>
                <w:color w:val="auto"/>
              </w:rPr>
            </w:pPr>
            <w:r>
              <w:rPr>
                <w:rFonts w:ascii="Arial" w:cs="Arial" w:eastAsia="Arial" w:hAnsi="Arial"/>
                <w:sz w:val="22"/>
                <w:szCs w:val="22"/>
                <w:color w:val="auto"/>
              </w:rPr>
              <w:t>Total assets</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300" w:type="dxa"/>
            <w:vAlign w:val="bottom"/>
            <w:tcBorders>
              <w:top w:val="single" w:sz="8" w:color="auto"/>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993</w:t>
            </w:r>
          </w:p>
        </w:tc>
        <w:tc>
          <w:tcPr>
            <w:tcW w:w="48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354</w:t>
            </w:r>
          </w:p>
        </w:tc>
        <w:tc>
          <w:tcPr>
            <w:tcW w:w="300" w:type="dxa"/>
            <w:vAlign w:val="bottom"/>
            <w:tcBorders>
              <w:top w:val="single" w:sz="8" w:color="E5FFFF"/>
              <w:bottom w:val="single" w:sz="8" w:color="E5FFFF"/>
            </w:tcBorders>
            <w:shd w:val="clear" w:color="auto" w:fill="E5FFFF"/>
          </w:tcPr>
          <w:p>
            <w:pPr>
              <w:spacing w:after="0"/>
              <w:rPr>
                <w:sz w:val="20"/>
                <w:szCs w:val="20"/>
                <w:color w:val="auto"/>
              </w:rPr>
            </w:pPr>
          </w:p>
        </w:tc>
        <w:tc>
          <w:tcPr>
            <w:tcW w:w="380" w:type="dxa"/>
            <w:vAlign w:val="bottom"/>
            <w:tcBorders>
              <w:top w:val="single" w:sz="8" w:color="E5FFFF"/>
              <w:bottom w:val="single" w:sz="8" w:color="E5FFFF"/>
            </w:tcBorders>
            <w:gridSpan w:val="2"/>
            <w:shd w:val="clear" w:color="auto" w:fill="E5FFFF"/>
          </w:tcPr>
          <w:p>
            <w:pPr>
              <w:spacing w:after="0"/>
              <w:rPr>
                <w:sz w:val="20"/>
                <w:szCs w:val="20"/>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7"/>
              </w:rPr>
              <w:t>1,347</w:t>
            </w: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5260" w:type="dxa"/>
            <w:vAlign w:val="bottom"/>
          </w:tcPr>
          <w:p>
            <w:pPr>
              <w:ind w:left="120"/>
              <w:spacing w:after="0"/>
              <w:rPr>
                <w:sz w:val="20"/>
                <w:szCs w:val="20"/>
                <w:color w:val="auto"/>
              </w:rPr>
            </w:pPr>
            <w:r>
              <w:rPr>
                <w:rFonts w:ascii="Arial" w:cs="Arial" w:eastAsia="Arial" w:hAnsi="Arial"/>
                <w:sz w:val="22"/>
                <w:szCs w:val="22"/>
                <w:color w:val="auto"/>
              </w:rPr>
              <w:t>Commodity futures liability (3)</w:t>
            </w:r>
          </w:p>
        </w:tc>
        <w:tc>
          <w:tcPr>
            <w:tcW w:w="400" w:type="dxa"/>
            <w:vAlign w:val="bottom"/>
            <w:gridSpan w:val="2"/>
          </w:tcPr>
          <w:p>
            <w:pPr>
              <w:jc w:val="right"/>
              <w:ind w:right="103"/>
              <w:spacing w:after="0"/>
              <w:rPr>
                <w:sz w:val="20"/>
                <w:szCs w:val="20"/>
                <w:color w:val="auto"/>
              </w:rPr>
            </w:pP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933</w:t>
            </w:r>
          </w:p>
        </w:tc>
        <w:tc>
          <w:tcPr>
            <w:tcW w:w="4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22"/>
                <w:szCs w:val="22"/>
                <w:color w:val="auto"/>
              </w:rPr>
              <w:t>933</w:t>
            </w:r>
          </w:p>
        </w:tc>
        <w:tc>
          <w:tcPr>
            <w:tcW w:w="80" w:type="dxa"/>
            <w:vAlign w:val="bottom"/>
          </w:tcPr>
          <w:p>
            <w:pPr>
              <w:spacing w:after="0"/>
              <w:rPr>
                <w:sz w:val="24"/>
                <w:szCs w:val="24"/>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15" w:name="page16"/>
    <w:bookmarkEnd w:id="15"/>
    <w:p>
      <w:pPr>
        <w:ind w:right="420" w:firstLine="656"/>
        <w:spacing w:after="0" w:line="239" w:lineRule="auto"/>
        <w:tabs>
          <w:tab w:leader="none" w:pos="95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forward purchase contracts and commodity futures assets are included in “Prepaid expenses and other current assets” on the accompanying Consolidated Condensed Balance Sheets.</w:t>
      </w:r>
    </w:p>
    <w:p>
      <w:pPr>
        <w:ind w:right="200" w:firstLine="656"/>
        <w:spacing w:after="0" w:line="236" w:lineRule="auto"/>
        <w:tabs>
          <w:tab w:leader="none" w:pos="95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213"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April 30, 2022 or January 31, 2022.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1960" w:type="dxa"/>
            <w:vAlign w:val="bottom"/>
            <w:gridSpan w:val="6"/>
          </w:tcPr>
          <w:p>
            <w:pPr>
              <w:ind w:left="640"/>
              <w:spacing w:after="0"/>
              <w:rPr>
                <w:sz w:val="20"/>
                <w:szCs w:val="20"/>
                <w:color w:val="auto"/>
              </w:rPr>
            </w:pPr>
            <w:r>
              <w:rPr>
                <w:rFonts w:ascii="Arial" w:cs="Arial" w:eastAsia="Arial" w:hAnsi="Arial"/>
                <w:sz w:val="22"/>
                <w:szCs w:val="22"/>
                <w:b w:val="1"/>
                <w:bCs w:val="1"/>
                <w:color w:val="auto"/>
              </w:rPr>
              <w:t>April 30,</w:t>
            </w:r>
          </w:p>
        </w:tc>
        <w:tc>
          <w:tcPr>
            <w:tcW w:w="1580" w:type="dxa"/>
            <w:vAlign w:val="bottom"/>
            <w:gridSpan w:val="6"/>
          </w:tcPr>
          <w:p>
            <w:pPr>
              <w:jc w:val="center"/>
              <w:spacing w:after="0"/>
              <w:rPr>
                <w:sz w:val="20"/>
                <w:szCs w:val="20"/>
                <w:color w:val="auto"/>
              </w:rPr>
            </w:pPr>
            <w:r>
              <w:rPr>
                <w:rFonts w:ascii="Arial" w:cs="Arial" w:eastAsia="Arial" w:hAnsi="Arial"/>
                <w:sz w:val="22"/>
                <w:szCs w:val="22"/>
                <w:b w:val="1"/>
                <w:bCs w:val="1"/>
                <w:color w:val="auto"/>
                <w:w w:val="90"/>
              </w:rPr>
              <w:t>January 31,</w:t>
            </w:r>
          </w:p>
        </w:tc>
      </w:tr>
      <w:tr>
        <w:trPr>
          <w:trHeight w:val="230"/>
        </w:trPr>
        <w:tc>
          <w:tcPr>
            <w:tcW w:w="3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0"/>
              <w:spacing w:after="0" w:line="230" w:lineRule="exact"/>
              <w:rPr>
                <w:sz w:val="20"/>
                <w:szCs w:val="20"/>
                <w:color w:val="auto"/>
              </w:rPr>
            </w:pPr>
            <w:r>
              <w:rPr>
                <w:rFonts w:ascii="Arial" w:cs="Arial" w:eastAsia="Arial" w:hAnsi="Arial"/>
                <w:sz w:val="22"/>
                <w:szCs w:val="22"/>
                <w:b w:val="1"/>
                <w:bCs w:val="1"/>
                <w:color w:val="auto"/>
                <w:w w:val="93"/>
              </w:rPr>
              <w:t>2022</w:t>
            </w:r>
          </w:p>
        </w:tc>
        <w:tc>
          <w:tcPr>
            <w:tcW w:w="280" w:type="dxa"/>
            <w:vAlign w:val="bottom"/>
          </w:tcPr>
          <w:p>
            <w:pPr>
              <w:spacing w:after="0"/>
              <w:rPr>
                <w:sz w:val="19"/>
                <w:szCs w:val="19"/>
                <w:color w:val="auto"/>
              </w:rPr>
            </w:pPr>
          </w:p>
        </w:tc>
        <w:tc>
          <w:tcPr>
            <w:tcW w:w="1060" w:type="dxa"/>
            <w:vAlign w:val="bottom"/>
            <w:gridSpan w:val="4"/>
          </w:tcPr>
          <w:p>
            <w:pPr>
              <w:jc w:val="right"/>
              <w:spacing w:after="0" w:line="230" w:lineRule="exact"/>
              <w:rPr>
                <w:sz w:val="20"/>
                <w:szCs w:val="20"/>
                <w:color w:val="auto"/>
              </w:rPr>
            </w:pPr>
            <w:r>
              <w:rPr>
                <w:rFonts w:ascii="Arial" w:cs="Arial" w:eastAsia="Arial" w:hAnsi="Arial"/>
                <w:sz w:val="22"/>
                <w:szCs w:val="22"/>
                <w:b w:val="1"/>
                <w:bCs w:val="1"/>
                <w:color w:val="auto"/>
              </w:rPr>
              <w:t>2022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3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7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Land and improvements</w:t>
            </w:r>
          </w:p>
        </w:tc>
        <w:tc>
          <w:tcPr>
            <w:tcW w:w="800" w:type="dxa"/>
            <w:vAlign w:val="bottom"/>
            <w:gridSpan w:val="2"/>
            <w:shd w:val="clear" w:color="auto" w:fill="E5FFFF"/>
          </w:tcPr>
          <w:p>
            <w:pPr>
              <w:ind w:left="660"/>
              <w:spacing w:after="0" w:line="243" w:lineRule="exact"/>
              <w:rPr>
                <w:sz w:val="20"/>
                <w:szCs w:val="20"/>
                <w:color w:val="auto"/>
              </w:rPr>
            </w:pPr>
            <w:r>
              <w:rPr>
                <w:rFonts w:ascii="Arial" w:cs="Arial" w:eastAsia="Arial" w:hAnsi="Arial"/>
                <w:sz w:val="22"/>
                <w:szCs w:val="22"/>
                <w:color w:val="auto"/>
                <w:w w:val="97"/>
              </w:rPr>
              <w:t>$</w:t>
            </w:r>
          </w:p>
        </w:tc>
        <w:tc>
          <w:tcPr>
            <w:tcW w:w="1160" w:type="dxa"/>
            <w:vAlign w:val="bottom"/>
            <w:gridSpan w:val="4"/>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27,329</w:t>
            </w:r>
          </w:p>
        </w:tc>
        <w:tc>
          <w:tcPr>
            <w:tcW w:w="6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27,329</w:t>
            </w:r>
          </w:p>
        </w:tc>
        <w:tc>
          <w:tcPr>
            <w:tcW w:w="60" w:type="dxa"/>
            <w:vAlign w:val="bottom"/>
            <w:shd w:val="clear" w:color="auto" w:fill="E5FFFF"/>
          </w:tcPr>
          <w:p>
            <w:pPr>
              <w:spacing w:after="0"/>
              <w:rPr>
                <w:sz w:val="21"/>
                <w:szCs w:val="21"/>
                <w:color w:val="auto"/>
              </w:rPr>
            </w:pPr>
          </w:p>
        </w:tc>
      </w:tr>
      <w:tr>
        <w:trPr>
          <w:trHeight w:val="243"/>
        </w:trPr>
        <w:tc>
          <w:tcPr>
            <w:tcW w:w="3760" w:type="dxa"/>
            <w:vAlign w:val="bottom"/>
          </w:tcPr>
          <w:p>
            <w:pPr>
              <w:ind w:left="120"/>
              <w:spacing w:after="0" w:line="243" w:lineRule="exact"/>
              <w:rPr>
                <w:sz w:val="20"/>
                <w:szCs w:val="20"/>
                <w:color w:val="auto"/>
              </w:rPr>
            </w:pPr>
            <w:r>
              <w:rPr>
                <w:rFonts w:ascii="Arial" w:cs="Arial" w:eastAsia="Arial" w:hAnsi="Arial"/>
                <w:sz w:val="22"/>
                <w:szCs w:val="22"/>
                <w:color w:val="auto"/>
              </w:rPr>
              <w:t>Buildings and improvements</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80"/>
              <w:spacing w:after="0" w:line="243" w:lineRule="exact"/>
              <w:rPr>
                <w:sz w:val="20"/>
                <w:szCs w:val="20"/>
                <w:color w:val="auto"/>
              </w:rPr>
            </w:pPr>
            <w:r>
              <w:rPr>
                <w:rFonts w:ascii="Arial" w:cs="Arial" w:eastAsia="Arial" w:hAnsi="Arial"/>
                <w:sz w:val="22"/>
                <w:szCs w:val="22"/>
                <w:color w:val="auto"/>
              </w:rPr>
              <w:t>23,617</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23,617</w:t>
            </w:r>
          </w:p>
        </w:tc>
        <w:tc>
          <w:tcPr>
            <w:tcW w:w="60" w:type="dxa"/>
            <w:vAlign w:val="bottom"/>
          </w:tcPr>
          <w:p>
            <w:pPr>
              <w:spacing w:after="0"/>
              <w:rPr>
                <w:sz w:val="21"/>
                <w:szCs w:val="21"/>
                <w:color w:val="auto"/>
              </w:rPr>
            </w:pPr>
          </w:p>
        </w:tc>
      </w:tr>
      <w:tr>
        <w:trPr>
          <w:trHeight w:val="243"/>
        </w:trPr>
        <w:tc>
          <w:tcPr>
            <w:tcW w:w="37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Machinery, equipment and fixtures</w:t>
            </w:r>
          </w:p>
        </w:tc>
        <w:tc>
          <w:tcPr>
            <w:tcW w:w="6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160" w:type="dxa"/>
            <w:vAlign w:val="bottom"/>
            <w:gridSpan w:val="4"/>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297,210</w:t>
            </w:r>
          </w:p>
        </w:tc>
        <w:tc>
          <w:tcPr>
            <w:tcW w:w="5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296,243</w:t>
            </w:r>
          </w:p>
        </w:tc>
        <w:tc>
          <w:tcPr>
            <w:tcW w:w="60" w:type="dxa"/>
            <w:vAlign w:val="bottom"/>
            <w:shd w:val="clear" w:color="auto" w:fill="E5FFFF"/>
          </w:tcPr>
          <w:p>
            <w:pPr>
              <w:spacing w:after="0"/>
              <w:rPr>
                <w:sz w:val="21"/>
                <w:szCs w:val="21"/>
                <w:color w:val="auto"/>
              </w:rPr>
            </w:pPr>
          </w:p>
        </w:tc>
      </w:tr>
      <w:tr>
        <w:trPr>
          <w:trHeight w:val="243"/>
        </w:trPr>
        <w:tc>
          <w:tcPr>
            <w:tcW w:w="3760" w:type="dxa"/>
            <w:vAlign w:val="bottom"/>
          </w:tcPr>
          <w:p>
            <w:pPr>
              <w:ind w:left="120"/>
              <w:spacing w:after="0" w:line="243" w:lineRule="exact"/>
              <w:rPr>
                <w:sz w:val="20"/>
                <w:szCs w:val="20"/>
                <w:color w:val="auto"/>
              </w:rPr>
            </w:pPr>
            <w:r>
              <w:rPr>
                <w:rFonts w:ascii="Arial" w:cs="Arial" w:eastAsia="Arial" w:hAnsi="Arial"/>
                <w:sz w:val="22"/>
                <w:szCs w:val="22"/>
                <w:color w:val="auto"/>
              </w:rPr>
              <w:t>Construction in progress</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80"/>
              <w:spacing w:after="0" w:line="243" w:lineRule="exact"/>
              <w:rPr>
                <w:sz w:val="20"/>
                <w:szCs w:val="20"/>
                <w:color w:val="auto"/>
              </w:rPr>
            </w:pPr>
            <w:r>
              <w:rPr>
                <w:rFonts w:ascii="Arial" w:cs="Arial" w:eastAsia="Arial" w:hAnsi="Arial"/>
                <w:sz w:val="22"/>
                <w:szCs w:val="22"/>
                <w:color w:val="auto"/>
              </w:rPr>
              <w:t>1,973</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1,515</w:t>
            </w:r>
          </w:p>
        </w:tc>
        <w:tc>
          <w:tcPr>
            <w:tcW w:w="60" w:type="dxa"/>
            <w:vAlign w:val="bottom"/>
          </w:tcPr>
          <w:p>
            <w:pPr>
              <w:spacing w:after="0"/>
              <w:rPr>
                <w:sz w:val="21"/>
                <w:szCs w:val="21"/>
                <w:color w:val="auto"/>
              </w:rPr>
            </w:pPr>
          </w:p>
        </w:tc>
      </w:tr>
      <w:tr>
        <w:trPr>
          <w:trHeight w:val="236"/>
        </w:trPr>
        <w:tc>
          <w:tcPr>
            <w:tcW w:w="3760" w:type="dxa"/>
            <w:vAlign w:val="bottom"/>
            <w:tcBorders>
              <w:top w:val="single" w:sz="8" w:color="E5FFFF"/>
            </w:tcBorders>
            <w:shd w:val="clear" w:color="auto" w:fill="E5FFFF"/>
          </w:tcPr>
          <w:p>
            <w:pPr>
              <w:spacing w:after="0"/>
              <w:rPr>
                <w:sz w:val="20"/>
                <w:szCs w:val="20"/>
                <w:color w:val="auto"/>
              </w:rPr>
            </w:pPr>
          </w:p>
        </w:tc>
        <w:tc>
          <w:tcPr>
            <w:tcW w:w="6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88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350,129</w:t>
            </w:r>
          </w:p>
        </w:tc>
        <w:tc>
          <w:tcPr>
            <w:tcW w:w="280" w:type="dxa"/>
            <w:vAlign w:val="bottom"/>
            <w:tcBorders>
              <w:top w:val="single" w:sz="8" w:color="E5FFFF"/>
            </w:tcBorders>
            <w:shd w:val="clear" w:color="auto" w:fill="E5FFFF"/>
          </w:tcPr>
          <w:p>
            <w:pPr>
              <w:spacing w:after="0"/>
              <w:rPr>
                <w:sz w:val="20"/>
                <w:szCs w:val="20"/>
                <w:color w:val="auto"/>
              </w:rPr>
            </w:pPr>
          </w:p>
        </w:tc>
        <w:tc>
          <w:tcPr>
            <w:tcW w:w="560" w:type="dxa"/>
            <w:vAlign w:val="bottom"/>
            <w:tcBorders>
              <w:top w:val="single" w:sz="8" w:color="E5FFFF"/>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86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348,704</w:t>
            </w: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3760" w:type="dxa"/>
            <w:vAlign w:val="bottom"/>
          </w:tcPr>
          <w:p>
            <w:pPr>
              <w:ind w:left="120"/>
              <w:spacing w:after="0" w:line="243" w:lineRule="exact"/>
              <w:rPr>
                <w:sz w:val="20"/>
                <w:szCs w:val="20"/>
                <w:color w:val="auto"/>
              </w:rPr>
            </w:pPr>
            <w:r>
              <w:rPr>
                <w:rFonts w:ascii="Arial" w:cs="Arial" w:eastAsia="Arial" w:hAnsi="Arial"/>
                <w:sz w:val="22"/>
                <w:szCs w:val="22"/>
                <w:color w:val="auto"/>
              </w:rPr>
              <w:t>Less: Accumulated depreciation</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80"/>
              <w:spacing w:after="0" w:line="243" w:lineRule="exact"/>
              <w:rPr>
                <w:sz w:val="20"/>
                <w:szCs w:val="20"/>
                <w:color w:val="auto"/>
              </w:rPr>
            </w:pPr>
            <w:r>
              <w:rPr>
                <w:rFonts w:ascii="Arial" w:cs="Arial" w:eastAsia="Arial" w:hAnsi="Arial"/>
                <w:sz w:val="22"/>
                <w:szCs w:val="22"/>
                <w:color w:val="auto"/>
                <w:w w:val="91"/>
              </w:rPr>
              <w:t>(215,554)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9"/>
              </w:rPr>
              <w:t>(211,150)</w:t>
            </w:r>
          </w:p>
        </w:tc>
        <w:tc>
          <w:tcPr>
            <w:tcW w:w="60" w:type="dxa"/>
            <w:vAlign w:val="bottom"/>
          </w:tcPr>
          <w:p>
            <w:pPr>
              <w:spacing w:after="0"/>
              <w:rPr>
                <w:sz w:val="21"/>
                <w:szCs w:val="21"/>
                <w:color w:val="auto"/>
              </w:rPr>
            </w:pPr>
          </w:p>
        </w:tc>
      </w:tr>
      <w:tr>
        <w:trPr>
          <w:trHeight w:val="236"/>
        </w:trPr>
        <w:tc>
          <w:tcPr>
            <w:tcW w:w="3760" w:type="dxa"/>
            <w:vAlign w:val="bottom"/>
            <w:tcBorders>
              <w:top w:val="single" w:sz="8" w:color="E5FFFF"/>
              <w:bottom w:val="single" w:sz="8" w:color="E5FFFF"/>
            </w:tcBorders>
            <w:shd w:val="clear" w:color="auto" w:fill="E5FFFF"/>
          </w:tcPr>
          <w:p>
            <w:pPr>
              <w:ind w:left="120"/>
              <w:spacing w:after="0" w:line="237" w:lineRule="exact"/>
              <w:rPr>
                <w:sz w:val="20"/>
                <w:szCs w:val="20"/>
                <w:color w:val="auto"/>
              </w:rPr>
            </w:pPr>
            <w:r>
              <w:rPr>
                <w:rFonts w:ascii="Arial" w:cs="Arial" w:eastAsia="Arial" w:hAnsi="Arial"/>
                <w:sz w:val="22"/>
                <w:szCs w:val="22"/>
                <w:color w:val="auto"/>
              </w:rPr>
              <w:t>Total</w:t>
            </w:r>
          </w:p>
        </w:tc>
        <w:tc>
          <w:tcPr>
            <w:tcW w:w="6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w w:val="97"/>
              </w:rPr>
              <w:t>$</w:t>
            </w:r>
          </w:p>
        </w:tc>
        <w:tc>
          <w:tcPr>
            <w:tcW w:w="88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134,575</w:t>
            </w:r>
          </w:p>
        </w:tc>
        <w:tc>
          <w:tcPr>
            <w:tcW w:w="280" w:type="dxa"/>
            <w:vAlign w:val="bottom"/>
            <w:tcBorders>
              <w:top w:val="single" w:sz="8" w:color="E5FFFF"/>
              <w:bottom w:val="single" w:sz="8" w:color="E5FFFF"/>
            </w:tcBorders>
            <w:shd w:val="clear" w:color="auto" w:fill="E5FFFF"/>
          </w:tcPr>
          <w:p>
            <w:pPr>
              <w:spacing w:after="0"/>
              <w:rPr>
                <w:sz w:val="20"/>
                <w:szCs w:val="20"/>
                <w:color w:val="auto"/>
              </w:rPr>
            </w:pPr>
          </w:p>
        </w:tc>
        <w:tc>
          <w:tcPr>
            <w:tcW w:w="56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137,554</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1"/>
                <w:szCs w:val="21"/>
                <w:color w:val="auto"/>
              </w:rPr>
            </w:pPr>
          </w:p>
        </w:tc>
        <w:tc>
          <w:tcPr>
            <w:tcW w:w="1920" w:type="dxa"/>
            <w:vAlign w:val="bottom"/>
            <w:gridSpan w:val="6"/>
          </w:tcPr>
          <w:p>
            <w:pPr>
              <w:ind w:left="740"/>
              <w:spacing w:after="0"/>
              <w:rPr>
                <w:sz w:val="20"/>
                <w:szCs w:val="20"/>
                <w:color w:val="auto"/>
              </w:rPr>
            </w:pPr>
            <w:r>
              <w:rPr>
                <w:rFonts w:ascii="Arial" w:cs="Arial" w:eastAsia="Arial" w:hAnsi="Arial"/>
                <w:sz w:val="22"/>
                <w:szCs w:val="22"/>
                <w:b w:val="1"/>
                <w:bCs w:val="1"/>
                <w:color w:val="auto"/>
              </w:rPr>
              <w:t>April 30,</w:t>
            </w:r>
          </w:p>
        </w:tc>
        <w:tc>
          <w:tcPr>
            <w:tcW w:w="1360" w:type="dxa"/>
            <w:vAlign w:val="bottom"/>
            <w:gridSpan w:val="5"/>
          </w:tcPr>
          <w:p>
            <w:pPr>
              <w:jc w:val="right"/>
              <w:ind w:right="80"/>
              <w:spacing w:after="0"/>
              <w:rPr>
                <w:sz w:val="20"/>
                <w:szCs w:val="20"/>
                <w:color w:val="auto"/>
              </w:rPr>
            </w:pPr>
            <w:r>
              <w:rPr>
                <w:rFonts w:ascii="Arial" w:cs="Arial" w:eastAsia="Arial" w:hAnsi="Arial"/>
                <w:sz w:val="22"/>
                <w:szCs w:val="22"/>
                <w:b w:val="1"/>
                <w:bCs w:val="1"/>
                <w:color w:val="auto"/>
              </w:rPr>
              <w:t>January 31,</w:t>
            </w:r>
          </w:p>
        </w:tc>
        <w:tc>
          <w:tcPr>
            <w:tcW w:w="3940" w:type="dxa"/>
            <w:vAlign w:val="bottom"/>
          </w:tcPr>
          <w:p>
            <w:pPr>
              <w:spacing w:after="0"/>
              <w:rPr>
                <w:sz w:val="21"/>
                <w:szCs w:val="21"/>
                <w:color w:val="auto"/>
              </w:rPr>
            </w:pPr>
          </w:p>
        </w:tc>
      </w:tr>
      <w:tr>
        <w:trPr>
          <w:trHeight w:val="230"/>
        </w:trPr>
        <w:tc>
          <w:tcPr>
            <w:tcW w:w="4020" w:type="dxa"/>
            <w:vAlign w:val="bottom"/>
          </w:tcPr>
          <w:p>
            <w:pPr>
              <w:spacing w:after="0"/>
              <w:rPr>
                <w:sz w:val="19"/>
                <w:szCs w:val="19"/>
                <w:color w:val="auto"/>
              </w:rPr>
            </w:pPr>
          </w:p>
        </w:tc>
        <w:tc>
          <w:tcPr>
            <w:tcW w:w="1680" w:type="dxa"/>
            <w:vAlign w:val="bottom"/>
            <w:gridSpan w:val="5"/>
          </w:tcPr>
          <w:p>
            <w:pPr>
              <w:ind w:left="940"/>
              <w:spacing w:after="0" w:line="230" w:lineRule="exact"/>
              <w:rPr>
                <w:sz w:val="20"/>
                <w:szCs w:val="20"/>
                <w:color w:val="auto"/>
              </w:rPr>
            </w:pPr>
            <w:r>
              <w:rPr>
                <w:rFonts w:ascii="Arial" w:cs="Arial" w:eastAsia="Arial" w:hAnsi="Arial"/>
                <w:sz w:val="22"/>
                <w:szCs w:val="22"/>
                <w:b w:val="1"/>
                <w:bCs w:val="1"/>
                <w:color w:val="auto"/>
              </w:rPr>
              <w:t>2022</w:t>
            </w:r>
          </w:p>
        </w:tc>
        <w:tc>
          <w:tcPr>
            <w:tcW w:w="240" w:type="dxa"/>
            <w:vAlign w:val="bottom"/>
          </w:tcPr>
          <w:p>
            <w:pPr>
              <w:spacing w:after="0"/>
              <w:rPr>
                <w:sz w:val="19"/>
                <w:szCs w:val="19"/>
                <w:color w:val="auto"/>
              </w:rPr>
            </w:pPr>
          </w:p>
        </w:tc>
        <w:tc>
          <w:tcPr>
            <w:tcW w:w="1360" w:type="dxa"/>
            <w:vAlign w:val="bottom"/>
            <w:gridSpan w:val="5"/>
          </w:tcPr>
          <w:p>
            <w:pPr>
              <w:jc w:val="right"/>
              <w:ind w:right="400"/>
              <w:spacing w:after="0" w:line="230" w:lineRule="exact"/>
              <w:rPr>
                <w:sz w:val="20"/>
                <w:szCs w:val="20"/>
                <w:color w:val="auto"/>
              </w:rPr>
            </w:pPr>
            <w:r>
              <w:rPr>
                <w:rFonts w:ascii="Arial" w:cs="Arial" w:eastAsia="Arial" w:hAnsi="Arial"/>
                <w:sz w:val="22"/>
                <w:szCs w:val="22"/>
                <w:b w:val="1"/>
                <w:bCs w:val="1"/>
                <w:color w:val="auto"/>
              </w:rPr>
              <w:t>2022</w:t>
            </w:r>
          </w:p>
        </w:tc>
        <w:tc>
          <w:tcPr>
            <w:tcW w:w="3940" w:type="dxa"/>
            <w:vAlign w:val="bottom"/>
          </w:tcPr>
          <w:p>
            <w:pPr>
              <w:spacing w:after="0"/>
              <w:rPr>
                <w:sz w:val="19"/>
                <w:szCs w:val="19"/>
                <w:color w:val="auto"/>
              </w:rPr>
            </w:pPr>
          </w:p>
        </w:tc>
      </w:tr>
      <w:tr>
        <w:trPr>
          <w:trHeight w:val="263"/>
        </w:trPr>
        <w:tc>
          <w:tcPr>
            <w:tcW w:w="4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43"/>
        </w:trPr>
        <w:tc>
          <w:tcPr>
            <w:tcW w:w="40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payroll and related items</w:t>
            </w:r>
          </w:p>
        </w:tc>
        <w:tc>
          <w:tcPr>
            <w:tcW w:w="1060" w:type="dxa"/>
            <w:vAlign w:val="bottom"/>
            <w:gridSpan w:val="3"/>
            <w:shd w:val="clear" w:color="auto" w:fill="E5FFFF"/>
          </w:tcPr>
          <w:p>
            <w:pPr>
              <w:ind w:left="920"/>
              <w:spacing w:after="0" w:line="243" w:lineRule="exact"/>
              <w:rPr>
                <w:sz w:val="20"/>
                <w:szCs w:val="20"/>
                <w:color w:val="auto"/>
              </w:rPr>
            </w:pPr>
            <w:r>
              <w:rPr>
                <w:rFonts w:ascii="Arial" w:cs="Arial" w:eastAsia="Arial" w:hAnsi="Arial"/>
                <w:sz w:val="22"/>
                <w:szCs w:val="22"/>
                <w:color w:val="auto"/>
                <w:w w:val="97"/>
              </w:rPr>
              <w:t>$</w:t>
            </w: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2,770</w:t>
            </w:r>
          </w:p>
        </w:tc>
        <w:tc>
          <w:tcPr>
            <w:tcW w:w="24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6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5,407</w:t>
            </w:r>
          </w:p>
        </w:tc>
        <w:tc>
          <w:tcPr>
            <w:tcW w:w="3940" w:type="dxa"/>
            <w:vAlign w:val="bottom"/>
          </w:tcPr>
          <w:p>
            <w:pPr>
              <w:spacing w:after="0"/>
              <w:rPr>
                <w:sz w:val="21"/>
                <w:szCs w:val="21"/>
                <w:color w:val="auto"/>
              </w:rPr>
            </w:pPr>
          </w:p>
        </w:tc>
      </w:tr>
      <w:tr>
        <w:trPr>
          <w:trHeight w:val="243"/>
        </w:trPr>
        <w:tc>
          <w:tcPr>
            <w:tcW w:w="4020" w:type="dxa"/>
            <w:vAlign w:val="bottom"/>
          </w:tcPr>
          <w:p>
            <w:pPr>
              <w:ind w:left="120"/>
              <w:spacing w:after="0" w:line="243" w:lineRule="exact"/>
              <w:rPr>
                <w:sz w:val="20"/>
                <w:szCs w:val="20"/>
                <w:color w:val="auto"/>
              </w:rPr>
            </w:pPr>
            <w:r>
              <w:rPr>
                <w:rFonts w:ascii="Arial" w:cs="Arial" w:eastAsia="Arial" w:hAnsi="Arial"/>
                <w:sz w:val="22"/>
                <w:szCs w:val="22"/>
                <w:color w:val="auto"/>
              </w:rPr>
              <w:t>Accrued utility charges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4,242</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4,297</w:t>
            </w:r>
          </w:p>
        </w:tc>
        <w:tc>
          <w:tcPr>
            <w:tcW w:w="3940" w:type="dxa"/>
            <w:vAlign w:val="bottom"/>
          </w:tcPr>
          <w:p>
            <w:pPr>
              <w:spacing w:after="0"/>
              <w:rPr>
                <w:sz w:val="21"/>
                <w:szCs w:val="21"/>
                <w:color w:val="auto"/>
              </w:rPr>
            </w:pPr>
          </w:p>
        </w:tc>
      </w:tr>
      <w:tr>
        <w:trPr>
          <w:trHeight w:val="243"/>
        </w:trPr>
        <w:tc>
          <w:tcPr>
            <w:tcW w:w="40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transportation related items</w:t>
            </w:r>
          </w:p>
        </w:tc>
        <w:tc>
          <w:tcPr>
            <w:tcW w:w="9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973</w:t>
            </w:r>
          </w:p>
        </w:tc>
        <w:tc>
          <w:tcPr>
            <w:tcW w:w="2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593</w:t>
            </w:r>
          </w:p>
        </w:tc>
        <w:tc>
          <w:tcPr>
            <w:tcW w:w="3940" w:type="dxa"/>
            <w:vAlign w:val="bottom"/>
          </w:tcPr>
          <w:p>
            <w:pPr>
              <w:spacing w:after="0"/>
              <w:rPr>
                <w:sz w:val="21"/>
                <w:szCs w:val="21"/>
                <w:color w:val="auto"/>
              </w:rPr>
            </w:pPr>
          </w:p>
        </w:tc>
      </w:tr>
      <w:tr>
        <w:trPr>
          <w:trHeight w:val="243"/>
        </w:trPr>
        <w:tc>
          <w:tcPr>
            <w:tcW w:w="4020" w:type="dxa"/>
            <w:vAlign w:val="bottom"/>
          </w:tcPr>
          <w:p>
            <w:pPr>
              <w:ind w:left="120"/>
              <w:spacing w:after="0" w:line="243" w:lineRule="exact"/>
              <w:rPr>
                <w:sz w:val="20"/>
                <w:szCs w:val="20"/>
                <w:color w:val="auto"/>
              </w:rPr>
            </w:pPr>
            <w:r>
              <w:rPr>
                <w:rFonts w:ascii="Arial" w:cs="Arial" w:eastAsia="Arial" w:hAnsi="Arial"/>
                <w:sz w:val="22"/>
                <w:szCs w:val="22"/>
                <w:color w:val="auto"/>
              </w:rPr>
              <w:t>Accrued real estate taxes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2,031</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1,857</w:t>
            </w:r>
          </w:p>
        </w:tc>
        <w:tc>
          <w:tcPr>
            <w:tcW w:w="3940" w:type="dxa"/>
            <w:vAlign w:val="bottom"/>
          </w:tcPr>
          <w:p>
            <w:pPr>
              <w:spacing w:after="0"/>
              <w:rPr>
                <w:sz w:val="21"/>
                <w:szCs w:val="21"/>
                <w:color w:val="auto"/>
              </w:rPr>
            </w:pPr>
          </w:p>
        </w:tc>
      </w:tr>
      <w:tr>
        <w:trPr>
          <w:trHeight w:val="243"/>
        </w:trPr>
        <w:tc>
          <w:tcPr>
            <w:tcW w:w="40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Commodity futures</w:t>
            </w:r>
          </w:p>
        </w:tc>
        <w:tc>
          <w:tcPr>
            <w:tcW w:w="9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4,066</w:t>
            </w:r>
          </w:p>
        </w:tc>
        <w:tc>
          <w:tcPr>
            <w:tcW w:w="2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933</w:t>
            </w:r>
          </w:p>
        </w:tc>
        <w:tc>
          <w:tcPr>
            <w:tcW w:w="3940" w:type="dxa"/>
            <w:vAlign w:val="bottom"/>
          </w:tcPr>
          <w:p>
            <w:pPr>
              <w:spacing w:after="0"/>
              <w:rPr>
                <w:sz w:val="21"/>
                <w:szCs w:val="21"/>
                <w:color w:val="auto"/>
              </w:rPr>
            </w:pPr>
          </w:p>
        </w:tc>
      </w:tr>
      <w:tr>
        <w:trPr>
          <w:trHeight w:val="243"/>
        </w:trPr>
        <w:tc>
          <w:tcPr>
            <w:tcW w:w="4020" w:type="dxa"/>
            <w:vAlign w:val="bottom"/>
          </w:tcPr>
          <w:p>
            <w:pPr>
              <w:ind w:left="120"/>
              <w:spacing w:after="0" w:line="243" w:lineRule="exact"/>
              <w:rPr>
                <w:sz w:val="20"/>
                <w:szCs w:val="20"/>
                <w:color w:val="auto"/>
              </w:rPr>
            </w:pPr>
            <w:r>
              <w:rPr>
                <w:rFonts w:ascii="Arial" w:cs="Arial" w:eastAsia="Arial" w:hAnsi="Arial"/>
                <w:sz w:val="22"/>
                <w:szCs w:val="22"/>
                <w:color w:val="auto"/>
              </w:rPr>
              <w:t>Accrued income taxes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95</w:t>
            </w:r>
          </w:p>
        </w:tc>
        <w:tc>
          <w:tcPr>
            <w:tcW w:w="3940" w:type="dxa"/>
            <w:vAlign w:val="bottom"/>
          </w:tcPr>
          <w:p>
            <w:pPr>
              <w:spacing w:after="0"/>
              <w:rPr>
                <w:sz w:val="21"/>
                <w:szCs w:val="21"/>
                <w:color w:val="auto"/>
              </w:rPr>
            </w:pPr>
          </w:p>
        </w:tc>
      </w:tr>
      <w:tr>
        <w:trPr>
          <w:trHeight w:val="243"/>
        </w:trPr>
        <w:tc>
          <w:tcPr>
            <w:tcW w:w="40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Other</w:t>
            </w:r>
          </w:p>
        </w:tc>
        <w:tc>
          <w:tcPr>
            <w:tcW w:w="92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994</w:t>
            </w:r>
          </w:p>
        </w:tc>
        <w:tc>
          <w:tcPr>
            <w:tcW w:w="2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435</w:t>
            </w:r>
          </w:p>
        </w:tc>
        <w:tc>
          <w:tcPr>
            <w:tcW w:w="3940" w:type="dxa"/>
            <w:vAlign w:val="bottom"/>
          </w:tcPr>
          <w:p>
            <w:pPr>
              <w:spacing w:after="0"/>
              <w:rPr>
                <w:sz w:val="21"/>
                <w:szCs w:val="21"/>
                <w:color w:val="auto"/>
              </w:rPr>
            </w:pPr>
          </w:p>
        </w:tc>
      </w:tr>
      <w:tr>
        <w:trPr>
          <w:trHeight w:val="237"/>
        </w:trPr>
        <w:tc>
          <w:tcPr>
            <w:tcW w:w="4020" w:type="dxa"/>
            <w:vAlign w:val="bottom"/>
          </w:tcPr>
          <w:p>
            <w:pPr>
              <w:ind w:left="120"/>
              <w:spacing w:after="0" w:line="237" w:lineRule="exact"/>
              <w:rPr>
                <w:sz w:val="20"/>
                <w:szCs w:val="20"/>
                <w:color w:val="auto"/>
              </w:rPr>
            </w:pPr>
            <w:r>
              <w:rPr>
                <w:rFonts w:ascii="Arial" w:cs="Arial" w:eastAsia="Arial" w:hAnsi="Arial"/>
                <w:sz w:val="22"/>
                <w:szCs w:val="22"/>
                <w:color w:val="auto"/>
              </w:rPr>
              <w:t>Total</w:t>
            </w:r>
          </w:p>
        </w:tc>
        <w:tc>
          <w:tcPr>
            <w:tcW w:w="920" w:type="dxa"/>
            <w:vAlign w:val="bottom"/>
          </w:tcPr>
          <w:p>
            <w:pPr>
              <w:spacing w:after="0"/>
              <w:rPr>
                <w:sz w:val="20"/>
                <w:szCs w:val="20"/>
                <w:color w:val="auto"/>
              </w:rPr>
            </w:pPr>
          </w:p>
        </w:tc>
        <w:tc>
          <w:tcPr>
            <w:tcW w:w="14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97"/>
              </w:rPr>
              <w:t>$</w:t>
            </w:r>
          </w:p>
        </w:tc>
        <w:tc>
          <w:tcPr>
            <w:tcW w:w="62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w w:val="89"/>
              </w:rPr>
              <w:t>15,184</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u w:val="single" w:color="auto"/>
                <w:color w:val="auto"/>
                <w:w w:val="81"/>
              </w:rPr>
              <w:t>$</w:t>
            </w:r>
          </w:p>
        </w:tc>
        <w:tc>
          <w:tcPr>
            <w:tcW w:w="660" w:type="dxa"/>
            <w:vAlign w:val="bottom"/>
            <w:tcBorders>
              <w:bottom w:val="single" w:sz="8" w:color="auto"/>
            </w:tcBorders>
            <w:gridSpan w:val="2"/>
          </w:tcPr>
          <w:p>
            <w:pPr>
              <w:jc w:val="right"/>
              <w:ind w:right="60"/>
              <w:spacing w:after="0" w:line="237" w:lineRule="exact"/>
              <w:rPr>
                <w:sz w:val="20"/>
                <w:szCs w:val="20"/>
                <w:color w:val="auto"/>
              </w:rPr>
            </w:pPr>
            <w:r>
              <w:rPr>
                <w:rFonts w:ascii="Arial" w:cs="Arial" w:eastAsia="Arial" w:hAnsi="Arial"/>
                <w:sz w:val="22"/>
                <w:szCs w:val="22"/>
                <w:color w:val="auto"/>
                <w:w w:val="86"/>
              </w:rPr>
              <w:t>13,617</w:t>
            </w:r>
          </w:p>
        </w:tc>
        <w:tc>
          <w:tcPr>
            <w:tcW w:w="394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3"/>
        </w:trPr>
        <w:tc>
          <w:tcPr>
            <w:tcW w:w="4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22"/>
                <w:szCs w:val="22"/>
                <w:color w:val="auto"/>
              </w:rPr>
              <w:t>16</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40"/>
        </w:trPr>
        <w:tc>
          <w:tcPr>
            <w:tcW w:w="402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5"/>
          </w:tcPr>
          <w:p>
            <w:pPr>
              <w:jc w:val="center"/>
              <w:spacing w:after="0"/>
              <w:rPr>
                <w:sz w:val="20"/>
                <w:szCs w:val="20"/>
                <w:color w:val="auto"/>
              </w:rPr>
            </w:pPr>
            <w:r>
              <w:rPr>
                <w:rFonts w:ascii="Arial" w:cs="Arial" w:eastAsia="Arial" w:hAnsi="Arial"/>
                <w:sz w:val="22"/>
                <w:szCs w:val="22"/>
                <w:b w:val="1"/>
                <w:bCs w:val="1"/>
                <w:color w:val="auto"/>
                <w:w w:val="86"/>
              </w:rPr>
              <w:t>Asset Derivatives</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6"/>
          </w:tcPr>
          <w:p>
            <w:pPr>
              <w:jc w:val="center"/>
              <w:ind w:right="40"/>
              <w:spacing w:after="0"/>
              <w:rPr>
                <w:sz w:val="20"/>
                <w:szCs w:val="20"/>
                <w:color w:val="auto"/>
              </w:rPr>
            </w:pPr>
            <w:r>
              <w:rPr>
                <w:rFonts w:ascii="Arial" w:cs="Arial" w:eastAsia="Arial" w:hAnsi="Arial"/>
                <w:sz w:val="22"/>
                <w:szCs w:val="22"/>
                <w:b w:val="1"/>
                <w:bCs w:val="1"/>
                <w:color w:val="auto"/>
                <w:w w:val="91"/>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gridSpan w:val="4"/>
          </w:tcPr>
          <w:p>
            <w:pPr>
              <w:jc w:val="center"/>
              <w:ind w:right="420"/>
              <w:spacing w:after="0" w:line="243" w:lineRule="exact"/>
              <w:rPr>
                <w:sz w:val="20"/>
                <w:szCs w:val="20"/>
                <w:color w:val="auto"/>
              </w:rPr>
            </w:pPr>
            <w:r>
              <w:rPr>
                <w:rFonts w:ascii="Arial" w:cs="Arial" w:eastAsia="Arial" w:hAnsi="Arial"/>
                <w:sz w:val="22"/>
                <w:szCs w:val="22"/>
                <w:b w:val="1"/>
                <w:bCs w:val="1"/>
                <w:color w:val="auto"/>
                <w:w w:val="93"/>
              </w:rPr>
              <w:t>Fair Value</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5"/>
          </w:tcPr>
          <w:p>
            <w:pPr>
              <w:jc w:val="center"/>
              <w:ind w:right="480"/>
              <w:spacing w:after="0" w:line="243" w:lineRule="exact"/>
              <w:rPr>
                <w:sz w:val="20"/>
                <w:szCs w:val="20"/>
                <w:color w:val="auto"/>
              </w:rPr>
            </w:pPr>
            <w:r>
              <w:rPr>
                <w:rFonts w:ascii="Arial" w:cs="Arial" w:eastAsia="Arial" w:hAnsi="Arial"/>
                <w:sz w:val="22"/>
                <w:szCs w:val="22"/>
                <w:b w:val="1"/>
                <w:bCs w:val="1"/>
                <w:color w:val="auto"/>
                <w:w w:val="93"/>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112"/>
              <w:spacing w:after="0" w:line="243" w:lineRule="exact"/>
              <w:rPr>
                <w:sz w:val="20"/>
                <w:szCs w:val="20"/>
                <w:color w:val="auto"/>
              </w:rPr>
            </w:pPr>
            <w:r>
              <w:rPr>
                <w:rFonts w:ascii="Arial" w:cs="Arial" w:eastAsia="Arial" w:hAnsi="Arial"/>
                <w:sz w:val="22"/>
                <w:szCs w:val="22"/>
                <w:b w:val="1"/>
                <w:bCs w:val="1"/>
                <w:color w:val="auto"/>
                <w:w w:val="99"/>
              </w:rPr>
              <w:t>April 30,</w:t>
            </w:r>
          </w:p>
        </w:tc>
        <w:tc>
          <w:tcPr>
            <w:tcW w:w="460" w:type="dxa"/>
            <w:vAlign w:val="bottom"/>
          </w:tcPr>
          <w:p>
            <w:pPr>
              <w:spacing w:after="0"/>
              <w:rPr>
                <w:sz w:val="21"/>
                <w:szCs w:val="21"/>
                <w:color w:val="auto"/>
              </w:rPr>
            </w:pPr>
          </w:p>
        </w:tc>
        <w:tc>
          <w:tcPr>
            <w:tcW w:w="1680" w:type="dxa"/>
            <w:vAlign w:val="bottom"/>
            <w:gridSpan w:val="4"/>
          </w:tcPr>
          <w:p>
            <w:pPr>
              <w:jc w:val="center"/>
              <w:ind w:right="440"/>
              <w:spacing w:after="0" w:line="243" w:lineRule="exact"/>
              <w:rPr>
                <w:sz w:val="20"/>
                <w:szCs w:val="20"/>
                <w:color w:val="auto"/>
              </w:rPr>
            </w:pPr>
            <w:r>
              <w:rPr>
                <w:rFonts w:ascii="Arial" w:cs="Arial" w:eastAsia="Arial" w:hAnsi="Arial"/>
                <w:sz w:val="22"/>
                <w:szCs w:val="22"/>
                <w:b w:val="1"/>
                <w:bCs w:val="1"/>
                <w:color w:val="auto"/>
                <w:w w:val="89"/>
              </w:rPr>
              <w:t>January 31,</w:t>
            </w:r>
          </w:p>
        </w:tc>
        <w:tc>
          <w:tcPr>
            <w:tcW w:w="160" w:type="dxa"/>
            <w:vAlign w:val="bottom"/>
          </w:tcPr>
          <w:p>
            <w:pPr>
              <w:spacing w:after="0"/>
              <w:rPr>
                <w:sz w:val="21"/>
                <w:szCs w:val="21"/>
                <w:color w:val="auto"/>
              </w:rPr>
            </w:pPr>
          </w:p>
        </w:tc>
        <w:tc>
          <w:tcPr>
            <w:tcW w:w="1080" w:type="dxa"/>
            <w:vAlign w:val="bottom"/>
            <w:gridSpan w:val="3"/>
          </w:tcPr>
          <w:p>
            <w:pPr>
              <w:jc w:val="center"/>
              <w:ind w:right="72"/>
              <w:spacing w:after="0" w:line="243" w:lineRule="exact"/>
              <w:rPr>
                <w:sz w:val="20"/>
                <w:szCs w:val="20"/>
                <w:color w:val="auto"/>
              </w:rPr>
            </w:pPr>
            <w:r>
              <w:rPr>
                <w:rFonts w:ascii="Arial" w:cs="Arial" w:eastAsia="Arial" w:hAnsi="Arial"/>
                <w:sz w:val="22"/>
                <w:szCs w:val="22"/>
                <w:b w:val="1"/>
                <w:bCs w:val="1"/>
                <w:color w:val="auto"/>
                <w:w w:val="94"/>
              </w:rPr>
              <w:t>April 30,</w:t>
            </w:r>
          </w:p>
        </w:tc>
        <w:tc>
          <w:tcPr>
            <w:tcW w:w="420" w:type="dxa"/>
            <w:vAlign w:val="bottom"/>
          </w:tcPr>
          <w:p>
            <w:pPr>
              <w:spacing w:after="0"/>
              <w:rPr>
                <w:sz w:val="21"/>
                <w:szCs w:val="21"/>
                <w:color w:val="auto"/>
              </w:rPr>
            </w:pPr>
          </w:p>
        </w:tc>
        <w:tc>
          <w:tcPr>
            <w:tcW w:w="1340" w:type="dxa"/>
            <w:vAlign w:val="bottom"/>
            <w:gridSpan w:val="5"/>
          </w:tcPr>
          <w:p>
            <w:pPr>
              <w:jc w:val="center"/>
              <w:ind w:right="100"/>
              <w:spacing w:after="0" w:line="243" w:lineRule="exact"/>
              <w:rPr>
                <w:sz w:val="20"/>
                <w:szCs w:val="20"/>
                <w:color w:val="auto"/>
              </w:rPr>
            </w:pPr>
            <w:r>
              <w:rPr>
                <w:rFonts w:ascii="Arial" w:cs="Arial" w:eastAsia="Arial" w:hAnsi="Arial"/>
                <w:sz w:val="22"/>
                <w:szCs w:val="22"/>
                <w:b w:val="1"/>
                <w:bCs w:val="1"/>
                <w:color w:val="auto"/>
                <w:w w:val="89"/>
              </w:rPr>
              <w:t>January 31,</w:t>
            </w:r>
          </w:p>
        </w:tc>
      </w:tr>
      <w:tr>
        <w:trPr>
          <w:trHeight w:val="23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12"/>
              <w:spacing w:after="0" w:line="230" w:lineRule="exact"/>
              <w:rPr>
                <w:sz w:val="20"/>
                <w:szCs w:val="20"/>
                <w:color w:val="auto"/>
              </w:rPr>
            </w:pPr>
            <w:r>
              <w:rPr>
                <w:rFonts w:ascii="Arial" w:cs="Arial" w:eastAsia="Arial" w:hAnsi="Arial"/>
                <w:sz w:val="22"/>
                <w:szCs w:val="22"/>
                <w:b w:val="1"/>
                <w:bCs w:val="1"/>
                <w:color w:val="auto"/>
              </w:rPr>
              <w:t>2022</w:t>
            </w:r>
          </w:p>
        </w:tc>
        <w:tc>
          <w:tcPr>
            <w:tcW w:w="130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2022</w:t>
            </w:r>
          </w:p>
        </w:tc>
        <w:tc>
          <w:tcPr>
            <w:tcW w:w="400" w:type="dxa"/>
            <w:vAlign w:val="bottom"/>
          </w:tcPr>
          <w:p>
            <w:pPr>
              <w:spacing w:after="0"/>
              <w:rPr>
                <w:sz w:val="19"/>
                <w:szCs w:val="19"/>
                <w:color w:val="auto"/>
              </w:rPr>
            </w:pPr>
          </w:p>
        </w:tc>
        <w:tc>
          <w:tcPr>
            <w:tcW w:w="1300" w:type="dxa"/>
            <w:vAlign w:val="bottom"/>
            <w:gridSpan w:val="4"/>
          </w:tcPr>
          <w:p>
            <w:pPr>
              <w:jc w:val="right"/>
              <w:ind w:right="40"/>
              <w:spacing w:after="0" w:line="230" w:lineRule="exact"/>
              <w:rPr>
                <w:sz w:val="20"/>
                <w:szCs w:val="20"/>
                <w:color w:val="auto"/>
              </w:rPr>
            </w:pPr>
            <w:r>
              <w:rPr>
                <w:rFonts w:ascii="Arial" w:cs="Arial" w:eastAsia="Arial" w:hAnsi="Arial"/>
                <w:sz w:val="22"/>
                <w:szCs w:val="22"/>
                <w:b w:val="1"/>
                <w:bCs w:val="1"/>
                <w:color w:val="auto"/>
              </w:rPr>
              <w:t>2022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Commodity futures (1)</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E5FFFF"/>
          </w:tcPr>
          <w:p>
            <w:pPr>
              <w:jc w:val="right"/>
              <w:ind w:right="197"/>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4,066</w:t>
            </w:r>
          </w:p>
        </w:tc>
        <w:tc>
          <w:tcPr>
            <w:tcW w:w="820" w:type="dxa"/>
            <w:vAlign w:val="bottom"/>
            <w:gridSpan w:val="2"/>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92"/>
              </w:rPr>
              <w:t>933</w:t>
            </w:r>
          </w:p>
        </w:tc>
      </w:tr>
      <w:tr>
        <w:trPr>
          <w:trHeight w:val="257"/>
        </w:trPr>
        <w:tc>
          <w:tcPr>
            <w:tcW w:w="4840" w:type="dxa"/>
            <w:vAlign w:val="bottom"/>
          </w:tcPr>
          <w:p>
            <w:pPr>
              <w:ind w:left="120"/>
              <w:spacing w:after="0"/>
              <w:rPr>
                <w:sz w:val="20"/>
                <w:szCs w:val="20"/>
                <w:color w:val="auto"/>
              </w:rPr>
            </w:pPr>
            <w:r>
              <w:rPr>
                <w:rFonts w:ascii="Arial" w:cs="Arial" w:eastAsia="Arial" w:hAnsi="Arial"/>
                <w:sz w:val="22"/>
                <w:szCs w:val="22"/>
                <w:color w:val="auto"/>
              </w:rPr>
              <w:t>Forward purchase contracts (2)</w:t>
            </w:r>
          </w:p>
        </w:tc>
        <w:tc>
          <w:tcPr>
            <w:tcW w:w="16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4,432</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22"/>
                <w:szCs w:val="22"/>
                <w:color w:val="auto"/>
              </w:rPr>
              <w:t>993</w:t>
            </w:r>
          </w:p>
        </w:tc>
        <w:tc>
          <w:tcPr>
            <w:tcW w:w="16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50"/>
        </w:trPr>
        <w:tc>
          <w:tcPr>
            <w:tcW w:w="4840" w:type="dxa"/>
            <w:vAlign w:val="bottom"/>
            <w:tcBorders>
              <w:top w:val="single" w:sz="8" w:color="E5FFFF"/>
              <w:bottom w:val="single" w:sz="8" w:color="E5FFFF"/>
            </w:tcBorders>
            <w:shd w:val="clear" w:color="auto" w:fill="E5FFFF"/>
          </w:tcPr>
          <w:p>
            <w:pPr>
              <w:ind w:left="120"/>
              <w:spacing w:after="0" w:line="250"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4,432</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97"/>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993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4,066</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Arial" w:cs="Arial" w:eastAsia="Arial" w:hAnsi="Arial"/>
                <w:sz w:val="22"/>
                <w:szCs w:val="22"/>
                <w:color w:val="auto"/>
                <w:w w:val="81"/>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0" w:type="dxa"/>
            <w:vAlign w:val="bottom"/>
            <w:tcBorders>
              <w:top w:val="single" w:sz="8" w:color="auto"/>
              <w:bottom w:val="single" w:sz="8" w:color="auto"/>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2"/>
              </w:rPr>
              <w:t>933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260" w:hanging="9"/>
        <w:spacing w:after="0" w:line="287" w:lineRule="auto"/>
        <w:tabs>
          <w:tab w:leader="none" w:pos="613" w:val="left"/>
        </w:tabs>
        <w:numPr>
          <w:ilvl w:val="0"/>
          <w:numId w:val="6"/>
        </w:numPr>
        <w:rPr>
          <w:rFonts w:ascii="Arial" w:cs="Arial" w:eastAsia="Arial" w:hAnsi="Arial"/>
          <w:sz w:val="19"/>
          <w:szCs w:val="19"/>
          <w:color w:val="auto"/>
        </w:rPr>
      </w:pPr>
      <w:r>
        <w:rPr>
          <w:rFonts w:ascii="Arial" w:cs="Arial" w:eastAsia="Arial" w:hAnsi="Arial"/>
          <w:sz w:val="19"/>
          <w:szCs w:val="19"/>
          <w:color w:val="auto"/>
        </w:rPr>
        <w:t>Commodity futures liabilities are included in accrued expenses and other current liabilities. These contracts include short/sell positions for approximately 11.8 million bushels and 7.4 million bushels of corn at April 30, 2022 and January 31, 2022, respectively. Commodity futures assets, had there been any at either April 30, 2022 or January 31, 2022, would be included in “Prepaid expenses and other current assets” on the accompanying Consolidated Condensed Balance Sheets.</w:t>
      </w:r>
    </w:p>
    <w:p>
      <w:pPr>
        <w:spacing w:after="0" w:line="169" w:lineRule="exact"/>
        <w:rPr>
          <w:rFonts w:ascii="Arial" w:cs="Arial" w:eastAsia="Arial" w:hAnsi="Arial"/>
          <w:sz w:val="19"/>
          <w:szCs w:val="19"/>
          <w:color w:val="auto"/>
        </w:rPr>
      </w:pPr>
    </w:p>
    <w:p>
      <w:pPr>
        <w:jc w:val="both"/>
        <w:ind w:left="260" w:hanging="9"/>
        <w:spacing w:after="0" w:line="287" w:lineRule="auto"/>
        <w:tabs>
          <w:tab w:leader="none" w:pos="606" w:val="left"/>
        </w:tabs>
        <w:numPr>
          <w:ilvl w:val="0"/>
          <w:numId w:val="6"/>
        </w:numPr>
        <w:rPr>
          <w:rFonts w:ascii="Arial" w:cs="Arial" w:eastAsia="Arial" w:hAnsi="Arial"/>
          <w:sz w:val="19"/>
          <w:szCs w:val="19"/>
          <w:color w:val="auto"/>
        </w:rPr>
      </w:pPr>
      <w:r>
        <w:rPr>
          <w:rFonts w:ascii="Arial" w:cs="Arial" w:eastAsia="Arial" w:hAnsi="Arial"/>
          <w:sz w:val="19"/>
          <w:szCs w:val="19"/>
          <w:color w:val="auto"/>
        </w:rPr>
        <w:t>Forward purchase contracts assets are included in prepaid expenses and other current assets. These contracts are for purchases of approximately 20.3 million bushels and 19.2 million bushels of corn at April 30, 2022 and January 31, 2022, respectively. Forward contract liabilities, had there been any at either April 30, 2022 or January 31, 2022, would be included in “Accrued expenses and other current liabilities” on the accompanying Consolidate Condensed Balance Sheets.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As of April 30, 2022, and January 31, 2022, all of the derivative financial instruments held by the Company were subject to enforceable master netting arrangements with the counterparty. The Company’s accounting policy is to offset positions and amounts owed or owing with the same counterparty. As of April 30, 2022, and January 31, 2022,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$4,920,000 and approximately $2,222,000 to secure the Company’s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ind w:right="300"/>
        <w:spacing w:after="0" w:line="250" w:lineRule="auto"/>
        <w:rPr>
          <w:sz w:val="20"/>
          <w:szCs w:val="20"/>
          <w:color w:val="auto"/>
        </w:rPr>
      </w:pPr>
      <w:r>
        <w:rPr>
          <w:rFonts w:ascii="Arial" w:cs="Arial" w:eastAsia="Arial" w:hAnsi="Arial"/>
          <w:sz w:val="22"/>
          <w:szCs w:val="22"/>
          <w:color w:val="auto"/>
        </w:rPr>
        <w:t>derivative liability position at April 30, 2022 and January 31, 2022, respectively, which is recorded as “Restricted cash” on the accompanying Consolidated Condensed Balance Sheets.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1040" w:firstLine="648"/>
        <w:spacing w:after="0" w:line="257" w:lineRule="auto"/>
        <w:rPr>
          <w:sz w:val="20"/>
          <w:szCs w:val="20"/>
          <w:color w:val="auto"/>
        </w:rPr>
      </w:pPr>
      <w:r>
        <w:rPr>
          <w:rFonts w:ascii="Arial" w:cs="Arial" w:eastAsia="Arial" w:hAnsi="Arial"/>
          <w:sz w:val="21"/>
          <w:szCs w:val="21"/>
          <w:color w:val="auto"/>
        </w:rPr>
        <w:t>The Company recognized gains (losses), which are included in “Net sales and revenue” in the accompanying Consolidated Condensed Statement of Operations, on derivative financial instruments of approximately $322,000 and $(1,126,000) for the first quarter of fiscal years 2022 and 2021, respectively.</w:t>
      </w:r>
    </w:p>
    <w:p>
      <w:pPr>
        <w:spacing w:after="0" w:line="196"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Company recognized losses, which are included in “ Cost of sales” in the accompanying Consolidated Condensed Statement of Operations, on derivative financial instruments of approximately $11,776,000 and approximately $1,894,000 for the first quarter of fiscal years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 in Big River</w:t>
      </w:r>
    </w:p>
    <w:p>
      <w:pPr>
        <w:spacing w:after="0" w:line="239"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April 30, 2022 and January 31, 2022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80" w:type="dxa"/>
            <w:vAlign w:val="bottom"/>
            <w:gridSpan w:val="4"/>
          </w:tcPr>
          <w:p>
            <w:pPr>
              <w:jc w:val="right"/>
              <w:ind w:right="1080"/>
              <w:spacing w:after="0"/>
              <w:rPr>
                <w:sz w:val="20"/>
                <w:szCs w:val="20"/>
                <w:color w:val="auto"/>
              </w:rPr>
            </w:pPr>
            <w:r>
              <w:rPr>
                <w:rFonts w:ascii="Arial" w:cs="Arial" w:eastAsia="Arial" w:hAnsi="Arial"/>
                <w:sz w:val="22"/>
                <w:szCs w:val="22"/>
                <w:b w:val="1"/>
                <w:bCs w:val="1"/>
                <w:color w:val="auto"/>
              </w:rPr>
              <w:t>Carrying Amount</w:t>
            </w:r>
          </w:p>
        </w:tc>
      </w:tr>
      <w:tr>
        <w:trPr>
          <w:trHeight w:val="230"/>
        </w:trPr>
        <w:tc>
          <w:tcPr>
            <w:tcW w:w="266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Entity</w:t>
            </w:r>
          </w:p>
        </w:tc>
        <w:tc>
          <w:tcPr>
            <w:tcW w:w="246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Ownership Percentage</w:t>
            </w:r>
          </w:p>
        </w:tc>
        <w:tc>
          <w:tcPr>
            <w:tcW w:w="1940" w:type="dxa"/>
            <w:vAlign w:val="bottom"/>
            <w:gridSpan w:val="3"/>
          </w:tcPr>
          <w:p>
            <w:pPr>
              <w:jc w:val="right"/>
              <w:ind w:right="240"/>
              <w:spacing w:after="0" w:line="230" w:lineRule="exact"/>
              <w:rPr>
                <w:sz w:val="20"/>
                <w:szCs w:val="20"/>
                <w:color w:val="auto"/>
              </w:rPr>
            </w:pPr>
            <w:r>
              <w:rPr>
                <w:rFonts w:ascii="Arial" w:cs="Arial" w:eastAsia="Arial" w:hAnsi="Arial"/>
                <w:sz w:val="22"/>
                <w:szCs w:val="22"/>
                <w:b w:val="1"/>
                <w:bCs w:val="1"/>
                <w:color w:val="auto"/>
              </w:rPr>
              <w:t>April 30, 2022</w:t>
            </w:r>
          </w:p>
        </w:tc>
        <w:tc>
          <w:tcPr>
            <w:tcW w:w="184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January 31, 2022</w:t>
            </w:r>
          </w:p>
        </w:tc>
      </w:tr>
      <w:tr>
        <w:trPr>
          <w:trHeight w:val="20"/>
        </w:trPr>
        <w:tc>
          <w:tcPr>
            <w:tcW w:w="5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17"/>
        </w:trPr>
        <w:tc>
          <w:tcPr>
            <w:tcW w:w="266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080" w:type="dxa"/>
            <w:vAlign w:val="bottom"/>
          </w:tcPr>
          <w:p>
            <w:pPr>
              <w:jc w:val="right"/>
              <w:ind w:right="612"/>
              <w:spacing w:after="0"/>
              <w:rPr>
                <w:sz w:val="20"/>
                <w:szCs w:val="20"/>
                <w:color w:val="auto"/>
              </w:rPr>
            </w:pPr>
            <w:r>
              <w:rPr>
                <w:rFonts w:ascii="Arial" w:cs="Arial" w:eastAsia="Arial" w:hAnsi="Arial"/>
                <w:sz w:val="22"/>
                <w:szCs w:val="22"/>
                <w:color w:val="auto"/>
              </w:rPr>
              <w:t>10.3%</w:t>
            </w:r>
          </w:p>
        </w:tc>
        <w:tc>
          <w:tcPr>
            <w:tcW w:w="3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22"/>
                <w:szCs w:val="22"/>
                <w:color w:val="auto"/>
              </w:rPr>
              <w:t>$32,517</w:t>
            </w:r>
          </w:p>
        </w:tc>
        <w:tc>
          <w:tcPr>
            <w:tcW w:w="1840" w:type="dxa"/>
            <w:vAlign w:val="bottom"/>
            <w:gridSpan w:val="2"/>
          </w:tcPr>
          <w:p>
            <w:pPr>
              <w:jc w:val="right"/>
              <w:spacing w:after="0"/>
              <w:rPr>
                <w:sz w:val="20"/>
                <w:szCs w:val="20"/>
                <w:color w:val="auto"/>
              </w:rPr>
            </w:pPr>
            <w:r>
              <w:rPr>
                <w:rFonts w:ascii="Arial" w:cs="Arial" w:eastAsia="Arial" w:hAnsi="Arial"/>
                <w:sz w:val="22"/>
                <w:szCs w:val="22"/>
                <w:color w:val="auto"/>
              </w:rPr>
              <w:t>$30,566</w:t>
            </w:r>
          </w:p>
        </w:tc>
      </w:tr>
    </w:tbl>
    <w:p>
      <w:pPr>
        <w:spacing w:after="0" w:line="212"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Undistributed earnings of the Company’s equity method investee totaled approximately $12.5 million and approximately $10.5 million at April 30, 2022 and January 31, 2022, respectively. The Company did not receive any dividends from its equity method investee in the first quarter of fiscal year 2022 and 2021.</w:t>
      </w:r>
    </w:p>
    <w:p>
      <w:pPr>
        <w:spacing w:after="0" w:line="21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22"/>
                <w:szCs w:val="22"/>
                <w:b w:val="1"/>
                <w:bCs w:val="1"/>
                <w:color w:val="auto"/>
                <w:w w:val="91"/>
              </w:rPr>
              <w:t>Three Months Ended</w:t>
            </w:r>
          </w:p>
        </w:tc>
        <w:tc>
          <w:tcPr>
            <w:tcW w:w="0" w:type="dxa"/>
            <w:vAlign w:val="bottom"/>
          </w:tcPr>
          <w:p>
            <w:pPr>
              <w:spacing w:after="0"/>
              <w:rPr>
                <w:sz w:val="1"/>
                <w:szCs w:val="1"/>
                <w:color w:val="auto"/>
              </w:rPr>
            </w:pPr>
          </w:p>
        </w:tc>
      </w:tr>
      <w:tr>
        <w:trPr>
          <w:trHeight w:val="280"/>
        </w:trPr>
        <w:tc>
          <w:tcPr>
            <w:tcW w:w="4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2022</w:t>
            </w:r>
          </w:p>
        </w:tc>
        <w:tc>
          <w:tcPr>
            <w:tcW w:w="900" w:type="dxa"/>
            <w:vAlign w:val="bottom"/>
            <w:gridSpan w:val="2"/>
          </w:tcPr>
          <w:p>
            <w:pPr>
              <w:jc w:val="right"/>
              <w:spacing w:after="0"/>
              <w:rPr>
                <w:sz w:val="20"/>
                <w:szCs w:val="20"/>
                <w:color w:val="auto"/>
              </w:rPr>
            </w:pPr>
            <w:r>
              <w:rPr>
                <w:rFonts w:ascii="Arial" w:cs="Arial" w:eastAsia="Arial" w:hAnsi="Arial"/>
                <w:sz w:val="22"/>
                <w:szCs w:val="22"/>
                <w:b w:val="1"/>
                <w:bCs w:val="1"/>
                <w:color w:val="auto"/>
                <w:w w:val="96"/>
              </w:rPr>
              <w:t>April 30,</w:t>
            </w: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22"/>
                <w:szCs w:val="22"/>
                <w:b w:val="1"/>
                <w:bCs w:val="1"/>
                <w:color w:val="auto"/>
                <w:w w:val="85"/>
              </w:rPr>
              <w:t>2021</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351,746</w:t>
            </w:r>
          </w:p>
        </w:tc>
        <w:tc>
          <w:tcPr>
            <w:tcW w:w="46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0"/>
              </w:rPr>
              <w:t>256,416</w:t>
            </w:r>
          </w:p>
        </w:tc>
        <w:tc>
          <w:tcPr>
            <w:tcW w:w="0" w:type="dxa"/>
            <w:vAlign w:val="bottom"/>
          </w:tcPr>
          <w:p>
            <w:pPr>
              <w:spacing w:after="0"/>
              <w:rPr>
                <w:sz w:val="1"/>
                <w:szCs w:val="1"/>
                <w:color w:val="auto"/>
              </w:rPr>
            </w:pPr>
          </w:p>
        </w:tc>
      </w:tr>
      <w:tr>
        <w:trPr>
          <w:trHeight w:val="243"/>
        </w:trPr>
        <w:tc>
          <w:tcPr>
            <w:tcW w:w="424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32"/>
              <w:spacing w:after="0" w:line="243" w:lineRule="exact"/>
              <w:rPr>
                <w:sz w:val="20"/>
                <w:szCs w:val="20"/>
                <w:color w:val="auto"/>
              </w:rPr>
            </w:pPr>
            <w:r>
              <w:rPr>
                <w:rFonts w:ascii="Arial" w:cs="Arial" w:eastAsia="Arial" w:hAnsi="Arial"/>
                <w:sz w:val="22"/>
                <w:szCs w:val="22"/>
                <w:color w:val="auto"/>
              </w:rPr>
              <w:t>22,024</w:t>
            </w:r>
          </w:p>
        </w:tc>
        <w:tc>
          <w:tcPr>
            <w:tcW w:w="460" w:type="dxa"/>
            <w:vAlign w:val="bottom"/>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1,544</w:t>
            </w:r>
          </w:p>
        </w:tc>
        <w:tc>
          <w:tcPr>
            <w:tcW w:w="0" w:type="dxa"/>
            <w:vAlign w:val="bottom"/>
          </w:tcPr>
          <w:p>
            <w:pPr>
              <w:spacing w:after="0"/>
              <w:rPr>
                <w:sz w:val="1"/>
                <w:szCs w:val="1"/>
                <w:color w:val="auto"/>
              </w:rPr>
            </w:pPr>
          </w:p>
        </w:tc>
      </w:tr>
      <w:tr>
        <w:trPr>
          <w:trHeight w:val="243"/>
        </w:trPr>
        <w:tc>
          <w:tcPr>
            <w:tcW w:w="4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from continuing operations</w:t>
            </w: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18,925</w:t>
            </w:r>
          </w:p>
        </w:tc>
        <w:tc>
          <w:tcPr>
            <w:tcW w:w="46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5,535</w:t>
            </w:r>
          </w:p>
        </w:tc>
        <w:tc>
          <w:tcPr>
            <w:tcW w:w="0" w:type="dxa"/>
            <w:vAlign w:val="bottom"/>
          </w:tcPr>
          <w:p>
            <w:pPr>
              <w:spacing w:after="0"/>
              <w:rPr>
                <w:sz w:val="1"/>
                <w:szCs w:val="1"/>
                <w:color w:val="auto"/>
              </w:rPr>
            </w:pPr>
          </w:p>
        </w:tc>
      </w:tr>
      <w:tr>
        <w:trPr>
          <w:trHeight w:val="274"/>
        </w:trPr>
        <w:tc>
          <w:tcPr>
            <w:tcW w:w="4240" w:type="dxa"/>
            <w:vAlign w:val="bottom"/>
          </w:tcPr>
          <w:p>
            <w:pPr>
              <w:spacing w:after="0"/>
              <w:rPr>
                <w:sz w:val="20"/>
                <w:szCs w:val="20"/>
                <w:color w:val="auto"/>
              </w:rPr>
            </w:pPr>
            <w:r>
              <w:rPr>
                <w:rFonts w:ascii="Arial" w:cs="Arial" w:eastAsia="Arial" w:hAnsi="Arial"/>
                <w:sz w:val="22"/>
                <w:szCs w:val="22"/>
                <w:color w:val="auto"/>
              </w:rPr>
              <w:t>Net income</w:t>
            </w: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32"/>
              <w:spacing w:after="0"/>
              <w:rPr>
                <w:sz w:val="20"/>
                <w:szCs w:val="20"/>
                <w:color w:val="auto"/>
              </w:rPr>
            </w:pPr>
            <w:r>
              <w:rPr>
                <w:rFonts w:ascii="Arial" w:cs="Arial" w:eastAsia="Arial" w:hAnsi="Arial"/>
                <w:sz w:val="22"/>
                <w:szCs w:val="22"/>
                <w:color w:val="auto"/>
              </w:rPr>
              <w:t>18,925</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5,535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Investments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At April 30, 2022, the Company owned certificates of deposit and United States Treasury Bills that had an amortized cost, or carrying value, of approximately $167.3 million. The contractual maturity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ind w:right="400"/>
        <w:spacing w:after="0" w:line="250" w:lineRule="auto"/>
        <w:rPr>
          <w:sz w:val="20"/>
          <w:szCs w:val="20"/>
          <w:color w:val="auto"/>
        </w:rPr>
      </w:pPr>
      <w:r>
        <w:rPr>
          <w:rFonts w:ascii="Arial" w:cs="Arial" w:eastAsia="Arial" w:hAnsi="Arial"/>
          <w:sz w:val="22"/>
          <w:szCs w:val="22"/>
          <w:color w:val="auto"/>
        </w:rPr>
        <w:t>these investments was less than one year. The yield to maturity rate was approximately 0.7%. Unrealized gains or losses were insignificant.</w:t>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January 31, 2022, the Company owned certificates of deposit that had an amortized cost, or carrying value, of approximately $25,877,000. The contractual maturity of these investments was less than one year. The yield to maturity rate was approximately 0.1%.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2022, 471,027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spacing w:after="0" w:line="4"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6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At April 30, 2022 and January 31, 2022, unrecognized compensation cost related to nonvested restricted stock was approximately $190,000 and $97,000 respectively. The following tables summarize non-vested restricted stock award activity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10"/>
          </w:tcPr>
          <w:p>
            <w:pPr>
              <w:ind w:left="60"/>
              <w:spacing w:after="0"/>
              <w:rPr>
                <w:sz w:val="20"/>
                <w:szCs w:val="20"/>
                <w:color w:val="auto"/>
              </w:rPr>
            </w:pPr>
            <w:r>
              <w:rPr>
                <w:rFonts w:ascii="Arial" w:cs="Arial" w:eastAsia="Arial" w:hAnsi="Arial"/>
                <w:sz w:val="22"/>
                <w:szCs w:val="22"/>
                <w:b w:val="1"/>
                <w:bCs w:val="1"/>
                <w:color w:val="auto"/>
              </w:rPr>
              <w:t>Three Months Ended April 30, 2022</w:t>
            </w:r>
          </w:p>
        </w:tc>
      </w:tr>
      <w:tr>
        <w:trPr>
          <w:trHeight w:val="449"/>
        </w:trPr>
        <w:tc>
          <w:tcPr>
            <w:tcW w:w="4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center"/>
              <w:ind w:right="520"/>
              <w:spacing w:after="0"/>
              <w:rPr>
                <w:sz w:val="20"/>
                <w:szCs w:val="20"/>
                <w:color w:val="auto"/>
              </w:rPr>
            </w:pPr>
            <w:r>
              <w:rPr>
                <w:rFonts w:ascii="Arial" w:cs="Arial" w:eastAsia="Arial" w:hAnsi="Arial"/>
                <w:sz w:val="22"/>
                <w:szCs w:val="22"/>
                <w:b w:val="1"/>
                <w:bCs w:val="1"/>
                <w:color w:val="auto"/>
                <w:w w:val="88"/>
              </w:rPr>
              <w:t>Weighted</w:t>
            </w:r>
          </w:p>
        </w:tc>
        <w:tc>
          <w:tcPr>
            <w:tcW w:w="216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40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80" w:type="dxa"/>
            <w:vAlign w:val="bottom"/>
            <w:gridSpan w:val="5"/>
          </w:tcPr>
          <w:p>
            <w:pPr>
              <w:jc w:val="center"/>
              <w:ind w:right="36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160" w:type="dxa"/>
            <w:vAlign w:val="bottom"/>
            <w:gridSpan w:val="4"/>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4080" w:type="dxa"/>
            <w:vAlign w:val="bottom"/>
          </w:tcPr>
          <w:p>
            <w:pPr>
              <w:spacing w:after="0"/>
              <w:rPr>
                <w:sz w:val="21"/>
                <w:szCs w:val="21"/>
                <w:color w:val="auto"/>
              </w:rPr>
            </w:pPr>
          </w:p>
        </w:tc>
        <w:tc>
          <w:tcPr>
            <w:tcW w:w="2440" w:type="dxa"/>
            <w:vAlign w:val="bottom"/>
            <w:gridSpan w:val="4"/>
          </w:tcPr>
          <w:p>
            <w:pPr>
              <w:jc w:val="center"/>
              <w:ind w:left="1152"/>
              <w:spacing w:after="0" w:line="243" w:lineRule="exact"/>
              <w:rPr>
                <w:sz w:val="20"/>
                <w:szCs w:val="20"/>
                <w:color w:val="auto"/>
              </w:rPr>
            </w:pPr>
            <w:r>
              <w:rPr>
                <w:rFonts w:ascii="Arial" w:cs="Arial" w:eastAsia="Arial" w:hAnsi="Arial"/>
                <w:sz w:val="22"/>
                <w:szCs w:val="22"/>
                <w:b w:val="1"/>
                <w:bCs w:val="1"/>
                <w:color w:val="auto"/>
                <w:w w:val="86"/>
              </w:rPr>
              <w:t>Non-Vested</w:t>
            </w:r>
          </w:p>
        </w:tc>
        <w:tc>
          <w:tcPr>
            <w:tcW w:w="2580" w:type="dxa"/>
            <w:vAlign w:val="bottom"/>
            <w:gridSpan w:val="6"/>
          </w:tcPr>
          <w:p>
            <w:pPr>
              <w:jc w:val="center"/>
              <w:ind w:left="352"/>
              <w:spacing w:after="0" w:line="243" w:lineRule="exact"/>
              <w:rPr>
                <w:sz w:val="20"/>
                <w:szCs w:val="20"/>
                <w:color w:val="auto"/>
              </w:rPr>
            </w:pPr>
            <w:r>
              <w:rPr>
                <w:rFonts w:ascii="Arial" w:cs="Arial" w:eastAsia="Arial" w:hAnsi="Arial"/>
                <w:sz w:val="22"/>
                <w:szCs w:val="22"/>
                <w:b w:val="1"/>
                <w:bCs w:val="1"/>
                <w:color w:val="auto"/>
                <w:w w:val="90"/>
              </w:rPr>
              <w:t>Date Fair Value</w:t>
            </w:r>
          </w:p>
        </w:tc>
        <w:tc>
          <w:tcPr>
            <w:tcW w:w="2160" w:type="dxa"/>
            <w:vAlign w:val="bottom"/>
            <w:gridSpan w:val="4"/>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30"/>
        </w:trPr>
        <w:tc>
          <w:tcPr>
            <w:tcW w:w="4080" w:type="dxa"/>
            <w:vAlign w:val="bottom"/>
          </w:tcPr>
          <w:p>
            <w:pPr>
              <w:spacing w:after="0"/>
              <w:rPr>
                <w:sz w:val="19"/>
                <w:szCs w:val="19"/>
                <w:color w:val="auto"/>
              </w:rPr>
            </w:pPr>
          </w:p>
        </w:tc>
        <w:tc>
          <w:tcPr>
            <w:tcW w:w="2440" w:type="dxa"/>
            <w:vAlign w:val="bottom"/>
            <w:gridSpan w:val="4"/>
          </w:tcPr>
          <w:p>
            <w:pPr>
              <w:jc w:val="center"/>
              <w:ind w:left="1152"/>
              <w:spacing w:after="0" w:line="230" w:lineRule="exact"/>
              <w:rPr>
                <w:sz w:val="20"/>
                <w:szCs w:val="20"/>
                <w:color w:val="auto"/>
              </w:rPr>
            </w:pPr>
            <w:r>
              <w:rPr>
                <w:rFonts w:ascii="Arial" w:cs="Arial" w:eastAsia="Arial" w:hAnsi="Arial"/>
                <w:sz w:val="22"/>
                <w:szCs w:val="22"/>
                <w:b w:val="1"/>
                <w:bCs w:val="1"/>
                <w:color w:val="auto"/>
                <w:w w:val="84"/>
              </w:rPr>
              <w:t>Shares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center"/>
              <w:ind w:right="760"/>
              <w:spacing w:after="0" w:line="230" w:lineRule="exact"/>
              <w:rPr>
                <w:sz w:val="20"/>
                <w:szCs w:val="20"/>
                <w:color w:val="auto"/>
              </w:rPr>
            </w:pPr>
            <w:r>
              <w:rPr>
                <w:rFonts w:ascii="Arial" w:cs="Arial" w:eastAsia="Arial" w:hAnsi="Arial"/>
                <w:sz w:val="22"/>
                <w:szCs w:val="22"/>
                <w:b w:val="1"/>
                <w:bCs w:val="1"/>
                <w:color w:val="auto"/>
                <w:w w:val="88"/>
              </w:rPr>
              <w:t>(000’s)</w:t>
            </w:r>
          </w:p>
        </w:tc>
        <w:tc>
          <w:tcPr>
            <w:tcW w:w="2160" w:type="dxa"/>
            <w:vAlign w:val="bottom"/>
            <w:gridSpan w:val="4"/>
          </w:tcPr>
          <w:p>
            <w:pPr>
              <w:jc w:val="center"/>
              <w:ind w:left="212"/>
              <w:spacing w:after="0" w:line="230" w:lineRule="exact"/>
              <w:rPr>
                <w:sz w:val="20"/>
                <w:szCs w:val="20"/>
                <w:color w:val="auto"/>
              </w:rPr>
            </w:pPr>
            <w:r>
              <w:rPr>
                <w:rFonts w:ascii="Arial" w:cs="Arial" w:eastAsia="Arial" w:hAnsi="Arial"/>
                <w:sz w:val="22"/>
                <w:szCs w:val="22"/>
                <w:b w:val="1"/>
                <w:bCs w:val="1"/>
                <w:color w:val="auto"/>
                <w:w w:val="89"/>
              </w:rPr>
              <w:t>(in years)</w:t>
            </w:r>
          </w:p>
        </w:tc>
      </w:tr>
      <w:tr>
        <w:trPr>
          <w:trHeight w:val="263"/>
        </w:trPr>
        <w:tc>
          <w:tcPr>
            <w:tcW w:w="4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2022</w:t>
            </w:r>
          </w:p>
        </w:tc>
        <w:tc>
          <w:tcPr>
            <w:tcW w:w="2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10,061</w:t>
            </w:r>
          </w:p>
        </w:tc>
        <w:tc>
          <w:tcPr>
            <w:tcW w:w="2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773</w:t>
            </w:r>
          </w:p>
        </w:tc>
        <w:tc>
          <w:tcPr>
            <w:tcW w:w="76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w:t>
            </w: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8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21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2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22"/>
                <w:szCs w:val="22"/>
                <w:color w:val="auto"/>
              </w:rPr>
              <w:t>Vested</w:t>
            </w:r>
          </w:p>
        </w:tc>
        <w:tc>
          <w:tcPr>
            <w:tcW w:w="21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8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2022</w:t>
            </w:r>
          </w:p>
        </w:tc>
        <w:tc>
          <w:tcPr>
            <w:tcW w:w="216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10,061</w:t>
            </w:r>
          </w:p>
        </w:tc>
        <w:tc>
          <w:tcPr>
            <w:tcW w:w="28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ind w:right="120"/>
              <w:spacing w:after="0"/>
              <w:rPr>
                <w:sz w:val="20"/>
                <w:szCs w:val="20"/>
                <w:color w:val="auto"/>
              </w:rPr>
            </w:pPr>
            <w:r>
              <w:rPr>
                <w:rFonts w:ascii="Arial" w:cs="Arial" w:eastAsia="Arial" w:hAnsi="Arial"/>
                <w:sz w:val="22"/>
                <w:szCs w:val="22"/>
                <w:color w:val="auto"/>
              </w:rPr>
              <w:t>773</w:t>
            </w:r>
          </w:p>
        </w:tc>
        <w:tc>
          <w:tcPr>
            <w:tcW w:w="760" w:type="dxa"/>
            <w:vAlign w:val="bottom"/>
            <w:shd w:val="clear" w:color="auto" w:fill="E5FFFF"/>
          </w:tcPr>
          <w:p>
            <w:pPr>
              <w:spacing w:after="0"/>
              <w:rPr>
                <w:sz w:val="23"/>
                <w:szCs w:val="23"/>
                <w:color w:val="auto"/>
              </w:rPr>
            </w:pP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1</w:t>
            </w:r>
          </w:p>
        </w:tc>
        <w:tc>
          <w:tcPr>
            <w:tcW w:w="46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4080" w:type="dxa"/>
            <w:vAlign w:val="bottom"/>
            <w:tcBorders>
              <w:top w:val="single" w:sz="8" w:color="E5FFFF"/>
            </w:tcBorders>
          </w:tcPr>
          <w:p>
            <w:pPr>
              <w:spacing w:after="0" w:line="20" w:lineRule="exact"/>
              <w:rPr>
                <w:sz w:val="1"/>
                <w:szCs w:val="1"/>
                <w:color w:val="auto"/>
              </w:rPr>
            </w:pPr>
          </w:p>
        </w:tc>
        <w:tc>
          <w:tcPr>
            <w:tcW w:w="15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4080" w:type="dxa"/>
            <w:vAlign w:val="bottom"/>
          </w:tcPr>
          <w:p>
            <w:pPr>
              <w:spacing w:after="0"/>
              <w:rPr>
                <w:sz w:val="24"/>
                <w:szCs w:val="24"/>
                <w:color w:val="auto"/>
              </w:rPr>
            </w:pPr>
          </w:p>
        </w:tc>
        <w:tc>
          <w:tcPr>
            <w:tcW w:w="2160" w:type="dxa"/>
            <w:vAlign w:val="bottom"/>
            <w:gridSpan w:val="3"/>
          </w:tcPr>
          <w:p>
            <w:pPr>
              <w:jc w:val="right"/>
              <w:ind w:right="500"/>
              <w:spacing w:after="0"/>
              <w:rPr>
                <w:sz w:val="20"/>
                <w:szCs w:val="20"/>
                <w:color w:val="auto"/>
              </w:rPr>
            </w:pPr>
            <w:r>
              <w:rPr>
                <w:rFonts w:ascii="Arial" w:cs="Arial" w:eastAsia="Arial" w:hAnsi="Arial"/>
                <w:sz w:val="22"/>
                <w:szCs w:val="22"/>
                <w:color w:val="auto"/>
              </w:rPr>
              <w:t>19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4080" w:type="dxa"/>
            <w:vAlign w:val="bottom"/>
            <w:tcBorders>
              <w:bottom w:val="single" w:sz="8" w:color="C0C0C0"/>
            </w:tcBorders>
          </w:tcPr>
          <w:p>
            <w:pPr>
              <w:spacing w:after="0"/>
              <w:rPr>
                <w:sz w:val="20"/>
                <w:szCs w:val="20"/>
                <w:color w:val="auto"/>
              </w:rPr>
            </w:pPr>
          </w:p>
        </w:tc>
        <w:tc>
          <w:tcPr>
            <w:tcW w:w="15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60"/>
          </w:cols>
          <w:pgMar w:left="320" w:top="402" w:right="3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10"/>
          </w:tcPr>
          <w:p>
            <w:pPr>
              <w:ind w:left="80"/>
              <w:spacing w:after="0"/>
              <w:rPr>
                <w:sz w:val="20"/>
                <w:szCs w:val="20"/>
                <w:color w:val="auto"/>
              </w:rPr>
            </w:pPr>
            <w:r>
              <w:rPr>
                <w:rFonts w:ascii="Arial" w:cs="Arial" w:eastAsia="Arial" w:hAnsi="Arial"/>
                <w:sz w:val="22"/>
                <w:szCs w:val="22"/>
                <w:b w:val="1"/>
                <w:bCs w:val="1"/>
                <w:color w:val="auto"/>
              </w:rPr>
              <w:t>Three Months Ended April 30, 2021</w:t>
            </w:r>
          </w:p>
        </w:tc>
      </w:tr>
      <w:tr>
        <w:trPr>
          <w:trHeight w:val="449"/>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4"/>
          </w:tcPr>
          <w:p>
            <w:pPr>
              <w:jc w:val="center"/>
              <w:ind w:right="540"/>
              <w:spacing w:after="0"/>
              <w:rPr>
                <w:sz w:val="20"/>
                <w:szCs w:val="20"/>
                <w:color w:val="auto"/>
              </w:rPr>
            </w:pPr>
            <w:r>
              <w:rPr>
                <w:rFonts w:ascii="Arial" w:cs="Arial" w:eastAsia="Arial" w:hAnsi="Arial"/>
                <w:sz w:val="22"/>
                <w:szCs w:val="22"/>
                <w:b w:val="1"/>
                <w:bCs w:val="1"/>
                <w:color w:val="auto"/>
                <w:w w:val="88"/>
              </w:rPr>
              <w:t>Weighted</w:t>
            </w:r>
          </w:p>
        </w:tc>
        <w:tc>
          <w:tcPr>
            <w:tcW w:w="218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4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80" w:type="dxa"/>
            <w:vAlign w:val="bottom"/>
            <w:gridSpan w:val="5"/>
          </w:tcPr>
          <w:p>
            <w:pPr>
              <w:jc w:val="center"/>
              <w:ind w:right="30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180" w:type="dxa"/>
            <w:vAlign w:val="bottom"/>
            <w:gridSpan w:val="4"/>
          </w:tcPr>
          <w:p>
            <w:pPr>
              <w:jc w:val="center"/>
              <w:ind w:left="25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4040" w:type="dxa"/>
            <w:vAlign w:val="bottom"/>
          </w:tcPr>
          <w:p>
            <w:pPr>
              <w:spacing w:after="0"/>
              <w:rPr>
                <w:sz w:val="21"/>
                <w:szCs w:val="21"/>
                <w:color w:val="auto"/>
              </w:rPr>
            </w:pPr>
          </w:p>
        </w:tc>
        <w:tc>
          <w:tcPr>
            <w:tcW w:w="2420" w:type="dxa"/>
            <w:vAlign w:val="bottom"/>
            <w:gridSpan w:val="5"/>
          </w:tcPr>
          <w:p>
            <w:pPr>
              <w:jc w:val="center"/>
              <w:ind w:left="1092"/>
              <w:spacing w:after="0" w:line="243" w:lineRule="exact"/>
              <w:rPr>
                <w:sz w:val="20"/>
                <w:szCs w:val="20"/>
                <w:color w:val="auto"/>
              </w:rPr>
            </w:pPr>
            <w:r>
              <w:rPr>
                <w:rFonts w:ascii="Arial" w:cs="Arial" w:eastAsia="Arial" w:hAnsi="Arial"/>
                <w:sz w:val="22"/>
                <w:szCs w:val="22"/>
                <w:b w:val="1"/>
                <w:bCs w:val="1"/>
                <w:color w:val="auto"/>
                <w:w w:val="86"/>
              </w:rPr>
              <w:t>Non-Vested</w:t>
            </w:r>
          </w:p>
        </w:tc>
        <w:tc>
          <w:tcPr>
            <w:tcW w:w="740" w:type="dxa"/>
            <w:vAlign w:val="bottom"/>
          </w:tcPr>
          <w:p>
            <w:pPr>
              <w:spacing w:after="0"/>
              <w:rPr>
                <w:sz w:val="21"/>
                <w:szCs w:val="21"/>
                <w:color w:val="auto"/>
              </w:rPr>
            </w:pPr>
          </w:p>
        </w:tc>
        <w:tc>
          <w:tcPr>
            <w:tcW w:w="1880" w:type="dxa"/>
            <w:vAlign w:val="bottom"/>
            <w:gridSpan w:val="5"/>
          </w:tcPr>
          <w:p>
            <w:pPr>
              <w:jc w:val="center"/>
              <w:ind w:right="300"/>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2180" w:type="dxa"/>
            <w:vAlign w:val="bottom"/>
            <w:gridSpan w:val="4"/>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30"/>
        </w:trPr>
        <w:tc>
          <w:tcPr>
            <w:tcW w:w="4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40" w:type="dxa"/>
            <w:vAlign w:val="bottom"/>
            <w:gridSpan w:val="4"/>
          </w:tcPr>
          <w:p>
            <w:pPr>
              <w:jc w:val="center"/>
              <w:ind w:right="280"/>
              <w:spacing w:after="0" w:line="230" w:lineRule="exact"/>
              <w:rPr>
                <w:sz w:val="20"/>
                <w:szCs w:val="20"/>
                <w:color w:val="auto"/>
              </w:rPr>
            </w:pPr>
            <w:r>
              <w:rPr>
                <w:rFonts w:ascii="Arial" w:cs="Arial" w:eastAsia="Arial" w:hAnsi="Arial"/>
                <w:sz w:val="22"/>
                <w:szCs w:val="22"/>
                <w:b w:val="1"/>
                <w:bCs w:val="1"/>
                <w:color w:val="auto"/>
                <w:w w:val="84"/>
              </w:rPr>
              <w:t>Shares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ind w:right="780"/>
              <w:spacing w:after="0" w:line="230" w:lineRule="exact"/>
              <w:rPr>
                <w:sz w:val="20"/>
                <w:szCs w:val="20"/>
                <w:color w:val="auto"/>
              </w:rPr>
            </w:pPr>
            <w:r>
              <w:rPr>
                <w:rFonts w:ascii="Arial" w:cs="Arial" w:eastAsia="Arial" w:hAnsi="Arial"/>
                <w:sz w:val="22"/>
                <w:szCs w:val="22"/>
                <w:b w:val="1"/>
                <w:bCs w:val="1"/>
                <w:color w:val="auto"/>
                <w:w w:val="86"/>
              </w:rPr>
              <w:t>(000’s)</w:t>
            </w:r>
          </w:p>
        </w:tc>
        <w:tc>
          <w:tcPr>
            <w:tcW w:w="2180" w:type="dxa"/>
            <w:vAlign w:val="bottom"/>
            <w:gridSpan w:val="4"/>
          </w:tcPr>
          <w:p>
            <w:pPr>
              <w:jc w:val="center"/>
              <w:ind w:left="232"/>
              <w:spacing w:after="0" w:line="230" w:lineRule="exact"/>
              <w:rPr>
                <w:sz w:val="20"/>
                <w:szCs w:val="20"/>
                <w:color w:val="auto"/>
              </w:rPr>
            </w:pPr>
            <w:r>
              <w:rPr>
                <w:rFonts w:ascii="Arial" w:cs="Arial" w:eastAsia="Arial" w:hAnsi="Arial"/>
                <w:sz w:val="22"/>
                <w:szCs w:val="22"/>
                <w:b w:val="1"/>
                <w:bCs w:val="1"/>
                <w:color w:val="auto"/>
                <w:w w:val="89"/>
              </w:rPr>
              <w:t>(in years)</w:t>
            </w:r>
          </w:p>
        </w:tc>
      </w:tr>
      <w:tr>
        <w:trPr>
          <w:trHeight w:val="263"/>
        </w:trPr>
        <w:tc>
          <w:tcPr>
            <w:tcW w:w="4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2021</w:t>
            </w:r>
          </w:p>
        </w:tc>
        <w:tc>
          <w:tcPr>
            <w:tcW w:w="212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19,705</w:t>
            </w:r>
          </w:p>
        </w:tc>
        <w:tc>
          <w:tcPr>
            <w:tcW w:w="30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1,398</w:t>
            </w: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70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w:t>
            </w: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212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212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40" w:type="dxa"/>
            <w:vAlign w:val="bottom"/>
          </w:tcPr>
          <w:p>
            <w:pPr>
              <w:spacing w:after="0"/>
              <w:rPr>
                <w:sz w:val="20"/>
                <w:szCs w:val="20"/>
                <w:color w:val="auto"/>
              </w:rPr>
            </w:pPr>
            <w:r>
              <w:rPr>
                <w:rFonts w:ascii="Arial" w:cs="Arial" w:eastAsia="Arial" w:hAnsi="Arial"/>
                <w:sz w:val="22"/>
                <w:szCs w:val="22"/>
                <w:color w:val="auto"/>
              </w:rPr>
              <w:t>Vested</w:t>
            </w:r>
          </w:p>
        </w:tc>
        <w:tc>
          <w:tcPr>
            <w:tcW w:w="2120" w:type="dxa"/>
            <w:vAlign w:val="bottom"/>
            <w:gridSpan w:val="4"/>
          </w:tcPr>
          <w:p>
            <w:pPr>
              <w:jc w:val="right"/>
              <w:ind w:right="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4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2021</w:t>
            </w:r>
          </w:p>
        </w:tc>
        <w:tc>
          <w:tcPr>
            <w:tcW w:w="212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19,705</w:t>
            </w:r>
          </w:p>
        </w:tc>
        <w:tc>
          <w:tcPr>
            <w:tcW w:w="30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1,398</w:t>
            </w:r>
          </w:p>
        </w:tc>
        <w:tc>
          <w:tcPr>
            <w:tcW w:w="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1</w:t>
            </w:r>
          </w:p>
        </w:tc>
        <w:tc>
          <w:tcPr>
            <w:tcW w:w="46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404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21"/>
          <w:szCs w:val="21"/>
          <w:color w:val="auto"/>
        </w:rPr>
        <w:t>The above tables include 5,714 and 14,777 non-vested shares at April 30, 2022 and 2021,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The Company’s income tax provision from continuing operations was approximately $1.8 million and approximately $2.2 million for the three months ended April 30, 2022 and 2021, respectively.</w:t>
      </w:r>
    </w:p>
    <w:p>
      <w:pPr>
        <w:spacing w:after="0" w:line="202"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The Company did not have any activity classified as discontinued operations in the current fiscal year and therefore, did not have an income tax provision or benefit. The Company’s income tax benefit from discontinued operations was approximately $2.2 million for the three months ended April 30, 2021. The benefit is derived from the level of tax credits generated from the refined coal business and the tax benefit of the loss from operations. Through its refined coal business, the Company earned production tax credits pursuant to IRC Section 45. The credits can be used to reduce future income tax liabilities for up to 20 years.</w:t>
      </w:r>
    </w:p>
    <w:p>
      <w:pPr>
        <w:spacing w:after="0" w:line="215"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70"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96" w:right="319" w:bottom="1440" w:gutter="0" w:footer="0" w:header="0"/>
        </w:sectPr>
      </w:pPr>
    </w:p>
    <w:bookmarkStart w:id="20" w:name="page21"/>
    <w:bookmarkEnd w:id="20"/>
    <w:p>
      <w:pPr>
        <w:ind w:right="300" w:firstLine="648"/>
        <w:spacing w:after="0" w:line="282"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9"/>
          </w:tcPr>
          <w:p>
            <w:pPr>
              <w:ind w:left="20"/>
              <w:spacing w:after="0"/>
              <w:rPr>
                <w:sz w:val="20"/>
                <w:szCs w:val="20"/>
                <w:color w:val="auto"/>
              </w:rPr>
            </w:pPr>
            <w:r>
              <w:rPr>
                <w:rFonts w:ascii="Arial" w:cs="Arial" w:eastAsia="Arial" w:hAnsi="Arial"/>
                <w:sz w:val="22"/>
                <w:szCs w:val="22"/>
                <w:b w:val="1"/>
                <w:bCs w:val="1"/>
                <w:color w:val="auto"/>
                <w:w w:val="98"/>
              </w:rPr>
              <w:t>Three Months Ended</w:t>
            </w:r>
          </w:p>
        </w:tc>
      </w:tr>
      <w:tr>
        <w:trPr>
          <w:trHeight w:val="243"/>
        </w:trPr>
        <w:tc>
          <w:tcPr>
            <w:tcW w:w="4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4"/>
          </w:tcPr>
          <w:p>
            <w:pPr>
              <w:jc w:val="right"/>
              <w:spacing w:after="0" w:line="243" w:lineRule="exact"/>
              <w:rPr>
                <w:sz w:val="20"/>
                <w:szCs w:val="20"/>
                <w:color w:val="auto"/>
              </w:rPr>
            </w:pPr>
            <w:r>
              <w:rPr>
                <w:rFonts w:ascii="Arial" w:cs="Arial" w:eastAsia="Arial" w:hAnsi="Arial"/>
                <w:sz w:val="22"/>
                <w:szCs w:val="22"/>
                <w:b w:val="1"/>
                <w:bCs w:val="1"/>
                <w:color w:val="auto"/>
                <w:w w:val="96"/>
              </w:rPr>
              <w:t>April 30,</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12"/>
              <w:spacing w:after="0" w:line="230" w:lineRule="exact"/>
              <w:rPr>
                <w:sz w:val="20"/>
                <w:szCs w:val="20"/>
                <w:color w:val="auto"/>
              </w:rPr>
            </w:pPr>
            <w:r>
              <w:rPr>
                <w:rFonts w:ascii="Arial" w:cs="Arial" w:eastAsia="Arial" w:hAnsi="Arial"/>
                <w:sz w:val="22"/>
                <w:szCs w:val="22"/>
                <w:b w:val="1"/>
                <w:bCs w:val="1"/>
                <w:color w:val="auto"/>
              </w:rPr>
              <w:t>2022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40"/>
              <w:spacing w:after="0" w:line="230" w:lineRule="exact"/>
              <w:rPr>
                <w:sz w:val="20"/>
                <w:szCs w:val="20"/>
                <w:color w:val="auto"/>
              </w:rPr>
            </w:pPr>
            <w:r>
              <w:rPr>
                <w:rFonts w:ascii="Arial" w:cs="Arial" w:eastAsia="Arial" w:hAnsi="Arial"/>
                <w:sz w:val="22"/>
                <w:szCs w:val="22"/>
                <w:b w:val="1"/>
                <w:bCs w:val="1"/>
                <w:color w:val="auto"/>
                <w:w w:val="81"/>
              </w:rPr>
              <w:t>2021</w:t>
            </w:r>
          </w:p>
        </w:tc>
        <w:tc>
          <w:tcPr>
            <w:tcW w:w="60" w:type="dxa"/>
            <w:vAlign w:val="bottom"/>
          </w:tcPr>
          <w:p>
            <w:pPr>
              <w:spacing w:after="0"/>
              <w:rPr>
                <w:sz w:val="19"/>
                <w:szCs w:val="19"/>
                <w:color w:val="auto"/>
              </w:rPr>
            </w:pPr>
          </w:p>
        </w:tc>
      </w:tr>
      <w:tr>
        <w:trPr>
          <w:trHeight w:val="264"/>
        </w:trPr>
        <w:tc>
          <w:tcPr>
            <w:tcW w:w="4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8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16,781</w:t>
            </w:r>
          </w:p>
        </w:tc>
        <w:tc>
          <w:tcPr>
            <w:tcW w:w="460" w:type="dxa"/>
            <w:vAlign w:val="bottom"/>
            <w:shd w:val="clear" w:color="auto" w:fill="E5FFFF"/>
          </w:tcPr>
          <w:p>
            <w:pPr>
              <w:spacing w:after="0"/>
              <w:rPr>
                <w:sz w:val="21"/>
                <w:szCs w:val="21"/>
                <w:color w:val="auto"/>
              </w:rPr>
            </w:pPr>
          </w:p>
        </w:tc>
        <w:tc>
          <w:tcPr>
            <w:tcW w:w="240" w:type="dxa"/>
            <w:vAlign w:val="bottom"/>
            <w:gridSpan w:val="2"/>
            <w:shd w:val="clear" w:color="auto" w:fill="E5FFFF"/>
          </w:tcPr>
          <w:p>
            <w:pPr>
              <w:jc w:val="right"/>
              <w:ind w:right="23"/>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8,400</w:t>
            </w:r>
          </w:p>
        </w:tc>
        <w:tc>
          <w:tcPr>
            <w:tcW w:w="60" w:type="dxa"/>
            <w:vAlign w:val="bottom"/>
            <w:shd w:val="clear" w:color="auto" w:fill="E5FFFF"/>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88</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w:t>
            </w:r>
          </w:p>
        </w:tc>
        <w:tc>
          <w:tcPr>
            <w:tcW w:w="60" w:type="dxa"/>
            <w:vAlign w:val="bottom"/>
          </w:tcPr>
          <w:p>
            <w:pPr>
              <w:spacing w:after="0"/>
              <w:rPr>
                <w:sz w:val="21"/>
                <w:szCs w:val="21"/>
                <w:color w:val="auto"/>
              </w:rPr>
            </w:pPr>
          </w:p>
        </w:tc>
      </w:tr>
      <w:tr>
        <w:trPr>
          <w:trHeight w:val="257"/>
        </w:trPr>
        <w:tc>
          <w:tcPr>
            <w:tcW w:w="482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74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7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22"/>
                <w:szCs w:val="22"/>
                <w:color w:val="auto"/>
              </w:rPr>
              <w:t>138</w:t>
            </w:r>
          </w:p>
        </w:tc>
        <w:tc>
          <w:tcPr>
            <w:tcW w:w="60" w:type="dxa"/>
            <w:vAlign w:val="bottom"/>
            <w:shd w:val="clear" w:color="auto" w:fill="E5FFFF"/>
          </w:tcPr>
          <w:p>
            <w:pPr>
              <w:spacing w:after="0"/>
              <w:rPr>
                <w:sz w:val="22"/>
                <w:szCs w:val="22"/>
                <w:color w:val="auto"/>
              </w:rPr>
            </w:pPr>
          </w:p>
        </w:tc>
      </w:tr>
      <w:tr>
        <w:trPr>
          <w:trHeight w:val="250"/>
        </w:trPr>
        <w:tc>
          <w:tcPr>
            <w:tcW w:w="482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7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16,869</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66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8,543</w:t>
            </w:r>
          </w:p>
        </w:tc>
        <w:tc>
          <w:tcPr>
            <w:tcW w:w="6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Discontinued Operations</w:t>
      </w:r>
    </w:p>
    <w:p>
      <w:pPr>
        <w:spacing w:after="0" w:line="239"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On November 18, 2021, the Company ceased operation of its refined coal business as tax credits could no longer be earned on its operation. Beginning in the third quarter of fiscal year 2021, the results of the operation of the refined coal business have been recognized as discontinued operations. Below is a table reflecting certain items of the Consolidated Condensed Statement of Operations that were reclassified as discontinued operations for the periods indicated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4160" w:type="dxa"/>
            <w:vAlign w:val="bottom"/>
            <w:gridSpan w:val="6"/>
          </w:tcPr>
          <w:p>
            <w:pPr>
              <w:jc w:val="center"/>
              <w:ind w:left="1912"/>
              <w:spacing w:after="0"/>
              <w:rPr>
                <w:sz w:val="20"/>
                <w:szCs w:val="20"/>
                <w:color w:val="auto"/>
              </w:rPr>
            </w:pPr>
            <w:r>
              <w:rPr>
                <w:rFonts w:ascii="Arial" w:cs="Arial" w:eastAsia="Arial" w:hAnsi="Arial"/>
                <w:sz w:val="22"/>
                <w:szCs w:val="22"/>
                <w:b w:val="1"/>
                <w:bCs w:val="1"/>
                <w:color w:val="auto"/>
                <w:w w:val="90"/>
              </w:rPr>
              <w:t>Three Months</w:t>
            </w:r>
          </w:p>
        </w:tc>
      </w:tr>
      <w:tr>
        <w:trPr>
          <w:trHeight w:val="243"/>
        </w:trPr>
        <w:tc>
          <w:tcPr>
            <w:tcW w:w="7080" w:type="dxa"/>
            <w:vAlign w:val="bottom"/>
          </w:tcPr>
          <w:p>
            <w:pPr>
              <w:spacing w:after="0"/>
              <w:rPr>
                <w:sz w:val="21"/>
                <w:szCs w:val="21"/>
                <w:color w:val="auto"/>
              </w:rPr>
            </w:pPr>
          </w:p>
        </w:tc>
        <w:tc>
          <w:tcPr>
            <w:tcW w:w="4160" w:type="dxa"/>
            <w:vAlign w:val="bottom"/>
            <w:gridSpan w:val="6"/>
          </w:tcPr>
          <w:p>
            <w:pPr>
              <w:jc w:val="center"/>
              <w:ind w:left="1972"/>
              <w:spacing w:after="0" w:line="243" w:lineRule="exact"/>
              <w:rPr>
                <w:sz w:val="20"/>
                <w:szCs w:val="20"/>
                <w:color w:val="auto"/>
              </w:rPr>
            </w:pPr>
            <w:r>
              <w:rPr>
                <w:rFonts w:ascii="Arial" w:cs="Arial" w:eastAsia="Arial" w:hAnsi="Arial"/>
                <w:sz w:val="22"/>
                <w:szCs w:val="22"/>
                <w:b w:val="1"/>
                <w:bCs w:val="1"/>
                <w:color w:val="auto"/>
                <w:w w:val="94"/>
              </w:rPr>
              <w:t>Ended April 30,</w:t>
            </w:r>
          </w:p>
        </w:tc>
      </w:tr>
      <w:tr>
        <w:trPr>
          <w:trHeight w:val="230"/>
        </w:trPr>
        <w:tc>
          <w:tcPr>
            <w:tcW w:w="7080" w:type="dxa"/>
            <w:vAlign w:val="bottom"/>
          </w:tcPr>
          <w:p>
            <w:pPr>
              <w:spacing w:after="0"/>
              <w:rPr>
                <w:sz w:val="19"/>
                <w:szCs w:val="19"/>
                <w:color w:val="auto"/>
              </w:rPr>
            </w:pPr>
          </w:p>
        </w:tc>
        <w:tc>
          <w:tcPr>
            <w:tcW w:w="3380" w:type="dxa"/>
            <w:vAlign w:val="bottom"/>
            <w:gridSpan w:val="4"/>
          </w:tcPr>
          <w:p>
            <w:pPr>
              <w:jc w:val="center"/>
              <w:ind w:left="2732"/>
              <w:spacing w:after="0" w:line="230" w:lineRule="exact"/>
              <w:rPr>
                <w:sz w:val="20"/>
                <w:szCs w:val="20"/>
                <w:color w:val="auto"/>
              </w:rPr>
            </w:pPr>
            <w:r>
              <w:rPr>
                <w:rFonts w:ascii="Arial" w:cs="Arial" w:eastAsia="Arial" w:hAnsi="Arial"/>
                <w:sz w:val="22"/>
                <w:szCs w:val="22"/>
                <w:b w:val="1"/>
                <w:bCs w:val="1"/>
                <w:color w:val="auto"/>
                <w:w w:val="85"/>
              </w:rPr>
              <w:t>2021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7"/>
        </w:trPr>
        <w:tc>
          <w:tcPr>
            <w:tcW w:w="7080" w:type="dxa"/>
            <w:vAlign w:val="bottom"/>
            <w:shd w:val="clear" w:color="auto" w:fill="E5FFFF"/>
          </w:tcPr>
          <w:p>
            <w:pPr>
              <w:spacing w:after="0" w:line="297" w:lineRule="exact"/>
              <w:rPr>
                <w:sz w:val="20"/>
                <w:szCs w:val="20"/>
                <w:color w:val="auto"/>
              </w:rPr>
            </w:pPr>
            <w:r>
              <w:rPr>
                <w:rFonts w:ascii="Arial" w:cs="Arial" w:eastAsia="Arial" w:hAnsi="Arial"/>
                <w:sz w:val="21"/>
                <w:szCs w:val="21"/>
                <w:color w:val="auto"/>
              </w:rPr>
              <w:t>Net sales and revenue</w:t>
            </w:r>
            <w:r>
              <w:rPr>
                <w:rFonts w:ascii="Arial" w:cs="Arial" w:eastAsia="Arial" w:hAnsi="Arial"/>
                <w:sz w:val="34"/>
                <w:szCs w:val="34"/>
                <w:color w:val="auto"/>
                <w:vertAlign w:val="superscript"/>
              </w:rPr>
              <w:t>1</w:t>
            </w:r>
          </w:p>
        </w:tc>
        <w:tc>
          <w:tcPr>
            <w:tcW w:w="3320" w:type="dxa"/>
            <w:vAlign w:val="bottom"/>
            <w:gridSpan w:val="3"/>
            <w:shd w:val="clear" w:color="auto" w:fill="E5FFFF"/>
          </w:tcPr>
          <w:p>
            <w:pPr>
              <w:jc w:val="right"/>
              <w:ind w:right="380"/>
              <w:spacing w:after="0"/>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4"/>
                <w:szCs w:val="24"/>
                <w:color w:val="auto"/>
              </w:rPr>
            </w:pP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62</w:t>
            </w:r>
          </w:p>
        </w:tc>
      </w:tr>
      <w:tr>
        <w:trPr>
          <w:trHeight w:val="256"/>
        </w:trPr>
        <w:tc>
          <w:tcPr>
            <w:tcW w:w="7080" w:type="dxa"/>
            <w:vAlign w:val="bottom"/>
          </w:tcPr>
          <w:p>
            <w:pPr>
              <w:spacing w:after="0"/>
              <w:rPr>
                <w:sz w:val="20"/>
                <w:szCs w:val="20"/>
                <w:color w:val="auto"/>
              </w:rPr>
            </w:pPr>
            <w:r>
              <w:rPr>
                <w:rFonts w:ascii="Arial" w:cs="Arial" w:eastAsia="Arial" w:hAnsi="Arial"/>
                <w:sz w:val="22"/>
                <w:szCs w:val="22"/>
                <w:color w:val="auto"/>
              </w:rPr>
              <w:t>Cost of Sales</w:t>
            </w: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2"/>
                <w:szCs w:val="22"/>
                <w:color w:val="auto"/>
              </w:rPr>
              <w:t>1,737</w:t>
            </w:r>
          </w:p>
        </w:tc>
      </w:tr>
      <w:tr>
        <w:trPr>
          <w:trHeight w:val="237"/>
        </w:trPr>
        <w:tc>
          <w:tcPr>
            <w:tcW w:w="70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Gross loss</w:t>
            </w:r>
          </w:p>
        </w:tc>
        <w:tc>
          <w:tcPr>
            <w:tcW w:w="28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4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4"/>
              </w:rPr>
              <w:t>(1,675)</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22"/>
                <w:szCs w:val="22"/>
                <w:color w:val="auto"/>
              </w:rPr>
              <w:t>Selling, general and administrative</w:t>
            </w: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2"/>
                <w:szCs w:val="22"/>
                <w:color w:val="auto"/>
              </w:rPr>
              <w:t>(85)</w:t>
            </w:r>
          </w:p>
        </w:tc>
      </w:tr>
      <w:tr>
        <w:trPr>
          <w:trHeight w:val="236"/>
        </w:trPr>
        <w:tc>
          <w:tcPr>
            <w:tcW w:w="70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Loss before income taxes</w:t>
            </w:r>
          </w:p>
        </w:tc>
        <w:tc>
          <w:tcPr>
            <w:tcW w:w="28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4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4"/>
              </w:rPr>
              <w:t>(1,760)</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22"/>
                <w:szCs w:val="22"/>
                <w:color w:val="auto"/>
              </w:rPr>
              <w:t>Benefit for income taxes</w:t>
            </w: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2"/>
                <w:szCs w:val="22"/>
                <w:color w:val="auto"/>
              </w:rPr>
              <w:t>2,195</w:t>
            </w:r>
          </w:p>
        </w:tc>
      </w:tr>
      <w:tr>
        <w:trPr>
          <w:trHeight w:val="236"/>
        </w:trPr>
        <w:tc>
          <w:tcPr>
            <w:tcW w:w="70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income from discontinued operations, net of tax</w:t>
            </w:r>
          </w:p>
        </w:tc>
        <w:tc>
          <w:tcPr>
            <w:tcW w:w="28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4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435</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22"/>
                <w:szCs w:val="22"/>
                <w:color w:val="auto"/>
              </w:rPr>
              <w:t>Net loss attributable to noncontrolling interests</w:t>
            </w: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2"/>
                <w:szCs w:val="22"/>
                <w:color w:val="auto"/>
              </w:rPr>
              <w:t>80</w:t>
            </w:r>
          </w:p>
        </w:tc>
      </w:tr>
      <w:tr>
        <w:trPr>
          <w:trHeight w:val="250"/>
        </w:trPr>
        <w:tc>
          <w:tcPr>
            <w:tcW w:w="70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Net income attributable to REX common shareholders</w:t>
            </w:r>
          </w:p>
        </w:tc>
        <w:tc>
          <w:tcPr>
            <w:tcW w:w="2820" w:type="dxa"/>
            <w:vAlign w:val="bottom"/>
            <w:tcBorders>
              <w:top w:val="single" w:sz="8" w:color="E5FFFF"/>
              <w:bottom w:val="single" w:sz="8" w:color="E5FFFF"/>
            </w:tcBorders>
            <w:shd w:val="clear" w:color="auto" w:fill="E5FFFF"/>
          </w:tcPr>
          <w:p>
            <w:pPr>
              <w:spacing w:after="0"/>
              <w:rPr>
                <w:sz w:val="21"/>
                <w:szCs w:val="21"/>
                <w:color w:val="auto"/>
              </w:rPr>
            </w:pPr>
          </w:p>
        </w:tc>
        <w:tc>
          <w:tcPr>
            <w:tcW w:w="500" w:type="dxa"/>
            <w:vAlign w:val="bottom"/>
            <w:tcBorders>
              <w:top w:val="single" w:sz="8" w:color="auto"/>
              <w:bottom w:val="single" w:sz="8" w:color="auto"/>
            </w:tcBorders>
            <w:gridSpan w:val="2"/>
            <w:shd w:val="clear" w:color="auto" w:fill="E5FFFF"/>
          </w:tcPr>
          <w:p>
            <w:pPr>
              <w:jc w:val="right"/>
              <w:ind w:right="380"/>
              <w:spacing w:after="0" w:line="250" w:lineRule="exact"/>
              <w:rPr>
                <w:sz w:val="20"/>
                <w:szCs w:val="20"/>
                <w:color w:val="auto"/>
              </w:rPr>
            </w:pPr>
            <w:r>
              <w:rPr>
                <w:rFonts w:ascii="Arial" w:cs="Arial" w:eastAsia="Arial" w:hAnsi="Arial"/>
                <w:sz w:val="22"/>
                <w:szCs w:val="22"/>
                <w:color w:val="auto"/>
                <w:w w:val="81"/>
              </w:rPr>
              <w:t>$</w:t>
            </w:r>
          </w:p>
        </w:tc>
        <w:tc>
          <w:tcPr>
            <w:tcW w:w="60" w:type="dxa"/>
            <w:vAlign w:val="bottom"/>
            <w:tcBorders>
              <w:top w:val="single" w:sz="8" w:color="auto"/>
              <w:bottom w:val="single" w:sz="8" w:color="auto"/>
            </w:tcBorders>
            <w:shd w:val="clear" w:color="auto" w:fill="E5FFFF"/>
          </w:tcPr>
          <w:p>
            <w:pPr>
              <w:spacing w:after="0"/>
              <w:rPr>
                <w:sz w:val="21"/>
                <w:szCs w:val="21"/>
                <w:color w:val="auto"/>
              </w:rPr>
            </w:pP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515</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7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6" w:lineRule="exact"/>
        <w:rPr>
          <w:sz w:val="20"/>
          <w:szCs w:val="20"/>
          <w:color w:val="auto"/>
        </w:rPr>
      </w:pPr>
    </w:p>
    <w:p>
      <w:pPr>
        <w:ind w:right="40" w:firstLine="656"/>
        <w:spacing w:after="0" w:line="196" w:lineRule="auto"/>
        <w:tabs>
          <w:tab w:leader="none" w:pos="783" w:val="left"/>
        </w:tabs>
        <w:numPr>
          <w:ilvl w:val="0"/>
          <w:numId w:val="7"/>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Condensed Financial Statements.</w:t>
      </w:r>
    </w:p>
    <w:p>
      <w:pPr>
        <w:spacing w:after="0" w:line="161"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One Earth and NuGen have combined forward purchase contracts for approximately 20.3 million bushels of corn, the principal raw material for their ethanol plants, and they have combined forward purchase contracts for approximately 732,000 MmBtu (million British thermal unit) of natural gas.</w:t>
      </w:r>
    </w:p>
    <w:p>
      <w:pPr>
        <w:spacing w:after="0" w:line="213" w:lineRule="exact"/>
        <w:rPr>
          <w:sz w:val="20"/>
          <w:szCs w:val="20"/>
          <w:color w:val="auto"/>
        </w:rPr>
      </w:pPr>
    </w:p>
    <w:p>
      <w:pPr>
        <w:ind w:right="1100" w:firstLine="648"/>
        <w:spacing w:after="0" w:line="328" w:lineRule="auto"/>
        <w:rPr>
          <w:sz w:val="20"/>
          <w:szCs w:val="20"/>
          <w:color w:val="auto"/>
        </w:rPr>
      </w:pPr>
      <w:r>
        <w:rPr>
          <w:rFonts w:ascii="Arial" w:cs="Arial" w:eastAsia="Arial" w:hAnsi="Arial"/>
          <w:sz w:val="19"/>
          <w:szCs w:val="19"/>
          <w:color w:val="auto"/>
        </w:rPr>
        <w:t>One Earth and NuGen have combined sales commitments for approximately 15.8 million gallons of ethanol, approximately 86,000 tons of distillers grains and approximately 14.5 million pounds of non-food grade corn oil.</w:t>
      </w:r>
    </w:p>
    <w:p>
      <w:pPr>
        <w:spacing w:after="0" w:line="132"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The refined coal entity had various agreements (site license, operating agreements, etc.) containing payment terms based upon production of refined coal under which the Company was required to pay various fees. As production ceased in November 2021, there were no fees paid in fiscal year 2022. These fees totaled approximately $0.9 million in the first quarter of fiscal year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During the first quarter of fiscal years 2022 and 2021, One Earth and NuGen purchased approximately $30.7 million and approximately $16.7 million, respectively, of corn (and other supplies) from minority equity investors and board members of those subsidiaries. The Company had amounts payable to related parties of approximately $0.5 million at April 30, 2022 and January 31, 2022.</w:t>
      </w:r>
    </w:p>
    <w:p>
      <w:pPr>
        <w:spacing w:after="0" w:line="212"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During the first quarter of fiscal year 2021, the Company recognized commission expense of approximately $36,000, payable to the minority investor in the refined coal entity. The commission expense is associated with the refined coal business which is classified within discontinued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w:t>
      </w:r>
      <w:r>
        <w:rPr>
          <w:rFonts w:ascii="Arial" w:cs="Arial" w:eastAsia="Arial" w:hAnsi="Arial"/>
          <w:sz w:val="22"/>
          <w:szCs w:val="22"/>
          <w:b w:val="1"/>
          <w:bCs w:val="1"/>
          <w:i w:val="1"/>
          <w:iCs w:val="1"/>
          <w:color w:val="auto"/>
        </w:rPr>
        <w:t>Subsequent Event</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May 23, 2022, the Company’s consolidated plants received $7.8 million as part of a COVID relief bill passed by Congress in December 2020. The bill specifically included biofuels producers as eligible for aid, and in June of 2021, USDA announced a $700.0 million Biofuel Producer Program to distribute these funds to impacted producers of ethanol, biodiesel and other renewable fuels. Applications were due in February 2022. The USDA communicated its approval and the amount awarded subsequent to April 30, 2022.</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396" w:right="4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300" w:firstLine="648"/>
        <w:spacing w:after="0" w:line="274" w:lineRule="auto"/>
        <w:rPr>
          <w:sz w:val="20"/>
          <w:szCs w:val="20"/>
          <w:color w:val="auto"/>
        </w:rPr>
      </w:pPr>
      <w:r>
        <w:rPr>
          <w:rFonts w:ascii="Arial" w:cs="Arial" w:eastAsia="Arial" w:hAnsi="Arial"/>
          <w:sz w:val="21"/>
          <w:szCs w:val="21"/>
          <w:color w:val="auto"/>
        </w:rPr>
        <w:t>At April 30, 2022, we had investments in three ethanol limited liability companies, in two of which we have a majority ownership interest. The following table is a summary of ethanol entity ownership interests at April 30, 2022:</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90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4"/>
              </w:rPr>
              <w:t>REX’s</w:t>
            </w:r>
          </w:p>
        </w:tc>
      </w:tr>
      <w:tr>
        <w:trPr>
          <w:trHeight w:val="243"/>
        </w:trPr>
        <w:tc>
          <w:tcPr>
            <w:tcW w:w="9900" w:type="dxa"/>
            <w:vAlign w:val="bottom"/>
            <w:tcBorders>
              <w:left w:val="single" w:sz="8" w:color="auto"/>
              <w:right w:val="single" w:sz="8" w:color="auto"/>
            </w:tcBorders>
          </w:tcPr>
          <w:p>
            <w:pPr>
              <w:spacing w:after="0"/>
              <w:rPr>
                <w:sz w:val="21"/>
                <w:szCs w:val="21"/>
                <w:color w:val="auto"/>
              </w:rPr>
            </w:pPr>
          </w:p>
        </w:tc>
        <w:tc>
          <w:tcPr>
            <w:tcW w:w="13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5"/>
              </w:rPr>
              <w:t>Current</w:t>
            </w:r>
          </w:p>
        </w:tc>
      </w:tr>
      <w:tr>
        <w:trPr>
          <w:trHeight w:val="243"/>
        </w:trPr>
        <w:tc>
          <w:tcPr>
            <w:tcW w:w="9900" w:type="dxa"/>
            <w:vAlign w:val="bottom"/>
            <w:tcBorders>
              <w:left w:val="single" w:sz="8" w:color="auto"/>
              <w:right w:val="single" w:sz="8" w:color="auto"/>
            </w:tcBorders>
          </w:tcPr>
          <w:p>
            <w:pPr>
              <w:spacing w:after="0"/>
              <w:rPr>
                <w:sz w:val="21"/>
                <w:szCs w:val="21"/>
                <w:color w:val="auto"/>
              </w:rPr>
            </w:pPr>
          </w:p>
        </w:tc>
        <w:tc>
          <w:tcPr>
            <w:tcW w:w="13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r>
      <w:tr>
        <w:trPr>
          <w:trHeight w:val="270"/>
        </w:trPr>
        <w:tc>
          <w:tcPr>
            <w:tcW w:w="9900" w:type="dxa"/>
            <w:vAlign w:val="bottom"/>
            <w:tcBorders>
              <w:left w:val="single" w:sz="8" w:color="auto"/>
              <w:bottom w:val="single" w:sz="8" w:color="auto"/>
              <w:right w:val="single" w:sz="8" w:color="auto"/>
            </w:tcBorders>
          </w:tcPr>
          <w:p>
            <w:pPr>
              <w:ind w:left="4660"/>
              <w:spacing w:after="0"/>
              <w:rPr>
                <w:sz w:val="20"/>
                <w:szCs w:val="20"/>
                <w:color w:val="auto"/>
              </w:rPr>
            </w:pPr>
            <w:r>
              <w:rPr>
                <w:rFonts w:ascii="Arial" w:cs="Arial" w:eastAsia="Arial" w:hAnsi="Arial"/>
                <w:sz w:val="22"/>
                <w:szCs w:val="22"/>
                <w:b w:val="1"/>
                <w:bCs w:val="1"/>
                <w:color w:val="auto"/>
              </w:rPr>
              <w:t>Entity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r>
      <w:tr>
        <w:trPr>
          <w:trHeight w:val="237"/>
        </w:trPr>
        <w:tc>
          <w:tcPr>
            <w:tcW w:w="9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One Earth Energy, LLC</w:t>
            </w:r>
          </w:p>
        </w:tc>
        <w:tc>
          <w:tcPr>
            <w:tcW w:w="134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75.8%</w:t>
            </w:r>
          </w:p>
        </w:tc>
      </w:tr>
      <w:tr>
        <w:trPr>
          <w:trHeight w:val="237"/>
        </w:trPr>
        <w:tc>
          <w:tcPr>
            <w:tcW w:w="9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NuGen Energy, LLC</w:t>
            </w:r>
          </w:p>
        </w:tc>
        <w:tc>
          <w:tcPr>
            <w:tcW w:w="134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99.7%</w:t>
            </w:r>
          </w:p>
        </w:tc>
      </w:tr>
      <w:tr>
        <w:trPr>
          <w:trHeight w:val="215"/>
        </w:trPr>
        <w:tc>
          <w:tcPr>
            <w:tcW w:w="99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Big River Resources, LLC:</w:t>
            </w:r>
          </w:p>
        </w:tc>
        <w:tc>
          <w:tcPr>
            <w:tcW w:w="1340" w:type="dxa"/>
            <w:vAlign w:val="bottom"/>
            <w:tcBorders>
              <w:right w:val="single" w:sz="8" w:color="auto"/>
            </w:tcBorders>
          </w:tcPr>
          <w:p>
            <w:pPr>
              <w:spacing w:after="0"/>
              <w:rPr>
                <w:sz w:val="18"/>
                <w:szCs w:val="18"/>
                <w:color w:val="auto"/>
              </w:rPr>
            </w:pP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W Burlington, LLC</w:t>
            </w:r>
          </w:p>
        </w:tc>
        <w:tc>
          <w:tcPr>
            <w:tcW w:w="1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Galva, LLC</w:t>
            </w:r>
          </w:p>
        </w:tc>
        <w:tc>
          <w:tcPr>
            <w:tcW w:w="1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United Energy, LLC</w:t>
            </w:r>
          </w:p>
        </w:tc>
        <w:tc>
          <w:tcPr>
            <w:tcW w:w="13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64"/>
        </w:trPr>
        <w:tc>
          <w:tcPr>
            <w:tcW w:w="990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color w:val="auto"/>
              </w:rPr>
              <w:t>Big River Resources Boyceville, LLC</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10.3%</w:t>
            </w:r>
          </w:p>
        </w:tc>
      </w:tr>
    </w:tbl>
    <w:p>
      <w:pPr>
        <w:spacing w:after="0" w:line="22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We expect our ethanol plants to produce at least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ethanol contracts for no more than four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 w:name="page24"/>
    <w:bookmarkEnd w:id="23"/>
    <w:p>
      <w:pPr>
        <w:ind w:right="80"/>
        <w:spacing w:after="0" w:line="248" w:lineRule="auto"/>
        <w:rPr>
          <w:sz w:val="20"/>
          <w:szCs w:val="20"/>
          <w:color w:val="auto"/>
        </w:rPr>
      </w:pPr>
      <w:r>
        <w:rPr>
          <w:rFonts w:ascii="Arial" w:cs="Arial" w:eastAsia="Arial" w:hAnsi="Arial"/>
          <w:sz w:val="21"/>
          <w:szCs w:val="21"/>
          <w:color w:val="auto"/>
        </w:rPr>
        <w:t>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grain procurement activities and commodity marketing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During the three months ended April 30, 2022, we did not change any of our critical accounting policies as disclosed in our 2021 Annual Report on Form 10-K as filed with the Securities and Exchange Commission on April 6, 2022.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2022” means the period February 1, 2022 to January 31, 2023.</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4" w:name="page25"/>
    <w:bookmarkEnd w:id="24"/>
    <w:p>
      <w:pPr>
        <w:ind w:right="200"/>
        <w:spacing w:after="0" w:line="248" w:lineRule="auto"/>
        <w:rPr>
          <w:sz w:val="20"/>
          <w:szCs w:val="20"/>
          <w:color w:val="auto"/>
        </w:rPr>
      </w:pPr>
      <w:r>
        <w:rPr>
          <w:rFonts w:ascii="Arial" w:cs="Arial" w:eastAsia="Arial" w:hAnsi="Arial"/>
          <w:sz w:val="21"/>
          <w:szCs w:val="21"/>
          <w:color w:val="auto"/>
        </w:rPr>
        <w:t>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w:t>
      </w:r>
    </w:p>
    <w:p>
      <w:pPr>
        <w:spacing w:after="0" w:line="204"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On December 7, 2021, the EPA issued proposed volumes for 2021 and 2022 and reduced the previously finalized volumes for 2020 to account for challenges for that year including the COVID-19 pandemic. The proposed volumes for conventional biofuels were 13.32 billion gallons and 15.0 billion gallons for 2021 and 2022, respectively. The 2020 volumes were proposed at 12.5 billion gallons, down from the previously finalized 15.0 billion gallons. In addition, the EPA proposed denying 65 pending applications for Small Refinery Exemptions in response to the 2020 decision by the U.S. Court of Appeals for the 10th Circuit. The EPA also proposed adding 250 million gallons of “supplemental obligation” to the 2022 proposed volumes and stated its intent to add another 250 million gallons to 2023 to address the remand of the 2016 waiver by the D.C Circuit. The EPA implemented a public notice and comment process on this announcement.</w:t>
      </w:r>
    </w:p>
    <w:p>
      <w:pPr>
        <w:spacing w:after="0" w:line="184"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Due to the Russian-Ukraine conflict, there is a concern that the corn and natural gas supplies worldwide will be adversely affected, with a potential impact on price and corn availability in the United States.</w:t>
      </w:r>
    </w:p>
    <w:p>
      <w:pPr>
        <w:spacing w:after="0" w:line="202" w:lineRule="exact"/>
        <w:rPr>
          <w:sz w:val="20"/>
          <w:szCs w:val="20"/>
          <w:color w:val="auto"/>
        </w:rPr>
      </w:pPr>
    </w:p>
    <w:p>
      <w:pPr>
        <w:jc w:val="center"/>
        <w:ind w:right="260"/>
        <w:spacing w:after="0" w:line="430" w:lineRule="auto"/>
        <w:rPr>
          <w:sz w:val="20"/>
          <w:szCs w:val="20"/>
          <w:color w:val="auto"/>
        </w:rPr>
      </w:pPr>
      <w:r>
        <w:rPr>
          <w:rFonts w:ascii="Arial" w:cs="Arial" w:eastAsia="Arial" w:hAnsi="Arial"/>
          <w:sz w:val="22"/>
          <w:szCs w:val="22"/>
          <w:color w:val="auto"/>
        </w:rPr>
        <w:t>Should these trends and uncertainties continue, our future operating results are likely to be negatively impacted.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Comparison of Three Months Ended April 30, 2022 and 2021</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results from operations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9"/>
          </w:tcPr>
          <w:p>
            <w:pPr>
              <w:ind w:left="20"/>
              <w:spacing w:after="0"/>
              <w:rPr>
                <w:sz w:val="20"/>
                <w:szCs w:val="20"/>
                <w:color w:val="auto"/>
              </w:rPr>
            </w:pPr>
            <w:r>
              <w:rPr>
                <w:rFonts w:ascii="Arial" w:cs="Arial" w:eastAsia="Arial" w:hAnsi="Arial"/>
                <w:sz w:val="22"/>
                <w:szCs w:val="22"/>
                <w:b w:val="1"/>
                <w:bCs w:val="1"/>
                <w:color w:val="auto"/>
                <w:w w:val="99"/>
              </w:rPr>
              <w:t>Three Months Ended</w:t>
            </w:r>
          </w:p>
        </w:tc>
        <w:tc>
          <w:tcPr>
            <w:tcW w:w="0" w:type="dxa"/>
            <w:vAlign w:val="bottom"/>
          </w:tcPr>
          <w:p>
            <w:pPr>
              <w:spacing w:after="0"/>
              <w:rPr>
                <w:sz w:val="1"/>
                <w:szCs w:val="1"/>
                <w:color w:val="auto"/>
              </w:rPr>
            </w:pPr>
          </w:p>
        </w:tc>
      </w:tr>
      <w:tr>
        <w:trPr>
          <w:trHeight w:val="28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2022</w:t>
            </w:r>
          </w:p>
        </w:tc>
        <w:tc>
          <w:tcPr>
            <w:tcW w:w="860" w:type="dxa"/>
            <w:vAlign w:val="bottom"/>
            <w:gridSpan w:val="3"/>
          </w:tcPr>
          <w:p>
            <w:pPr>
              <w:jc w:val="right"/>
              <w:spacing w:after="0"/>
              <w:rPr>
                <w:sz w:val="20"/>
                <w:szCs w:val="20"/>
                <w:color w:val="auto"/>
              </w:rPr>
            </w:pPr>
            <w:r>
              <w:rPr>
                <w:rFonts w:ascii="Arial" w:cs="Arial" w:eastAsia="Arial" w:hAnsi="Arial"/>
                <w:sz w:val="22"/>
                <w:szCs w:val="22"/>
                <w:b w:val="1"/>
                <w:bCs w:val="1"/>
                <w:color w:val="auto"/>
                <w:w w:val="96"/>
              </w:rPr>
              <w:t>April 30,</w:t>
            </w: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22"/>
                <w:szCs w:val="22"/>
                <w:b w:val="1"/>
                <w:bCs w:val="1"/>
                <w:color w:val="auto"/>
                <w:w w:val="98"/>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3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w w:val="90"/>
              </w:rPr>
              <w:t>194,228</w:t>
            </w:r>
          </w:p>
        </w:tc>
        <w:tc>
          <w:tcPr>
            <w:tcW w:w="5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87"/>
              </w:rPr>
              <w:t>164,042</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Arial" w:cs="Arial" w:eastAsia="Arial" w:hAnsi="Arial"/>
                <w:sz w:val="22"/>
                <w:szCs w:val="22"/>
                <w:color w:val="auto"/>
              </w:rPr>
              <w:t>Cost of sales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22"/>
                <w:szCs w:val="22"/>
                <w:color w:val="auto"/>
                <w:w w:val="90"/>
              </w:rPr>
              <w:t>182,316</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22"/>
                <w:szCs w:val="22"/>
                <w:color w:val="auto"/>
                <w:w w:val="87"/>
              </w:rPr>
              <w:t>144,565</w:t>
            </w:r>
          </w:p>
        </w:tc>
        <w:tc>
          <w:tcPr>
            <w:tcW w:w="0" w:type="dxa"/>
            <w:vAlign w:val="bottom"/>
          </w:tcPr>
          <w:p>
            <w:pPr>
              <w:spacing w:after="0"/>
              <w:rPr>
                <w:sz w:val="1"/>
                <w:szCs w:val="1"/>
                <w:color w:val="auto"/>
              </w:rPr>
            </w:pPr>
          </w:p>
        </w:tc>
      </w:tr>
      <w:tr>
        <w:trPr>
          <w:trHeight w:val="250"/>
        </w:trPr>
        <w:tc>
          <w:tcPr>
            <w:tcW w:w="59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Gross profit</w:t>
            </w: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11,912</w:t>
            </w:r>
          </w:p>
        </w:tc>
        <w:tc>
          <w:tcPr>
            <w:tcW w:w="5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19,477</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2"/>
                <w:szCs w:val="22"/>
                <w:color w:val="auto"/>
              </w:rPr>
              <w:t>Income before income taxes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940" w:type="dxa"/>
            <w:vAlign w:val="bottom"/>
            <w:vMerge w:val="continue"/>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40" w:type="dxa"/>
            <w:vAlign w:val="bottom"/>
            <w:gridSpan w:val="3"/>
          </w:tcPr>
          <w:p>
            <w:pPr>
              <w:jc w:val="right"/>
              <w:spacing w:after="0"/>
              <w:rPr>
                <w:sz w:val="20"/>
                <w:szCs w:val="20"/>
                <w:color w:val="auto"/>
              </w:rPr>
            </w:pPr>
            <w:r>
              <w:rPr>
                <w:rFonts w:ascii="Arial" w:cs="Arial" w:eastAsia="Arial" w:hAnsi="Arial"/>
                <w:sz w:val="22"/>
                <w:szCs w:val="22"/>
                <w:color w:val="auto"/>
              </w:rPr>
              <w:t>8,834</w:t>
            </w: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gridSpan w:val="4"/>
          </w:tcPr>
          <w:p>
            <w:pPr>
              <w:jc w:val="right"/>
              <w:ind w:right="80"/>
              <w:spacing w:after="0"/>
              <w:rPr>
                <w:sz w:val="20"/>
                <w:szCs w:val="20"/>
                <w:color w:val="auto"/>
              </w:rPr>
            </w:pPr>
            <w:r>
              <w:rPr>
                <w:rFonts w:ascii="Arial" w:cs="Arial" w:eastAsia="Arial" w:hAnsi="Arial"/>
                <w:sz w:val="22"/>
                <w:szCs w:val="22"/>
                <w:color w:val="auto"/>
              </w:rPr>
              <w:t>10,187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E5FFFF"/>
          </w:tcPr>
          <w:p>
            <w:pPr>
              <w:spacing w:after="0"/>
              <w:rPr>
                <w:sz w:val="20"/>
                <w:szCs w:val="20"/>
                <w:color w:val="auto"/>
              </w:rPr>
            </w:pPr>
            <w:r>
              <w:rPr>
                <w:rFonts w:ascii="Arial" w:cs="Arial" w:eastAsia="Arial" w:hAnsi="Arial"/>
                <w:sz w:val="22"/>
                <w:szCs w:val="22"/>
                <w:color w:val="auto"/>
              </w:rPr>
              <w:t>Provision for income taxes</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(1,848)</w:t>
            </w: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gridSpan w:val="4"/>
            <w:shd w:val="clear" w:color="auto" w:fill="E5FFFF"/>
          </w:tcPr>
          <w:p>
            <w:pPr>
              <w:jc w:val="right"/>
              <w:ind w:right="80"/>
              <w:spacing w:after="0"/>
              <w:rPr>
                <w:sz w:val="20"/>
                <w:szCs w:val="20"/>
                <w:color w:val="auto"/>
              </w:rPr>
            </w:pPr>
            <w:r>
              <w:rPr>
                <w:rFonts w:ascii="Arial" w:cs="Arial" w:eastAsia="Arial" w:hAnsi="Arial"/>
                <w:sz w:val="22"/>
                <w:szCs w:val="22"/>
                <w:color w:val="auto"/>
              </w:rPr>
              <w:t>(2,224)</w:t>
            </w:r>
          </w:p>
        </w:tc>
        <w:tc>
          <w:tcPr>
            <w:tcW w:w="0" w:type="dxa"/>
            <w:vAlign w:val="bottom"/>
          </w:tcPr>
          <w:p>
            <w:pPr>
              <w:spacing w:after="0"/>
              <w:rPr>
                <w:sz w:val="1"/>
                <w:szCs w:val="1"/>
                <w:color w:val="auto"/>
              </w:rPr>
            </w:pPr>
          </w:p>
        </w:tc>
      </w:tr>
      <w:tr>
        <w:trPr>
          <w:trHeight w:val="20"/>
        </w:trPr>
        <w:tc>
          <w:tcPr>
            <w:tcW w:w="594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22"/>
                <w:szCs w:val="22"/>
                <w:color w:val="auto"/>
                <w:w w:val="92"/>
              </w:rPr>
              <w:t>Net income attributable to REX common shareholders (continuing</w:t>
            </w:r>
          </w:p>
        </w:tc>
        <w:tc>
          <w:tcPr>
            <w:tcW w:w="1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940" w:type="dxa"/>
            <w:vAlign w:val="bottom"/>
          </w:tcPr>
          <w:p>
            <w:pPr>
              <w:spacing w:after="0"/>
              <w:rPr>
                <w:sz w:val="20"/>
                <w:szCs w:val="20"/>
                <w:color w:val="auto"/>
              </w:rPr>
            </w:pPr>
            <w:r>
              <w:rPr>
                <w:rFonts w:ascii="Arial" w:cs="Arial" w:eastAsia="Arial" w:hAnsi="Arial"/>
                <w:sz w:val="22"/>
                <w:szCs w:val="22"/>
                <w:color w:val="auto"/>
              </w:rPr>
              <w:t>operations)</w:t>
            </w:r>
          </w:p>
        </w:tc>
        <w:tc>
          <w:tcPr>
            <w:tcW w:w="3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40" w:type="dxa"/>
            <w:vAlign w:val="bottom"/>
            <w:gridSpan w:val="3"/>
          </w:tcPr>
          <w:p>
            <w:pPr>
              <w:jc w:val="right"/>
              <w:spacing w:after="0"/>
              <w:rPr>
                <w:sz w:val="20"/>
                <w:szCs w:val="20"/>
                <w:color w:val="auto"/>
              </w:rPr>
            </w:pPr>
            <w:r>
              <w:rPr>
                <w:rFonts w:ascii="Arial" w:cs="Arial" w:eastAsia="Arial" w:hAnsi="Arial"/>
                <w:sz w:val="22"/>
                <w:szCs w:val="22"/>
                <w:color w:val="auto"/>
              </w:rPr>
              <w:t>5,182</w:t>
            </w: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gridSpan w:val="4"/>
          </w:tcPr>
          <w:p>
            <w:pPr>
              <w:jc w:val="right"/>
              <w:ind w:right="80"/>
              <w:spacing w:after="0"/>
              <w:rPr>
                <w:sz w:val="20"/>
                <w:szCs w:val="20"/>
                <w:color w:val="auto"/>
              </w:rPr>
            </w:pPr>
            <w:r>
              <w:rPr>
                <w:rFonts w:ascii="Arial" w:cs="Arial" w:eastAsia="Arial" w:hAnsi="Arial"/>
                <w:sz w:val="22"/>
                <w:szCs w:val="22"/>
                <w:color w:val="auto"/>
              </w:rPr>
              <w:t>7,269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Net income attributable to REX common shareholders</w:t>
            </w:r>
          </w:p>
        </w:tc>
        <w:tc>
          <w:tcPr>
            <w:tcW w:w="1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940" w:type="dxa"/>
            <w:vAlign w:val="bottom"/>
            <w:shd w:val="clear" w:color="auto" w:fill="E5FFFF"/>
          </w:tcPr>
          <w:p>
            <w:pPr>
              <w:spacing w:after="0"/>
              <w:rPr>
                <w:sz w:val="20"/>
                <w:szCs w:val="20"/>
                <w:color w:val="auto"/>
              </w:rPr>
            </w:pPr>
            <w:r>
              <w:rPr>
                <w:rFonts w:ascii="Arial" w:cs="Arial" w:eastAsia="Arial" w:hAnsi="Arial"/>
                <w:sz w:val="22"/>
                <w:szCs w:val="22"/>
                <w:color w:val="auto"/>
              </w:rPr>
              <w:t>(discontinued operations)</w:t>
            </w: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E5FFFF"/>
          </w:tcPr>
          <w:p>
            <w:pPr>
              <w:spacing w:after="0"/>
              <w:rPr>
                <w:sz w:val="24"/>
                <w:szCs w:val="24"/>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gridSpan w:val="4"/>
            <w:shd w:val="clear" w:color="auto" w:fill="E5FFFF"/>
          </w:tcPr>
          <w:p>
            <w:pPr>
              <w:jc w:val="right"/>
              <w:ind w:right="80"/>
              <w:spacing w:after="0"/>
              <w:rPr>
                <w:sz w:val="20"/>
                <w:szCs w:val="20"/>
                <w:color w:val="auto"/>
              </w:rPr>
            </w:pPr>
            <w:r>
              <w:rPr>
                <w:rFonts w:ascii="Arial" w:cs="Arial" w:eastAsia="Arial" w:hAnsi="Arial"/>
                <w:sz w:val="22"/>
                <w:szCs w:val="22"/>
                <w:color w:val="auto"/>
              </w:rPr>
              <w:t>515</w:t>
            </w:r>
          </w:p>
        </w:tc>
        <w:tc>
          <w:tcPr>
            <w:tcW w:w="0" w:type="dxa"/>
            <w:vAlign w:val="bottom"/>
          </w:tcPr>
          <w:p>
            <w:pPr>
              <w:spacing w:after="0"/>
              <w:rPr>
                <w:sz w:val="1"/>
                <w:szCs w:val="1"/>
                <w:color w:val="auto"/>
              </w:rPr>
            </w:pPr>
          </w:p>
        </w:tc>
      </w:tr>
      <w:tr>
        <w:trPr>
          <w:trHeight w:val="20"/>
        </w:trPr>
        <w:tc>
          <w:tcPr>
            <w:tcW w:w="59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net sales and revenue by product group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10"/>
          </w:tcPr>
          <w:p>
            <w:pPr>
              <w:ind w:left="20"/>
              <w:spacing w:after="0"/>
              <w:rPr>
                <w:sz w:val="20"/>
                <w:szCs w:val="20"/>
                <w:color w:val="auto"/>
              </w:rPr>
            </w:pPr>
            <w:r>
              <w:rPr>
                <w:rFonts w:ascii="Arial" w:cs="Arial" w:eastAsia="Arial" w:hAnsi="Arial"/>
                <w:sz w:val="22"/>
                <w:szCs w:val="22"/>
                <w:b w:val="1"/>
                <w:bCs w:val="1"/>
                <w:color w:val="auto"/>
                <w:w w:val="99"/>
              </w:rPr>
              <w:t>Three Months Ended</w:t>
            </w:r>
          </w:p>
        </w:tc>
        <w:tc>
          <w:tcPr>
            <w:tcW w:w="0" w:type="dxa"/>
            <w:vAlign w:val="bottom"/>
          </w:tcPr>
          <w:p>
            <w:pPr>
              <w:spacing w:after="0"/>
              <w:rPr>
                <w:sz w:val="1"/>
                <w:szCs w:val="1"/>
                <w:color w:val="auto"/>
              </w:rPr>
            </w:pPr>
          </w:p>
        </w:tc>
      </w:tr>
      <w:tr>
        <w:trPr>
          <w:trHeight w:val="280"/>
        </w:trPr>
        <w:tc>
          <w:tcPr>
            <w:tcW w:w="5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2022</w:t>
            </w:r>
          </w:p>
        </w:tc>
        <w:tc>
          <w:tcPr>
            <w:tcW w:w="860" w:type="dxa"/>
            <w:vAlign w:val="bottom"/>
            <w:gridSpan w:val="3"/>
          </w:tcPr>
          <w:p>
            <w:pPr>
              <w:jc w:val="right"/>
              <w:spacing w:after="0"/>
              <w:rPr>
                <w:sz w:val="20"/>
                <w:szCs w:val="20"/>
                <w:color w:val="auto"/>
              </w:rPr>
            </w:pPr>
            <w:r>
              <w:rPr>
                <w:rFonts w:ascii="Arial" w:cs="Arial" w:eastAsia="Arial" w:hAnsi="Arial"/>
                <w:sz w:val="22"/>
                <w:szCs w:val="22"/>
                <w:b w:val="1"/>
                <w:bCs w:val="1"/>
                <w:color w:val="auto"/>
                <w:w w:val="96"/>
              </w:rPr>
              <w:t>April 30,</w:t>
            </w: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22"/>
                <w:szCs w:val="22"/>
                <w:b w:val="1"/>
                <w:bCs w:val="1"/>
                <w:color w:val="auto"/>
                <w:w w:val="98"/>
              </w:rPr>
              <w:t>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1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w w:val="90"/>
              </w:rPr>
              <w:t>146,462</w:t>
            </w:r>
          </w:p>
        </w:tc>
        <w:tc>
          <w:tcPr>
            <w:tcW w:w="5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7"/>
              </w:rPr>
              <w:t>126,069</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31,897</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31,119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0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11,102</w:t>
            </w:r>
          </w:p>
        </w:tc>
        <w:tc>
          <w:tcPr>
            <w:tcW w:w="5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5,594</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4,355</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2,293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gains (losses)</w:t>
            </w:r>
          </w:p>
        </w:tc>
        <w:tc>
          <w:tcPr>
            <w:tcW w:w="10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322</w:t>
            </w:r>
          </w:p>
        </w:tc>
        <w:tc>
          <w:tcPr>
            <w:tcW w:w="5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(1,126)</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22"/>
                <w:szCs w:val="22"/>
                <w:color w:val="auto"/>
              </w:rPr>
              <w:t>Other</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22"/>
                <w:szCs w:val="22"/>
                <w:color w:val="auto"/>
              </w:rPr>
              <w:t>90</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22"/>
                <w:szCs w:val="22"/>
                <w:color w:val="auto"/>
              </w:rPr>
              <w:t>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continuing operations</w:t>
            </w:r>
          </w:p>
        </w:tc>
        <w:tc>
          <w:tcPr>
            <w:tcW w:w="106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194,228</w:t>
            </w:r>
          </w:p>
        </w:tc>
        <w:tc>
          <w:tcPr>
            <w:tcW w:w="5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164,042</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22"/>
                <w:szCs w:val="22"/>
                <w:color w:val="auto"/>
              </w:rPr>
              <w:t xml:space="preserve">Refined coal (discontinued operations) </w:t>
            </w:r>
            <w:r>
              <w:rPr>
                <w:rFonts w:ascii="Arial" w:cs="Arial" w:eastAsia="Arial" w:hAnsi="Arial"/>
                <w:sz w:val="35"/>
                <w:szCs w:val="35"/>
                <w:color w:val="auto"/>
                <w:vertAlign w:val="superscript"/>
              </w:rPr>
              <w:t>1</w:t>
            </w: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60" w:type="dxa"/>
            <w:vAlign w:val="bottom"/>
            <w:vMerge w:val="continue"/>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4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40" w:type="dxa"/>
            <w:vAlign w:val="bottom"/>
            <w:gridSpan w:val="4"/>
          </w:tcPr>
          <w:p>
            <w:pPr>
              <w:jc w:val="right"/>
              <w:ind w:right="20"/>
              <w:spacing w:after="0"/>
              <w:rPr>
                <w:sz w:val="20"/>
                <w:szCs w:val="20"/>
                <w:color w:val="auto"/>
              </w:rPr>
            </w:pPr>
            <w:r>
              <w:rPr>
                <w:rFonts w:ascii="Arial" w:cs="Arial" w:eastAsia="Arial" w:hAnsi="Arial"/>
                <w:sz w:val="22"/>
                <w:szCs w:val="22"/>
                <w:color w:val="auto"/>
              </w:rPr>
              <w:t>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firstLine="656"/>
        <w:spacing w:after="0" w:line="196" w:lineRule="auto"/>
        <w:tabs>
          <w:tab w:leader="none" w:pos="783" w:val="left"/>
        </w:tabs>
        <w:numPr>
          <w:ilvl w:val="0"/>
          <w:numId w:val="8"/>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4"/>
        </w:trPr>
        <w:tc>
          <w:tcPr>
            <w:tcW w:w="5840" w:type="dxa"/>
            <w:vAlign w:val="bottom"/>
          </w:tcPr>
          <w:p>
            <w:pPr>
              <w:ind w:left="660"/>
              <w:spacing w:after="0"/>
              <w:rPr>
                <w:sz w:val="20"/>
                <w:szCs w:val="20"/>
                <w:color w:val="auto"/>
              </w:rPr>
            </w:pPr>
            <w:r>
              <w:rPr>
                <w:rFonts w:ascii="Arial" w:cs="Arial" w:eastAsia="Arial" w:hAnsi="Arial"/>
                <w:sz w:val="22"/>
                <w:szCs w:val="22"/>
                <w:color w:val="auto"/>
                <w:w w:val="93"/>
              </w:rPr>
              <w:t>The following table summarizes selected operating data:</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5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7"/>
          </w:tcPr>
          <w:p>
            <w:pPr>
              <w:jc w:val="right"/>
              <w:ind w:right="220"/>
              <w:spacing w:after="0"/>
              <w:rPr>
                <w:sz w:val="20"/>
                <w:szCs w:val="20"/>
                <w:color w:val="auto"/>
              </w:rPr>
            </w:pPr>
            <w:r>
              <w:rPr>
                <w:rFonts w:ascii="Arial" w:cs="Arial" w:eastAsia="Arial" w:hAnsi="Arial"/>
                <w:sz w:val="22"/>
                <w:szCs w:val="22"/>
                <w:b w:val="1"/>
                <w:bCs w:val="1"/>
                <w:color w:val="auto"/>
                <w:w w:val="90"/>
              </w:rPr>
              <w:t>Three Months Ended</w:t>
            </w:r>
          </w:p>
        </w:tc>
        <w:tc>
          <w:tcPr>
            <w:tcW w:w="0" w:type="dxa"/>
            <w:vAlign w:val="bottom"/>
          </w:tcPr>
          <w:p>
            <w:pPr>
              <w:spacing w:after="0"/>
              <w:rPr>
                <w:sz w:val="1"/>
                <w:szCs w:val="1"/>
                <w:color w:val="auto"/>
              </w:rPr>
            </w:pPr>
          </w:p>
        </w:tc>
      </w:tr>
      <w:tr>
        <w:trPr>
          <w:trHeight w:val="280"/>
        </w:trPr>
        <w:tc>
          <w:tcPr>
            <w:tcW w:w="5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2022</w:t>
            </w:r>
          </w:p>
        </w:tc>
        <w:tc>
          <w:tcPr>
            <w:tcW w:w="860" w:type="dxa"/>
            <w:vAlign w:val="bottom"/>
            <w:gridSpan w:val="2"/>
          </w:tcPr>
          <w:p>
            <w:pPr>
              <w:jc w:val="right"/>
              <w:spacing w:after="0"/>
              <w:rPr>
                <w:sz w:val="20"/>
                <w:szCs w:val="20"/>
                <w:color w:val="auto"/>
              </w:rPr>
            </w:pPr>
            <w:r>
              <w:rPr>
                <w:rFonts w:ascii="Arial" w:cs="Arial" w:eastAsia="Arial" w:hAnsi="Arial"/>
                <w:sz w:val="22"/>
                <w:szCs w:val="22"/>
                <w:b w:val="1"/>
                <w:bCs w:val="1"/>
                <w:color w:val="auto"/>
                <w:w w:val="96"/>
              </w:rPr>
              <w:t>April 30,</w:t>
            </w: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22"/>
                <w:szCs w:val="22"/>
                <w:b w:val="1"/>
                <w:bCs w:val="1"/>
                <w:color w:val="auto"/>
                <w:w w:val="98"/>
              </w:rPr>
              <w:t>2021</w:t>
            </w: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 (net of hedging)</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2.28</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1.79</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400" w:type="dxa"/>
            <w:vAlign w:val="bottom"/>
          </w:tcPr>
          <w:p>
            <w:pPr>
              <w:spacing w:after="0"/>
              <w:rPr>
                <w:sz w:val="21"/>
                <w:szCs w:val="21"/>
                <w:color w:val="auto"/>
              </w:rPr>
            </w:pPr>
          </w:p>
        </w:tc>
        <w:tc>
          <w:tcPr>
            <w:tcW w:w="1000" w:type="dxa"/>
            <w:vAlign w:val="bottom"/>
            <w:gridSpan w:val="3"/>
          </w:tcPr>
          <w:p>
            <w:pPr>
              <w:jc w:val="right"/>
              <w:ind w:right="152"/>
              <w:spacing w:after="0" w:line="243" w:lineRule="exact"/>
              <w:rPr>
                <w:sz w:val="20"/>
                <w:szCs w:val="20"/>
                <w:color w:val="auto"/>
              </w:rPr>
            </w:pPr>
            <w:r>
              <w:rPr>
                <w:rFonts w:ascii="Arial" w:cs="Arial" w:eastAsia="Arial" w:hAnsi="Arial"/>
                <w:sz w:val="22"/>
                <w:szCs w:val="22"/>
                <w:color w:val="auto"/>
              </w:rPr>
              <w:t>64.5</w:t>
            </w:r>
          </w:p>
        </w:tc>
        <w:tc>
          <w:tcPr>
            <w:tcW w:w="400" w:type="dxa"/>
            <w:vAlign w:val="bottom"/>
          </w:tcPr>
          <w:p>
            <w:pPr>
              <w:spacing w:after="0"/>
              <w:rPr>
                <w:sz w:val="21"/>
                <w:szCs w:val="21"/>
                <w:color w:val="auto"/>
              </w:rPr>
            </w:pP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70.0</w:t>
            </w: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218.90</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208.92</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400" w:type="dxa"/>
            <w:vAlign w:val="bottom"/>
          </w:tcPr>
          <w:p>
            <w:pPr>
              <w:spacing w:after="0"/>
              <w:rPr>
                <w:sz w:val="21"/>
                <w:szCs w:val="21"/>
                <w:color w:val="auto"/>
              </w:rPr>
            </w:pPr>
          </w:p>
        </w:tc>
        <w:tc>
          <w:tcPr>
            <w:tcW w:w="1000" w:type="dxa"/>
            <w:vAlign w:val="bottom"/>
            <w:gridSpan w:val="3"/>
          </w:tcPr>
          <w:p>
            <w:pPr>
              <w:jc w:val="right"/>
              <w:ind w:right="152"/>
              <w:spacing w:after="0" w:line="243" w:lineRule="exact"/>
              <w:rPr>
                <w:sz w:val="20"/>
                <w:szCs w:val="20"/>
                <w:color w:val="auto"/>
              </w:rPr>
            </w:pPr>
            <w:r>
              <w:rPr>
                <w:rFonts w:ascii="Arial" w:cs="Arial" w:eastAsia="Arial" w:hAnsi="Arial"/>
                <w:sz w:val="22"/>
                <w:szCs w:val="22"/>
                <w:color w:val="auto"/>
                <w:w w:val="90"/>
              </w:rPr>
              <w:t>145,714</w:t>
            </w:r>
          </w:p>
        </w:tc>
        <w:tc>
          <w:tcPr>
            <w:tcW w:w="400" w:type="dxa"/>
            <w:vAlign w:val="bottom"/>
          </w:tcPr>
          <w:p>
            <w:pPr>
              <w:spacing w:after="0"/>
              <w:rPr>
                <w:sz w:val="21"/>
                <w:szCs w:val="21"/>
                <w:color w:val="auto"/>
              </w:rPr>
            </w:pP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w w:val="87"/>
              </w:rPr>
              <w:t>148,951</w:t>
            </w: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pound of non-food grade corn oil</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0.63</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0.33</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400" w:type="dxa"/>
            <w:vAlign w:val="bottom"/>
          </w:tcPr>
          <w:p>
            <w:pPr>
              <w:spacing w:after="0"/>
              <w:rPr>
                <w:sz w:val="21"/>
                <w:szCs w:val="21"/>
                <w:color w:val="auto"/>
              </w:rPr>
            </w:pPr>
          </w:p>
        </w:tc>
        <w:tc>
          <w:tcPr>
            <w:tcW w:w="1000" w:type="dxa"/>
            <w:vAlign w:val="bottom"/>
            <w:gridSpan w:val="3"/>
          </w:tcPr>
          <w:p>
            <w:pPr>
              <w:jc w:val="right"/>
              <w:ind w:right="152"/>
              <w:spacing w:after="0" w:line="243" w:lineRule="exact"/>
              <w:rPr>
                <w:sz w:val="20"/>
                <w:szCs w:val="20"/>
                <w:color w:val="auto"/>
              </w:rPr>
            </w:pPr>
            <w:r>
              <w:rPr>
                <w:rFonts w:ascii="Arial" w:cs="Arial" w:eastAsia="Arial" w:hAnsi="Arial"/>
                <w:sz w:val="22"/>
                <w:szCs w:val="22"/>
                <w:color w:val="auto"/>
              </w:rPr>
              <w:t>17.7</w:t>
            </w:r>
          </w:p>
        </w:tc>
        <w:tc>
          <w:tcPr>
            <w:tcW w:w="400" w:type="dxa"/>
            <w:vAlign w:val="bottom"/>
          </w:tcPr>
          <w:p>
            <w:pPr>
              <w:spacing w:after="0"/>
              <w:rPr>
                <w:sz w:val="21"/>
                <w:szCs w:val="21"/>
                <w:color w:val="auto"/>
              </w:rPr>
            </w:pP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17.1</w:t>
            </w: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modified distillers grains</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118.09</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71.54</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400" w:type="dxa"/>
            <w:vAlign w:val="bottom"/>
          </w:tcPr>
          <w:p>
            <w:pPr>
              <w:spacing w:after="0"/>
              <w:rPr>
                <w:sz w:val="21"/>
                <w:szCs w:val="21"/>
                <w:color w:val="auto"/>
              </w:rPr>
            </w:pPr>
          </w:p>
        </w:tc>
        <w:tc>
          <w:tcPr>
            <w:tcW w:w="1000" w:type="dxa"/>
            <w:vAlign w:val="bottom"/>
            <w:gridSpan w:val="3"/>
          </w:tcPr>
          <w:p>
            <w:pPr>
              <w:jc w:val="right"/>
              <w:ind w:right="152"/>
              <w:spacing w:after="0" w:line="243" w:lineRule="exact"/>
              <w:rPr>
                <w:sz w:val="20"/>
                <w:szCs w:val="20"/>
                <w:color w:val="auto"/>
              </w:rPr>
            </w:pPr>
            <w:r>
              <w:rPr>
                <w:rFonts w:ascii="Arial" w:cs="Arial" w:eastAsia="Arial" w:hAnsi="Arial"/>
                <w:sz w:val="22"/>
                <w:szCs w:val="22"/>
                <w:color w:val="auto"/>
              </w:rPr>
              <w:t>36,879</w:t>
            </w:r>
          </w:p>
        </w:tc>
        <w:tc>
          <w:tcPr>
            <w:tcW w:w="400" w:type="dxa"/>
            <w:vAlign w:val="bottom"/>
          </w:tcPr>
          <w:p>
            <w:pPr>
              <w:spacing w:after="0"/>
              <w:rPr>
                <w:sz w:val="21"/>
                <w:szCs w:val="21"/>
                <w:color w:val="auto"/>
              </w:rPr>
            </w:pP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32,060</w:t>
            </w: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6.55</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5.16</w:t>
            </w:r>
          </w:p>
        </w:tc>
        <w:tc>
          <w:tcPr>
            <w:tcW w:w="0" w:type="dxa"/>
            <w:vAlign w:val="bottom"/>
          </w:tcPr>
          <w:p>
            <w:pPr>
              <w:spacing w:after="0"/>
              <w:rPr>
                <w:sz w:val="1"/>
                <w:szCs w:val="1"/>
                <w:color w:val="auto"/>
              </w:rPr>
            </w:pPr>
          </w:p>
        </w:tc>
      </w:tr>
      <w:tr>
        <w:trPr>
          <w:trHeight w:val="274"/>
        </w:trPr>
        <w:tc>
          <w:tcPr>
            <w:tcW w:w="584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3"/>
          </w:tcPr>
          <w:p>
            <w:pPr>
              <w:jc w:val="right"/>
              <w:ind w:right="152"/>
              <w:spacing w:after="0"/>
              <w:rPr>
                <w:sz w:val="20"/>
                <w:szCs w:val="20"/>
                <w:color w:val="auto"/>
              </w:rPr>
            </w:pPr>
            <w:r>
              <w:rPr>
                <w:rFonts w:ascii="Arial" w:cs="Arial" w:eastAsia="Arial" w:hAnsi="Arial"/>
                <w:sz w:val="22"/>
                <w:szCs w:val="22"/>
                <w:color w:val="auto"/>
              </w:rPr>
              <w:t>5.93</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22"/>
                <w:szCs w:val="22"/>
                <w:color w:val="auto"/>
              </w:rPr>
              <w:t>3.18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Net sales and revenue in the quarter ended April 30, 2022 increased approximately 18% compared to the prior year’s first quarter. A decrease in quantity sold at our consolidated plants during the first quarter of fiscal year 2022 was more than offset by stronger commodity pricing in the first quarter of 2022.</w:t>
      </w:r>
    </w:p>
    <w:p>
      <w:pPr>
        <w:spacing w:after="0" w:line="21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Ethanol sales increased in the first quarter of fiscal year 2022 compared to the first quarter of fiscal year 2021 as the average price per gallon sold increased 27%, offset slightly by an 8% decrease in gallons sold. The increase in the ethanol selling price resulted primarily from an increase in commodity prices.</w:t>
      </w:r>
    </w:p>
    <w:p>
      <w:pPr>
        <w:spacing w:after="0" w:line="21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Dried distillers grains sales increased in the first quarter of fiscal year 2022 compared to the first quarter of fiscal year 2021 as the average price per ton sold increased 5%, offset slightly by a 2% decrease in tons sold. The increase in the dried distillers grains selling price resulted primarily from an increase in corn prices as dried distillers grains prices often correlate with corn pricing.</w:t>
      </w:r>
    </w:p>
    <w:p>
      <w:pPr>
        <w:spacing w:after="0" w:line="212"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Non-food grade corn oil sales increased in the first quarter of fiscal year 2022 compared to the first quarter of fiscal year 2021 as the number of pounds sold increased 4% and the average selling price per pound increased 91% over the prior year first quarter. The increase in the non-food grade corn oil selling price resulted primarily from an increase in demand from the biodiesel industry.</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Modified distillers grains sales increased in the first quarter of fiscal year 2022 compared to the first quarter of fiscal year 2021 as the number of tons sold increased 15% and the average selling price per ton increased 65% over the prior year first quarter. The increase in the modified distillers grains selling price resulted primarily from an increase in corn prices and increased local demand.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ind w:firstLine="648"/>
        <w:spacing w:after="0" w:line="238" w:lineRule="auto"/>
        <w:rPr>
          <w:sz w:val="20"/>
          <w:szCs w:val="20"/>
          <w:color w:val="auto"/>
        </w:rPr>
      </w:pPr>
      <w:r>
        <w:rPr>
          <w:rFonts w:ascii="Arial" w:cs="Arial" w:eastAsia="Arial" w:hAnsi="Arial"/>
          <w:sz w:val="22"/>
          <w:szCs w:val="22"/>
          <w:color w:val="auto"/>
        </w:rPr>
        <w:t>Gains on derivative financial instruments, included in net sales and revenue, of approximately $0.3 million in the first quarter of fiscal year 2022 related to our risk management activities and were impacted by the increase in corn prices during that quarter. There were losses on derivative financial instruments of approximately $1.1 million during the first quarter of fiscal year 2021.</w:t>
      </w:r>
    </w:p>
    <w:p>
      <w:pPr>
        <w:spacing w:after="0" w:line="212"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Gross profit for the first quarter of fiscal year 2022 decreased approximately $7.6 million compared to the prior year’s first quarter. This was primarily caused by significantly increased corn prices during the first quarter of fiscal year 2022, as well as more ethanol contracts sold net of freight according to contract terms in the first quarter of fiscal year 2022 compared to fiscal year 2021, which reduced revenue in fiscal year 2022. The selling price per gallon of ethanol sold increased 27% for the first quarter of fiscal year 2022 compared to the first quarter of fiscal year 2021. There was a 27% increase in the cost per bushel of corn during the same periods.</w:t>
      </w:r>
    </w:p>
    <w:p>
      <w:pPr>
        <w:spacing w:after="0" w:line="215"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Grain accounted for approximately 84% ($152.7 million) of our cost of sales during the first quarter of fiscal year 2022 compared to approximately 84% ($121.8 million) during the first quarter of fiscal year 2021. Natural gas accounted for approximately 6% ($10.8 million) of our cost of sales during the first quarter of fiscal year 2022 compared to approximately 3% ($3.6 million) during the first quarter of fiscal year 2021. The grain and natural gas expenditure increases were primarily attributable to the higher costs of both corn and natural gas with stable production levels in the first quarter of fiscal year 2022 compared to the first quarter of fiscal year 2021.</w:t>
      </w:r>
    </w:p>
    <w:p>
      <w:pPr>
        <w:spacing w:after="0" w:line="21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SG&amp;A expenses were approximately $5.2 million for the first quarter of fiscal year 2022, significantly lower than the approximately $9.9 million of expenses for the first quarter of fiscal year 2021. A majority of the decrease results from higher shipping costs in the first quarter of fiscal year 2021 as more sales contracts provided for shipping to be paid by us compared to the first quarter of fiscal year 2022.</w:t>
      </w:r>
    </w:p>
    <w:p>
      <w:pPr>
        <w:spacing w:after="0" w:line="212"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During the first quarter of fiscal year 2022, we recognized income of approximately $2.0 million compared to income of approximately $0.6 million for the first quarter of fiscal year 2021, from our equity investment in Big River. Big River has interests in four ethanol production plants that shipped approximately 428 million gallons in the trailing twelve months ended April 30, 2022 and has an effective ownership of ethanol gallons shipped for the same period of approximately 371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28" w:name="page29"/>
    <w:bookmarkEnd w:id="28"/>
    <w:p>
      <w:pPr>
        <w:jc w:val="both"/>
        <w:ind w:right="560" w:firstLine="648"/>
        <w:spacing w:after="0"/>
        <w:rPr>
          <w:sz w:val="20"/>
          <w:szCs w:val="20"/>
          <w:color w:val="auto"/>
        </w:rPr>
      </w:pPr>
      <w:r>
        <w:rPr>
          <w:rFonts w:ascii="Arial" w:cs="Arial" w:eastAsia="Arial" w:hAnsi="Arial"/>
          <w:sz w:val="22"/>
          <w:szCs w:val="22"/>
          <w:color w:val="auto"/>
        </w:rPr>
        <w:t>Interest and other income was approximately $174,000 for the first quarter of fiscal year 2022 versus approximately $43,000 for the first quarter of fiscal year 2021. Interest income increased as yields on our excess cash increased in the first quarter of fiscal year 2022 compared to the first quarter of fiscal year 2021.</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a result of the foregoing, income before income taxes was approximately $8.8 million for the first quarter of fiscal year 2022 versus approximately $10.2 million for the first quarter of fiscal year 2021.</w:t>
      </w:r>
    </w:p>
    <w:p>
      <w:pPr>
        <w:spacing w:after="0" w:line="202"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Prior to the third quarter of fiscal year 2021, the Company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2021. Beginning on November 18, 2021, we are unable to earn tax credit related to the refined coal business, and as such, have ceased operation of that business. As earning these credits is what had caused the significant changes in the estimated annual effective tax rate from small changes in estimated “ordinary” income and we have now classified the refined coal business as discontinued operations, we have returned to using the annual effective tax rate method to calculate the provision or benefit for income taxes from continuing operations beginning in the three and nine month periods ending October 31, 2021. Our income tax provision from continuing operations was approximately $1.8 million and approximately $2.2 million for the three months ended April 30, 2022 and 2021, respectively.</w:t>
      </w:r>
    </w:p>
    <w:p>
      <w:pPr>
        <w:spacing w:after="0" w:line="20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As a result of the foregoing, net income from continuing operations was approximately $7.0 million for the first quarter of fiscal year 2022 compared to approximately $8.0 million for the first quarter of fiscal year 2021.</w:t>
      </w:r>
    </w:p>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Income from continuing operations related to noncontrolling interests was approximately $1.8 million for the first quarter of fiscal year 2022 compared to $0.7 million for the first quarter of fiscal year 2021. These amounts represent the other owners’ share of the income or loss of NuGen and One Earth. Noncontrolling interests related to the refined coal entity is included in discontinued operations.</w:t>
      </w:r>
    </w:p>
    <w:p>
      <w:pPr>
        <w:spacing w:after="0" w:line="212"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As a result of the foregoing, net income attributable to REX common shareholders from continuing operations for the first quarter of fiscal year 2022 was approximately $5.2 million, a decrease of approximately $2.1 million from net income attributable to REX common shareholders from continuing operations of approximately $7.3 million for the first quarter of fiscal year 2021.</w:t>
      </w:r>
    </w:p>
    <w:p>
      <w:pPr>
        <w:spacing w:after="0" w:line="212" w:lineRule="exact"/>
        <w:rPr>
          <w:sz w:val="20"/>
          <w:szCs w:val="20"/>
          <w:color w:val="auto"/>
        </w:rPr>
      </w:pPr>
    </w:p>
    <w:p>
      <w:pPr>
        <w:ind w:right="160" w:firstLine="648"/>
        <w:spacing w:after="0" w:line="248" w:lineRule="auto"/>
        <w:rPr>
          <w:sz w:val="20"/>
          <w:szCs w:val="20"/>
          <w:color w:val="auto"/>
        </w:rPr>
      </w:pPr>
      <w:r>
        <w:rPr>
          <w:rFonts w:ascii="Arial" w:cs="Arial" w:eastAsia="Arial" w:hAnsi="Arial"/>
          <w:sz w:val="21"/>
          <w:szCs w:val="21"/>
          <w:color w:val="auto"/>
        </w:rPr>
        <w:t>The Company ceased operation of its refined coal business as tax credits could no longer be earned on its operation beginning November 18, 2021. Beginning in the third quarter of fiscal year 2021, the results of the operation of the refined coal business have been recognized as discontinued operations. The refined coal business operated at a pre-tax loss but generated tax credits that normally exceeded the operating loss. There was no activity related to discontinued operations in the first quarter of fiscal year 2022. Net income attributable to REX common shareholders from discontinued operations, net of tax, for the first quarter of fiscal year 2021 was approximately $0.5 million.</w:t>
      </w:r>
    </w:p>
    <w:p>
      <w:pPr>
        <w:spacing w:after="0" w:line="204"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Through its refined coal operation, the Company earned production tax credits pursuant to IRC Section 45. The credits can be used to reduce future income tax liabilities for up to 20 years. The income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tax benefit generated from discontinued operations was $2.2 million for the three months ended April 30, 2021.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Net cash used in operating activities was approximately $17.7 million for the first three months of fiscal year 2022, compared to cash provided by operating activities of approximately $13.6 million for the first three months of fiscal year 2021. For the first three months of fiscal year 2022, cash was provided by net income from continuing operations of approximately $7.0 million, adjusted for non-cash items of approximately $5.2 million, which consisted of depreciation, amortization of operating lease right-of-use assets, income from equity method investments, interest income from short-term investments, the deferred income tax provision and stock based compensation expense. A decrease in the balance of accounts receivable provided cash of approximately $0.4 million, primarily a result of the timing of products shipped and the receipt of customer payments at One Earth and NuGen. Inventories increased by approximately $14.2 million, primarily a result of the timing of receipt of raw materials and the shipment of finished goods, as well as an increase in commodity prices. An increase in the balance of other assets of approximately $3.6 million primarily relates to changes in the carrying value of forward purchase contracts recorded at fair value. A decrease in the balance of refundable income taxes of approximately $0.6 million primarily relates to amount currently payable on income from the first three months of the fiscal year. A decrease in the balance of accounts payable used cash of approximately $13.2 million, which was primarily a result of the timing of inventory receipts and vendor payments. An increase in the balance of other liabilities provided cash of approximately $0.1 million.</w:t>
      </w:r>
    </w:p>
    <w:p>
      <w:pPr>
        <w:spacing w:after="0" w:line="1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$13.6 million for the first quarter of fiscal year 2021. For the first quarter of fiscal year 2021, cash was provided by net income from continuing operations of approximately $8.0 million, adjusted for non-cash items of approximately $7.9 million, which consisted of depreciation, amortization of operating lease right-of-use assets, income from equity method investments, interest income from short-term investments, the deferred income tax provision and stock based compensation expense. An increase in the balance of accounts receivable used cash of approximately $7.8 million, primarily a result of the timing of products shipped and the receipt of customer payments at One Earth and NuGen in addition to higher sales. Inventories decreased by approximately $11.2 million, primarily a result of the timing of receipt of raw materials and the shipment of finished goods. An increase in the balance of other assets of approximately $2.2 million primarily relates to increases in the carrying value of forward purchase contracts recorded at fair value as commodity price increased significantly during the first quarter of fiscal year 2021. A decrease in the balance of accounts payable used cash of approximately $0.7 million, which was primarily a result of the timing of inventory receipts and vendor payments. A decrease in the balance of other liabilities used cash of approximately $1.3 million, which was primarily a result of operating lease payments. Discontinued operations used cash of $1.5 million during the first quarter of 2021.</w:t>
      </w:r>
    </w:p>
    <w:p>
      <w:pPr>
        <w:spacing w:after="0" w:line="183"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At April 30, 2022, working capital was approximately $304.0 million, compared to approximately $294.7 million at January 31, 2022. The ratio of current assets to current liabilities was 8.8 to 1 at April 30, 2022 and 6.8 to 1 at January 31, 2022.</w:t>
      </w:r>
    </w:p>
    <w:p>
      <w:pPr>
        <w:spacing w:after="0" w:line="132" w:lineRule="exact"/>
        <w:rPr>
          <w:sz w:val="20"/>
          <w:szCs w:val="20"/>
          <w:color w:val="auto"/>
        </w:rPr>
      </w:pPr>
    </w:p>
    <w:p>
      <w:pPr>
        <w:ind w:right="600" w:firstLine="648"/>
        <w:spacing w:after="0" w:line="250" w:lineRule="auto"/>
        <w:rPr>
          <w:sz w:val="20"/>
          <w:szCs w:val="20"/>
          <w:color w:val="auto"/>
        </w:rPr>
      </w:pPr>
      <w:r>
        <w:rPr>
          <w:rFonts w:ascii="Arial" w:cs="Arial" w:eastAsia="Arial" w:hAnsi="Arial"/>
          <w:sz w:val="22"/>
          <w:szCs w:val="22"/>
          <w:color w:val="auto"/>
        </w:rPr>
        <w:t>Cash of approximately $142.8 million was used in investing activities for the first three months of fiscal year 2022, compared to approximately $0.9 million used during the first three months of fiscal year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0" w:name="page31"/>
    <w:bookmarkEnd w:id="30"/>
    <w:p>
      <w:pPr>
        <w:ind w:right="120"/>
        <w:spacing w:after="0" w:line="246" w:lineRule="auto"/>
        <w:rPr>
          <w:sz w:val="20"/>
          <w:szCs w:val="20"/>
          <w:color w:val="auto"/>
        </w:rPr>
      </w:pPr>
      <w:r>
        <w:rPr>
          <w:rFonts w:ascii="Arial" w:cs="Arial" w:eastAsia="Arial" w:hAnsi="Arial"/>
          <w:sz w:val="21"/>
          <w:szCs w:val="21"/>
          <w:color w:val="auto"/>
        </w:rPr>
        <w:t>2021. During the first three months of fiscal year 2022, we had capital expenditures of approximately $1.5 million, primarily for improvements at the One Earth and NuGen facilities. We expect capital expenditures to be in the range of approximately $15.0 million to $20.0 million for the remainder of fiscal year 2022. During the first three months of fiscal year 2022, we purchased U.S. Treasury bonds short-term of approximately $161.6 million and certificates of deposit of approximately $20.3 million matured. The certificates of deposit and U.S Treasury bonds had maturities of less than one year and we classified as short-term investments. Depending on investment options available, we may elect to retain the funds, or a portion thereof, in cash investments, short-term investments or long-term investments.</w:t>
      </w:r>
    </w:p>
    <w:p>
      <w:pPr>
        <w:spacing w:after="0" w:line="211"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Cash of approximately $0.9 million was used in investing activities for the first three months of fiscal year 2021. During the first three months of fiscal year 2021, we had capital expenditures of approximately $1.3 million, primarily for improvements at the One Earth and NuGen facilities. During the first three months of fiscal year 2021, we purchased certificates of deposit (classified as short-term investments) of approximately $25.9 million. During the first three months of fiscal year 2021, certificates of deposit (classified as short-term investments) of approximately $26.3 million matured.</w:t>
      </w:r>
    </w:p>
    <w:p>
      <w:pPr>
        <w:spacing w:after="0" w:line="205" w:lineRule="exact"/>
        <w:rPr>
          <w:sz w:val="20"/>
          <w:szCs w:val="20"/>
          <w:color w:val="auto"/>
        </w:rPr>
      </w:pPr>
    </w:p>
    <w:p>
      <w:pPr>
        <w:jc w:val="both"/>
        <w:ind w:right="280" w:firstLine="648"/>
        <w:spacing w:after="0"/>
        <w:rPr>
          <w:sz w:val="20"/>
          <w:szCs w:val="20"/>
          <w:color w:val="auto"/>
        </w:rPr>
      </w:pPr>
      <w:r>
        <w:rPr>
          <w:rFonts w:ascii="Arial" w:cs="Arial" w:eastAsia="Arial" w:hAnsi="Arial"/>
          <w:sz w:val="22"/>
          <w:szCs w:val="22"/>
          <w:color w:val="auto"/>
        </w:rPr>
        <w:t>Cash from financing activities was insignificant in both the first three months of fiscal year 2022 and 2021 from shares repurchased from noncontrolling interests holders. In addition, $68,000 was provided from discontinued operations in the first three months of 2021 from capital contributions from the minority investor.</w:t>
      </w:r>
    </w:p>
    <w:p>
      <w:pPr>
        <w:spacing w:after="0" w:line="213"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We are investigating various uses for our excess cash and short-term investments. We have a stock buyback program, and given our current authorization level, can repurchase a total of approximately 449,000 shares at April 30, 2022.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205"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The Company is working with the University of Illinois and is in the exploratory stage of a carbon sequestration project near the One Earth Energy ethanol plant. A test well has been drilled and three-dimensional seismic testing has been performed. We are working on simulation models to predict the movement of carbon dioxide injection into the subsurface, additional testing and completion of a class VI permit application. A front-end engineering design study has been completed for a carbon dioxide liquification facility for the One Earth Energy plant, and we plan to begin seeking bids once we have completed additional engineering work. At this time we do not know total cost to complete or the feasibility of the project.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1" w:name="page32"/>
    <w:bookmarkEnd w:id="31"/>
    <w:p>
      <w:pPr>
        <w:spacing w:after="0" w:line="273" w:lineRule="auto"/>
        <w:rPr>
          <w:sz w:val="20"/>
          <w:szCs w:val="20"/>
          <w:color w:val="auto"/>
        </w:rPr>
      </w:pPr>
      <w:r>
        <w:rPr>
          <w:rFonts w:ascii="Arial" w:cs="Arial" w:eastAsia="Arial" w:hAnsi="Arial"/>
          <w:sz w:val="19"/>
          <w:szCs w:val="19"/>
          <w:color w:val="auto"/>
        </w:rPr>
        <w:t>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2022 (File No. 001-09097).</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April 30, 2022 is as follows, assuming normal operating capacity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Arial" w:cs="Arial" w:eastAsia="Arial" w:hAnsi="Arial"/>
                <w:sz w:val="22"/>
                <w:szCs w:val="22"/>
                <w:b w:val="1"/>
                <w:bCs w:val="1"/>
                <w:color w:val="auto"/>
              </w:rPr>
              <w:t>Estimated Total</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2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Volume for</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30"/>
        </w:trPr>
        <w:tc>
          <w:tcPr>
            <w:tcW w:w="42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Commodity</w:t>
            </w:r>
          </w:p>
        </w:tc>
        <w:tc>
          <w:tcPr>
            <w:tcW w:w="232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12 Months</w:t>
            </w:r>
          </w:p>
        </w:tc>
        <w:tc>
          <w:tcPr>
            <w:tcW w:w="18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Unit of Measure</w:t>
            </w:r>
          </w:p>
        </w:tc>
        <w:tc>
          <w:tcPr>
            <w:tcW w:w="276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Adverse Change in Price</w:t>
            </w:r>
          </w:p>
        </w:tc>
      </w:tr>
      <w:tr>
        <w:trPr>
          <w:trHeight w:val="263"/>
        </w:trPr>
        <w:tc>
          <w:tcPr>
            <w:tcW w:w="1100" w:type="dxa"/>
            <w:vAlign w:val="bottom"/>
            <w:tcBorders>
              <w:top w:val="single" w:sz="8" w:color="auto"/>
            </w:tcBorders>
          </w:tcPr>
          <w:p>
            <w:pPr>
              <w:spacing w:after="0"/>
              <w:rPr>
                <w:sz w:val="22"/>
                <w:szCs w:val="22"/>
                <w:color w:val="auto"/>
              </w:rPr>
            </w:pPr>
          </w:p>
        </w:tc>
        <w:tc>
          <w:tcPr>
            <w:tcW w:w="318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32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280,000</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w w:val="86"/>
              </w:rPr>
              <w:t>68,735</w:t>
            </w:r>
          </w:p>
        </w:tc>
        <w:tc>
          <w:tcPr>
            <w:tcW w:w="460" w:type="dxa"/>
            <w:vAlign w:val="bottom"/>
            <w:shd w:val="clear" w:color="auto" w:fill="E5FFFF"/>
          </w:tcPr>
          <w:p>
            <w:pPr>
              <w:spacing w:after="0"/>
              <w:rPr>
                <w:sz w:val="21"/>
                <w:szCs w:val="2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320" w:type="dxa"/>
            <w:vAlign w:val="bottom"/>
            <w:gridSpan w:val="2"/>
          </w:tcPr>
          <w:p>
            <w:pPr>
              <w:jc w:val="right"/>
              <w:ind w:right="920"/>
              <w:spacing w:after="0" w:line="243" w:lineRule="exact"/>
              <w:rPr>
                <w:sz w:val="20"/>
                <w:szCs w:val="20"/>
                <w:color w:val="auto"/>
              </w:rPr>
            </w:pPr>
            <w:r>
              <w:rPr>
                <w:rFonts w:ascii="Arial" w:cs="Arial" w:eastAsia="Arial" w:hAnsi="Arial"/>
                <w:sz w:val="22"/>
                <w:szCs w:val="22"/>
                <w:color w:val="auto"/>
              </w:rPr>
              <w:t>100,000</w:t>
            </w:r>
          </w:p>
        </w:tc>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rPr>
              <w:t>Bushels</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tcPr>
          <w:p>
            <w:pPr>
              <w:jc w:val="right"/>
              <w:ind w:right="512"/>
              <w:spacing w:after="0" w:line="243" w:lineRule="exact"/>
              <w:rPr>
                <w:sz w:val="20"/>
                <w:szCs w:val="20"/>
                <w:color w:val="auto"/>
              </w:rPr>
            </w:pPr>
            <w:r>
              <w:rPr>
                <w:rFonts w:ascii="Arial" w:cs="Arial" w:eastAsia="Arial" w:hAnsi="Arial"/>
                <w:sz w:val="22"/>
                <w:szCs w:val="22"/>
                <w:color w:val="auto"/>
                <w:w w:val="86"/>
              </w:rPr>
              <w:t>69,667</w:t>
            </w:r>
          </w:p>
        </w:tc>
        <w:tc>
          <w:tcPr>
            <w:tcW w:w="460" w:type="dxa"/>
            <w:vAlign w:val="bottom"/>
          </w:tcPr>
          <w:p>
            <w:pPr>
              <w:spacing w:after="0"/>
              <w:rPr>
                <w:sz w:val="21"/>
                <w:szCs w:val="21"/>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32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790</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w w:val="86"/>
              </w:rPr>
              <w:t>16,360</w:t>
            </w:r>
          </w:p>
        </w:tc>
        <w:tc>
          <w:tcPr>
            <w:tcW w:w="460" w:type="dxa"/>
            <w:vAlign w:val="bottom"/>
            <w:shd w:val="clear" w:color="auto" w:fill="E5FFFF"/>
          </w:tcPr>
          <w:p>
            <w:pPr>
              <w:spacing w:after="0"/>
              <w:rPr>
                <w:sz w:val="21"/>
                <w:szCs w:val="2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320" w:type="dxa"/>
            <w:vAlign w:val="bottom"/>
            <w:gridSpan w:val="2"/>
          </w:tcPr>
          <w:p>
            <w:pPr>
              <w:jc w:val="right"/>
              <w:ind w:right="920"/>
              <w:spacing w:after="0" w:line="243" w:lineRule="exact"/>
              <w:rPr>
                <w:sz w:val="20"/>
                <w:szCs w:val="20"/>
                <w:color w:val="auto"/>
              </w:rPr>
            </w:pPr>
            <w:r>
              <w:rPr>
                <w:rFonts w:ascii="Arial" w:cs="Arial" w:eastAsia="Arial" w:hAnsi="Arial"/>
                <w:sz w:val="22"/>
                <w:szCs w:val="22"/>
                <w:color w:val="auto"/>
              </w:rPr>
              <w:t>79,000</w:t>
            </w:r>
          </w:p>
        </w:tc>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rPr>
              <w:t>Pounds</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tcPr>
          <w:p>
            <w:pPr>
              <w:jc w:val="right"/>
              <w:ind w:right="512"/>
              <w:spacing w:after="0" w:line="243" w:lineRule="exact"/>
              <w:rPr>
                <w:sz w:val="20"/>
                <w:szCs w:val="20"/>
                <w:color w:val="auto"/>
              </w:rPr>
            </w:pPr>
            <w:r>
              <w:rPr>
                <w:rFonts w:ascii="Arial" w:cs="Arial" w:eastAsia="Arial" w:hAnsi="Arial"/>
                <w:sz w:val="22"/>
                <w:szCs w:val="22"/>
                <w:color w:val="auto"/>
              </w:rPr>
              <w:t>4,566</w:t>
            </w:r>
          </w:p>
        </w:tc>
        <w:tc>
          <w:tcPr>
            <w:tcW w:w="460" w:type="dxa"/>
            <w:vAlign w:val="bottom"/>
          </w:tcPr>
          <w:p>
            <w:pPr>
              <w:spacing w:after="0"/>
              <w:rPr>
                <w:sz w:val="21"/>
                <w:szCs w:val="21"/>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32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7,400</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rPr>
              <w:t>4,014</w:t>
            </w:r>
          </w:p>
        </w:tc>
        <w:tc>
          <w:tcPr>
            <w:tcW w:w="460" w:type="dxa"/>
            <w:vAlign w:val="bottom"/>
            <w:shd w:val="clear" w:color="auto" w:fill="E5FF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There have been no material changes to the risk factors discussed in our Annual Report on Form 10-K for the year ended January 31, 2022.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580" w:hanging="641"/>
        <w:spacing w:after="0"/>
        <w:tabs>
          <w:tab w:leader="none" w:pos="1580" w:val="left"/>
        </w:tabs>
        <w:numPr>
          <w:ilvl w:val="0"/>
          <w:numId w:val="9"/>
        </w:numPr>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580" w:hanging="641"/>
        <w:spacing w:after="0"/>
        <w:tabs>
          <w:tab w:leader="none" w:pos="1580" w:val="left"/>
        </w:tabs>
        <w:numPr>
          <w:ilvl w:val="0"/>
          <w:numId w:val="9"/>
        </w:numPr>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ind w:left="1580" w:hanging="641"/>
        <w:spacing w:after="0" w:line="236" w:lineRule="auto"/>
        <w:tabs>
          <w:tab w:leader="none" w:pos="15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following information from REX American Resources Corporation Quarterly Report on Form 10-Q for the quarter ended April 30, 2022,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60" w:lineRule="exact"/>
        <w:rPr>
          <w:rFonts w:ascii="Arial" w:cs="Arial" w:eastAsia="Arial" w:hAnsi="Arial"/>
          <w:sz w:val="22"/>
          <w:szCs w:val="22"/>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REX American Resources Corporation</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gridSpan w:val="4"/>
          </w:tcPr>
          <w:p>
            <w:pPr>
              <w:jc w:val="center"/>
              <w:ind w:right="1200"/>
              <w:spacing w:after="0"/>
              <w:rPr>
                <w:sz w:val="20"/>
                <w:szCs w:val="20"/>
                <w:color w:val="auto"/>
              </w:rPr>
            </w:pPr>
            <w:r>
              <w:rPr>
                <w:rFonts w:ascii="Arial" w:cs="Arial" w:eastAsia="Arial" w:hAnsi="Arial"/>
                <w:sz w:val="22"/>
                <w:szCs w:val="22"/>
                <w:b w:val="1"/>
                <w:bCs w:val="1"/>
                <w:color w:val="auto"/>
                <w:w w:val="86"/>
              </w:rPr>
              <w:t>Signature</w:t>
            </w:r>
          </w:p>
        </w:tc>
        <w:tc>
          <w:tcPr>
            <w:tcW w:w="482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Title</w:t>
            </w:r>
          </w:p>
        </w:tc>
        <w:tc>
          <w:tcPr>
            <w:tcW w:w="1420" w:type="dxa"/>
            <w:vAlign w:val="bottom"/>
          </w:tcPr>
          <w:p>
            <w:pPr>
              <w:spacing w:after="0"/>
              <w:rPr>
                <w:sz w:val="21"/>
                <w:szCs w:val="21"/>
                <w:color w:val="auto"/>
              </w:rPr>
            </w:pPr>
          </w:p>
        </w:tc>
        <w:tc>
          <w:tcPr>
            <w:tcW w:w="1780" w:type="dxa"/>
            <w:vAlign w:val="bottom"/>
            <w:gridSpan w:val="2"/>
          </w:tcPr>
          <w:p>
            <w:pPr>
              <w:jc w:val="center"/>
              <w:ind w:right="1360"/>
              <w:spacing w:after="0"/>
              <w:rPr>
                <w:sz w:val="20"/>
                <w:szCs w:val="20"/>
                <w:color w:val="auto"/>
              </w:rPr>
            </w:pPr>
            <w:r>
              <w:rPr>
                <w:rFonts w:ascii="Arial" w:cs="Arial" w:eastAsia="Arial" w:hAnsi="Arial"/>
                <w:sz w:val="22"/>
                <w:szCs w:val="22"/>
                <w:b w:val="1"/>
                <w:bCs w:val="1"/>
                <w:color w:val="auto"/>
                <w:w w:val="87"/>
              </w:rPr>
              <w:t>Date</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4"/>
              </w:rPr>
              <w:t>/s/ Zafar A. Rizvi</w:t>
            </w:r>
          </w:p>
        </w:tc>
        <w:tc>
          <w:tcPr>
            <w:tcW w:w="880" w:type="dxa"/>
            <w:vAlign w:val="bottom"/>
            <w:gridSpan w:val="2"/>
          </w:tcPr>
          <w:p>
            <w:pPr>
              <w:spacing w:after="0"/>
              <w:rPr>
                <w:sz w:val="24"/>
                <w:szCs w:val="24"/>
                <w:color w:val="auto"/>
              </w:rPr>
            </w:pPr>
          </w:p>
        </w:tc>
        <w:tc>
          <w:tcPr>
            <w:tcW w:w="4820" w:type="dxa"/>
            <w:vAlign w:val="bottom"/>
            <w:gridSpan w:val="3"/>
          </w:tcPr>
          <w:p>
            <w:pPr>
              <w:ind w:left="500"/>
              <w:spacing w:after="0"/>
              <w:rPr>
                <w:sz w:val="20"/>
                <w:szCs w:val="20"/>
                <w:color w:val="auto"/>
              </w:rPr>
            </w:pPr>
            <w:r>
              <w:rPr>
                <w:rFonts w:ascii="Arial" w:cs="Arial" w:eastAsia="Arial" w:hAnsi="Arial"/>
                <w:sz w:val="22"/>
                <w:szCs w:val="22"/>
                <w:color w:val="auto"/>
              </w:rPr>
              <w:t>Chief Executive Officer and President</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3"/>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0" w:type="dxa"/>
            <w:vAlign w:val="bottom"/>
            <w:gridSpan w:val="5"/>
          </w:tcPr>
          <w:p>
            <w:pPr>
              <w:jc w:val="center"/>
              <w:ind w:right="880"/>
              <w:spacing w:after="0"/>
              <w:rPr>
                <w:sz w:val="20"/>
                <w:szCs w:val="20"/>
                <w:color w:val="auto"/>
              </w:rPr>
            </w:pPr>
            <w:r>
              <w:rPr>
                <w:rFonts w:ascii="Arial" w:cs="Arial" w:eastAsia="Arial" w:hAnsi="Arial"/>
                <w:sz w:val="22"/>
                <w:szCs w:val="22"/>
                <w:color w:val="auto"/>
                <w:w w:val="95"/>
              </w:rPr>
              <w:t>(Zafar A. Rizvi)</w:t>
            </w:r>
          </w:p>
        </w:tc>
        <w:tc>
          <w:tcPr>
            <w:tcW w:w="4820" w:type="dxa"/>
            <w:vAlign w:val="bottom"/>
            <w:gridSpan w:val="3"/>
          </w:tcPr>
          <w:p>
            <w:pPr>
              <w:jc w:val="center"/>
              <w:ind w:right="1400"/>
              <w:spacing w:after="0"/>
              <w:rPr>
                <w:sz w:val="20"/>
                <w:szCs w:val="20"/>
                <w:color w:val="auto"/>
              </w:rPr>
            </w:pPr>
            <w:r>
              <w:rPr>
                <w:rFonts w:ascii="Arial" w:cs="Arial" w:eastAsia="Arial" w:hAnsi="Arial"/>
                <w:sz w:val="22"/>
                <w:szCs w:val="22"/>
                <w:color w:val="auto"/>
                <w:w w:val="93"/>
              </w:rPr>
              <w:t>(Chief Executive Officer)</w:t>
            </w:r>
          </w:p>
        </w:tc>
        <w:tc>
          <w:tcPr>
            <w:tcW w:w="3200" w:type="dxa"/>
            <w:vAlign w:val="bottom"/>
            <w:gridSpan w:val="3"/>
          </w:tcPr>
          <w:p>
            <w:pPr>
              <w:jc w:val="center"/>
              <w:spacing w:after="0"/>
              <w:rPr>
                <w:sz w:val="20"/>
                <w:szCs w:val="20"/>
                <w:color w:val="auto"/>
              </w:rPr>
            </w:pPr>
            <w:r>
              <w:rPr>
                <w:rFonts w:ascii="Arial" w:cs="Arial" w:eastAsia="Arial" w:hAnsi="Arial"/>
                <w:sz w:val="22"/>
                <w:szCs w:val="22"/>
                <w:color w:val="auto"/>
                <w:w w:val="89"/>
              </w:rPr>
              <w:t>May 27, 2022</w:t>
            </w:r>
          </w:p>
        </w:tc>
      </w:tr>
      <w:tr>
        <w:trPr>
          <w:trHeight w:val="435"/>
        </w:trPr>
        <w:tc>
          <w:tcPr>
            <w:tcW w:w="440" w:type="dxa"/>
            <w:vAlign w:val="bottom"/>
          </w:tcPr>
          <w:p>
            <w:pPr>
              <w:spacing w:after="0"/>
              <w:rPr>
                <w:sz w:val="24"/>
                <w:szCs w:val="24"/>
                <w:color w:val="auto"/>
              </w:rPr>
            </w:pPr>
          </w:p>
        </w:tc>
        <w:tc>
          <w:tcPr>
            <w:tcW w:w="2780" w:type="dxa"/>
            <w:vAlign w:val="bottom"/>
            <w:gridSpan w:val="6"/>
          </w:tcPr>
          <w:p>
            <w:pPr>
              <w:jc w:val="center"/>
              <w:ind w:right="500"/>
              <w:spacing w:after="0"/>
              <w:rPr>
                <w:sz w:val="20"/>
                <w:szCs w:val="20"/>
                <w:color w:val="auto"/>
              </w:rPr>
            </w:pPr>
            <w:r>
              <w:rPr>
                <w:rFonts w:ascii="Arial" w:cs="Arial" w:eastAsia="Arial" w:hAnsi="Arial"/>
                <w:sz w:val="22"/>
                <w:szCs w:val="22"/>
                <w:color w:val="auto"/>
                <w:w w:val="89"/>
              </w:rPr>
              <w:t>/s/ Douglas L. Bruggeman</w:t>
            </w:r>
          </w:p>
        </w:tc>
        <w:tc>
          <w:tcPr>
            <w:tcW w:w="4820" w:type="dxa"/>
            <w:vAlign w:val="bottom"/>
            <w:gridSpan w:val="3"/>
          </w:tcPr>
          <w:p>
            <w:pPr>
              <w:ind w:left="500"/>
              <w:spacing w:after="0"/>
              <w:rPr>
                <w:sz w:val="20"/>
                <w:szCs w:val="20"/>
                <w:color w:val="auto"/>
              </w:rPr>
            </w:pPr>
            <w:r>
              <w:rPr>
                <w:rFonts w:ascii="Arial" w:cs="Arial" w:eastAsia="Arial" w:hAnsi="Arial"/>
                <w:sz w:val="22"/>
                <w:szCs w:val="22"/>
                <w:color w:val="auto"/>
              </w:rPr>
              <w:t>Vice President, Finance and Treasurer</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4"/>
        </w:trPr>
        <w:tc>
          <w:tcPr>
            <w:tcW w:w="44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500" w:type="dxa"/>
            <w:vAlign w:val="bottom"/>
          </w:tcPr>
          <w:p>
            <w:pPr>
              <w:spacing w:after="0"/>
              <w:rPr>
                <w:sz w:val="23"/>
                <w:szCs w:val="23"/>
                <w:color w:val="auto"/>
              </w:rPr>
            </w:pPr>
          </w:p>
        </w:tc>
        <w:tc>
          <w:tcPr>
            <w:tcW w:w="4820" w:type="dxa"/>
            <w:vAlign w:val="bottom"/>
            <w:gridSpan w:val="3"/>
          </w:tcPr>
          <w:p>
            <w:pPr>
              <w:jc w:val="center"/>
              <w:ind w:right="1360"/>
              <w:spacing w:after="0"/>
              <w:rPr>
                <w:sz w:val="20"/>
                <w:szCs w:val="20"/>
                <w:color w:val="auto"/>
              </w:rPr>
            </w:pPr>
            <w:r>
              <w:rPr>
                <w:rFonts w:ascii="Arial" w:cs="Arial" w:eastAsia="Arial" w:hAnsi="Arial"/>
                <w:sz w:val="22"/>
                <w:szCs w:val="22"/>
                <w:color w:val="auto"/>
                <w:w w:val="92"/>
              </w:rPr>
              <w:t>(Chief Financial Officer)</w:t>
            </w:r>
          </w:p>
        </w:tc>
        <w:tc>
          <w:tcPr>
            <w:tcW w:w="3200" w:type="dxa"/>
            <w:vAlign w:val="bottom"/>
            <w:gridSpan w:val="3"/>
          </w:tcPr>
          <w:p>
            <w:pPr>
              <w:jc w:val="center"/>
              <w:spacing w:after="0"/>
              <w:rPr>
                <w:sz w:val="20"/>
                <w:szCs w:val="20"/>
                <w:color w:val="auto"/>
              </w:rPr>
            </w:pPr>
            <w:r>
              <w:rPr>
                <w:rFonts w:ascii="Arial" w:cs="Arial" w:eastAsia="Arial" w:hAnsi="Arial"/>
                <w:sz w:val="22"/>
                <w:szCs w:val="22"/>
                <w:color w:val="auto"/>
                <w:w w:val="89"/>
              </w:rPr>
              <w:t>May 27, 2022</w:t>
            </w:r>
          </w:p>
        </w:tc>
      </w:tr>
      <w:tr>
        <w:trPr>
          <w:trHeight w:val="432"/>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gridSpan w:val="2"/>
          </w:tcPr>
          <w:p>
            <w:pPr>
              <w:jc w:val="right"/>
              <w:ind w:right="100"/>
              <w:spacing w:after="0"/>
              <w:rPr>
                <w:sz w:val="20"/>
                <w:szCs w:val="20"/>
                <w:color w:val="auto"/>
              </w:rPr>
            </w:pPr>
            <w:r>
              <w:rPr>
                <w:rFonts w:ascii="Arial" w:cs="Arial" w:eastAsia="Arial" w:hAnsi="Arial"/>
                <w:sz w:val="22"/>
                <w:szCs w:val="22"/>
                <w:color w:val="auto"/>
              </w:rPr>
              <w:t>35</w:t>
            </w: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0"/>
        </w:trPr>
        <w:tc>
          <w:tcPr>
            <w:tcW w:w="4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2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20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Zafar A. Rizvi, certify that:</w:t>
      </w:r>
    </w:p>
    <w:p>
      <w:pPr>
        <w:spacing w:after="0" w:line="225" w:lineRule="exact"/>
        <w:rPr>
          <w:sz w:val="20"/>
          <w:szCs w:val="20"/>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80" w:firstLine="656"/>
        <w:spacing w:after="0" w:line="263"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20" w:firstLine="656"/>
        <w:spacing w:after="0" w:line="342" w:lineRule="auto"/>
        <w:tabs>
          <w:tab w:leader="none" w:pos="10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40" w:firstLine="656"/>
        <w:spacing w:after="0" w:line="263"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446"/>
        <w:spacing w:after="0" w:line="263" w:lineRule="auto"/>
        <w:tabs>
          <w:tab w:leader="none" w:pos="14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firstLine="446"/>
        <w:spacing w:after="0" w:line="263" w:lineRule="auto"/>
        <w:tabs>
          <w:tab w:leader="none" w:pos="14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00" w:firstLine="446"/>
        <w:spacing w:after="0" w:line="342" w:lineRule="auto"/>
        <w:tabs>
          <w:tab w:leader="none" w:pos="14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60" w:firstLine="446"/>
        <w:spacing w:after="0" w:line="263" w:lineRule="auto"/>
        <w:tabs>
          <w:tab w:leader="none" w:pos="14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56" w:firstLine="656"/>
        <w:spacing w:after="0" w:line="308" w:lineRule="auto"/>
        <w:tabs>
          <w:tab w:leader="none" w:pos="44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446"/>
        <w:spacing w:after="0" w:line="308" w:lineRule="auto"/>
        <w:tabs>
          <w:tab w:leader="none" w:pos="7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600" w:firstLine="446"/>
        <w:spacing w:after="0" w:line="277" w:lineRule="auto"/>
        <w:tabs>
          <w:tab w:leader="none" w:pos="7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Date: May 27, 2022</w:t>
      </w:r>
    </w:p>
    <w:p>
      <w:pPr>
        <w:spacing w:after="0" w:line="225"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9" w:right="339" w:bottom="1440" w:gutter="0" w:footer="0" w:header="0"/>
        </w:sectPr>
      </w:pPr>
    </w:p>
    <w:bookmarkStart w:id="37" w:name="page38"/>
    <w:bookmarkEnd w:id="37"/>
    <w:p>
      <w:pPr>
        <w:ind w:left="32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40" w:firstLine="656"/>
        <w:spacing w:after="0" w:line="263"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80" w:firstLine="656"/>
        <w:spacing w:after="0" w:line="342" w:lineRule="auto"/>
        <w:tabs>
          <w:tab w:leader="none" w:pos="10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656"/>
        <w:spacing w:after="0" w:line="263"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40" w:firstLine="446"/>
        <w:spacing w:after="0" w:line="263" w:lineRule="auto"/>
        <w:tabs>
          <w:tab w:leader="none" w:pos="14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20" w:firstLine="446"/>
        <w:spacing w:after="0" w:line="263" w:lineRule="auto"/>
        <w:tabs>
          <w:tab w:leader="none" w:pos="14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60" w:firstLine="446"/>
        <w:spacing w:after="0" w:line="342" w:lineRule="auto"/>
        <w:tabs>
          <w:tab w:leader="none" w:pos="144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 w:firstLine="446"/>
        <w:spacing w:after="0" w:line="263" w:lineRule="auto"/>
        <w:tabs>
          <w:tab w:leader="none" w:pos="14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38" w:name="page39"/>
    <w:bookmarkEnd w:id="38"/>
    <w:p>
      <w:pPr>
        <w:ind w:left="-656" w:firstLine="656"/>
        <w:spacing w:after="0" w:line="308" w:lineRule="auto"/>
        <w:tabs>
          <w:tab w:leader="none" w:pos="4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80" w:firstLine="446"/>
        <w:spacing w:after="0" w:line="308" w:lineRule="auto"/>
        <w:tabs>
          <w:tab w:leader="none" w:pos="7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60" w:firstLine="446"/>
        <w:spacing w:after="0" w:line="277" w:lineRule="auto"/>
        <w:tabs>
          <w:tab w:leader="none" w:pos="7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Date: May 27, 2022</w:t>
      </w:r>
    </w:p>
    <w:p>
      <w:pPr>
        <w:spacing w:after="0" w:line="225"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April 30, 2022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A.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2022-05-28T13:12:37Z</dcterms:created>
  <dcterms:modified xsi:type="dcterms:W3CDTF">2022-05-28T13:12:37Z</dcterms:modified>
</cp:coreProperties>
</file>