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2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FOR THE FISCAL YEAR ENDED JANUARY 31, 2026 COMMISSION FILE NO.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51435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REX AMERICAN RESOURCES CORPORATION</w:t>
      </w:r>
    </w:p>
    <w:p>
      <w:pPr>
        <w:spacing w:after="0" w:line="2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486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8"/>
              </w:rPr>
              <w:t>Delaware</w:t>
            </w:r>
          </w:p>
        </w:tc>
        <w:tc>
          <w:tcPr>
            <w:tcW w:w="46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31-1095548</w:t>
            </w:r>
          </w:p>
        </w:tc>
      </w:tr>
      <w:tr>
        <w:trPr>
          <w:trHeight w:val="216"/>
        </w:trPr>
        <w:tc>
          <w:tcPr>
            <w:tcW w:w="486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62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86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620" w:type="dxa"/>
            <w:vAlign w:val="bottom"/>
          </w:tcPr>
          <w:p>
            <w:pPr>
              <w:spacing w:after="0"/>
              <w:rPr>
                <w:sz w:val="20"/>
                <w:szCs w:val="20"/>
                <w:color w:val="auto"/>
              </w:rPr>
            </w:pPr>
          </w:p>
        </w:tc>
      </w:tr>
      <w:tr>
        <w:trPr>
          <w:trHeight w:val="427"/>
        </w:trPr>
        <w:tc>
          <w:tcPr>
            <w:tcW w:w="486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9"/>
              </w:rPr>
              <w:t>7720 Paragon Road, Dayton, Ohio</w:t>
            </w:r>
          </w:p>
        </w:tc>
        <w:tc>
          <w:tcPr>
            <w:tcW w:w="46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45459</w:t>
            </w:r>
          </w:p>
        </w:tc>
      </w:tr>
      <w:tr>
        <w:trPr>
          <w:trHeight w:val="234"/>
        </w:trPr>
        <w:tc>
          <w:tcPr>
            <w:tcW w:w="486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2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(937) 276-3931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94615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6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194"/>
        </w:trPr>
        <w:tc>
          <w:tcPr>
            <w:tcW w:w="460" w:type="dxa"/>
            <w:vAlign w:val="bottom"/>
          </w:tcPr>
          <w:p>
            <w:pPr>
              <w:spacing w:after="0"/>
              <w:rPr>
                <w:sz w:val="16"/>
                <w:szCs w:val="16"/>
                <w:color w:val="auto"/>
              </w:rPr>
            </w:pPr>
          </w:p>
        </w:tc>
        <w:tc>
          <w:tcPr>
            <w:tcW w:w="2040" w:type="dxa"/>
            <w:vAlign w:val="bottom"/>
            <w:gridSpan w:val="2"/>
          </w:tcPr>
          <w:p>
            <w:pPr>
              <w:jc w:val="center"/>
              <w:ind w:right="740"/>
              <w:spacing w:after="0" w:line="194"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660" w:type="dxa"/>
            <w:vAlign w:val="bottom"/>
          </w:tcPr>
          <w:p>
            <w:pPr>
              <w:spacing w:after="0"/>
              <w:rPr>
                <w:sz w:val="16"/>
                <w:szCs w:val="16"/>
                <w:color w:val="auto"/>
              </w:rPr>
            </w:pPr>
          </w:p>
        </w:tc>
        <w:tc>
          <w:tcPr>
            <w:tcW w:w="3080" w:type="dxa"/>
            <w:vAlign w:val="bottom"/>
            <w:gridSpan w:val="2"/>
          </w:tcPr>
          <w:p>
            <w:pPr>
              <w:jc w:val="center"/>
              <w:ind w:right="1740"/>
              <w:spacing w:after="0" w:line="194" w:lineRule="exact"/>
              <w:rPr>
                <w:sz w:val="20"/>
                <w:szCs w:val="20"/>
                <w:color w:val="auto"/>
              </w:rPr>
            </w:pPr>
            <w:r>
              <w:rPr>
                <w:rFonts w:ascii="Times New Roman" w:cs="Times New Roman" w:eastAsia="Times New Roman" w:hAnsi="Times New Roman"/>
                <w:sz w:val="18"/>
                <w:szCs w:val="18"/>
                <w:color w:val="auto"/>
                <w:w w:val="98"/>
              </w:rPr>
              <w:t>Trading Symbol(s)</w:t>
            </w:r>
          </w:p>
        </w:tc>
        <w:tc>
          <w:tcPr>
            <w:tcW w:w="580" w:type="dxa"/>
            <w:vAlign w:val="bottom"/>
          </w:tcPr>
          <w:p>
            <w:pPr>
              <w:spacing w:after="0"/>
              <w:rPr>
                <w:sz w:val="16"/>
                <w:szCs w:val="16"/>
                <w:color w:val="auto"/>
              </w:rPr>
            </w:pPr>
          </w:p>
        </w:tc>
        <w:tc>
          <w:tcPr>
            <w:tcW w:w="168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auto"/>
                <w:w w:val="99"/>
              </w:rPr>
              <w:t>on which registered</w:t>
            </w:r>
          </w:p>
        </w:tc>
      </w:tr>
      <w:tr>
        <w:trPr>
          <w:trHeight w:val="20"/>
        </w:trPr>
        <w:tc>
          <w:tcPr>
            <w:tcW w:w="4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25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660" w:type="dxa"/>
            <w:vAlign w:val="bottom"/>
          </w:tcPr>
          <w:p>
            <w:pPr>
              <w:spacing w:after="0"/>
              <w:rPr>
                <w:sz w:val="20"/>
                <w:szCs w:val="20"/>
                <w:color w:val="auto"/>
              </w:rPr>
            </w:pPr>
          </w:p>
        </w:tc>
        <w:tc>
          <w:tcPr>
            <w:tcW w:w="308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color w:val="auto"/>
                <w:w w:val="99"/>
              </w:rPr>
              <w:t>REX</w:t>
            </w:r>
          </w:p>
        </w:tc>
        <w:tc>
          <w:tcPr>
            <w:tcW w:w="22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indicated by check mark whether the financial statements of the registrant included in the filing reflect the correction of an error to previous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offices during the relevant recovery period pursuant to §240.10D-1(b).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close of business on July 31, 2025, the aggregate market value of the registrant’s outstanding Common Stock held by non-affiliates of the registrant (for purposes of this calculation, 2,311,509 shares beneficially owned by directors and executive officers of the registrant were treated as being held by affiliates of the registrant), was $743,279,294.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32,937,718 shares of the registrant’s Common Stock outstanding as of March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Portions of REX American Resources Corporation’s definitive Proxy Statement for its Annual Meeting of Shareholders on May 28, 2026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892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tc>
      </w:tr>
      <w:tr>
        <w:trPr>
          <w:trHeight w:val="43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tc>
        <w:tc>
          <w:tcPr>
            <w:tcW w:w="8920" w:type="dxa"/>
            <w:vAlign w:val="bottom"/>
          </w:tcPr>
          <w:p>
            <w:pPr>
              <w:spacing w:after="0"/>
              <w:rPr>
                <w:sz w:val="24"/>
                <w:szCs w:val="24"/>
                <w:color w:val="auto"/>
              </w:rPr>
            </w:pPr>
          </w:p>
        </w:tc>
      </w:tr>
      <w:tr>
        <w:trPr>
          <w:trHeight w:val="41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REX/the Company</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REX American Resources Corporation, and its majority and wholly owned subsidiaries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NuGen</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NuGen Energy, LLC – REX owns 99.7%</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One Earth</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One Earth Energy, LLC and subsidiaries – REX owns 76.1%</w:t>
            </w: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Big River</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Big River, LLC, and subsidiaries – REX owns 10.3%</w:t>
            </w:r>
          </w:p>
        </w:tc>
      </w:tr>
      <w:tr>
        <w:trPr>
          <w:trHeight w:val="39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Terms:</w:t>
            </w:r>
          </w:p>
        </w:tc>
        <w:tc>
          <w:tcPr>
            <w:tcW w:w="8920" w:type="dxa"/>
            <w:vAlign w:val="bottom"/>
          </w:tcPr>
          <w:p>
            <w:pPr>
              <w:spacing w:after="0"/>
              <w:rPr>
                <w:sz w:val="24"/>
                <w:szCs w:val="24"/>
                <w:color w:val="auto"/>
              </w:rPr>
            </w:pPr>
          </w:p>
        </w:tc>
      </w:tr>
      <w:tr>
        <w:trPr>
          <w:trHeight w:val="33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CI</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Carbon Intensity</w:t>
            </w:r>
          </w:p>
        </w:tc>
      </w:tr>
      <w:tr>
        <w:trPr>
          <w:trHeight w:val="229"/>
        </w:trPr>
        <w:tc>
          <w:tcPr>
            <w:tcW w:w="23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CO</w:t>
            </w:r>
            <w:r>
              <w:rPr>
                <w:rFonts w:ascii="Times New Roman" w:cs="Times New Roman" w:eastAsia="Times New Roman" w:hAnsi="Times New Roman"/>
                <w:sz w:val="26"/>
                <w:szCs w:val="26"/>
                <w:color w:val="auto"/>
                <w:vertAlign w:val="subscript"/>
              </w:rPr>
              <w:t>2</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Carbon dioxide</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DDGS</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Dried distillers grains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E-10</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Gasoline blended with up to 10% ethanol by volume</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E-15</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Gasoline blended with up to 15% ethanol by volume</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E-85</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Gasoline blended with up to 85% ethanol by volume</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EACs</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Energy Attribute Certificates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EISA</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Energy Independence and Security Act of 2007</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FEOC</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Entity of Concern</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GHG</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Greenhouse Gas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ICC</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Illinois Commerce Commission</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IRA</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Inflation Reduction Act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IRC</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IRC Section 45/Section 45</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Internal Revenue Code § 45 - Electricity Produced from Certain Renewable Resources, etc.</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LCFS</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Low Carbon Fuel Standard</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OBBBA</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PHMSA</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Pipeline and Hazardous Materials Safety Administration</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RFA</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Renewable Fuels Association</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RFS/RFS II</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Renewable Fuel Standard/Renewable Fuel Standard II</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RIN(s)</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Renewable Identification Number(s)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RVOs</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Renewable Volume Obligations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Section 45Q/45Q</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Section 45Q of the Internal Revenue Code</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Section 45Z/45Z</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Section 45Z of the Internal Revenue Code</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SB</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Illinois Senate Bill</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SAF</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Sustainable Aviation Fuel</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SRE(s)</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Small Refinery Exemption(s)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USDA</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USMCA</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States-Mexico-Canada Agreement</w:t>
            </w:r>
          </w:p>
        </w:tc>
      </w:tr>
      <w:tr>
        <w:trPr>
          <w:trHeight w:val="391"/>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and General Business Terms:</w:t>
            </w:r>
          </w:p>
        </w:tc>
      </w:tr>
      <w:tr>
        <w:trPr>
          <w:trHeight w:val="33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280</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323</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ASC 323, </w:t>
            </w:r>
            <w:r>
              <w:rPr>
                <w:rFonts w:ascii="Times New Roman" w:cs="Times New Roman" w:eastAsia="Times New Roman" w:hAnsi="Times New Roman"/>
                <w:sz w:val="18"/>
                <w:szCs w:val="18"/>
                <w:i w:val="1"/>
                <w:iCs w:val="1"/>
                <w:color w:val="auto"/>
              </w:rPr>
              <w:t>“Investments-Equity Method and Joint Ventures”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360-05</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ASC 360-05, </w:t>
            </w:r>
            <w:r>
              <w:rPr>
                <w:rFonts w:ascii="Times New Roman" w:cs="Times New Roman" w:eastAsia="Times New Roman" w:hAnsi="Times New Roman"/>
                <w:sz w:val="18"/>
                <w:szCs w:val="18"/>
                <w:i w:val="1"/>
                <w:iCs w:val="1"/>
                <w:color w:val="auto"/>
              </w:rPr>
              <w:t>“Impairment or Disposal of Long-lived Assets”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740</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815</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820</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w:t>
            </w:r>
          </w:p>
        </w:tc>
      </w:tr>
      <w:tr>
        <w:trPr>
          <w:trHeight w:val="21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ASC 842</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ASC 842, </w:t>
            </w:r>
            <w:r>
              <w:rPr>
                <w:rFonts w:ascii="Times New Roman" w:cs="Times New Roman" w:eastAsia="Times New Roman" w:hAnsi="Times New Roman"/>
                <w:sz w:val="18"/>
                <w:szCs w:val="18"/>
                <w:i w:val="1"/>
                <w:iCs w:val="1"/>
                <w:color w:val="auto"/>
              </w:rPr>
              <w:t>“Leases”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RSU</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TSR</w:t>
            </w:r>
          </w:p>
        </w:tc>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 return</w:t>
            </w:r>
          </w:p>
        </w:tc>
      </w:tr>
      <w:tr>
        <w:trPr>
          <w:trHeight w:val="391"/>
        </w:trPr>
        <w:tc>
          <w:tcPr>
            <w:tcW w:w="2320" w:type="dxa"/>
            <w:vAlign w:val="bottom"/>
          </w:tcPr>
          <w:p>
            <w:pPr>
              <w:spacing w:after="0"/>
              <w:rPr>
                <w:sz w:val="24"/>
                <w:szCs w:val="24"/>
                <w:color w:val="auto"/>
              </w:rPr>
            </w:pPr>
          </w:p>
        </w:tc>
        <w:tc>
          <w:tcPr>
            <w:tcW w:w="89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2320" w:type="dxa"/>
            <w:vAlign w:val="bottom"/>
            <w:tcBorders>
              <w:bottom w:val="single" w:sz="8" w:color="C0C0C0"/>
            </w:tcBorders>
          </w:tcPr>
          <w:p>
            <w:pPr>
              <w:spacing w:after="0"/>
              <w:rPr>
                <w:sz w:val="21"/>
                <w:szCs w:val="21"/>
                <w:color w:val="auto"/>
              </w:rPr>
            </w:pPr>
          </w:p>
        </w:tc>
        <w:tc>
          <w:tcPr>
            <w:tcW w:w="892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10-K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such as the OBBBA, the impact of U.S. foreign trade policy and tariffs, changes in foreign currency exchange rates, the effects of terrorism, wars and other conflicts, and the effect of pandemics on the Company’s business operations, including impacts on supplies, demand, personnel and other factors. The Company does not intend to update publicly any forward-looking statements except as required by law. Other factors that could cause actual results to differ materially from those in the forward-looking statements are set forth in Item 1A.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REX makes available free of charge on its Internet website its annual report on Form 10-K, quarterly reports on Form 10-Q, current reports on Form 8-K, and amendments to those reports as soon as reasonably practicable after such material is electronically filed with or furnished to the SEC. REX’s Internet website address is www.rexamerican.com. The contents of the Company’s website are not a part of this report.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“we”, “us”, “our”, “REX” or “the Company” refer to REX American Resources Corporation and its majority owned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report to a particular fiscal year are to REX’s fiscal year ended January 31. We refer to our fiscal year by reference to the calendar year immediately preceding the January 31 fiscal year end date. For example, “fiscal year 2025” means the period February 1, 2025 to January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Background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REX was incorporated in Delaware in 1984 as a holding company. Our principal offices are located at 7720 Paragon Road, Dayton, Ohio 45459. Our telephone number is (937) 276-3931.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2006, we started investing in ethanol production facilities. We are currently invested in three ethanol production entities – One Earth Energy, LLC, NuGen Energy, LLC, and Big River Resources, LLC. We own a majority interest in One Earth and NuGen.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reported net income attributable to REX common shareholders of approximately $83.0 million in fiscal 2025 compared to approximately $58.2 million in fiscal 2024. The current year has benefitted from reductions in our effective tax rate resulting from the impact of 45Z tax credits earned associated with our ethanol production. Gross profit in fiscal year 2025 was higher than fiscal year 2024, primarily a result of higher crush spreads. The two largest drivers of ethanol profitability are corn and ethanol pricing, both of which experienced significant volatility within the year. Chicago Board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of Trade corn prices per bushel ranged from a low of $3.72 in August 2025 to a high of $5.02 in February 2025. S&amp;P Global Platts ethanol pricing per gallon ranged from a low of $1.50 in January 2026 to a high of $2.09 in September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form and structure of our ethanol investments are tailored to the specific needs and goals of each project and the local farmer group or investor with whom we partner. We generally participate in the oversight of our projects through our membership on the board of managers of the limited liability companies that own the plants. We provide management oversight and direction with respect to most aspects of plant operations for our consolidated ethanol companies. We have equity investments in three entities engaged in the production of ethanol as of January 31, 2026. The following table is a summary of our ethanol entity ownership interests at January 31, 2026:</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080" w:type="dxa"/>
            <w:vAlign w:val="bottom"/>
            <w:tcBorders>
              <w:top w:val="single" w:sz="8" w:color="auto"/>
              <w:left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REX’s Current</w:t>
            </w:r>
          </w:p>
        </w:tc>
      </w:tr>
      <w:tr>
        <w:trPr>
          <w:trHeight w:val="238"/>
        </w:trPr>
        <w:tc>
          <w:tcPr>
            <w:tcW w:w="6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2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2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Ownership Interest</w:t>
            </w:r>
          </w:p>
        </w:tc>
      </w:tr>
      <w:tr>
        <w:trPr>
          <w:trHeight w:val="209"/>
        </w:trPr>
        <w:tc>
          <w:tcPr>
            <w:tcW w:w="6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One Earth Energy, LLC</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Gibson City, IL</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76.1%</w:t>
            </w:r>
          </w:p>
        </w:tc>
      </w:tr>
      <w:tr>
        <w:trPr>
          <w:trHeight w:val="209"/>
        </w:trPr>
        <w:tc>
          <w:tcPr>
            <w:tcW w:w="6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NuGen Energy, LLC</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Marion, SD</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w:t>
            </w:r>
          </w:p>
        </w:tc>
      </w:tr>
      <w:tr>
        <w:trPr>
          <w:trHeight w:val="191"/>
        </w:trPr>
        <w:tc>
          <w:tcPr>
            <w:tcW w:w="608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Big River Resources, LLC:</w:t>
            </w:r>
          </w:p>
        </w:tc>
        <w:tc>
          <w:tcPr>
            <w:tcW w:w="202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r>
      <w:tr>
        <w:trPr>
          <w:trHeight w:val="216"/>
        </w:trPr>
        <w:tc>
          <w:tcPr>
            <w:tcW w:w="608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Big River Resources W Burlington, LLC</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 Burlington, IA</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608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Big River Resources Galva, LLC</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Galva, IL</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608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Big River United Energy, LLC</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Dyersville, IA</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608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Big River Resources Boyceville, LLC</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Boyceville, WI</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three entities own a total of six ethanol production facilities, which in aggregate shipped approximately 722 million gallons of ethanol over the twelve-month period ended January 31, 2026. REX’s effective ownership of ethanol gallons shipped for the twelve-month period ended January 31, 2026, was approximately 294 million gallons.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tariffs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trade negotiations, and tariffs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prices.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for details on the Company’s ongoing carbon sequestration and plant expansion projects. These projects are part of the Company’s efforts to maximize the benefits of the federal 45Z tax credits and, subsequent to the expiration of the 45Z tax credits, federal 45Q tax credits, and are subject to ongoing regulatory changes.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seek and evaluate various investment opportunities including energy related, carbon sequestration, agricultural and other ventures we believe fit our investment criteria. We can make no assurances that we will be successful in our efforts to find such opportunities. We have a stock buyback program with an authorization level of an additional 2,357,186 shares at January 31, 2026 through open market transactions, privately negotiated transactions, or transactions by other means in accordance with applicable securities laws. We typically repurchase our common stock when our stock price is trading at prices we deem to be a discount to the underlying value of our net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Ethanol Industry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Ethanol is a renewable fuel produced by processing corn and other biomass through a fermentation process that creates combustible alcohol that can be used as a fuel additive to reduce vehicle emissions from gasoline, as an octane enhancer to improve the octane rating of gasoline with which it is blended and, to a lesser extent, as a gasoline substitute. The majority of ethanol produced in the United States is made from corn because of its wide availability and ease of convertibility from large amounts of carbohydrates into glucose, the key ingredient in the fermentation process that is used in producing alcohol. Ethanol production can also use feedstocks such as grain sorghum, switchgrass, wheat, barley, potatoes and sugarcane as carbohydrate sources. Most domestic ethanol plants have been located near large corn production areas, such as Illinois, Indiana, Iowa, Minnesota, Nebraska, Ohio and South Dakota. Railway access and interstate access are vital for ethanol facilities due to the large amount of raw materials and finished goods required to be shipped to and from the facilities. An adequate supply of natural gas is key to maintaining optimal operating levels.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RFA, the United States ethanol industry produced an estimated 16.4 billion gallons of ethanol in 2025, compared to 16.1 billion gallons in 2024, and approximately 2.2 billion gallons were estimated to have been exported from the United States in 2025. According to the RFA, the United States ethanol industry consists of 198 plants in 24 states with an annual capacity of approximately 18.5 billion gallons of ethanol production.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Domestic demand for ethanol is highly dependent upon federal and state legislation and regulations. On December 19, 2007, the Energy Independence and Security Act of 2007 (the “Energy Act of 2007”) was enacted. The Energy Act of 2007 established new levels of renewable fuel mandates, including two different categories of renewable fuels: conventional biofuels and advanced biofuels. The federal government mandates the use of renewable fuels under RFS II, established in October 2010. Corn-based ethanol is considered a conventional biofuel. There were mandated volumes established as part of the RFS</w:t>
      </w:r>
    </w:p>
    <w:p>
      <w:pPr>
        <w:spacing w:after="0" w:line="3" w:lineRule="exact"/>
        <w:rPr>
          <w:sz w:val="20"/>
          <w:szCs w:val="20"/>
          <w:color w:val="auto"/>
        </w:rPr>
      </w:pPr>
    </w:p>
    <w:p>
      <w:pPr>
        <w:jc w:val="both"/>
        <w:ind w:firstLine="8"/>
        <w:spacing w:after="0" w:line="255" w:lineRule="auto"/>
        <w:tabs>
          <w:tab w:leader="none" w:pos="18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conventional and advanced biofuels through the year 2022. After 2022, RFS volumes are to be determined by the EPA in coordination with the Secretaries of Energy and Agriculture. The mandated volumes for conventional biofuel were to reach 15.0 billion gallons in 2015 and maintain that level until 2022.</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EPA has set conventional renewable fuel volumes of 15.0 billion gallons for 2023 through 2025. Additionally, in 2023, the EPA restored 250 million gallons previously waived. On March 27, 2026, the EPA issued RVOs for 2026 and 2027 of 15.0 billion gallons of conventional ethanol for each year.</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EPA has the authority to waive the biofuel mandate, in whole or in part, if there is inadequate domestic renewable fuel supply or the requirement severely harms the domestic economy or environment. In addition, under RFS II, a small refiner that processes fewer than 75,000 barrels of oil per day can petition the EPA for a waiver of their requirement to submit RINs. The EPA, through consultation with the United States Department of Energy and the USDA, can grant the refiner a full or partial waiver, or deny the waiver. The waiving of a refiner’s obligation effectively lowers the amount of renewable fuels required to be blended, and by extension the amount of RINs that need to be retired, which can impact their values and ultimately blending levels of renewable fuels. There are multiple ongoing legal challenges to how the EPA has handled SREs and RFS rulemaking. On August 22, 2025, the EPA ruled on much of the backlog of SREs, issuing 63 full exemptions, 77 partial exemptions of 50%, 28 denials and 7 ruled as ineligible. On November 7, 2025, the EPA issued two 100% waivers, twelve 50% waivers and two denials. As of March 19, 2026, there were 37 SRE petitions pending from compliance years 2023-2025.</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Ethanol Production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plants in which we have invested are designed to use the dry milling method of producing ethanol. In the dry milling process, the entire corn kernel is first ground into flour, which is referred to as “meal,” and processed without separating out the various component parts of the grain. The meal is processed with enzymes, chemicals and water, and then placed in a high-temperature cooker. It is then transferred to fermenters where yeast is added and the conversion of sugar to ethanol begins. After fermentation, the resulting liquid is transferred to distillation columns where the ethanol is separated from the remaining “stillage” for fuel uses. The anhydrous ethanol is then blended with a denaturant, such as natural gasoline, to render it undrinkable and thus not subject to beverage alcohol tax. With the starch elements of the corn consumed in the above-described process, the principal by-product produced by the dry milling process is dry distillers grains with solubles, or DDGS. DDGS is sold as a protein used in animal feed, which utilizes a portion of the corn value not absorbed in ethanol production. Depending on market and operating conditions, we may also sell modified distillers grains, or wet distillers grains, by removing less liquid content compared to DDGS. We also generate revenues from the sale of distillers corn oil produced at our facilities. Distillers corn oil is sold to the animal feed market, as well as biodiesel and other chemical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Primary Uses of Ethanol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Blend component. </w:t>
      </w:r>
      <w:r>
        <w:rPr>
          <w:rFonts w:ascii="Times New Roman" w:cs="Times New Roman" w:eastAsia="Times New Roman" w:hAnsi="Times New Roman"/>
          <w:sz w:val="18"/>
          <w:szCs w:val="18"/>
          <w:color w:val="auto"/>
        </w:rPr>
        <w:t>Today, much of the ethanol blending in the U.S. is done to meet the RFS. Most regular gasoline is produced using blendstock with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octane rating of 84, which is then increased to 87 (the minimum octane rating required in most states) by adding 10% ethanol according to the RFA. The industry is attempting to expand ethanol blending above the current 10% for most vehicles in use. The EPA has approved the use of E-15, which has an octane rating of 88, in gasoline for cars, SUV’s and light duty trucks made in 2001 and later. Previously, the EPA had not granted E-15 the same Reid vapor pressure waiver as E-10 so it could only be sold from September 16 through May 31 for those vehicles in most markets. The EPA issued emergency waivers to allow the sale of E-15 for the summer months in the years 2022 through 2026. Eight Midwest states (Illinois, Iowa, Minnesota, Missouri, Nebraska, Ohio, South Dakota, and Wisconsin) petitioned the EPA to allow year-round sales of E-15 in their states. The EPA approved this request beginning in 2025 but will consider requests from individual states to delay implementation by one year. Ohio and South Dakota previously requested a one-year delay, which the EPA has approved. Ohio has since opted out of the agreement.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Clean air additive. </w:t>
      </w:r>
      <w:r>
        <w:rPr>
          <w:rFonts w:ascii="Times New Roman" w:cs="Times New Roman" w:eastAsia="Times New Roman" w:hAnsi="Times New Roman"/>
          <w:sz w:val="18"/>
          <w:szCs w:val="18"/>
          <w:color w:val="auto"/>
        </w:rPr>
        <w:t>Ethanol is employed by the refining industry as a fuel oxygenate, which when blended with gasoline, allows engines to combust fuel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completely than gasoline that has not been oxygenated and thus reduce emissions from motor vehicles. Ethanol contains 35% oxygen, which results in more complete combustion of the fuel in the engine cylinder. Oxygenated gasoline is used to help meet certain federal and air emission standards.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Octane enhancer. </w:t>
      </w:r>
      <w:r>
        <w:rPr>
          <w:rFonts w:ascii="Times New Roman" w:cs="Times New Roman" w:eastAsia="Times New Roman" w:hAnsi="Times New Roman"/>
          <w:sz w:val="18"/>
          <w:szCs w:val="18"/>
          <w:color w:val="auto"/>
        </w:rPr>
        <w:t>Ethanol increases the octane rating of gasoline with which it is blended. Octane is a measure of fuel performance. Ethanol is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gasoline suppliers as an octane enhancer both for producing regular grade gasoline from lower octane blending stocks and for upgrading regular gasoline to premium grades.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United States ethanol industry is highly dependent upon federal and state legislation. See Item 1A. Risk Factors for a discussion of legislation affecting the U.S. ethanol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Refined Coal Facility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10, 2017, we purchased, through a 95.35% owned subsidiary, the entire ownership interest of an entity that owned a refined coal facility. We began operating the refined coal facility immediately after the acquisition. Using licensed technology, our plant applied two separate chemicals to convert feedstock coal into refined coal, which was sold to the end user of the refined coal. The refined coal operating results were subsidized by federal production tax credits through November 18, 2021, subject to meeting qualified emissions reductions as governed by Section 45 of the IRC. We ceased operating the facility on November 18, 2021 and subsequently sold the facility. The federal production tax credits received through ownership of this facility, approximately $58.2 million, remain under IRS audit. That audit is in the process of being finalized, with the Company expecting to retain all federal production tax credits claimed.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our fiscal year end, our consolidated ethanol entities owned a combined 1,591 acres of land and two facilities that shipped a combined quantity of approximately 294 million gallons of ethanol in fiscal year 2025. We also own our corporate headquarters office building, consisting of approximately 7,500 square feet, located in Dayton, Ohio.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attraction, retention and development of employees is critical to our success. We accomplish these objectives through a variety of actions, including our competitive compensation policies, discretionary stock award programs, training initiatives, and growth opportunities within our Company. At January 31, 2026, we had 132 employees at our two consolidated ethanol plants and at our corporate headquarters. None of our employees are represented by a labor union. We expect this employment level to remain relatively stable, subject to changes upon startup of the carbon sequestration facility. We consider our relationship with our employees to be good.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regularly scheduled safety meetings and require all employees to go through safety training. We evaluate employee safety incidents monthly and investigate such incidents promptly. In addition, we conduct periodic safety audits performed by an independent third party. A portion of our incentive compensation plan rewards employees for attaining certain safety goals.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we offer market competitive compensation and benefit programs for our employees. In addition to competitive base wages, all employees are eligible for an incentive compensation program, a Company matched 401(k) plan, healthcare benefits, and paid time 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Marks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registered the service marks “REX” and “Farmer’s Energy” with the United States Patent and Trademark Office. We are not aware of any adverse claims concerning our service marks.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encourage you to carefully consider the risks described below and other information contained in this report when considering an investment decision in REX common stock. Any of the events discussed in the risk factors below may occur. If one or more of these events do occur, our results of operations, financial condition or cash flows could be materially adversely affected. In this instance, the trading price of REX stock could decline, and investors might lose all or part of their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Ethanol and By-Products Business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financial returns on our ethanol investments are highly dependent on commodity prices, which are subject to significant volatility, uncertainty and regional supply shortages, so our results could fluctuate substantially.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returns on our ethanol investments are highly dependent on commodity prices, especially prices for corn, natural gas, ethanol, distillers grains, distillers corn oil and gasoline, and availability of corn. As a result of the volatility of the prices for these items, our returns may fluctuate substantially and our investments could experience periods of declining prices for their products and increasing costs for their raw materials, which could result in operating losses at our ethanol plants.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margin at our ethanol plants depends principally on the spread between ethanol, distillers grains, distillers corn oil, and corn prices. Fluctuations in the spread are likely to continue to occur. A sustained narrow or negative spread, whether as a result of sustained high or increased corn prices or sustained low or decreased ethanol prices, would adversely affect the results of operations at our ethanol plants.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Our returns on ethanol investments are highly sensitive to corn prices.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Corn is the principal raw material our ethanol plants use to produce ethanol and by-products. As a result, changes in the price of corn can significantly affect our businesses. Rising corn prices result in higher production costs of ethanol and by-products. Because ethanol competes with non-corn-based fuels, our ethanol plants may not be able to pass along increased grain costs to our customers. At certain levels, grain prices may make ethanol uneconomical to produce.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corn is influenced by weather conditions and other factors affecting crop yields, transportation costs, farmer planting decisions including input costs, exports, foreign production, the value of the U.S. dollar, and general domestic and foreign economic, market and regulatory factors, including, but not limited to, the impacts from the Russian-Ukraine and Middle Eastern conflicts as well as other conflicts and political unrest, both foreign and domestic. These factors include government policies and subsidies with respect to agriculture, international trade and tariffs, and global and local demand and supply. The significance and relative effect of these factors on the price of corn is difficult to predict. Any event that tends to negatively affect the production and/or supply of corn, such as adverse weather or crop disease, could increase corn prices and potentially harm the business of our ethanol plants, to include intermittent production slowdowns or stoppages. Increasing domestic ethanol production could boost the demand for corn and result in increased corn prices. International demand for corn could also result in higher or lower corn prices. Our ethanol plants may also have difficulty, from time to time, in physically sourcing corn on economic terms due to regional supply shortages, transportation issues, delays in farmer marketing decisions or unfavorable local pricing. Such a shortage or price impact could require our ethanol plants to suspend operations which would have a material adverse effect on our consolidated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strategies may be ineffective and may expose us to decreased profitability and 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an attempt to partially offset the impact of volatility of commodity prices, we enter into: i) forward contracts to sell a portion of our ethanol, distillers grains, and distillers corn oil production and to purchase a portion of our corn and natural gas requirements and; ii) commodity futures and swap agreements. The financial impact of these risk management activities is dependent upon, among other items, the prices involved and our ability to receive or deliver the commodities involved. Risk management activities can result in financial loss when positions are purchased in a declining market or when positions are sold in an increasing market. In addition, we may not be able to match the appropriate quantity of corn contracts with quantities of ethanol, distillers grains and distillers corn oil contracts. Further, our results may be impacted by a mismatch of gains or losses associated with the positions during a reporting period when the physical commodity purchase or sale has not yet occurred. We vary the amount and type of risk management techniques we utilize, and we may choose not to engage in any risk management activities. Should we fail to properly manage the inherent volatility of commodity prices, our results of operations and financial condition may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natural gas is subject to market conditions that create uncertainty in the price and availability of the natural gas that our ethanol plants use in their manufacturing process.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ethanol plants rely upon third parties for their supply of natural gas, which is consumed as fuel in the production process. The prices for and availability of natural gas are subject to volatile market conditions. These market conditions often are affected by factors beyond the ethanol plants’ control, such as weather conditions, overall economic conditions, export market, governmental regulation and foreign and domestic relations, including, but not limited to, the impacts from the Russian-Ukraine and Middle Eastern conflicts. Significant disruptions in the supply of natural gas could impair or completely prevent the ethanol plants’ ability to economically manufacture ethanol for their customers. Furthermore, increases in natural gas prices may adversely affect results of operations and financial position at our ethanol plants.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the selling price of commodities may reduce profit margins at our ethanol plants.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Ethanol is marketed as a fuel additive to reduce vehicle emissions from gasoline, as an octane enhancer to improve the octane rating of gasoline with which it is blended and, to a lesser extent, as a gasoline substitute. As a result, ethanol prices are influenced by the supply and demand for gasoline, and our ethanol plants’ results of operations and financial position may be materially adversely affected if gasoline demand decreases or the price of gasoline declines making ethanol less economical.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Distillers grains compete with other protein-based animal feed products. The price of distillers grains may decrease when the prices of competing feed products decrease. The prices of competing animal feed products are based in part on the prices of the commodities from which these products are made. Historically, sales prices for distillers grains have tracked along with the price of corn and soybean meal. However, there have been instances when price increases for distillers grains have lagged increases in corn prices.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production of distillers grains has increased as a result of increases in dry mill ethanol production in the United States. This could lead to price declines in what we can sell our distillers grains for in the future. Such declines could have a material adverse effect on our results of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of distillers corn oil is primarily driven by the demand from renewable diesel, biodiesel, and to some extent, synthetic aviation fuel markets. Distillers corn oil is marketed as a low-carbon feedstock to be used in these markets which may see expanded demand due to the extended blending tax credit, credits included in the IRA and LCFS markets, resulting in an impact to distillers corn oil demand. With a lower CI score, distillers corn oil may see improved pricing compared to heating oil and soybean oil, which it has traditionally tracked closely in price. Alternatively, other feedstocks such as cooking oil and animal fats, with lower CI scoring, could be preferred over distillers corn oil. A decrease in the price of or demand for distillers corn oil could negatively impact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could impact the cost and/or availability of material, labor and other input, which could adversely affect our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experienced inflationary impacts on key production inputs, labor costs consisting of both wages and other labor-related costs, services, equipment and other inputs. These inflationary pressures could continue or worsen in future periods and may be beyond our control. We may not be able to pass these increased costs along to our customers through the products we sell. As a result, inflation and higher prices could negatively impact our results of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working on carbon sequestration and plant expansion projects at the One Earth plant. We have experienced permitting delays which could lead to inflationary pricing increases on the construction.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price of ethanol and distillers grains may decline as a result of trade restrictions, duties or tariffs on ethanol and distillers grains exports from the United States or from unfavorable foreign currency exchange rates.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Ethanol and other products that we produce are sold into various other countries with trade agreements with the United States. If the United States were to withdraw from or materially modify certain international trade agreements, our business, financial condition and results of operations could be materially adversely affected. In addition, there have been increased threats of tariffs on imports by the current Trump administration. If tariffs lead to retaliatory actions by countries that are markets for our products, it could have material adverse effect on our business, financial condition and results of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United States exported an estimated 2.2 billion gallons of ethanol in 2025, up from approximately 1.9 and 1.4 billion gallons in 2024 and 2023, respectively. 36% of the 2025 exports of ethanol were sold in Canada. Further, in 2025 and 2024, an estimated 11.6 and 12.1 million metric tons, respectively, of distillers grains were exported by the United States, which represented approximately 36% and 37% in 2025 and 2024, respectively, of U.S production. Of the total United States exports of distillers grains in 2025, 20% were exported to Mexico. If producers and exporters of ethanol and distillers grains are subjected to trade restrictions, or additional duties or tariffs are imposed on U.S. exports, particularly by Canada and Mexico, it may make it uneconomical to export these products. The industry has experienced various trade policy disputes, tariffs and investigations in foreign countries that have adversely impacted the international demand for our products. Reduced international demand could lead to further oversupply and reduce pricing.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ethanol production or decreases in demand for ethanol may result in excess production capacity in the ethanol industry, which may cause the price of ethanol, distillers grains and distillers corn oil to decrease.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the RFA, domestic ethanol production capacity is approximately 18.5 billion gallons per year. Under RFS II, there were mandated volumes through 2022 for conventional and advanced biofuels. After 2022, RFS volumes are to be determined by the EPA in coordination with the Secretaries of Energy and Agriculture. The EPA has set conventional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renewable fuel volumes of 15.0 billion gallons for 2023 through 2025. In addition, for 2023 the EPA restored 250 million gallons previously waived. On March 27, 2026, the EPA issued RVOs for 2026 and 2027 of 15.0 billion gallons of conventional ethanol for each year. The excess capacity over the EPA proposed volumes could have an adverse effect on the results of our operations. In a manufacturing industry with excess capacity, producers have an incentive to manufacture additional products for so long as the price exceeds the marginal cost of production (i.e., the cost of producing only the next unit, without regard for interest, overhead or fixed costs). This incentive could result in the reduction of the market price of ethanol to a level that is inadequate to generate sufficient cash flow to cover costs.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decrease in demand for ethanol may also result in excess capacity, which could result from a number of factors, including, but not limited to, regulatory developments, reduced U.S. gasoline consumption, and increases in gasoline prices. Reduced gasoline consumption could occur as a result of increased prices for gasoline or crude oil, which could cause businesses and consumers to reduce driving or acquire vehicles with more favorable gasoline mileage or acquire non-gasoline powered vehicles. In addition, decreased overall economic activity could also lead to reduced gasoline consumption.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ethanol production produces distillers grains and distillers corn oil as by-products, increased ethanol production will also lead to increased supplies of distillers grains and distillers corn oil. An increase in the supply of distillers grains and distillers corn oil, without corresponding increases in demand, could lead to lower prices or an inability to sell our ethanol plants’ distillers grains and distillers corn oil production. A decline in the price of distillers grains or distillers corn oil could have a material adverse effect on the results of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demand for ethanol is uncertain and changes in overall consumer demand for transportation fuel could affect demand.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limited markets for ethanol other than what is federally mandated. Increased consumer acceptance of E-15 and E-85 fuel is likely necessary in order for ethanol to achieve significant market share growth beyond federal mandate levels.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Consumer demand for gasoline may be impacted by emerging transportation trends, such as hybrid and electric vehicles. Some automobile manufacturers have announced plans to phase out internal combustion engine production by the mid-2030s. There also have been pledges to ban the sale of internal combustion engines in countries such as Japan and the United Kingdom by 2035, as well as a statewide ban in California, which several states are imitating. If realized, these bans would accelerate the decline of liquid fuel demand and by extension demand for ethanol, biodiesel and renewable diesel. Recent federal legislation seeks to address the ever-increasing demand for electric vehicle infrastructure. Reduced demand for ethanol could cause our results of operations to be materially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develop our planned carbon sequestration facility near the One Earth Energy ethanol plant.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committed significant time and resources towards a carbon sequestration project near the One Earth Energy ethanol plant. The completion and start-up of this project requires numerous government approvals. If we are not successful in obtaining all these approvals, we may not be able to complete this project and could result in a significant write off of our commitments and investment, which totals approximately $58.9 million as of our most recent year-end. Recent delays in permitting could result in increased costs to complete the project.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not successful on this project, our ethanol plant could be at a disadvantage in the industry as our inability to sequester our carbon could result in a higher CI score than our competitors if they are able to sequester their carbon. If we are unable to reduce our CI score, we may not be able to participate in the state and federal clean fuel programs, including federal tax credits outlined in the IRA and OBBBA.</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Carbon capture and sequestration projects are subject to federal, state, and local regulations.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planned carbon sequestration facility near our One Earth Energy ethanol plant, we have signed an agreement to deliver our carbon from the NuGen Energy facility to an outside party. These projects may not result in any realized benefit due to delays or suspended operations. Investments being made in these projects are based on regulatory guidelines, such as modeling for CI reductions, that may be adjusted outside of our control and could deviate from our current strategy. Delays in the issuance or regulations or the elimination of clean fuel and other incentives at the federal, state or local level could adversely affect our business. New legislation limiting our ability to sequester carbon could be adopted at the federal, state or local levels.</w:t>
      </w:r>
    </w:p>
    <w:p>
      <w:pPr>
        <w:spacing w:after="0" w:line="5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have secured land easements from all necessary landowners to allow the construction of the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connector pipeline on their land from the ethanol plant to the first two injection wells for our carbon sequestration project near the One Earth Energy ethanol facility. We also have landowner subsurface easements for the first injection well with capacity sufficient to allow for carbon sequestration for our One Earth plant for an estimated 15 years. In July 2024, the governor of Illinois signed the Safety and Aid for the Environment in Carbon Capture and Sequestration Act. This legislation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pipelines. Further, the legislation imposes a moratorium on the issuance of new certificates of authority for the construction of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pipelines until the earlier of the date federal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 safety standards are finalized by the federal PHMSA or, subject to certain other conditions, July 1, 2026. As a result of this legislation, the ICC dismissed our pipeline application without prejudice, and we will be required to resubmit an application after rules are finalized or subsequent to July 1, 2026. The delays and additional requirements imposed as a result of this act could have an adverse impact on the cost and completion of our project.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South Dakota enacted a law that bans the use of eminent domain in connection with carbon dioxide pipelines. In addition, in March 2026, a North Dakota Court voided the permits issued to Summit Carbon Solutions for underground storage of carbon dioxide as the Court has deemed the law the permits were issued under to be unconstitutional. Our NuGen ethanol plant has a contract to be a part of this project. Summit Carbon Solutions is analyzing the decision and is contemplating next steps. These actions could make the sequestration project for the NuGen facility more difficult for Summit Carbon Solutions to complete.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generate 45Z production tax credits involves regulatory and market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consolidated ethanol plants will be able to claim 45Z tax credits for 2025 based on current laws and proposed regulations. Guidelines issued by the U.S. Department of Treasury are still being finalized. Costs associated with 45Z compliance, including prevailing wage and apprenticeship requirements, could become material. Changes in these requirements, as well as changes in CI score modeling, could have a material impact on the amount of credits we are able to claim.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45Z tax credits can be utilized by the taxpayer to reduce income tax payments or the credits can be monetized externally. Fluctuations in demand, uncertainty within the tax credit market and changes in regulations can all impact our ability to monetize the credits, or impact the value at which the credits can be monetized.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partners to operate certain of our ethanol investments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investments currently represent both majority and minority equity positions. Day-to-day operating control of minority owned plants generally remains with the local investor group. We do not have the ability to directly modify the operations of these plants in response to changes in the business environment or in response to any deficiencies in local operations of the plants. In addition, local plant operators, who also represent the primary suppliers of corn and other crops to the plants, may have interests, such as the price and sourcing of corn and other crops, that may differ from our interest, which is based solely on the operating profit of the plant. The limitations on our ability to control day-to-day plant operations could adversely affect plant results of operations.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We may not successfully acquire or develop additional ethanol investments or expansion.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of our ethanol business depends on our ability to identify and develop new ethanol investments. Any expansion strategy will depend on prevailing market conditions for the price of ethanol and the cost of corn and natural gas and the expectations of future market conditions. Additional financing may also be necessary to implement any expansion strategy, which may not be accessible or available on acceptable terms. In addition, failure to adequately manage the risks associated with additional ethanol investments could have a material adverse effect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ethanol plants may be adversely affected by technological advances and efforts to anticipate and employ such technological advances may prove unsuccessful.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development and implementation of new technologies may result in a significant reduction in the costs of ethanol production. For instance, any technological advances in the efficiency or cost to produce ethanol from inexpensive cellulosic sources such as corn stalk, wheat, oat or barley straw could have an adverse effect on our ethanol plants, because our plants are designed to produce ethanol from corn, which is, by comparison, a raw material with other high value uses. We cannot predict when, or if, new technologies may become available, the rate of acceptance of new technologies by competitors or the costs associated with new technologies. In addition, advances in the development of alternatives to ethanol could significantly reduce demand for or eliminate the need for ethanol.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advances in technology which require significant unanticipated capital expenditures to remain competitive or which reduce demand or prices for ethanol would have a material adverse effect on the results of our ethanol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alternative fuels, additives and oxygenates are continually under development. Alternative fuel additives that can replace ethanol may be developed, which may decrease the demand for ethanol. It is also possible that technological advances in engine and exhaust system design and performance could reduce the use of oxygenates, which would lower the demand for ethanol. Reduced demand for ethanol could cause our results of operations to be materially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U.S. ethanol industry is highly dependent upon a myriad of federal and state legislation and regulation and any changes in legislation or regulation could materially and adversely affect our results of operations and financial position.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renewable fuel standard program was authorized under the Energy Policy Act of 2005 and was expanded under the EISA. EISA increased the amount of renewable fuel required to be blended into gasoline with RFS II and required a minimum usage of corn-derived renewable fuels of 12.0 billion gallons in 2010, increasing annually by 600 million gallons to 15.0 billion gallons in 2015 through 2022, with no specified volume subsequent to 2022. After 2022, RFS volumes are to be determined by the EPA in coordination with the Secretaries of Energy and Agriculture. The EPA has the authority to assign the mandated amounts of renewable fuels to be blended into transportation fuel to individual fuel blenders. RFS II has been a primary factor in the growth of ethanol usage. Over the past several years various pieces of legislation have been introduced to the U.S. Congress that were intended to reduce or eliminate ethanol blending requirements. To date, none of the bills have been successful but they are an indication of the continued effort to undermine the EISA.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EPA has set conventional renewable fuel volumes of 15.0 billion gallons for 2023 through 2025. Additionally, for 2023, the EPA restored 250 million gallons previously waived. On March 27, 2026, the EPA issued RVOs for 2026 and 2027 of 15.0 billion gallons of conventional ethanol for each year.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Obligated parties use RINs to show compliance with RFS-mandated volumes. RINs are attached to renewable fuels by producers and detached when the renewable fuel is blended with transportation fuel or traded in the open market. The market price of detached RINs affects the price of ethanol in certain markets and influences the purchasing decisions by obligated parties. As a result of fluctuations in RINs pricing, certain obligated parties have petitioned the EPA and filed court actions to change the point of obligation or to seek relief from their obligation. The EPA has the authority to waive the biofuel mandate, in whole or in part, if there is inadequate domestic renewable fuel supply or the requirement severely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harms the domestic economy or environment. In addition, under RFS II, a small refiner that processes fewer than 75,000 barrels of oil per day can petition the EPA for a waiver of their requirement to submit RINs. The EPA, through consultation with the United States Department of Energy and the USDA, can grant the refiner a full or partial waiver, or deny the waiver. The waiving of a refiner’s obligation effectively lowers the amount of renewable fuels required to be blended, and by extension the amount of RINs that need to be retired, which can impact their values and ultimately blending levels of renewable fuels. There are multiple ongoing legal challenges to how the EPA has handled SREs and RFS rulemaking. On August 22, 2025, the EPA ruled on much of the backlog of SREs, issuing 63 full exemptions, 77 partial exemptions of 50%, 28 denials and 7 ruled as ineligible. On November 7, 2025, the EPA issued two 100% waivers, twelve 50% waivers and two denials. As of March 19, 2026, there were 37 SRE petitions pending from compliance years 2023-2025.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Flexible fuel vehicles (“FFVs”) receive preferential treatment in meeting federally mandated corporate average fuel economy (“CAFE”) standards for automobiles manufactured by car makers. High blend ethanol fuels such as E-85 result in lower fuel efficiencies. Absent the CAFE preferences, car makers would not likely build flexible-fuel vehicles. In recent years, automobile manufactures have lowered the production of FFVs for the U.S. Any change in CAFE preferences could reduce the growth of E-85 markets and result in lower ethanol prices.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Unfavorable changes in legislation or regulations could materially and adversely affect our results of operations and financial position.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inability to generate or obtain RINs could adversely affect our operating results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Virtually all our ethanol is sold with RINs that are used by customers to comply with RFS II. If our production does not meet EPA requirements for RIN generation, as an efficient producer, in the future, we would have to purchase RINs in the open market or sell our ethanol at substantially lower prices, such as on the export market, to adjust for the absence of RINs. The price of RINs varies based on many factors and cannot be predicted. Failure to obtain sufficient RINs or reliance on invalid RINs could subject us to fines and penalties imposed by the EPA.</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Various studies have criticized the efficiency of ethanol, in general, and corn-based ethanol in particular, which could lead to the reduction or repeal of incentives and tariffs that promote the use and domestic production of ethanol or otherwise negatively impact public perception and acceptance of ethanol as an alternative fuel.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many trade groups, academics and governmental agencies have supported ethanol as a fuel additive that promotes a cleaner environment, others have criticized ethanol production as consuming considerably more energy and emitting more greenhouse gases than other biofuels and as potentially depleting water resources. Other studies have suggested that corn-based ethanol negatively impacts consumers by causing prices to increase for dairy, meat and other foodstuffs.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these views gain acceptance, support for existing measures promoting use and domestic production of corn-based ethanol could decline, leading to reduction or repeal of these measures. These views could also negatively impact public perception of the ethanol industry and acceptance of ethanol as an alternative fuel.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support of cellulosic ethanol may result in reduced incentives to corn-derived ethanol producers.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American Recovery and Reinvestment Act of 2009 and EISA provide funding opportunities in support of cellulosic ethanol obtained from biomass sources such as switchgrass and poplar trees. These federal policies may suggest a long-term political preference for cellulosic processes using alternative feedstocks such as switchgrass, silage or wood chips. Cellulosic ethanol has a smaller carbon footprint than corn-derived ethanol and is unlikely to divert foodstuff from the market. Our plants are designed as single-feedstock facilities, located in corn production areas with limited alternative feedstock nearby, and would require significant additional investment to convert to the production of cellulosic ethanol. The adoption of cellulosic ethanol as the preferred form of ethanol could have a significant adverse effect on our ethanol business.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ethanol business is affected by environmental and other regulations which could impede or prohibit our ability to successfully operate our plants.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ethanol production facilities are subject to extensive air, water discharge, and other environmental regulations. We have had to obtain numerous permits to construct and operate our plants. Regulatory agencies could impose conditions or other restrictions in the permits that are detrimental, or which increase our costs. More stringent federal or state environmental regulations could be adopted which could significantly increase our operating costs or require us to expend considerable resources.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ethanol plants emit various airborne pollutants as by-products of the ethanol production process, including carbon dioxide (a greenhouse gas). In 2007, the U.S. Supreme Court classified carbon dioxide as an air pollutant under the Clean Air Act in a case seeking to require the EPA to regulate carbon dioxide in vehicle emissions. In February 2010, the EPA released its final regulations on the Renewable Fuel Standard program. We believe our plants are grandfathered up to certain operating capacity, but plant expansion requires us to meet a 20% threshold reduction in GHG emissions from a 2005 baseline measurement to produce ethanol eligible for the RFS II mandate. To further expand our plant capacity, we may be required to obtain additional permits, install advanced technology equipment, or reduce drying of certain amounts of distillers grains. We may also be required to install carbon dioxide mitigation equipment or take other steps in order to comply with future laws or regulations. Compliance with future laws or regulations with respect to emissions of carbon dioxide, or if we choose to expand capacity at certain of our plants, compliance with then-current regulations of carbon dioxide, could be costly and may prevent us from operating our plants at full capacity or as profitably, which may have a negative impact on our financial performance. We also face the risk of ethanol production above our grandfathered capacity not qualifying for RINs if the plants do not meet certain emission requirements.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California Air Resources Board adopted a LCFS requiring a 10% reduction in GHG emissions from transportation fuels. An Indirect Land Use Charge is included in this lifecycle GHG emission calculation. This standard could have an adverse impact on the market for corn-based ethanol in California if corn-based ethanol fails to achieve lifecycle GHG emission reductions and in other states if they adopt similar standards. This could have a negative impact on our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ethanol business may become subject to various environmental and health and safety and property damage claims and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 of our ethanol business exposes the business to the risk of environmental and health and safety claims and property damage claims, such as failure to comply with environmental regulations. These types of claims could also be made against our ethanol business based upon the acts or omissions of other persons. Serious claims could have a material negative impact on our results of operations, financial position and future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not diversified.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results depend heavily on our ability to operate our ethanol plants profitably. Our lack of diversification could have a material negative impact on our results of operations, financial position and future cash flows should our ethanol plants operate unprofitably.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meet commitments to produce and sell ethanol.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at times, sell our products with forward contracts. If we are unable to produce the products due to economic conditions, business interruption, or other factors, we may incur additional costs or have to obtain commodities at unfavorable prices to meet our contractual commitments. This could have a material adverse effect on our results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We may not be able to meet commitments to purchase commodities.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at times, purchase certain commodities with forward contracts without a corresponding quantity of ethanol sold via forward contracts at known prices. Should ethanol and by-product prices decline to levels that would lead to significant unprofitable results of operations, we may incur additional costs and/or losses to meet our contractual commitments. This could have a material adverse effect on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 from the sale of distillers grains depends upon its continued market acceptance as an animal feed.</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Distillers grains is a by-product from the fermentation of corn to produce ethanol. Antibiotics may be used during the fermentation process to control bacterial contamination; therefore, antibiotics may be present in small quantities in distillers grains marketed as animal feed. The U. S. Food and Drug Administration’s Center for Veterinary Medicine has expressed concern about potential animal and human health hazards from the use of distillers grains as an animal feed due to the possibility of antibiotic residues. If the public became concerned about the impact of distillers grains in the food supply or as an acceptable animal feed, the market for distillers grains could be negatively impacted, which would have a negative impact on our results of operations. We may not be able to obtain a suitable replacement for antibiotics, should this be required, which would also negatively impact the market for distillers grains.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estimated 36% of distillers grains produced in the United States were exported in 2025. The price of distillers grains has benefitted from the exports of the product. In recent years, certain countries have refused to import U.S. distillers grains for a variety of reasons. If export shipments are rejected or delayed, the market price for distillers grains would be negatively impacted, which would have a negative impact on our ethanol results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extract distillers corn oil immediately prior to the production of distillers grains. Several studies are attempting to determine whether distillers corn oil extraction may impact the nutritional value of the resulting distillers grains. If it is determined that distillers corn oil extraction adversely impacts the nutritional energy content of distillers grains, the value of the distillers grains we sell may be negatively impacted, which would have a negative impact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significant competition in the ethanol industry.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significant competition for new ethanol investment opportunities. Many of our competitors are larger and may have greater financial resources than we do. We must compete for investment opportunities based on our strategy of supporting and enhancing local development of ethanol plant opportunities. We may not be successful in competing for investment opportunities based on our strategy.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ethanol industry is primarily comprised of entities that engage exclusively in ethanol production and large integrated grain companies that produce ethanol along with their base grain business. Several large oil companies have entered the ethanol production market. If these companies increase their ethanol plant ownership or if other oil companies seek to engage in direct ethanol production, there would be less of a need to purchase ethanol from independent producers such as our ethanol plants. No assurance can be given that our ethanol plants will be able to compete successfully or that competition from larger companies with greater financial resources will not have a materially adverse impact on the results of our ethanol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competition from foreign producers.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of foreign competition in the ethanol industry. Brazil is presently the second largest producer of ethanol in the world. Brazil’s ethanol production is mostly sugarcane based, and, depending on feedstock prices, may be cheaper to produce than corn-derived ethanol. Under the RFS, certain parties were obligated to meet an advanced biofuel standard. In recent years, sugarcane-based ethanol imported from Brazil has been one of the most economical means for obligated parties to comply with this standard.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If significant additional foreign ethanol production capacity is created, such facilities could create excess supplies of ethanol, which may result in lower prices of ethanol. In addition, foreign ethanol producers may be able to produce ethanol at costs lower than ours. These risks could have significant adverse effects on our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credit risk from our sales of ethanol and distillers grains to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inability of a customer to make payments to us for our accounts receivable may cause us to experience losses and may adversely impact our liquidity and our ability to make our payments when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hire and retain qualified personnel to operate our ethanol plants and carbon sequestration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attract and retain competent personnel has a significant impact on operating efficiencies and plant profitability. Competition for key plant employees in the ethanol industry can be intense, and there has been an increased demand for workers in the U.S. We may not be able to attract and retain qualified employees. Failure to do so could have a negative impact on our financial results at individual plants.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plants depend on an uninterrupted supply of energy and water to operate. Unforeseen plant shutdowns could harm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plants require a significant and uninterrupted supply of natural gas, electricity and water to operate. We generally rely on third parties to provide these resources. If there is an interruption in the supply of energy or water for any reason, such as supply, delivery or mechanical problems and we are unable to secure an adequate alternative supply to sustain plant operations, we may be required to stop production. A production halt for an extended period of time could result in material losses.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information technology in our operations and financial reporting and any material failure, inadequacy, interruption or security breach of that technology could harm our ability to efficiently operate our business and report our financial results accurately and timely.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information technology systems across our operations, including for management of inventory, purchase orders, production, invoices, shipping, accounting and various other processes and transactions. Our ability to effectively manage our business, coordinate the production, distribution and sale of our products and ensure the timely and accurate recording and disclosure of financial information depends significantly on the reliability and capacity of these systems. While we have taken appropriate precautions to protect our systems, and to date, we have not experienced any material adverse events related to a security breach or cyber-attack, the failure of these systems to operate effectively, problems with transitioning to upgraded or replacement systems, or a breach in security of these systems through a cyber-attack or otherwise could cause delays and/or interruptions in plant operations, product sales, reduced efficiency of our operations and delays in reporting our financial results. Significant capital investments could be required to remediate any such problem. Security breaches of employee information or other confidential or proprietary data could also adversely impact our reputation and could result in litigation against us or the imposition of penalties.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exposed to potential business disruption from factors outside our control, including natural disasters, severe weather conditions, accidents, pandemic diseases, wars and other conflicts, tariffs, and unforeseen operational failures any of which could negatively affect our transportation operations and could adversely affect our cash flows and operating results.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business disruption in available transportation due to natural disasters, severe weather conditions, international wars and other conflicts, the outbreak of a pandemic disease, significant track damage resulting from a train derailment, strikes or other interruptions by our transportation providers could result in delays in procuring and supplying raw materials to our ethanol facilities, or transporting ethanol and distillers grains to our customers. Such business disruptions may result in our inability to meet customer demand or contract delivery requirements, as well as the potential loss of customers.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ship much of our products and receive a portion of our corn via rail, which involves risks involving potential regulatory changes that could adversely affect our cash flows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large portion of our ethanol and distillers grains sales are shipped via rail. In addition, we receive some corn via rail. Given the notoriety of recent major train derailments, it is possible that additional regulations could be enacted. Any changes to existing laws and regulations, or new laws and regulations, including voluntary measures taken by the rail industry, could result in higher shipping costs, or new requirements for the design, construction or operation of tank cars that transport hazardous materials, such as ethanol. In addition, any derailments involving our products could result in legal claims being brought against us that could involve significant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capital intensive industry. Limitations on external financing could adversely affect our financial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need to incur additional financing to fund growth of our business or in times of increasing liquidity requirements (such as increases in raw material costs). Bankruptcy filings by several ethanol companies in past years and capital market volatility has reduced available capital for the ethanol industry. Any delays in obtaining additional financing, or our inability to do so, could have a material adverse impact on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a risk of a pandemic that could spread into the United States and other countries.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early months of 2020, a new strain of COVID-19 spread into the United States and other countries. In an effort to contain the spread of this virus, there were various government mandated restrictions, in addition to voluntary privately implemented restrictions, including limiting public gatherings, retail store closures, restrictions on employees working and the quarantining of people who may have been exposed to the virus. The above actions led to reduced demand for ethanol. If in the future, this or other viruses surface, it could lead to prolonged production stoppages at our ethanol plants and could result in an adverse material impact on the results of operations and on our financial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Former Refined Coal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refined coal production company qualified to earn tax credits under IRC Section 45 through November 18, 2021. Although this operation has ceased, it remains subject to various risks and uncertainties. These include, but are not limited to, the risks and uncertainties as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refined coal operation and its by-products may result in environmental and product liability claims and environmental compliance costs.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construction and operation of refined coal operations were subject to Federal, state and local laws, regulations and potential liabilities arising under or relating to the protection or preservation of the environment, natural resources and human health and safety. Such laws and regulations generally require the operations and/or the utilities at which the operations are located to obtain and comply with various environmental registrations, licenses, permits, inspections and other approvals. Such laws and regulations also impose liability, without regard to fault or the legality of a party’s conduct, on certain entities that are considered to have contributed to, or are otherwise involved in, the release or threatened release of hazardous substances into the environment. Such risk remains even after production ceases at an operation to the extent the environmental damage can be traced to the types of chemicals or compounds used or operations conducted in connection with the use of refined coal.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insurance may not cover all environmental risk and costs or may not provide sufficient coverage in the event of an environmental claim. If significant uninsured losses arise from environmental damage or product liability claims, or if the costs of environmental compliance increase for any reason, our results of operations and financial condition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used patented technology.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operations, we paid a license fee for patented technology. If we or our third-party operator are subject to patent infringement claims, we may incur legal fees to defend our position and be subject to additional costs and fees.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Risks Related to REX and 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concentrations of cash deposits at financial institutions that exceed federal insurance limits.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have cash deposits that exceed federal insurance limits. Should the financial institutions we deposit our cash in experience insolvency or other financial difficulty, our access to cash deposits could be limited. In extreme cases, we could lose our cash deposits entirely. This would negatively impact our liquidity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realize the anticipated benefits of mergers, acquisitions, or other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continue seeking growth opportunities. Acquisitions and similar transactions involve many risks that could harm our business, which include:</w:t>
      </w:r>
    </w:p>
    <w:p>
      <w:pPr>
        <w:spacing w:after="0" w:line="225"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these transactions may not be fully realized, or take longer to realize than expected,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could result in operating losses or loss of investment,</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involve incurring debt to complete these transactions, which could have a material adverse effect on our financial condition,</w:t>
      </w:r>
    </w:p>
    <w:p>
      <w:pPr>
        <w:ind w:left="1300" w:hanging="320"/>
        <w:spacing w:after="0" w:line="25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may require us to invest a significant portion of our excess cash, which could have a material adverse effect on our financial condition,</w:t>
      </w: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carbon sequestration investment may not be successful,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projects to reduce the carbon intensity scores at our ethanol plants may not prove to be successful.</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Rising focus on environmental, social and corporate governance matters from investors and regulators may increase our operating costs, bring down the value of our products and assets, and impact our ability to access capital markets.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climate change continues to receive significant attention from the public and the scientific community concerning the impacts from human activity, particularly the impact of greenhouse gas emissions, such as those from carbon dioxide and methane. Added requirements to reduce greenhouse gas emissions may increase our production costs. In addition, legislation promoting alternatives to combustion engine vehicles could reduce the demand for our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Climate change is also thought by some to be the cause for an increase in extreme weather events such as increased intensity of storms, rising sea levels, as well as heavy rains or droughts in areas historically less prone to those events. Any of these events can have a significant impact on our operations or quality of raw materials we purchase, resulting in increased costs. At this time, we are unable to determine the financial impact of any potential adverse weather events caused by climate change.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past years, certain institutional investors adopted environmental, social and governance guidelines (ESG), and encouraged additional consideration of ESG practices in a manner that could negatively impact our stock price if continued in the future. This may also result in a reduction of available capital funding for potential development projects, further impacting our future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state and local jurisdictions may challenge our tax return positions.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significant judgments, estimates and interpretation and application of complex tax laws in preparing the tax returns we file, and the positions contained therein. We believe that our tax return positions are fully supportable. However, certain positions may be successfully challenged by federal, state and local jurisdictions. We are currently in the process of finalizing a federal income examination related to tax credits claimed for the years ended January 31, 2015 through 2022 and believe our financial statements reflect the agreed upon outcome of the examination.</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u w:val="single" w:color="auto"/>
          <w:color w:val="auto"/>
        </w:rPr>
        <w:t>Cybersecurity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effectively manage our business, coordinate the production, distribution and sale of our products and ensure the timely and accurate recording and disclosure of financial information depends significantly on the reliability and capacity of our information technology systems. While we have taken what we believe are appropriate precautions to protect our systems, and to date, we have not experienced any material adverse events related to a security breach or cyber-attack, the failure of these systems to operate effectively, the failure of our personnel to follow established procedures, problems with transitioning to upgraded or replacement systems, or a breach in security of these systems through a cyber-attack or otherwise could cause delays and/or interruptions in plant operations, product sales, reduced efficiency of our operations and delays in reporting our financial results.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routine and periodic overall risk management system or processes, we have incorporated various processes related to cybersecurity. Key cybersecurity controls, such as access controls, are included within our internal control framework that we assess annually as part of Management’s Annual Report on Internal Control Over Financial Reporting. Additionally, periodic discussions are held with outsourced IT professionals for both corporate and consolidated plant environments to determine if appropriate actions are being taken to address potential risks. Through the assistance of our qualified third-party IT professionals, we have implemented numerous security measures, including, but not limited to, multi-factor authentication on critical systems, password requirements, access controls, and data encryption. Our IT policies and procedures include the expectations of all employees and all third parties who may be given access to our IT systems to maintain the security of our IT systems.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commitment to the overall security of our information technology systems starts at the highest levels of our Company, the Board of Directors and management. Management and the Board of Directors provide oversight surrounding cybersecurity. Management oversees internal controls and the company-wide risk assessment process. The Audit Committee is provided with regular updates by management regarding the control framework and whether any significant deficiencies or material weaknesses exist in the IT control environment. The Audit Committee is also tasked with determining the appropriate response to any submissions through the corporate whistleblower policy. The whistleblower policy includes the opportunity for employees of the Company to notify the Audit Committee confidentially and anonymously of any concerns regarding cybersecurity, in addition to any accounting, internal accounting controls or auditing matters. The audit committee will report any significant matters to the Board of Directors.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we had not identified an indication of a cybersecurity incident that would have a material impact on our business and consolidated financial statements.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2 is set forth in Item 1 of this report under “Ethanol Investments” and “Facilities”.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certain information about each of our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380" w:type="dxa"/>
            <w:vAlign w:val="bottom"/>
          </w:tcPr>
          <w:p>
            <w:pPr>
              <w:spacing w:after="0"/>
              <w:rPr>
                <w:sz w:val="17"/>
                <w:szCs w:val="17"/>
                <w:color w:val="auto"/>
              </w:rPr>
            </w:pP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4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Rose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60" w:type="dxa"/>
            <w:vAlign w:val="bottom"/>
          </w:tcPr>
          <w:p>
            <w:pPr>
              <w:spacing w:after="0"/>
              <w:rPr>
                <w:sz w:val="24"/>
                <w:szCs w:val="24"/>
                <w:color w:val="auto"/>
              </w:rPr>
            </w:pP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Zafar Rizvi</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60" w:type="dxa"/>
            <w:vAlign w:val="bottom"/>
          </w:tcPr>
          <w:p>
            <w:pPr>
              <w:spacing w:after="0"/>
              <w:rPr>
                <w:sz w:val="18"/>
                <w:szCs w:val="18"/>
                <w:color w:val="auto"/>
              </w:rPr>
            </w:pP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Bruggeman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8"/>
                <w:szCs w:val="18"/>
                <w:color w:val="auto"/>
              </w:rPr>
            </w:pP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Vice President-Finance, Chief Financial Officer and Treasurer</w:t>
            </w:r>
          </w:p>
        </w:tc>
      </w:tr>
      <w:tr>
        <w:trPr>
          <w:trHeight w:val="216"/>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Kress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60" w:type="dxa"/>
            <w:vAlign w:val="bottom"/>
          </w:tcPr>
          <w:p>
            <w:pPr>
              <w:spacing w:after="0"/>
              <w:rPr>
                <w:sz w:val="18"/>
                <w:szCs w:val="18"/>
                <w:color w:val="auto"/>
              </w:rPr>
            </w:pP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*Also serves as a director.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40" w:type="dxa"/>
            <w:vAlign w:val="bottom"/>
          </w:tcPr>
          <w:p>
            <w:pPr>
              <w:spacing w:after="0"/>
              <w:rPr>
                <w:sz w:val="20"/>
                <w:szCs w:val="20"/>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Stuart Rose </w:t>
      </w:r>
      <w:r>
        <w:rPr>
          <w:rFonts w:ascii="Times New Roman" w:cs="Times New Roman" w:eastAsia="Times New Roman" w:hAnsi="Times New Roman"/>
          <w:sz w:val="18"/>
          <w:szCs w:val="18"/>
          <w:color w:val="auto"/>
        </w:rPr>
        <w:t>was elected our Executive Chairman of the Board in 2015. Mr. Rose had served as our Chairman of the Board and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our incorporation in 1984 as a holding company. Prior to 1984, Mr. Rose was Chairman of the Board and Chief Executive Officer of Rex Radio and Television, Inc., which he founded in 1980 to acquire the stock of a corporation which operated four retail stores.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Zafar Rizvi </w:t>
      </w:r>
      <w:r>
        <w:rPr>
          <w:rFonts w:ascii="Times New Roman" w:cs="Times New Roman" w:eastAsia="Times New Roman" w:hAnsi="Times New Roman"/>
          <w:sz w:val="18"/>
          <w:szCs w:val="18"/>
          <w:color w:val="auto"/>
        </w:rPr>
        <w:t>was elected Chief Executive Officer in 2015. Mr. Rizvi has been our President and Chief Operating Officer since 2010, was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2006 to 2010, and from 1991 to 2006, Mr. Rizvi was our Vice President – Loss Prevention.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Douglas Bruggeman </w:t>
      </w:r>
      <w:r>
        <w:rPr>
          <w:rFonts w:ascii="Times New Roman" w:cs="Times New Roman" w:eastAsia="Times New Roman" w:hAnsi="Times New Roman"/>
          <w:sz w:val="18"/>
          <w:szCs w:val="18"/>
          <w:color w:val="auto"/>
        </w:rPr>
        <w:t>has been our Vice President–Finance and Treasurer since 1989 and was elected Chief Financial Officer in 2003. From 1987 to 1989,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Bruggeman was our Manager of Corporate Accounting. Mr. Bruggeman was employed with the accounting firm of Ernst &amp; Young prior to joining us in 1986.</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Edward Kress </w:t>
      </w:r>
      <w:r>
        <w:rPr>
          <w:rFonts w:ascii="Times New Roman" w:cs="Times New Roman" w:eastAsia="Times New Roman" w:hAnsi="Times New Roman"/>
          <w:sz w:val="18"/>
          <w:szCs w:val="18"/>
          <w:color w:val="auto"/>
        </w:rPr>
        <w:t>has been our Secretary since 1984. Mr. Kress has been a partner of the law firm of Dinsmore &amp; Shohl LLP (formerly Chernesky, Heyman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Kress P.L.L.), our legal counsel, since 1988. Mr. Kress has practiced law in Dayton, Ohio since 1974.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REX.</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27, 2026, there were 58 holders of record of our common stock, including shares held in nominee or street name by brokers which, in turn, hold shares of stock for numerous beneficial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history of paying cash dividends on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25, 2025, the Board of Directors authorized the repurchase from time to time of up to an additional 3,000,000 shares through open market transactions, privately negotiated transactions, or transactions by other means in accordance with applicable securities laws. At January 31, 2026, a total of 2,357,186 shares remained available to purchase under this authorization.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 repurchases in the fourth quarter of fiscal year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Item 12 – Security Ownership of Certain Beneficial Owners and Management and Related Stockholder Matters for information regarding shares authorized for issuance under equity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yearly percentage change in the cumulative total shareholder return on our Common Stock against the cumulative total return of the S&amp;P 500 Stock Index and a peer group comprised of Alto Ingredients, Inc. and Green Plains, Inc. for the period commencing January 31, 2021 and ended January 31, 2026. The graph assumes an investment of $100 in our Common Stock and each index on January 31, 2021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125730</wp:posOffset>
            </wp:positionV>
            <wp:extent cx="6429375" cy="3420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2937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[Reserved]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an investor in ethanol production facilities beginning in 2006. We currently have equity investments in three ethanol production entities, two of which are majority ownership interests. We may make additional alternative energy investments in the future and are currently working on a carbon sequestration project near our One Earth Energy location.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tariffs,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trade negotiations, and tariffs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reported net income attributable to REX common shareholders of approximately $83.0 million in fiscal 2025 compared to approximately $58.2 million in fiscal 2024. The current year has benefitted from reductions in our effective tax rate resulting from the impact of 45Z tax credits earned associated with our ethanol production. Gross profit in fiscal year 2025 was higher than fiscal year 2024, primarily a result of higher crush spreads. The two largest drivers of ethanol profitability are corn and ethanol pricing, both of which experienced significant volatility within the year. Chicago Board of Trade corn prices per bushel ranged from a low of $3.72 in August 2025 to a high of $5.02 in February 2025. S&amp;P Global Platts ethanol pricing per gallon ranged from a low of $1.50 in January 2026 to a high of $2.09 in September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Earth Sequestration, LLC, a wholly owned subsidiary of One Earth Energy, LLC, is in the developmental stage of a carbon sequestration project near the One Earth Energy ethanol plant. In October 2022, we applied to the EPA for a Class VI injection well permit for three wells, and we continue to provide information to the EPA during the technical review of our application. We currently expect the EPA to prepare a draft permit by May 2026 and make a final permit decision during the third quarter of 2026, according to the EPA’s Class VI Permit Tracker Dashboard on their website. We also must obtain certain state and county permits for the sequestration site and connector pipeline. We have completed the construction of the capture and compression facility to capture, dehydrate, and compress carbon dioxide from the One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both"/>
        <w:spacing w:after="0" w:line="292" w:lineRule="auto"/>
        <w:rPr>
          <w:sz w:val="20"/>
          <w:szCs w:val="20"/>
          <w:color w:val="auto"/>
        </w:rPr>
      </w:pPr>
      <w:r>
        <w:rPr>
          <w:rFonts w:ascii="Times New Roman" w:cs="Times New Roman" w:eastAsia="Times New Roman" w:hAnsi="Times New Roman"/>
          <w:sz w:val="18"/>
          <w:szCs w:val="18"/>
          <w:color w:val="auto"/>
        </w:rPr>
        <w:t>Earth ethanol plant to a state suitable for sequestration. Testing has not yet been completed and we cannot begin construction of the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connector pipeline between the One Earth ethanol plant and the sequestration site or a sequestration well until further permits and approvals are received.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made meaningful progress and significant investments in the carbon sequestration project at One Earth Energy, we continue to work with the various government agencies involved to obtain all required permits and approvals, with no assurance of the ultimate success or timing of the project. Also see the discussion under “Trends and Uncertainties” on pages 25 and 26 of certain recently proposed legislation that, if enacted, could impact our carbon sequestration project.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expanding the One Earth ethanol plant. We received a construction permit from the EPA to increase production from 150 million gallons of ethanol per year to 175 million gallons of ethanol per year. Once we achieve that level of production, we intend to apply for another permit to 200 million gallons per year. We continue to work to identify ways to reduce our CI score at the One Earth plant with the intention of maximizing tax credits available under the IRA.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IRA created a new Clean Fuel Production Credit, available for calendar years 2025 – 2027 which, based on proposed rulemaking by the United States Department of Treasury, established a tax credit that utilizes a sliding scale where credits can be earned incrementally between $0.02 and $0.20, or $0.10 and $1.00 if prevailing wage and apprenticeship requirements are met, per gallon of non-SAF fuels based on an ethanol plant’s GHG reduction below a 50 CI score threshold, with the first two or ten cents earned upon achieving a CI score below 47.5, to incentivize further increases in plant efficiencies within the industry. In July 2025, Congress passed the OBBBA, which was subsequently signed into law by the President. The law extended the time period which 45Z credits can be claimed by two years, through December 31, 2029. The U.S. Department of the Treasury issued proposed rules on February 3, 2026 on qualification for 45Z tax credits. Based on these proposed regulations, we recognized approximately $28.1 million in 45Z tax credits through our consolidated subsidiaries for fiscal 2025.</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budget capital expenditures for both the expansion and sequestration projects at One Earth to be approximately $220 million to $230 million, subject to further refinement as we move forward. We plan to pay for all expenditures from available cash. As of January 31, 2026, we had spent $58.4 million since inception toward the carbon sequestration project and were contractually committed to spend an additional $0.6 million. If the carbon sequestration project is successful, we believe we will qualify for tax credits under section 45Q, based on tons of carbon sequestered, and section 45Z, based on gallons of ethanol produced, as provided in the IRA and OBBBA. Companies may elect either the 45Q credit or the 45Z credit in periods in which both tax credits are available. As of January 31, 2026, we had spent $107.6 million since inception and were contractually committed to spend an additional $15.5 million toward plant capacity expansion and ongoing efforts to reduce our CI scoring at One Earth.</w:t>
      </w:r>
    </w:p>
    <w:p>
      <w:pPr>
        <w:spacing w:after="0" w:line="18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 May 2023, NuGen, our majority owned ethanol plant in Marion, South Dakota, signed an agreement to be part of Summit Carbon Solutions’ carbon capture and storage pipeline. Should Summit Carbon Solutions be able to obtain all necessary permits and approvals, the agreement would allow NuGen to share in the economic benefits of tax credits through the sale of the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output of its ethanol production facility for sequestration, as well as to reduce its net carbon emissions. In March 2025, South Dakota enacted a law that bans the use of eminent domain in connection with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pipelines. In addition, in March 2026, a North Dakota Court voided the permits issued to Summit Carbon Solutions for underground storage of carbon dioxide as the Court has deemed the law the permits were issued under to be unconstitutional. Summit Carbon Solutions is analyzing the decision and is contemplating next steps. These actions could make the sequestration project for the NuGen facility more difficult for Summit Carbon Solutions to complete.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seek and evaluate various investment opportunities including energy related, carbon sequestration, agricultural and other ventures we believe fit our investment criteria. We can make no assurances that we will be successful in our efforts to find such opportunities.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Ethanol 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2006, we entered the ethanol industry by investing in several entities organized to construct and subsequently operate ethanol producing plants. We are invested in three entities as of January 31, 2026, utilizing equity investments.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is a summary of our ethanol entity ownership interests at January 31, 2026:</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080" w:type="dxa"/>
            <w:vAlign w:val="bottom"/>
            <w:tcBorders>
              <w:top w:val="single" w:sz="8" w:color="auto"/>
              <w:left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REX’s Current</w:t>
            </w:r>
          </w:p>
        </w:tc>
      </w:tr>
      <w:tr>
        <w:trPr>
          <w:trHeight w:val="238"/>
        </w:trPr>
        <w:tc>
          <w:tcPr>
            <w:tcW w:w="6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2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2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Ownership Interest</w:t>
            </w:r>
          </w:p>
        </w:tc>
      </w:tr>
      <w:tr>
        <w:trPr>
          <w:trHeight w:val="209"/>
        </w:trPr>
        <w:tc>
          <w:tcPr>
            <w:tcW w:w="6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One Earth Energy, LLC</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Gibson City, IL</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76.1%</w:t>
            </w:r>
          </w:p>
        </w:tc>
      </w:tr>
      <w:tr>
        <w:trPr>
          <w:trHeight w:val="210"/>
        </w:trPr>
        <w:tc>
          <w:tcPr>
            <w:tcW w:w="60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NuGen Energy, LLC</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Marion, SD</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w:t>
            </w:r>
          </w:p>
        </w:tc>
      </w:tr>
      <w:tr>
        <w:trPr>
          <w:trHeight w:val="191"/>
        </w:trPr>
        <w:tc>
          <w:tcPr>
            <w:tcW w:w="608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Big River Resources, LLC:</w:t>
            </w:r>
          </w:p>
        </w:tc>
        <w:tc>
          <w:tcPr>
            <w:tcW w:w="202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spacing w:after="0"/>
              <w:rPr>
                <w:sz w:val="16"/>
                <w:szCs w:val="16"/>
                <w:color w:val="auto"/>
              </w:rPr>
            </w:pPr>
          </w:p>
        </w:tc>
      </w:tr>
      <w:tr>
        <w:trPr>
          <w:trHeight w:val="216"/>
        </w:trPr>
        <w:tc>
          <w:tcPr>
            <w:tcW w:w="608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Big River Resources W Burlington, LLC</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 Burlington, IA</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608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Big River Resources Galva, LLC</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Galva, IL</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6080" w:type="dxa"/>
            <w:vAlign w:val="bottom"/>
            <w:tcBorders>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Big River United Energy, LLC</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Dyersville, IA</w:t>
            </w:r>
          </w:p>
        </w:tc>
        <w:tc>
          <w:tcPr>
            <w:tcW w:w="20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608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Big River Resources Boyceville, LLC</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Boyceville, WI</w:t>
            </w:r>
          </w:p>
        </w:tc>
        <w:tc>
          <w:tcPr>
            <w:tcW w:w="20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three entities own a total of six ethanol production facilities, which in aggregate shipped approximately 722 million gallons of ethanol over the twelve-month period ended January 31, 2026. REX’s effective ownership of ethanol gallons shipped for the twelve-month period ended January 31, 2026, was approximately 294 million gallons.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Renewable Fuel Standard II, established in October 2010, has been an important factor in the growth of ethanol usage in the United States. There has been much uncertainty in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fewer than 75,000 barrels of oil per day can petition the EPA for a waiver of their requirement to submit RINs. The EPA, through consultation with the United States Department of Energy and the USDA, can grant the refiner a full or partial waiver, or deny the waiver. The EPA has the authority to waive the biofuel mandate, in whole or in part, if there is inadequate domestic renewable fuel supply or the requirement severely harms the domestic economy or environment. In addition, under RFS II, a small refiner that processes fewer than 75,000 barrels of oil per day can petition the EPA for a waiver of their requirement to submit RINs. The EPA, through consultation with the United States Department of Energy and the USDA, can grant the refiner a full or partial waiver, or deny the waiver. The waiving of a refiner’s obligation effectively lowers the amount of renewable fuels required to be blended, and by extension the amount of RINs that need to be retired, which can impact their values and ultimately blending levels of renewable fuels. There are multiple ongoing legal challenges to how the EPA has handled SREs and RFS rulemaking. On August 22, 2025, the EPA ruled on much of the backlog of SREs, issuing 63 full exemptions, 77 partial exemptions of 50%, 28 denials and 7 ruled as ineligible. On November 7, 2025, the EPA issued two 100% waivers, twelve 50% waivers and two denials. As of March 19, 2026, there were 37 SRE petitions pending from compliance years 2023-2025.</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EPA has issued RVOs for calendar years 2023-2025. The volumes from conventional biofuels (which includes corn-based ethanol) were 15.0 billion gallons for 2023 through 2025. Additionally, in 2023, the EPA restored 250 million gallons previously waived. On March 27, 2026, the EPA issued total RVOs for 2026 and 2027 of 15.0 billion gallons of conventional ethanol for each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EPA recently issued emergency waivers allowing the sale of E-15 gasoline for the 2026 summer months. 2026 will represent the fifth consecutive year for these emergency waivers. The EPA has not granted E-15 the same Reid vapor pressure waiver as E-10, so absent the emergency waivers, E-15 may not be sold in most states from June 1 to September 15.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IRA, signed into law on August 16, 2022, created a new Clean Fuel Production Credit, section 45Z, originally available for years 2025 to 2027. Based on proposed rulemaking by the United States Department of Treasury, the Clean Fuel Production Credit will be established utilizing a sliding scale where tax credits may be earned incrementally between $0.02 and $0.20, or $0.10 and $1.00 if prevailing wage and apprenticeship requirements are met, per gallon of non-SAF fuels based on a plant’s GHG reduction below a 50 CI score threshold, with the first two or ten cents earned upon achieving a CI score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below 47.5. The IRA also raises the carbon capture tax credit from $50 per metric ton to $85 per metric ton, under section 45Q. Companies may elect either the 45Q credit or the 45Z credit in periods in which both tax credits are available.</w:t>
      </w:r>
    </w:p>
    <w:p>
      <w:pPr>
        <w:spacing w:after="0" w:line="16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OBBBA introduced major revisions to clean energy tax credits. Key provisions include extending the 45Z credit through 2029, removing the indirect land-use change penalty for crop-based feedstocks, limiting eligibility to feedstocks under the USMCA, imposing FEOC restrictions, and prohibiting negative emissions rates except from animal manure. It also modified the language for 45Q tax credits for facilities placed in service after the bill enactment but maintained the $85 per ton tax credit if the prevailing wage and apprenticeship requirements are met. 45Q credits are available for 12 years from the time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injection begins.</w:t>
      </w:r>
    </w:p>
    <w:p>
      <w:pPr>
        <w:spacing w:after="0" w:line="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We have secured land easements from all necessary landowners to allow the construction of the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connector pipeline on their land from the ethanol plant to the first two injection wells for our carbon sequestration project near the One Earth Energy ethanol facility. We also have landowner subsurface easements for the first injection well with capacity sufficient to allow for carbon sequestration for our One Earth plant for an estimated 15 years. The Illinois General Assembly passed the Safety and Aid for the Environment in Carbon Capture and Sequestration Act (SB 1289), which was signed by the Governor in July 2024. The legislation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pipelines. Further, the legislation imposes a moratorium on the issuance of new certificates of authority for the construction of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pipelines until the earlier of the date new federal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pipeline safety standards are finalized by the federal PHMSA or, subject to certain other conditions, July 1, 2026.</w:t>
      </w:r>
    </w:p>
    <w:p>
      <w:pPr>
        <w:spacing w:after="0" w:line="2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Illinois Senate Bill 1723 was signed into law by the Governor on August 1, 2025. SB 1723 prohibits carbon sequestration activities over, under, or through an aquifer as defined by the EPA. The proposed injection wells for our carbon sequestration project are located outside of these areas.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have made meaningful progress and significant investments in the carbon sequestration project at One Earth, we continue to work with the various government agencies involved to obtain all required permits and approvals, with no assurance of the ultimate success or timing of the project.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United States exported an estimated 2.2 billion gallons of ethanol in 2025, up from approximately 1.9 and 1.4 billion gallons in 2024 and 2023, respectively. In 2025 and 2024, an estimated 11.6 and 12.1 million metric tons, respectively, of distillers grains were exported from the United States, which represented approximately 36% and 37% in 2025 and 2024, respectively, of U.S production. There has been much discussion around proposed and recently enacted tariffs by the United States and counter-tariffs and other trade restriction involving countries which have been large purchasers from our industry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these trends and uncertainties continue, our future operating results could be impacted.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from operations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3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650,487</w:t>
            </w:r>
          </w:p>
        </w:tc>
        <w:tc>
          <w:tcPr>
            <w:tcW w:w="4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642,491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556,781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551,014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93,706</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91,477</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88,572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92,872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22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280" w:type="dxa"/>
            <w:vAlign w:val="bottom"/>
            <w:shd w:val="clear" w:color="auto" w:fill="E5FFFF"/>
          </w:tcPr>
          <w:p>
            <w:pPr>
              <w:spacing w:after="0"/>
              <w:rPr>
                <w:sz w:val="18"/>
                <w:szCs w:val="18"/>
                <w:color w:val="auto"/>
              </w:rPr>
            </w:pPr>
          </w:p>
        </w:tc>
        <w:tc>
          <w:tcPr>
            <w:tcW w:w="4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(21,386)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E5FFFF"/>
            </w:tcBorders>
          </w:tcPr>
          <w:p>
            <w:pPr>
              <w:spacing w:after="0" w:line="20" w:lineRule="exact"/>
              <w:rPr>
                <w:sz w:val="1"/>
                <w:szCs w:val="1"/>
                <w:color w:val="auto"/>
              </w:rPr>
            </w:pPr>
          </w:p>
        </w:tc>
        <w:tc>
          <w:tcPr>
            <w:tcW w:w="3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82,951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58,167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2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0C0C0"/>
            </w:tcBorders>
          </w:tcPr>
          <w:p>
            <w:pPr>
              <w:spacing w:after="0"/>
              <w:rPr>
                <w:sz w:val="21"/>
                <w:szCs w:val="21"/>
                <w:color w:val="auto"/>
              </w:rPr>
            </w:pPr>
          </w:p>
        </w:tc>
        <w:tc>
          <w:tcPr>
            <w:tcW w:w="32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net sales and revenue by product group (amounts in thousands):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4"/>
                <w:szCs w:val="24"/>
                <w:color w:val="auto"/>
              </w:rPr>
            </w:pPr>
          </w:p>
        </w:tc>
        <w:tc>
          <w:tcPr>
            <w:tcW w:w="14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196"/>
        </w:trPr>
        <w:tc>
          <w:tcPr>
            <w:tcW w:w="7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w:t>
            </w:r>
          </w:p>
        </w:tc>
        <w:tc>
          <w:tcPr>
            <w:tcW w:w="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6"/>
            <w:shd w:val="clear" w:color="auto" w:fill="E5FFFF"/>
          </w:tcPr>
          <w:p>
            <w:pPr>
              <w:jc w:val="right"/>
              <w:ind w:right="600"/>
              <w:spacing w:after="0"/>
              <w:rPr>
                <w:sz w:val="20"/>
                <w:szCs w:val="20"/>
                <w:color w:val="auto"/>
              </w:rPr>
            </w:pPr>
            <w:r>
              <w:rPr>
                <w:rFonts w:ascii="Times New Roman" w:cs="Times New Roman" w:eastAsia="Times New Roman" w:hAnsi="Times New Roman"/>
                <w:sz w:val="18"/>
                <w:szCs w:val="18"/>
                <w:color w:val="auto"/>
                <w:w w:val="95"/>
              </w:rPr>
              <w:t>504,416</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5"/>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w w:val="99"/>
              </w:rPr>
              <w:t>496,411</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Dried distillers grains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88,156</w:t>
            </w:r>
          </w:p>
        </w:tc>
        <w:tc>
          <w:tcPr>
            <w:tcW w:w="100" w:type="dxa"/>
            <w:vAlign w:val="bottom"/>
          </w:tcPr>
          <w:p>
            <w:pPr>
              <w:spacing w:after="0"/>
              <w:rPr>
                <w:sz w:val="18"/>
                <w:szCs w:val="18"/>
                <w:color w:val="auto"/>
              </w:rPr>
            </w:pPr>
          </w:p>
        </w:tc>
        <w:tc>
          <w:tcPr>
            <w:tcW w:w="6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w w:val="99"/>
              </w:rPr>
              <w:t>101,432</w:t>
            </w:r>
          </w:p>
        </w:tc>
        <w:tc>
          <w:tcPr>
            <w:tcW w:w="0" w:type="dxa"/>
            <w:vAlign w:val="bottom"/>
          </w:tcPr>
          <w:p>
            <w:pPr>
              <w:spacing w:after="0"/>
              <w:rPr>
                <w:sz w:val="1"/>
                <w:szCs w:val="1"/>
                <w:color w:val="auto"/>
              </w:rPr>
            </w:pPr>
          </w:p>
        </w:tc>
      </w:tr>
      <w:tr>
        <w:trPr>
          <w:trHeight w:val="216"/>
        </w:trPr>
        <w:tc>
          <w:tcPr>
            <w:tcW w:w="7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Distillers corn oil</w:t>
            </w:r>
          </w:p>
        </w:tc>
        <w:tc>
          <w:tcPr>
            <w:tcW w:w="5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80" w:type="dxa"/>
            <w:vAlign w:val="bottom"/>
            <w:gridSpan w:val="6"/>
            <w:shd w:val="clear" w:color="auto" w:fill="E5FFFF"/>
          </w:tcPr>
          <w:p>
            <w:pPr>
              <w:jc w:val="right"/>
              <w:ind w:right="600"/>
              <w:spacing w:after="0"/>
              <w:rPr>
                <w:sz w:val="20"/>
                <w:szCs w:val="20"/>
                <w:color w:val="auto"/>
              </w:rPr>
            </w:pPr>
            <w:r>
              <w:rPr>
                <w:rFonts w:ascii="Times New Roman" w:cs="Times New Roman" w:eastAsia="Times New Roman" w:hAnsi="Times New Roman"/>
                <w:sz w:val="18"/>
                <w:szCs w:val="18"/>
                <w:color w:val="auto"/>
              </w:rPr>
              <w:t>52,382</w:t>
            </w:r>
          </w:p>
        </w:tc>
        <w:tc>
          <w:tcPr>
            <w:tcW w:w="100" w:type="dxa"/>
            <w:vAlign w:val="bottom"/>
            <w:shd w:val="clear" w:color="auto" w:fill="E5FFFF"/>
          </w:tcPr>
          <w:p>
            <w:pPr>
              <w:spacing w:after="0"/>
              <w:rPr>
                <w:sz w:val="18"/>
                <w:szCs w:val="18"/>
                <w:color w:val="auto"/>
              </w:rPr>
            </w:pPr>
          </w:p>
        </w:tc>
        <w:tc>
          <w:tcPr>
            <w:tcW w:w="680" w:type="dxa"/>
            <w:vAlign w:val="bottom"/>
            <w:gridSpan w:val="5"/>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38,999</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Modified distillers grains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18"/>
                <w:szCs w:val="18"/>
                <w:color w:val="auto"/>
              </w:rPr>
            </w:pPr>
          </w:p>
        </w:tc>
        <w:tc>
          <w:tcPr>
            <w:tcW w:w="6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4,896</w:t>
            </w:r>
          </w:p>
        </w:tc>
        <w:tc>
          <w:tcPr>
            <w:tcW w:w="0" w:type="dxa"/>
            <w:vAlign w:val="bottom"/>
          </w:tcPr>
          <w:p>
            <w:pPr>
              <w:spacing w:after="0"/>
              <w:rPr>
                <w:sz w:val="1"/>
                <w:szCs w:val="1"/>
                <w:color w:val="auto"/>
              </w:rPr>
            </w:pPr>
          </w:p>
        </w:tc>
      </w:tr>
      <w:tr>
        <w:trPr>
          <w:trHeight w:val="216"/>
        </w:trPr>
        <w:tc>
          <w:tcPr>
            <w:tcW w:w="7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Derivative financial instruments (losses) gains</w:t>
            </w:r>
          </w:p>
        </w:tc>
        <w:tc>
          <w:tcPr>
            <w:tcW w:w="5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80" w:type="dxa"/>
            <w:vAlign w:val="bottom"/>
            <w:gridSpan w:val="6"/>
            <w:shd w:val="clear" w:color="auto" w:fill="E5FFFF"/>
          </w:tcPr>
          <w:p>
            <w:pPr>
              <w:jc w:val="right"/>
              <w:ind w:right="60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E5FFFF"/>
          </w:tcPr>
          <w:p>
            <w:pPr>
              <w:spacing w:after="0"/>
              <w:rPr>
                <w:sz w:val="18"/>
                <w:szCs w:val="18"/>
                <w:color w:val="auto"/>
              </w:rPr>
            </w:pPr>
          </w:p>
        </w:tc>
        <w:tc>
          <w:tcPr>
            <w:tcW w:w="680" w:type="dxa"/>
            <w:vAlign w:val="bottom"/>
            <w:gridSpan w:val="5"/>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6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9"/>
        </w:trPr>
        <w:tc>
          <w:tcPr>
            <w:tcW w:w="750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gridSpan w:val="5"/>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5"/>
              </w:rPr>
              <w:t>650,487</w:t>
            </w:r>
          </w:p>
        </w:tc>
        <w:tc>
          <w:tcPr>
            <w:tcW w:w="60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642,491</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selected operating data:</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4"/>
                <w:szCs w:val="24"/>
                <w:color w:val="auto"/>
              </w:rPr>
            </w:pPr>
          </w:p>
        </w:tc>
        <w:tc>
          <w:tcPr>
            <w:tcW w:w="146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196"/>
        </w:trPr>
        <w:tc>
          <w:tcPr>
            <w:tcW w:w="7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gallon of ethanol (net of hedging)</w:t>
            </w:r>
          </w:p>
        </w:tc>
        <w:tc>
          <w:tcPr>
            <w:tcW w:w="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6"/>
            <w:shd w:val="clear" w:color="auto" w:fill="E5FFFF"/>
          </w:tcPr>
          <w:p>
            <w:pPr>
              <w:jc w:val="right"/>
              <w:ind w:right="60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5"/>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Gallons of ethanol sold (in millions)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18"/>
                <w:szCs w:val="18"/>
                <w:color w:val="auto"/>
              </w:rPr>
            </w:pPr>
          </w:p>
        </w:tc>
        <w:tc>
          <w:tcPr>
            <w:tcW w:w="6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16"/>
        </w:trPr>
        <w:tc>
          <w:tcPr>
            <w:tcW w:w="7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ton of dried distillers grains</w:t>
            </w:r>
          </w:p>
        </w:tc>
        <w:tc>
          <w:tcPr>
            <w:tcW w:w="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6"/>
            <w:shd w:val="clear" w:color="auto" w:fill="E5FFFF"/>
          </w:tcPr>
          <w:p>
            <w:pPr>
              <w:jc w:val="right"/>
              <w:ind w:right="600"/>
              <w:spacing w:after="0"/>
              <w:rPr>
                <w:sz w:val="20"/>
                <w:szCs w:val="20"/>
                <w:color w:val="auto"/>
              </w:rPr>
            </w:pPr>
            <w:r>
              <w:rPr>
                <w:rFonts w:ascii="Times New Roman" w:cs="Times New Roman" w:eastAsia="Times New Roman" w:hAnsi="Times New Roman"/>
                <w:sz w:val="18"/>
                <w:szCs w:val="18"/>
                <w:color w:val="auto"/>
              </w:rPr>
              <w:t>144.06</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5"/>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160.37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Tons of dried distillers grains sold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w w:val="95"/>
              </w:rPr>
              <w:t>611,929</w:t>
            </w:r>
          </w:p>
        </w:tc>
        <w:tc>
          <w:tcPr>
            <w:tcW w:w="100" w:type="dxa"/>
            <w:vAlign w:val="bottom"/>
          </w:tcPr>
          <w:p>
            <w:pPr>
              <w:spacing w:after="0"/>
              <w:rPr>
                <w:sz w:val="18"/>
                <w:szCs w:val="18"/>
                <w:color w:val="auto"/>
              </w:rPr>
            </w:pPr>
          </w:p>
        </w:tc>
        <w:tc>
          <w:tcPr>
            <w:tcW w:w="6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w w:val="99"/>
              </w:rPr>
              <w:t>632,469</w:t>
            </w:r>
          </w:p>
        </w:tc>
        <w:tc>
          <w:tcPr>
            <w:tcW w:w="0" w:type="dxa"/>
            <w:vAlign w:val="bottom"/>
          </w:tcPr>
          <w:p>
            <w:pPr>
              <w:spacing w:after="0"/>
              <w:rPr>
                <w:sz w:val="1"/>
                <w:szCs w:val="1"/>
                <w:color w:val="auto"/>
              </w:rPr>
            </w:pPr>
          </w:p>
        </w:tc>
      </w:tr>
      <w:tr>
        <w:trPr>
          <w:trHeight w:val="216"/>
        </w:trPr>
        <w:tc>
          <w:tcPr>
            <w:tcW w:w="7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pound of distillers corn oil</w:t>
            </w:r>
          </w:p>
        </w:tc>
        <w:tc>
          <w:tcPr>
            <w:tcW w:w="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6"/>
            <w:shd w:val="clear" w:color="auto" w:fill="E5FFFF"/>
          </w:tcPr>
          <w:p>
            <w:pPr>
              <w:jc w:val="right"/>
              <w:ind w:right="600"/>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5"/>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Pounds of distillers corn oil sold (in millions)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8"/>
                <w:szCs w:val="18"/>
                <w:color w:val="auto"/>
              </w:rPr>
            </w:pPr>
          </w:p>
        </w:tc>
        <w:tc>
          <w:tcPr>
            <w:tcW w:w="6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7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Average selling price per ton of modified distillers grains</w:t>
            </w:r>
          </w:p>
        </w:tc>
        <w:tc>
          <w:tcPr>
            <w:tcW w:w="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6"/>
            <w:shd w:val="clear" w:color="auto" w:fill="E5FFFF"/>
          </w:tcPr>
          <w:p>
            <w:pPr>
              <w:jc w:val="right"/>
              <w:ind w:right="600"/>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5"/>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69.93</w:t>
            </w:r>
          </w:p>
        </w:tc>
        <w:tc>
          <w:tcPr>
            <w:tcW w:w="0" w:type="dxa"/>
            <w:vAlign w:val="bottom"/>
          </w:tcPr>
          <w:p>
            <w:pPr>
              <w:spacing w:after="0"/>
              <w:rPr>
                <w:sz w:val="1"/>
                <w:szCs w:val="1"/>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Tons of modified distillers grains sold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81,861</w:t>
            </w:r>
          </w:p>
        </w:tc>
        <w:tc>
          <w:tcPr>
            <w:tcW w:w="100" w:type="dxa"/>
            <w:vAlign w:val="bottom"/>
          </w:tcPr>
          <w:p>
            <w:pPr>
              <w:spacing w:after="0"/>
              <w:rPr>
                <w:sz w:val="20"/>
                <w:szCs w:val="20"/>
                <w:color w:val="auto"/>
              </w:rPr>
            </w:pPr>
          </w:p>
        </w:tc>
        <w:tc>
          <w:tcPr>
            <w:tcW w:w="6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70,013</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2025 and 2024 (Consolidated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Revenue </w:t>
      </w:r>
      <w:r>
        <w:rPr>
          <w:rFonts w:ascii="Times New Roman" w:cs="Times New Roman" w:eastAsia="Times New Roman" w:hAnsi="Times New Roman"/>
          <w:sz w:val="18"/>
          <w:szCs w:val="18"/>
          <w:color w:val="auto"/>
        </w:rPr>
        <w:t>– Net sales and revenue in the year ended January 31, 2026 increased approximately 1%, or $8.0 million, compared to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January 31, 2025.</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Ethanol sales increased in fiscal year 2025 compared to fiscal year 2024 as the average price per gallon increased 2%, along with gallons sold remaining steady compared to the prior period. Ethanol pricing is affected by many factors, including overall market supply and demand, as well as corn and gasoline pricing.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Dried distillers grains sales decreased in fiscal year 2025 compared to fiscal year 2024, decreasing 13% year-over-year, as the average price per ton sold decreased 10%, as well as a decrease in tons sold of 3%. The decrease in the dried distillers grains selling price is consistent with recent quarters and reflects an extended period of lower corn pricing as dried distillers grains prices often correlate with corn pricing. The decrease in tons sold was impacted by increased production levels of other ethanol by-products.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Distillers corn oil sales increased 34% in fiscal year 2025 compared to fiscal year 2024 as the average selling price per pound increased approximately 23% and the amount of pounds sold increased 10%. The corn oil yield per bushel ground improved at our consolidated ethanol plants in fiscal 2025 relative to the comparable period in fiscal 2024. The increase in the distillers corn oil selling price resulted primarily from fluctuations in demand in the renewable biodiesel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Modified distillers grains sales increased 10% in fiscal year 2025 compared to fiscal year 2024 as the amount of tons sold increased 17%, offset partially by a 6% decrease in the average selling price per ton sold. The decrease in the modified distillers grains selling price resulted primarily from an extended period of lower corn prices, as prices tend to move in the same direction but are also impacted by changes in local market demand. Our consolidated plants’ decisions to sell modified or dried distillers grains fluctuate from time to time based upon market conditions.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on derivative financial instruments were $0.3 million in fiscal year 2025, compared to gains of $0.4 million in fiscal year 2024. Gains and losses are related to our risk management activities and were impacted by the price movements and types of contracts entered into at our consolidated ethanol plants.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 Cost of sales for fiscal year 2025 increased approximately $5.8 million, or 1%, over fiscal year 2024. Corn accounted for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74% ($411.5 million) of our cost of sales during fiscal year 2025 compared to approximately 76% ($416.4 million) during fiscal year 2024. The cost of corn decreased due to lower corn prices, while the amount of bushels used remained stable year over year. Natural gas accounted for approximately 5% ($29.0 million) of our cost of sales during fiscal year 2025 compared to approximately 4% ($22.6 million) during fiscal year 2024.</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As a result of the foregoing, gross profit for fiscal year 2025 increased approximately $2.2 million, or 2%, from fiscal year 2024. Gross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 in fiscal year 2025 was approximately 14.4% of net sales and revenue, versus approximately 14.2% of net sales and revenue in fiscal year 2024.</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attempt to match quantities of ethanol, distillers grains and distillers corn oil sale contracts with an appropriate quantity of grain purchase contracts over a given period of time when we can obtain an adequate margin resulting from the crush spread inherent in the contracts we have executed. However, the market for future ethanol sales contracts generally lags the spot market with respect to ethanol price.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We utilize derivative financial instruments, primarily exchange traded commodity future contracts and swaps, in conjunction with our grain procurement and commodity marketing activities.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(“SG&amp;A”) Expenses </w:t>
      </w:r>
      <w:r>
        <w:rPr>
          <w:rFonts w:ascii="Times New Roman" w:cs="Times New Roman" w:eastAsia="Times New Roman" w:hAnsi="Times New Roman"/>
          <w:sz w:val="18"/>
          <w:szCs w:val="18"/>
          <w:color w:val="auto"/>
        </w:rPr>
        <w:t>– SG&amp;A expenses for fiscal year 2025 were approximately $32.6 million (5.0% of net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an increase of approximately $5.5 million or 20% from approximately $27.1 million (4.2% of net sales and revenue) for fiscal year 2024. The dollar increase compared to the prior year is primarily related to a $2.0 million increase in performance bonuses due to the increase in net income and recording unpaid stock bonuses at fair value. Additionally, there was a $1.4 million increase related to the lease of railcars. Approximately $1.1 million was accrued in fiscal 2025 for costs associated with 45Z tax credits, including the planned purchase of EACs.</w:t>
      </w:r>
    </w:p>
    <w:p>
      <w:pPr>
        <w:spacing w:after="0" w:line="17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 Income of Unconsolidated Ethanol Affiliates </w:t>
      </w:r>
      <w:r>
        <w:rPr>
          <w:rFonts w:ascii="Times New Roman" w:cs="Times New Roman" w:eastAsia="Times New Roman" w:hAnsi="Times New Roman"/>
          <w:sz w:val="18"/>
          <w:szCs w:val="18"/>
          <w:color w:val="auto"/>
        </w:rPr>
        <w:t>– During fiscal years 2025 and 2024, we recognized income of approximately $12.5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$9.4 million, respectively, from our equity investment in Big River Resources, LLC (“Big River”). Our investment in Big River, which has interests in four ethanol production plants, represents an effective ownership of approximately 38.6 million gallons of ethanol shipped in the trailing twelve months ended January 31,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the operating experience of Big River to be generally consistent with the trends in crush spread margins described in the “Overview” section as Big River’s results are dependent on the same industry dynamics as our other ethanol investments (ethanol, corn, dried distillers grains and natural gas pricing).</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Other Income </w:t>
      </w:r>
      <w:r>
        <w:rPr>
          <w:rFonts w:ascii="Times New Roman" w:cs="Times New Roman" w:eastAsia="Times New Roman" w:hAnsi="Times New Roman"/>
          <w:sz w:val="18"/>
          <w:szCs w:val="18"/>
          <w:color w:val="auto"/>
        </w:rPr>
        <w:t>– Interest and other income for fiscal year 2025 was approximately $15.0 million compared to approximately $19.2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2024. The decrease is primarily related to decreased interest income of $4.6 million in fiscal year 2025 based upon lower average balances and yields on our excess cash and short-term investments in fiscal year 2025, compared to 2024. One of our consolidated ethanol plants recognized $0.5 million less in patronage income from an investment in a cooperative in fiscal 2025 ($0.7 million) compared to fiscal 2024 ($1.2 million). We do not expect patronage income from this investment in a cooperative to be significant in future periods. These decreases in interest and other income were partially offset by $1.2 million in interest income recorded in fiscal 2025, owed from the IRS as part of the finalization of the IRS audit over refined coal and research and experimentation tax credits.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Before Income Taxes </w:t>
      </w:r>
      <w:r>
        <w:rPr>
          <w:rFonts w:ascii="Times New Roman" w:cs="Times New Roman" w:eastAsia="Times New Roman" w:hAnsi="Times New Roman"/>
          <w:sz w:val="18"/>
          <w:szCs w:val="18"/>
          <w:color w:val="auto"/>
        </w:rPr>
        <w:t>– As a result of the foregoing, income before income taxes was approximately $88.6 million for fiscal year 2025 versus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$92.9 million for fiscal year 2024.</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 Our effective tax rate was a benefit of 7.3% and a provision of 23.0% for fiscal years 2025 and 2024, respectively.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rate is impacted by the noncontrolling interests of the companies we consolidate, as we recognize 100% of their income or loss before income taxes and noncontrolling interests and only provide an income tax provision or benefit for our portion of the subsidiaries’ income or loss. During fiscal 2025, our effective tax rate decreased by 31.8% (approximately $28.1 million) as a result of 45Z tax credits earned by our ethanol facilities as a result of their qualified ethanol production after the purchase of EACs. During both fiscal years 2025 and 2024, our effective tax rate increased 2.7% and 2.2%, respectively (approximately $2.4 million and $2.1 million, respectively), as a result of section 162M compensation limitations. The impact of the effective settlement of the IRS audits during fiscal 2025 related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to the refined coal tax credits and the research and experimentation credits resulted in an increase to our effective tax rate of 1.3% (approximately $1.2 million).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 As a result of the foregoing, net income was approximately $95.1 million for fiscal year 2025 versus approximately $71.5 million for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Noncontrolling Interests </w:t>
      </w:r>
      <w:r>
        <w:rPr>
          <w:rFonts w:ascii="Times New Roman" w:cs="Times New Roman" w:eastAsia="Times New Roman" w:hAnsi="Times New Roman"/>
          <w:sz w:val="18"/>
          <w:szCs w:val="18"/>
          <w:color w:val="auto"/>
        </w:rPr>
        <w:t>– Income attributable to noncontrolling interests was approximately $12.1 million and $13.3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fiscal years 2025 and 2024, respectively, and represents the other owners’ share of the income of NuGen and One Earth.</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REX Common Shareholders </w:t>
      </w:r>
      <w:r>
        <w:rPr>
          <w:rFonts w:ascii="Times New Roman" w:cs="Times New Roman" w:eastAsia="Times New Roman" w:hAnsi="Times New Roman"/>
          <w:sz w:val="18"/>
          <w:szCs w:val="18"/>
          <w:color w:val="auto"/>
        </w:rPr>
        <w:t>– As a result of the foregoing, net income attributable to REX common shareholders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$83.0 million for fiscal year 2025 compared to $58.2 million for fiscal year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Years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in our Annual Report on Form 10-K for the year ended January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sources of cash have been income from operations. Our primary uses of cash have been capital expenditures at our ethanol plants and carbon sequestration project, stock repurchases, and payments to noncontrolling interests 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 and Working Capital (amounts in thousands):</w:t>
            </w:r>
          </w:p>
        </w:tc>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0"/>
        </w:trPr>
        <w:tc>
          <w:tcPr>
            <w:tcW w:w="6460" w:type="dxa"/>
            <w:vAlign w:val="bottom"/>
          </w:tcPr>
          <w:p>
            <w:pPr>
              <w:spacing w:after="0"/>
              <w:rPr>
                <w:sz w:val="24"/>
                <w:szCs w:val="24"/>
                <w:color w:val="auto"/>
              </w:rPr>
            </w:pPr>
          </w:p>
        </w:tc>
        <w:tc>
          <w:tcPr>
            <w:tcW w:w="36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16"/>
        </w:trPr>
        <w:tc>
          <w:tcPr>
            <w:tcW w:w="6460" w:type="dxa"/>
            <w:vAlign w:val="bottom"/>
          </w:tcPr>
          <w:p>
            <w:pPr>
              <w:spacing w:after="0"/>
              <w:rPr>
                <w:sz w:val="18"/>
                <w:szCs w:val="18"/>
                <w:color w:val="auto"/>
              </w:rPr>
            </w:pPr>
          </w:p>
        </w:tc>
        <w:tc>
          <w:tcPr>
            <w:tcW w:w="36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38"/>
        </w:trPr>
        <w:tc>
          <w:tcPr>
            <w:tcW w:w="6460" w:type="dxa"/>
            <w:vAlign w:val="bottom"/>
          </w:tcPr>
          <w:p>
            <w:pPr>
              <w:spacing w:after="0"/>
              <w:rPr>
                <w:sz w:val="20"/>
                <w:szCs w:val="20"/>
                <w:color w:val="auto"/>
              </w:rPr>
            </w:pPr>
          </w:p>
        </w:tc>
        <w:tc>
          <w:tcPr>
            <w:tcW w:w="24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64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40" w:type="dxa"/>
            <w:vAlign w:val="bottom"/>
            <w:shd w:val="clear" w:color="auto" w:fill="E5FF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$ 117,829</w:t>
            </w:r>
          </w:p>
        </w:tc>
        <w:tc>
          <w:tcPr>
            <w:tcW w:w="5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64,192</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$(87,691)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$(72,860)</w:t>
            </w:r>
          </w:p>
        </w:tc>
      </w:tr>
      <w:tr>
        <w:trPr>
          <w:trHeight w:val="216"/>
        </w:trPr>
        <w:tc>
          <w:tcPr>
            <w:tcW w:w="64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40" w:type="dxa"/>
            <w:vAlign w:val="bottom"/>
            <w:shd w:val="clear" w:color="auto" w:fill="E5FFFF"/>
          </w:tcPr>
          <w:p>
            <w:pPr>
              <w:jc w:val="center"/>
              <w:ind w:left="1230"/>
              <w:spacing w:after="0"/>
              <w:rPr>
                <w:sz w:val="20"/>
                <w:szCs w:val="20"/>
                <w:color w:val="auto"/>
              </w:rPr>
            </w:pPr>
            <w:r>
              <w:rPr>
                <w:rFonts w:ascii="Times New Roman" w:cs="Times New Roman" w:eastAsia="Times New Roman" w:hAnsi="Times New Roman"/>
                <w:sz w:val="18"/>
                <w:szCs w:val="18"/>
                <w:color w:val="auto"/>
              </w:rPr>
              <w:t>$(37,659)</w:t>
            </w:r>
          </w:p>
        </w:tc>
        <w:tc>
          <w:tcPr>
            <w:tcW w:w="12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$(18,474)</w:t>
            </w:r>
          </w:p>
        </w:tc>
      </w:tr>
      <w:tr>
        <w:trPr>
          <w:trHeight w:val="410"/>
        </w:trPr>
        <w:tc>
          <w:tcPr>
            <w:tcW w:w="6460" w:type="dxa"/>
            <w:vAlign w:val="bottom"/>
          </w:tcPr>
          <w:p>
            <w:pPr>
              <w:spacing w:after="0"/>
              <w:rPr>
                <w:sz w:val="24"/>
                <w:szCs w:val="24"/>
                <w:color w:val="auto"/>
              </w:rPr>
            </w:pPr>
          </w:p>
        </w:tc>
        <w:tc>
          <w:tcPr>
            <w:tcW w:w="24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r>
      <w:tr>
        <w:trPr>
          <w:trHeight w:val="220"/>
        </w:trPr>
        <w:tc>
          <w:tcPr>
            <w:tcW w:w="6460" w:type="dxa"/>
            <w:vAlign w:val="bottom"/>
          </w:tcPr>
          <w:p>
            <w:pPr>
              <w:spacing w:after="0"/>
              <w:rPr>
                <w:sz w:val="19"/>
                <w:szCs w:val="19"/>
                <w:color w:val="auto"/>
              </w:rPr>
            </w:pPr>
          </w:p>
        </w:tc>
        <w:tc>
          <w:tcPr>
            <w:tcW w:w="2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372,451</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385,376</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ratio</w:t>
            </w:r>
          </w:p>
        </w:tc>
        <w:tc>
          <w:tcPr>
            <w:tcW w:w="2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5.9x</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8.6x</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Resources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January 31, 2026, working capital was $372.5 million with a current ratio of 5.9x. Our cash and short-term investments balance of approximately $375.8 million at January 31, 2026 included approximately $336.5 million held by One Earth and NuGen. We expect that One Earth and NuGen will use a majority of their cash for working capital needs, capital expenditures, general corporate purposes and dividend payments. We expect our equity method investee to limit the payment of dividends based upon their working capital and capital expenditure needs, as well as restricting dividends pursuant to the terms of various loan agreements. None of our consolidated subsidiaries or the parent company have restricted net assets related to loan agreements at January 31, 2026.</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investigating various uses of our excess cash We expect total capital expenditures related to the construction at the One Earth facilities to approximate $220 million to $230 million, inclusive of the carbon sequestration project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plant capacity expansion and ongoing efforts to reduce CI scoring, which we currently plan to pay from our available cash. This estimate is subject to further refinement as the projects progress. As of January 31, 2026, we had spent $58.4 million since inception and were contractually committed to spend an additional $0.6 million toward the carbon sequestration project. As of January 31, 2026, we had spent $107.6 million since inception and were contractually committed to spend an additional $15.5 million toward plant capacity expansion and CI scoring reduction efforts. For all projects, we plan to spend $70 million to $80 million during fiscal year 2026.</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stock buyback program in place. On March 25, 2025, the Board of Directors authorized the repurchase from time to time of up to an additional 3,000,000 shares through open market transactions, privately negotiated transactions, or transactions by other means in accordance with applicable securities laws. During fiscal year 2025, we purchased 1,651,252 shares for $32.9 million. After these repurchases, a total of 2,357,186 shares remained available to purchase under existing board authorization at January 31, 2026. Repurchases are generally made when management deems the shares are trading at a discount to intrinsic value.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plan to seek and evaluate various investment opportunities including ethanol and/or energy related, carbon sequestration related, agricultural or other ventures we believe fit our investment criteria.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$117.8 million for fiscal 2025, compared to $64.2 million for the prior year period.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cash flows for the year ended January 31, 2026 reflected net income of $95.1 million and non-cash adjustments of $6.8 million, consisting of depreciation, noncash operating lease expense, amortization of finance right-of-use asset, income from equity method investments, interest income from short-term investments, the deferred income tax provision, stock-based compensation expense, and loss on disposal of property and equipment. Additionally, Big River paid dividends of approximately $10.5 million during fiscal year 2025. In addition, changes to working capital of $5.5 million increased cash during fiscal 2025, most significantly including:</w:t>
      </w:r>
    </w:p>
    <w:p>
      <w:pPr>
        <w:spacing w:after="0" w:line="183" w:lineRule="exact"/>
        <w:rPr>
          <w:sz w:val="20"/>
          <w:szCs w:val="20"/>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of $8.4 million due to a increase in accounts payable, primarily related to the timing of inventory receipts and vendor payments</w:t>
      </w:r>
    </w:p>
    <w:p>
      <w:pPr>
        <w:spacing w:after="0" w:line="27" w:lineRule="exact"/>
        <w:rPr>
          <w:rFonts w:ascii="Times New Roman" w:cs="Times New Roman" w:eastAsia="Times New Roman" w:hAnsi="Times New Roman"/>
          <w:sz w:val="18"/>
          <w:szCs w:val="18"/>
          <w:color w:val="auto"/>
        </w:rPr>
      </w:pPr>
    </w:p>
    <w:p>
      <w:pPr>
        <w:ind w:left="580" w:right="20" w:hanging="329"/>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of $6.8 million from the decrease in accounts receivable as a result of the timing of products shipping and the receipt of customer payments at our consolidated ethanol plants</w:t>
      </w: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of approximately $3.3 million from the decrease of inventory balances during the period</w:t>
      </w:r>
    </w:p>
    <w:p>
      <w:pPr>
        <w:spacing w:after="0" w:line="9" w:lineRule="exact"/>
        <w:rPr>
          <w:rFonts w:ascii="Times New Roman" w:cs="Times New Roman" w:eastAsia="Times New Roman" w:hAnsi="Times New Roman"/>
          <w:sz w:val="18"/>
          <w:szCs w:val="18"/>
          <w:color w:val="auto"/>
        </w:rPr>
      </w:pPr>
    </w:p>
    <w:p>
      <w:pPr>
        <w:jc w:val="both"/>
        <w:ind w:left="580" w:hanging="329"/>
        <w:spacing w:after="0" w:line="250"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of approximately $10.3 million from both the increase in income tax refundable and the decrease in long-term taxes payable as a result of the timing of estimated tax payments, payments made through dividend payment withholdings from our ethanol subsidiaries and the impact of the effective settlement of the uncertain tax positions related to the research and experimentation credits audited by the IRS</w:t>
      </w:r>
    </w:p>
    <w:p>
      <w:pPr>
        <w:spacing w:after="0" w:line="1" w:lineRule="exact"/>
        <w:rPr>
          <w:rFonts w:ascii="Times New Roman" w:cs="Times New Roman" w:eastAsia="Times New Roman" w:hAnsi="Times New Roman"/>
          <w:sz w:val="18"/>
          <w:szCs w:val="18"/>
          <w:color w:val="auto"/>
        </w:rPr>
      </w:pPr>
    </w:p>
    <w:p>
      <w:pPr>
        <w:jc w:val="both"/>
        <w:ind w:left="580" w:hanging="329"/>
        <w:spacing w:after="0" w:line="253"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of approximately $2.5 million from the decrease in accrued expenses and other liabilities as a result a reduction in the lease liabilities from payments made during the year of approximately $6.1 million , offset partially by the accrual of expenses for prevailing wages and EACs of approximately $1.8 million as part of the recognition of 45Z tax credits, an increase in the accrual of the 2025 incentive bonuses to be paid in 2026 of approximately $1.5 million, and an increase in accrued utilities of approximately $0.8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2024, operating cash flow reflected net income of $71.5 million and non-cash adjustments of $20.2 million. Additionally, Big River paid dividends of approximately $8.5 million during fiscal year 2024. These inflows were partially offset by various changes to working capital of approximately $36.1 million, most significantly caused by:</w:t>
      </w:r>
    </w:p>
    <w:p>
      <w:pPr>
        <w:spacing w:after="0" w:line="176" w:lineRule="exact"/>
        <w:rPr>
          <w:sz w:val="20"/>
          <w:szCs w:val="20"/>
          <w:color w:val="auto"/>
        </w:rPr>
      </w:pPr>
    </w:p>
    <w:p>
      <w:pPr>
        <w:jc w:val="both"/>
        <w:ind w:left="580" w:hanging="329"/>
        <w:spacing w:after="0" w:line="257"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of approximately $14.9 million due to the increase in the balance of prepaid expenses and other assets primarily related to prepayments on certain executed lease agreements, offset by a decrease in property taxes refundable due to the timing of payments, and decreases in spare parts inventory</w:t>
      </w:r>
    </w:p>
    <w:p>
      <w:pPr>
        <w:spacing w:after="0" w:line="1" w:lineRule="exact"/>
        <w:rPr>
          <w:rFonts w:ascii="Times New Roman" w:cs="Times New Roman" w:eastAsia="Times New Roman" w:hAnsi="Times New Roman"/>
          <w:sz w:val="18"/>
          <w:szCs w:val="18"/>
          <w:color w:val="auto"/>
        </w:rPr>
      </w:pPr>
    </w:p>
    <w:p>
      <w:pPr>
        <w:ind w:left="580" w:right="20" w:hanging="329"/>
        <w:spacing w:after="0" w:line="26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of approximately $14.7 million due to a decrease in accounts payable, primarily related to the timing of inventory receipts and vendor payments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580" w:hanging="329"/>
        <w:spacing w:after="0" w:line="261"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of approximately $7.0 million from the decrease in accrued expense and other liabilities as a result of operating lease payments of approximately $5.5 million, a decrease in accrued payroll and related items of $0.4 million, and other decreases of approximately $1.1 million</w:t>
      </w: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of approximately $4.7 million from the increase of inventory balances during the period</w:t>
      </w:r>
    </w:p>
    <w:p>
      <w:pPr>
        <w:spacing w:after="0" w:line="9" w:lineRule="exact"/>
        <w:rPr>
          <w:rFonts w:ascii="Times New Roman" w:cs="Times New Roman" w:eastAsia="Times New Roman" w:hAnsi="Times New Roman"/>
          <w:sz w:val="18"/>
          <w:szCs w:val="18"/>
          <w:color w:val="auto"/>
        </w:rPr>
      </w:pPr>
    </w:p>
    <w:p>
      <w:pPr>
        <w:ind w:left="580" w:hanging="329"/>
        <w:spacing w:after="0" w:line="260"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of approximately $4.3 million to reflect the increase in long-term taxes payable by the amount the recorded uncertain tax positions exceeded the remaining unused credits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by investing activities was $87.7 million in fiscal 2025 versus $72.9 million in fiscal 2024. In fiscal 2025, capital expenditures totaled $68.4 million, primarily at One Earth, which includes plant expansion and CI reduction projects ($43.7 million) and carbon sequestration ($3.0 million). Our two consolidated ethanol plants had a combined $21.7 million in capital expenditures during fiscal 2025 that were not included in the plant expansion, CI reduction, or carbon sequestration projects. Treasury activity used net cash, as purchases of $296.4 million exceeded $277.0 million of maturities.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2024, capital expenditures were $71.3 million, primarily at One Earth, which includes plant expansion and CI reduction projects ($34.9 million) and carbon sequestration ($26.6 million). Treasury activity used net cash, as purchases of $372.3 million were partially offset by $370.4 million of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approximately $37.7 million during fiscal year 2025 compared to approximately $18.5 million for fiscal year 2024. During fiscal year 2025, we purchased approximately 1,651,000 shares of our common stock for approximately $32.9 million in open market transactions. During fiscal year 2025, we also used cash of approximately $4.1 million to purchase shares from and pay dividends to noncontrolling members of the consolidated entities and approximately $0.2 million for finance lease payments.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approximately $18.5 million during fiscal year 2024, which was used to purchase approximately 745,000 shares of our common stock for approximately $15.5 million in open market transactions, of which $0.8 million was paid subsequent to January 31, 2025. During fiscal year 2024, we used cash of approximately $3.7 million to purchases shares from and pay dividends to noncontrolling members of the consolidated entities.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forecasts, which are primarily based on estimates of plant production, prices of ethanol, corn, distillers grains, distillers corn oil and natural gas as well as other assumptions, management believes that cash flow from operating activities together with working capital will be sufficient to meet One Earth’s and NuGen’s respective liquidity needs. However, if a material adverse change in the financial position of One Earth or NuGen should occur, or if actual sales or expenses are substantially different than what has been forecasted, One Earth’s and NuGen’s liquidity, and ability to fund future operating and capital requirements could be negatively impacted.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2.4% of our net assets are restricted pursuant to the terms of various loan agreements of Big River, our equity method investee, as of January 31, 2026. None of our consolidated subsidiaries or the parent company have restricted net assets related to loan agreements at January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under which we are legally obligated to make future cash payments. These agreements include obligations related to purchasing inventory and natural gas and leasing rail cars. Aggregate minimum lease payments under the operating lease agreements for future fiscal years as of January 31, 2026 totaled $20.0 million, with $7.7 million payable in the next twelve months. Aggregate minimum lease payments under the finance lease agreements for future fiscal years as of January 31, 2026 totaled $4.3 million, with $0.5 million payable in the next twelve months. Refer to Note 7 – Leases included in the notes to consolidated financial statements for more information. As of January 31, 2026, we had contracted future payments for purchases of corn and natural gas, a natural gas pipeline lease, and other contracts for capital expenditures at our ethanol plants valued at approximately $123.0 million, with $108.3 million payable in the next twelve months. Refer to Note 11 – Commitments included in the notes to consolidated financial statements for more information.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Seasonality and Quarterly Fluctuations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directly affected by the supply and demand for ethanol. The demand for ethanol typically increases during the spring and summer months and during holiday travel.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application of the following accounting policies, which are important to our financial position and results of operations, require significant assumptions, judgments and estimates on the part of management. We base our assumptions, judgments, and estimates on historical experience, current trends and other factors that management believes to be relevant at the time our consolidated financial statements are prepared. On a regular basis, management reviews the accounting policies, assumptions, estimates and judgments to ensure that our financial statements are presented in accordance with generally accepted accounting principles (GAAP). However, because future events and their effects cannot be determined with certainty, actual results could differ from our assumptions and estimates, and such differences could be material. Further, if different assumptions, judgments and estimates had been used, the results could have been different and such differences could be material. For a summary of all of our accounting policies, including the accounting policies discussed below, see Note 1 to the Consolidated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the following accounting policies are the most critical to aid in fully understanding and evaluating our reported financial results, and they require management’s most difficult, subjective, or complex judgments, resulting from the need to make estimates about the effect of matters that are inherently uncertain.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We recognize sales of ethanol, distillers grains and distillers corn oil when obligations under the terms of the respective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customers are satisfied; this occurs with the transfer of control of products, generally upon shipment from the ethanol plant or upon loading of the rail car used to transport the products.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 We review our long-lived assets, consisting of property and equipment, equity method investments and operating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right-of-use assets, for impairment whenever events or changes in circumstances indicate the carrying amount of the asset may not be recoverable. We assess long-lived assets for impairment by first determining the forecasted, undiscounted cash flows the asset group is expected to generate. If this total is less than the carrying value of the asset, we will then determine the fair value of the asset group. An impairment loss would be recognized in the amount by which the carrying amount of the asset exceeded the fair value of the asset. Significant management judgement is required to determine the fair value of long-lived assets, which includes discounted cash flows. Such estimates could be significantly affected by future changes in market conditions. We recorded no impairment charges in fiscal year 2025, 2024, and 2023.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Income taxes are recorded based on the current year amounts payable or refundable, as well as the consequences of events that give rise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tax assets and liabilities based on differences in how those events are treated for tax purposes, net of valuation allowances. We base our estimate of deferred tax assets and liabilities on current tax laws and rates and other expectations about future outcomes. Changes in existing regulatory tax laws and rates and future business results may affect the amount of deferred tax liabilities or the valuation of deferred tax assets over time. We have established valuation allowances for certain state net operating loss carryforwards. We assessed all available positive and negative evidence to determine whether we expect sufficient future taxable income will be generated to allow for the realization of existing federal deferred tax assets. We believe there is sufficient objectively verifiable income for management to conclude that it is more likely than not that the Company will utilize available federal deferred tax assets prior to their expiration. However, realization of these deferred tax assets is not certain. Changes in our current estimates for factors such as unanticipated market conditions and legislative developments could have a material effect on our ability to utilize deferred tax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related to recent accounting pronouncements, see Note 1 of the Notes to the Consolidated Financial Statements.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impact of market fluctuations associated with commodity prices as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manage a portion of our risk with respect to the volatility of commodity prices inherent in the ethanol industry by using forward purchase and sale contracts. At January 31, 2026, One Earth and NuGen combined had purchase commitments for approximately 18.4 million bushels of corn, the principal raw material for their ethanol plants. At January 31, 2026, One Earth and NuGen combined had purchase commitments for approximately 1.7 million MmBtu of natural gas. At January 31, 2026, One Earth and NuGen had combined sales commitments for approximately 54.8 million gallons of ethanol, 107,000 tons of distillers grains and 17.0 million pounds of distillers corn oil. Not all of our commitments are at fixed price. Our exposures to market risk, which include the impact of our risk management activities, are based on the estimated effect on pre-tax income starting on January 31, 2026, are as follows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Estimated Total</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Decrease in Pre-tax</w:t>
            </w:r>
          </w:p>
        </w:tc>
        <w:tc>
          <w:tcPr>
            <w:tcW w:w="3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Volume for the</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Income From a 10%</w:t>
            </w:r>
          </w:p>
        </w:tc>
        <w:tc>
          <w:tcPr>
            <w:tcW w:w="340" w:type="dxa"/>
            <w:vAlign w:val="bottom"/>
          </w:tcPr>
          <w:p>
            <w:pPr>
              <w:spacing w:after="0"/>
              <w:rPr>
                <w:sz w:val="18"/>
                <w:szCs w:val="18"/>
                <w:color w:val="auto"/>
              </w:rPr>
            </w:pPr>
          </w:p>
        </w:tc>
      </w:tr>
      <w:tr>
        <w:trPr>
          <w:trHeight w:val="198"/>
        </w:trPr>
        <w:tc>
          <w:tcPr>
            <w:tcW w:w="3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Commodity</w:t>
            </w:r>
          </w:p>
        </w:tc>
        <w:tc>
          <w:tcPr>
            <w:tcW w:w="3420" w:type="dxa"/>
            <w:vAlign w:val="bottom"/>
            <w:gridSpan w:val="3"/>
          </w:tcPr>
          <w:p>
            <w:pPr>
              <w:jc w:val="right"/>
              <w:ind w:right="320"/>
              <w:spacing w:after="0" w:line="198" w:lineRule="exact"/>
              <w:rPr>
                <w:sz w:val="20"/>
                <w:szCs w:val="20"/>
                <w:color w:val="auto"/>
              </w:rPr>
            </w:pPr>
            <w:r>
              <w:rPr>
                <w:rFonts w:ascii="Times New Roman" w:cs="Times New Roman" w:eastAsia="Times New Roman" w:hAnsi="Times New Roman"/>
                <w:sz w:val="18"/>
                <w:szCs w:val="18"/>
                <w:b w:val="1"/>
                <w:bCs w:val="1"/>
                <w:color w:val="auto"/>
              </w:rPr>
              <w:t>Next 12 Months</w:t>
            </w:r>
          </w:p>
        </w:tc>
        <w:tc>
          <w:tcPr>
            <w:tcW w:w="2260" w:type="dxa"/>
            <w:vAlign w:val="bottom"/>
            <w:gridSpan w:val="3"/>
          </w:tcPr>
          <w:p>
            <w:pPr>
              <w:jc w:val="right"/>
              <w:ind w:right="720"/>
              <w:spacing w:after="0" w:line="198" w:lineRule="exact"/>
              <w:rPr>
                <w:sz w:val="20"/>
                <w:szCs w:val="20"/>
                <w:color w:val="auto"/>
              </w:rPr>
            </w:pPr>
            <w:r>
              <w:rPr>
                <w:rFonts w:ascii="Times New Roman" w:cs="Times New Roman" w:eastAsia="Times New Roman" w:hAnsi="Times New Roman"/>
                <w:sz w:val="18"/>
                <w:szCs w:val="18"/>
                <w:b w:val="1"/>
                <w:bCs w:val="1"/>
                <w:color w:val="auto"/>
              </w:rPr>
              <w:t>Unit of Measure</w:t>
            </w:r>
          </w:p>
        </w:tc>
        <w:tc>
          <w:tcPr>
            <w:tcW w:w="200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Adverse Change in Price</w:t>
            </w:r>
          </w:p>
        </w:tc>
        <w:tc>
          <w:tcPr>
            <w:tcW w:w="340" w:type="dxa"/>
            <w:vAlign w:val="bottom"/>
          </w:tcPr>
          <w:p>
            <w:pPr>
              <w:spacing w:after="0"/>
              <w:rPr>
                <w:sz w:val="17"/>
                <w:szCs w:val="17"/>
                <w:color w:val="auto"/>
              </w:rPr>
            </w:pPr>
          </w:p>
        </w:tc>
      </w:tr>
      <w:tr>
        <w:trPr>
          <w:trHeight w:val="236"/>
        </w:trPr>
        <w:tc>
          <w:tcPr>
            <w:tcW w:w="920" w:type="dxa"/>
            <w:vAlign w:val="bottom"/>
            <w:tcBorders>
              <w:top w:val="single" w:sz="8" w:color="auto"/>
            </w:tcBorders>
          </w:tcPr>
          <w:p>
            <w:pPr>
              <w:spacing w:after="0"/>
              <w:rPr>
                <w:sz w:val="20"/>
                <w:szCs w:val="20"/>
                <w:color w:val="auto"/>
              </w:rPr>
            </w:pPr>
          </w:p>
        </w:tc>
        <w:tc>
          <w:tcPr>
            <w:tcW w:w="2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322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w:t>
            </w:r>
          </w:p>
        </w:tc>
        <w:tc>
          <w:tcPr>
            <w:tcW w:w="31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308,000</w:t>
            </w:r>
          </w:p>
        </w:tc>
        <w:tc>
          <w:tcPr>
            <w:tcW w:w="3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720"/>
              <w:spacing w:after="0"/>
              <w:rPr>
                <w:sz w:val="20"/>
                <w:szCs w:val="20"/>
                <w:color w:val="auto"/>
              </w:rPr>
            </w:pPr>
            <w:r>
              <w:rPr>
                <w:rFonts w:ascii="Times New Roman" w:cs="Times New Roman" w:eastAsia="Times New Roman" w:hAnsi="Times New Roman"/>
                <w:sz w:val="18"/>
                <w:szCs w:val="18"/>
                <w:color w:val="auto"/>
              </w:rPr>
              <w:t>Gallons</w:t>
            </w:r>
          </w:p>
        </w:tc>
        <w:tc>
          <w:tcPr>
            <w:tcW w:w="1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48,936</w:t>
            </w:r>
          </w:p>
        </w:tc>
        <w:tc>
          <w:tcPr>
            <w:tcW w:w="340" w:type="dxa"/>
            <w:vAlign w:val="bottom"/>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Corn</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Bushels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41,199</w:t>
            </w:r>
          </w:p>
        </w:tc>
        <w:tc>
          <w:tcPr>
            <w:tcW w:w="340" w:type="dxa"/>
            <w:vAlign w:val="bottom"/>
          </w:tcPr>
          <w:p>
            <w:pPr>
              <w:spacing w:after="0"/>
              <w:rPr>
                <w:sz w:val="18"/>
                <w:szCs w:val="18"/>
                <w:color w:val="auto"/>
              </w:rPr>
            </w:pPr>
          </w:p>
        </w:tc>
      </w:tr>
      <w:tr>
        <w:trPr>
          <w:trHeight w:val="216"/>
        </w:trPr>
        <w:tc>
          <w:tcPr>
            <w:tcW w:w="322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Distillers Grains</w:t>
            </w:r>
          </w:p>
        </w:tc>
        <w:tc>
          <w:tcPr>
            <w:tcW w:w="31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720"/>
              <w:spacing w:after="0"/>
              <w:rPr>
                <w:sz w:val="20"/>
                <w:szCs w:val="20"/>
                <w:color w:val="auto"/>
              </w:rPr>
            </w:pPr>
            <w:r>
              <w:rPr>
                <w:rFonts w:ascii="Times New Roman" w:cs="Times New Roman" w:eastAsia="Times New Roman" w:hAnsi="Times New Roman"/>
                <w:sz w:val="18"/>
                <w:szCs w:val="18"/>
                <w:color w:val="auto"/>
              </w:rPr>
              <w:t>Tons</w:t>
            </w:r>
          </w:p>
        </w:tc>
        <w:tc>
          <w:tcPr>
            <w:tcW w:w="1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8,500</w:t>
            </w:r>
          </w:p>
        </w:tc>
        <w:tc>
          <w:tcPr>
            <w:tcW w:w="340" w:type="dxa"/>
            <w:vAlign w:val="bottom"/>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Distillers Corn Oil</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Pounds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4,430</w:t>
            </w:r>
          </w:p>
        </w:tc>
        <w:tc>
          <w:tcPr>
            <w:tcW w:w="340" w:type="dxa"/>
            <w:vAlign w:val="bottom"/>
          </w:tcPr>
          <w:p>
            <w:pPr>
              <w:spacing w:after="0"/>
              <w:rPr>
                <w:sz w:val="18"/>
                <w:szCs w:val="18"/>
                <w:color w:val="auto"/>
              </w:rPr>
            </w:pPr>
          </w:p>
        </w:tc>
      </w:tr>
      <w:tr>
        <w:trPr>
          <w:trHeight w:val="216"/>
        </w:trPr>
        <w:tc>
          <w:tcPr>
            <w:tcW w:w="322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31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3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960" w:type="dxa"/>
            <w:vAlign w:val="bottom"/>
            <w:gridSpan w:val="2"/>
            <w:shd w:val="clear" w:color="auto" w:fill="E5FFFF"/>
          </w:tcPr>
          <w:p>
            <w:pPr>
              <w:jc w:val="right"/>
              <w:ind w:right="720"/>
              <w:spacing w:after="0"/>
              <w:rPr>
                <w:sz w:val="20"/>
                <w:szCs w:val="20"/>
                <w:color w:val="auto"/>
              </w:rPr>
            </w:pPr>
            <w:r>
              <w:rPr>
                <w:rFonts w:ascii="Times New Roman" w:cs="Times New Roman" w:eastAsia="Times New Roman" w:hAnsi="Times New Roman"/>
                <w:sz w:val="18"/>
                <w:szCs w:val="18"/>
                <w:color w:val="auto"/>
              </w:rPr>
              <w:t>MmBtu</w:t>
            </w:r>
          </w:p>
        </w:tc>
        <w:tc>
          <w:tcPr>
            <w:tcW w:w="13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c>
          <w:tcPr>
            <w:tcW w:w="340" w:type="dxa"/>
            <w:vAlign w:val="bottom"/>
          </w:tcPr>
          <w:p>
            <w:pPr>
              <w:spacing w:after="0"/>
              <w:rPr>
                <w:sz w:val="18"/>
                <w:szCs w:val="18"/>
                <w:color w:val="auto"/>
              </w:rPr>
            </w:pPr>
          </w:p>
        </w:tc>
      </w:tr>
      <w:tr>
        <w:trPr>
          <w:trHeight w:val="392"/>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0"/>
        </w:trPr>
        <w:tc>
          <w:tcPr>
            <w:tcW w:w="920" w:type="dxa"/>
            <w:vAlign w:val="bottom"/>
            <w:tcBorders>
              <w:bottom w:val="single" w:sz="8" w:color="C0C0C0"/>
            </w:tcBorders>
          </w:tcPr>
          <w:p>
            <w:pPr>
              <w:spacing w:after="0"/>
              <w:rPr>
                <w:sz w:val="21"/>
                <w:szCs w:val="21"/>
                <w:color w:val="auto"/>
              </w:rPr>
            </w:pPr>
          </w:p>
        </w:tc>
        <w:tc>
          <w:tcPr>
            <w:tcW w:w="2300" w:type="dxa"/>
            <w:vAlign w:val="bottom"/>
            <w:tcBorders>
              <w:bottom w:val="single" w:sz="8" w:color="C0C0C0"/>
            </w:tcBorders>
          </w:tcPr>
          <w:p>
            <w:pPr>
              <w:spacing w:after="0"/>
              <w:rPr>
                <w:sz w:val="21"/>
                <w:szCs w:val="21"/>
                <w:color w:val="auto"/>
              </w:rPr>
            </w:pPr>
          </w:p>
        </w:tc>
        <w:tc>
          <w:tcPr>
            <w:tcW w:w="1880" w:type="dxa"/>
            <w:vAlign w:val="bottom"/>
            <w:tcBorders>
              <w:bottom w:val="single" w:sz="8" w:color="C0C0C0"/>
            </w:tcBorders>
          </w:tcPr>
          <w:p>
            <w:pPr>
              <w:spacing w:after="0"/>
              <w:rPr>
                <w:sz w:val="21"/>
                <w:szCs w:val="21"/>
                <w:color w:val="auto"/>
              </w:rPr>
            </w:pPr>
          </w:p>
        </w:tc>
        <w:tc>
          <w:tcPr>
            <w:tcW w:w="122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720" w:type="dxa"/>
            <w:vAlign w:val="bottom"/>
            <w:tcBorders>
              <w:bottom w:val="single" w:sz="8" w:color="C0C0C0"/>
            </w:tcBorders>
          </w:tcPr>
          <w:p>
            <w:pPr>
              <w:spacing w:after="0"/>
              <w:rPr>
                <w:sz w:val="21"/>
                <w:szCs w:val="21"/>
                <w:color w:val="auto"/>
              </w:rPr>
            </w:pPr>
          </w:p>
        </w:tc>
        <w:tc>
          <w:tcPr>
            <w:tcW w:w="1380" w:type="dxa"/>
            <w:vAlign w:val="bottom"/>
            <w:tcBorders>
              <w:bottom w:val="single" w:sz="8" w:color="C0C0C0"/>
            </w:tcBorders>
          </w:tcPr>
          <w:p>
            <w:pPr>
              <w:spacing w:after="0"/>
              <w:rPr>
                <w:sz w:val="21"/>
                <w:szCs w:val="21"/>
                <w:color w:val="auto"/>
              </w:rPr>
            </w:pPr>
          </w:p>
        </w:tc>
        <w:tc>
          <w:tcPr>
            <w:tcW w:w="5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17" w:right="339" w:bottom="1440" w:gutter="0" w:footer="0" w:header="0"/>
        </w:sectPr>
      </w:pPr>
    </w:p>
    <w:bookmarkStart w:id="33" w:name="page34"/>
    <w:bookmarkEnd w:id="33"/>
    <w:p>
      <w:pPr>
        <w:spacing w:after="0"/>
        <w:tabs>
          <w:tab w:leader="none" w:pos="760" w:val="left"/>
        </w:tabs>
        <w:rPr>
          <w:sz w:val="20"/>
          <w:szCs w:val="20"/>
          <w:color w:val="auto"/>
        </w:rPr>
      </w:pPr>
      <w:r>
        <w:rPr>
          <w:rFonts w:ascii="Times New Roman" w:cs="Times New Roman" w:eastAsia="Times New Roman" w:hAnsi="Times New Roman"/>
          <w:sz w:val="18"/>
          <w:szCs w:val="18"/>
          <w:b w:val="1"/>
          <w:bCs w:val="1"/>
          <w:u w:val="single" w:color="auto"/>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Supplementary Data</w:t>
      </w:r>
    </w:p>
    <w:p>
      <w:pPr>
        <w:spacing w:after="0" w:line="31" w:lineRule="exact"/>
        <w:rPr>
          <w:sz w:val="20"/>
          <w:szCs w:val="20"/>
          <w:color w:val="auto"/>
        </w:rPr>
      </w:pPr>
    </w:p>
    <w:p>
      <w:pPr>
        <w:ind w:right="5500"/>
        <w:spacing w:after="0" w:line="255"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BALANCE SHEETS (Amounts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0"/>
        </w:trPr>
        <w:tc>
          <w:tcPr>
            <w:tcW w:w="93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tcBorders>
              <w:right w:val="single" w:sz="8" w:color="E5FFFF"/>
            </w:tcBorders>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tcBorders>
              <w:right w:val="single" w:sz="8" w:color="E5FFFF"/>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w w:val="99"/>
              </w:rPr>
              <w:t>188,734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9"/>
              </w:rPr>
              <w:t>196,255</w:t>
            </w:r>
          </w:p>
        </w:tc>
        <w:tc>
          <w:tcPr>
            <w:tcW w:w="0" w:type="dxa"/>
            <w:vAlign w:val="bottom"/>
          </w:tcPr>
          <w:p>
            <w:pPr>
              <w:spacing w:after="0"/>
              <w:rPr>
                <w:sz w:val="1"/>
                <w:szCs w:val="1"/>
                <w:color w:val="auto"/>
              </w:rPr>
            </w:pPr>
          </w:p>
        </w:tc>
      </w:tr>
      <w:tr>
        <w:trPr>
          <w:trHeight w:val="216"/>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187,048</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162,820</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14,682</w:t>
            </w:r>
          </w:p>
        </w:tc>
        <w:tc>
          <w:tcPr>
            <w:tcW w:w="1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21,511</w:t>
            </w:r>
          </w:p>
        </w:tc>
        <w:tc>
          <w:tcPr>
            <w:tcW w:w="0" w:type="dxa"/>
            <w:vAlign w:val="bottom"/>
          </w:tcPr>
          <w:p>
            <w:pPr>
              <w:spacing w:after="0"/>
              <w:rPr>
                <w:sz w:val="1"/>
                <w:szCs w:val="1"/>
                <w:color w:val="auto"/>
              </w:rPr>
            </w:pPr>
          </w:p>
        </w:tc>
      </w:tr>
      <w:tr>
        <w:trPr>
          <w:trHeight w:val="216"/>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28,422</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31,676</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Refundable income taxes</w:t>
            </w:r>
          </w:p>
        </w:tc>
        <w:tc>
          <w:tcPr>
            <w:tcW w:w="100" w:type="dxa"/>
            <w:vAlign w:val="bottom"/>
          </w:tcPr>
          <w:p>
            <w:pPr>
              <w:spacing w:after="0"/>
              <w:rPr>
                <w:sz w:val="18"/>
                <w:szCs w:val="18"/>
                <w:color w:val="auto"/>
              </w:rPr>
            </w:pP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12,374</w:t>
            </w:r>
          </w:p>
        </w:tc>
        <w:tc>
          <w:tcPr>
            <w:tcW w:w="1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6,445</w:t>
            </w:r>
          </w:p>
        </w:tc>
        <w:tc>
          <w:tcPr>
            <w:tcW w:w="0" w:type="dxa"/>
            <w:vAlign w:val="bottom"/>
          </w:tcPr>
          <w:p>
            <w:pPr>
              <w:spacing w:after="0"/>
              <w:rPr>
                <w:sz w:val="1"/>
                <w:szCs w:val="1"/>
                <w:color w:val="auto"/>
              </w:rPr>
            </w:pPr>
          </w:p>
        </w:tc>
      </w:tr>
      <w:tr>
        <w:trPr>
          <w:trHeight w:val="230"/>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shd w:val="clear" w:color="auto" w:fill="E5FFFF"/>
          </w:tcPr>
          <w:p>
            <w:pPr>
              <w:spacing w:after="0"/>
              <w:rPr>
                <w:sz w:val="19"/>
                <w:szCs w:val="19"/>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16,568</w:t>
            </w:r>
          </w:p>
        </w:tc>
        <w:tc>
          <w:tcPr>
            <w:tcW w:w="120" w:type="dxa"/>
            <w:vAlign w:val="bottom"/>
            <w:shd w:val="clear" w:color="auto" w:fill="E5FFFF"/>
          </w:tcPr>
          <w:p>
            <w:pPr>
              <w:spacing w:after="0"/>
              <w:rPr>
                <w:sz w:val="19"/>
                <w:szCs w:val="19"/>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17,112</w:t>
            </w:r>
          </w:p>
        </w:tc>
        <w:tc>
          <w:tcPr>
            <w:tcW w:w="0" w:type="dxa"/>
            <w:vAlign w:val="bottom"/>
          </w:tcPr>
          <w:p>
            <w:pPr>
              <w:spacing w:after="0"/>
              <w:rPr>
                <w:sz w:val="1"/>
                <w:szCs w:val="1"/>
                <w:color w:val="auto"/>
              </w:rPr>
            </w:pPr>
          </w:p>
        </w:tc>
      </w:tr>
      <w:tr>
        <w:trPr>
          <w:trHeight w:val="209"/>
        </w:trPr>
        <w:tc>
          <w:tcPr>
            <w:tcW w:w="9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447,828</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435,819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w w:val="99"/>
              </w:rPr>
              <w:t>272,029</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210,683</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17,594</w:t>
            </w:r>
          </w:p>
        </w:tc>
        <w:tc>
          <w:tcPr>
            <w:tcW w:w="1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20,985</w:t>
            </w:r>
          </w:p>
        </w:tc>
        <w:tc>
          <w:tcPr>
            <w:tcW w:w="0" w:type="dxa"/>
            <w:vAlign w:val="bottom"/>
          </w:tcPr>
          <w:p>
            <w:pPr>
              <w:spacing w:after="0"/>
              <w:rPr>
                <w:sz w:val="1"/>
                <w:szCs w:val="1"/>
                <w:color w:val="auto"/>
              </w:rPr>
            </w:pPr>
          </w:p>
        </w:tc>
      </w:tr>
      <w:tr>
        <w:trPr>
          <w:trHeight w:val="216"/>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17,558</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16,721</w:t>
            </w:r>
          </w:p>
        </w:tc>
        <w:tc>
          <w:tcPr>
            <w:tcW w:w="0" w:type="dxa"/>
            <w:vAlign w:val="bottom"/>
          </w:tcPr>
          <w:p>
            <w:pPr>
              <w:spacing w:after="0"/>
              <w:rPr>
                <w:sz w:val="1"/>
                <w:szCs w:val="1"/>
                <w:color w:val="auto"/>
              </w:rPr>
            </w:pPr>
          </w:p>
        </w:tc>
      </w:tr>
      <w:tr>
        <w:trPr>
          <w:trHeight w:val="229"/>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00" w:type="dxa"/>
            <w:vAlign w:val="bottom"/>
            <w:shd w:val="clear" w:color="auto" w:fill="E5FFFF"/>
          </w:tcPr>
          <w:p>
            <w:pPr>
              <w:spacing w:after="0"/>
              <w:rPr>
                <w:sz w:val="19"/>
                <w:szCs w:val="19"/>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37,759</w:t>
            </w:r>
          </w:p>
        </w:tc>
        <w:tc>
          <w:tcPr>
            <w:tcW w:w="120" w:type="dxa"/>
            <w:vAlign w:val="bottom"/>
            <w:shd w:val="clear" w:color="auto" w:fill="E5FFFF"/>
          </w:tcPr>
          <w:p>
            <w:pPr>
              <w:spacing w:after="0"/>
              <w:rPr>
                <w:sz w:val="19"/>
                <w:szCs w:val="19"/>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63"/>
        </w:trPr>
        <w:tc>
          <w:tcPr>
            <w:tcW w:w="93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797,731</w:t>
            </w:r>
          </w:p>
        </w:tc>
        <w:tc>
          <w:tcPr>
            <w:tcW w:w="420" w:type="dxa"/>
            <w:vAlign w:val="bottom"/>
            <w:tcBorders>
              <w:bottom w:val="single" w:sz="8" w:color="E5FF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720,008</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300" w:type="dxa"/>
            <w:vAlign w:val="bottom"/>
            <w:shd w:val="clear" w:color="auto" w:fill="E5FF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60" w:type="dxa"/>
            <w:vAlign w:val="bottom"/>
            <w:tcBorders>
              <w:right w:val="single" w:sz="8" w:color="E5FFFF"/>
            </w:tcBorders>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tcBorders>
              <w:right w:val="single" w:sz="8" w:color="E5FFFF"/>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30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$1.2 million and $1.4 million with related parties at January 31, 2026 and 2025,</w:t>
            </w:r>
          </w:p>
        </w:tc>
        <w:tc>
          <w:tcPr>
            <w:tcW w:w="1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60" w:type="dxa"/>
            <w:vAlign w:val="bottom"/>
            <w:tcBorders>
              <w:right w:val="single" w:sz="8" w:color="E5FFFF"/>
            </w:tcBorders>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tcBorders>
              <w:right w:val="single" w:sz="8" w:color="E5FFFF"/>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3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38,400</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28,337</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0" w:type="dxa"/>
            <w:vAlign w:val="bottom"/>
          </w:tcPr>
          <w:p>
            <w:pPr>
              <w:spacing w:after="0"/>
              <w:rPr>
                <w:sz w:val="18"/>
                <w:szCs w:val="18"/>
                <w:color w:val="auto"/>
              </w:rPr>
            </w:pP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6,921</w:t>
            </w:r>
          </w:p>
        </w:tc>
        <w:tc>
          <w:tcPr>
            <w:tcW w:w="1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5,746</w:t>
            </w:r>
          </w:p>
        </w:tc>
        <w:tc>
          <w:tcPr>
            <w:tcW w:w="0" w:type="dxa"/>
            <w:vAlign w:val="bottom"/>
          </w:tcPr>
          <w:p>
            <w:pPr>
              <w:spacing w:after="0"/>
              <w:rPr>
                <w:sz w:val="1"/>
                <w:szCs w:val="1"/>
                <w:color w:val="auto"/>
              </w:rPr>
            </w:pPr>
          </w:p>
        </w:tc>
      </w:tr>
      <w:tr>
        <w:trPr>
          <w:trHeight w:val="216"/>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9"/>
                <w:szCs w:val="19"/>
                <w:color w:val="auto"/>
              </w:rPr>
            </w:pP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29,587</w:t>
            </w:r>
          </w:p>
        </w:tc>
        <w:tc>
          <w:tcPr>
            <w:tcW w:w="120" w:type="dxa"/>
            <w:vAlign w:val="bottom"/>
          </w:tcPr>
          <w:p>
            <w:pPr>
              <w:spacing w:after="0"/>
              <w:rPr>
                <w:sz w:val="19"/>
                <w:szCs w:val="19"/>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16,360</w:t>
            </w:r>
          </w:p>
        </w:tc>
        <w:tc>
          <w:tcPr>
            <w:tcW w:w="0" w:type="dxa"/>
            <w:vAlign w:val="bottom"/>
          </w:tcPr>
          <w:p>
            <w:pPr>
              <w:spacing w:after="0"/>
              <w:rPr>
                <w:sz w:val="1"/>
                <w:szCs w:val="1"/>
                <w:color w:val="auto"/>
              </w:rPr>
            </w:pPr>
          </w:p>
        </w:tc>
      </w:tr>
      <w:tr>
        <w:trPr>
          <w:trHeight w:val="209"/>
        </w:trPr>
        <w:tc>
          <w:tcPr>
            <w:tcW w:w="930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75,377</w:t>
            </w:r>
          </w:p>
        </w:tc>
        <w:tc>
          <w:tcPr>
            <w:tcW w:w="4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50,443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tcPr>
          <w:p>
            <w:pPr>
              <w:spacing w:after="0"/>
              <w:rPr>
                <w:sz w:val="18"/>
                <w:szCs w:val="18"/>
                <w:color w:val="auto"/>
              </w:rPr>
            </w:pP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11,148</w:t>
            </w:r>
          </w:p>
        </w:tc>
        <w:tc>
          <w:tcPr>
            <w:tcW w:w="1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15,367</w:t>
            </w:r>
          </w:p>
        </w:tc>
        <w:tc>
          <w:tcPr>
            <w:tcW w:w="0" w:type="dxa"/>
            <w:vAlign w:val="bottom"/>
          </w:tcPr>
          <w:p>
            <w:pPr>
              <w:spacing w:after="0"/>
              <w:rPr>
                <w:sz w:val="1"/>
                <w:szCs w:val="1"/>
                <w:color w:val="auto"/>
              </w:rPr>
            </w:pPr>
          </w:p>
        </w:tc>
      </w:tr>
      <w:tr>
        <w:trPr>
          <w:trHeight w:val="216"/>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100" w:type="dxa"/>
            <w:vAlign w:val="bottom"/>
            <w:shd w:val="clear" w:color="auto" w:fill="E5FFFF"/>
          </w:tcPr>
          <w:p>
            <w:pPr>
              <w:spacing w:after="0"/>
              <w:rPr>
                <w:sz w:val="18"/>
                <w:szCs w:val="18"/>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2,731</w:t>
            </w:r>
          </w:p>
        </w:tc>
        <w:tc>
          <w:tcPr>
            <w:tcW w:w="120" w:type="dxa"/>
            <w:vAlign w:val="bottom"/>
            <w:shd w:val="clear" w:color="auto" w:fill="E5FFFF"/>
          </w:tcPr>
          <w:p>
            <w:pPr>
              <w:spacing w:after="0"/>
              <w:rPr>
                <w:sz w:val="18"/>
                <w:szCs w:val="18"/>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Long-term taxes payable</w:t>
            </w:r>
          </w:p>
        </w:tc>
        <w:tc>
          <w:tcPr>
            <w:tcW w:w="100" w:type="dxa"/>
            <w:vAlign w:val="bottom"/>
          </w:tcPr>
          <w:p>
            <w:pPr>
              <w:spacing w:after="0"/>
              <w:rPr>
                <w:sz w:val="18"/>
                <w:szCs w:val="18"/>
                <w:color w:val="auto"/>
              </w:rPr>
            </w:pP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30"/>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E5FFFF"/>
          </w:tcPr>
          <w:p>
            <w:pPr>
              <w:spacing w:after="0"/>
              <w:rPr>
                <w:sz w:val="19"/>
                <w:szCs w:val="19"/>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2,405</w:t>
            </w:r>
          </w:p>
        </w:tc>
        <w:tc>
          <w:tcPr>
            <w:tcW w:w="120" w:type="dxa"/>
            <w:vAlign w:val="bottom"/>
            <w:shd w:val="clear" w:color="auto" w:fill="E5FFFF"/>
          </w:tcPr>
          <w:p>
            <w:pPr>
              <w:spacing w:after="0"/>
              <w:rPr>
                <w:sz w:val="19"/>
                <w:szCs w:val="19"/>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09"/>
        </w:trPr>
        <w:tc>
          <w:tcPr>
            <w:tcW w:w="930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20,349</w:t>
            </w:r>
          </w:p>
        </w:tc>
        <w:tc>
          <w:tcPr>
            <w:tcW w:w="4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COMMITMENTS AND CONTINGENCIES (Notes 11 and 13) EQUITY:</w:t>
            </w:r>
          </w:p>
        </w:tc>
        <w:tc>
          <w:tcPr>
            <w:tcW w:w="1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60" w:type="dxa"/>
            <w:vAlign w:val="bottom"/>
            <w:tcBorders>
              <w:right w:val="single" w:sz="8" w:color="E5FFFF"/>
            </w:tcBorders>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tcBorders>
              <w:right w:val="single" w:sz="8" w:color="E5FFFF"/>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30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Common stock, at $0.01 par value; 45,000 shares authorized; 32,938 and 34,389 shares issued at January 31, 2026 and</w:t>
            </w:r>
          </w:p>
        </w:tc>
        <w:tc>
          <w:tcPr>
            <w:tcW w:w="1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60" w:type="dxa"/>
            <w:vAlign w:val="bottom"/>
            <w:tcBorders>
              <w:right w:val="single" w:sz="8" w:color="E5FFFF"/>
            </w:tcBorders>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tcBorders>
              <w:right w:val="single" w:sz="8" w:color="E5FFFF"/>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3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2025, respectively</w:t>
            </w:r>
          </w:p>
        </w:tc>
        <w:tc>
          <w:tcPr>
            <w:tcW w:w="100" w:type="dxa"/>
            <w:vAlign w:val="bottom"/>
            <w:shd w:val="clear" w:color="auto" w:fill="E5FFFF"/>
          </w:tcPr>
          <w:p>
            <w:pPr>
              <w:spacing w:after="0"/>
              <w:rPr>
                <w:sz w:val="20"/>
                <w:szCs w:val="20"/>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E5FFFF"/>
          </w:tcPr>
          <w:p>
            <w:pPr>
              <w:spacing w:after="0"/>
              <w:rPr>
                <w:sz w:val="20"/>
                <w:szCs w:val="20"/>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w:t>
            </w:r>
          </w:p>
        </w:tc>
        <w:tc>
          <w:tcPr>
            <w:tcW w:w="100" w:type="dxa"/>
            <w:vAlign w:val="bottom"/>
          </w:tcPr>
          <w:p>
            <w:pPr>
              <w:spacing w:after="0"/>
              <w:rPr>
                <w:sz w:val="18"/>
                <w:szCs w:val="18"/>
                <w:color w:val="auto"/>
              </w:rPr>
            </w:pPr>
          </w:p>
        </w:tc>
        <w:tc>
          <w:tcPr>
            <w:tcW w:w="10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E5FFFF"/>
          </w:tcPr>
          <w:p>
            <w:pPr>
              <w:spacing w:after="0"/>
              <w:rPr>
                <w:sz w:val="19"/>
                <w:szCs w:val="19"/>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w w:val="99"/>
              </w:rPr>
              <w:t>610,317</w:t>
            </w:r>
          </w:p>
        </w:tc>
        <w:tc>
          <w:tcPr>
            <w:tcW w:w="120" w:type="dxa"/>
            <w:vAlign w:val="bottom"/>
            <w:shd w:val="clear" w:color="auto" w:fill="E5FFFF"/>
          </w:tcPr>
          <w:p>
            <w:pPr>
              <w:spacing w:after="0"/>
              <w:rPr>
                <w:sz w:val="19"/>
                <w:szCs w:val="19"/>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559,993</w:t>
            </w:r>
          </w:p>
        </w:tc>
        <w:tc>
          <w:tcPr>
            <w:tcW w:w="0" w:type="dxa"/>
            <w:vAlign w:val="bottom"/>
          </w:tcPr>
          <w:p>
            <w:pPr>
              <w:spacing w:after="0"/>
              <w:rPr>
                <w:sz w:val="1"/>
                <w:szCs w:val="1"/>
                <w:color w:val="auto"/>
              </w:rPr>
            </w:pPr>
          </w:p>
        </w:tc>
      </w:tr>
      <w:tr>
        <w:trPr>
          <w:trHeight w:val="210"/>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610,712</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560,337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E5FFFF"/>
          </w:tcPr>
          <w:p>
            <w:pPr>
              <w:spacing w:after="0"/>
              <w:rPr>
                <w:sz w:val="19"/>
                <w:szCs w:val="19"/>
                <w:color w:val="auto"/>
              </w:rPr>
            </w:pPr>
          </w:p>
        </w:tc>
        <w:tc>
          <w:tcPr>
            <w:tcW w:w="10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91,293</w:t>
            </w:r>
          </w:p>
        </w:tc>
        <w:tc>
          <w:tcPr>
            <w:tcW w:w="120" w:type="dxa"/>
            <w:vAlign w:val="bottom"/>
            <w:shd w:val="clear" w:color="auto" w:fill="E5FFFF"/>
          </w:tcPr>
          <w:p>
            <w:pPr>
              <w:spacing w:after="0"/>
              <w:rPr>
                <w:sz w:val="19"/>
                <w:szCs w:val="19"/>
                <w:color w:val="auto"/>
              </w:rPr>
            </w:pPr>
          </w:p>
        </w:tc>
        <w:tc>
          <w:tcPr>
            <w:tcW w:w="70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83,265</w:t>
            </w:r>
          </w:p>
        </w:tc>
        <w:tc>
          <w:tcPr>
            <w:tcW w:w="0" w:type="dxa"/>
            <w:vAlign w:val="bottom"/>
          </w:tcPr>
          <w:p>
            <w:pPr>
              <w:spacing w:after="0"/>
              <w:rPr>
                <w:sz w:val="1"/>
                <w:szCs w:val="1"/>
                <w:color w:val="auto"/>
              </w:rPr>
            </w:pPr>
          </w:p>
        </w:tc>
      </w:tr>
      <w:tr>
        <w:trPr>
          <w:trHeight w:val="210"/>
        </w:trPr>
        <w:tc>
          <w:tcPr>
            <w:tcW w:w="930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702,005</w:t>
            </w:r>
          </w:p>
        </w:tc>
        <w:tc>
          <w:tcPr>
            <w:tcW w:w="4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643,602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797,731</w:t>
            </w:r>
          </w:p>
        </w:tc>
        <w:tc>
          <w:tcPr>
            <w:tcW w:w="42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9"/>
              </w:rPr>
              <w:t>720,008</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OPERATIONS (Amounts in Thousands, Except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7"/>
                <w:szCs w:val="17"/>
                <w:color w:val="auto"/>
              </w:rPr>
            </w:pPr>
          </w:p>
        </w:tc>
        <w:tc>
          <w:tcPr>
            <w:tcW w:w="194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Ended January 31,</w:t>
            </w:r>
          </w:p>
        </w:tc>
        <w:tc>
          <w:tcPr>
            <w:tcW w:w="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5"/>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650,487</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642,491</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833,384</w:t>
            </w:r>
          </w:p>
        </w:tc>
        <w:tc>
          <w:tcPr>
            <w:tcW w:w="0" w:type="dxa"/>
            <w:vAlign w:val="bottom"/>
          </w:tcPr>
          <w:p>
            <w:pPr>
              <w:spacing w:after="0"/>
              <w:rPr>
                <w:sz w:val="1"/>
                <w:szCs w:val="1"/>
                <w:color w:val="auto"/>
              </w:rPr>
            </w:pPr>
          </w:p>
        </w:tc>
      </w:tr>
      <w:tr>
        <w:trPr>
          <w:trHeight w:val="198"/>
        </w:trPr>
        <w:tc>
          <w:tcPr>
            <w:tcW w:w="8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$86.4 million, $99.2 million and $117.0 million with related parties for the years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ended January 31, 2026, 2025 and 2024, respectively)</w:t>
            </w:r>
          </w:p>
        </w:tc>
        <w:tc>
          <w:tcPr>
            <w:tcW w:w="100" w:type="dxa"/>
            <w:vAlign w:val="bottom"/>
          </w:tcPr>
          <w:p>
            <w:pPr>
              <w:spacing w:after="0"/>
              <w:rPr>
                <w:sz w:val="20"/>
                <w:szCs w:val="20"/>
                <w:color w:val="auto"/>
              </w:rPr>
            </w:pPr>
          </w:p>
        </w:tc>
        <w:tc>
          <w:tcPr>
            <w:tcW w:w="1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556,781</w:t>
            </w:r>
          </w:p>
        </w:tc>
        <w:tc>
          <w:tcPr>
            <w:tcW w:w="100" w:type="dxa"/>
            <w:vAlign w:val="bottom"/>
          </w:tcPr>
          <w:p>
            <w:pPr>
              <w:spacing w:after="0"/>
              <w:rPr>
                <w:sz w:val="20"/>
                <w:szCs w:val="20"/>
                <w:color w:val="auto"/>
              </w:rPr>
            </w:pPr>
          </w:p>
        </w:tc>
        <w:tc>
          <w:tcPr>
            <w:tcW w:w="10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551,014</w:t>
            </w:r>
          </w:p>
        </w:tc>
        <w:tc>
          <w:tcPr>
            <w:tcW w:w="100" w:type="dxa"/>
            <w:vAlign w:val="bottom"/>
          </w:tcPr>
          <w:p>
            <w:pPr>
              <w:spacing w:after="0"/>
              <w:rPr>
                <w:sz w:val="20"/>
                <w:szCs w:val="20"/>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735,166</w:t>
            </w:r>
          </w:p>
        </w:tc>
        <w:tc>
          <w:tcPr>
            <w:tcW w:w="0" w:type="dxa"/>
            <w:vAlign w:val="bottom"/>
          </w:tcPr>
          <w:p>
            <w:pPr>
              <w:spacing w:after="0"/>
              <w:rPr>
                <w:sz w:val="1"/>
                <w:szCs w:val="1"/>
                <w:color w:val="auto"/>
              </w:rPr>
            </w:pPr>
          </w:p>
        </w:tc>
      </w:tr>
      <w:tr>
        <w:trPr>
          <w:trHeight w:val="209"/>
        </w:trPr>
        <w:tc>
          <w:tcPr>
            <w:tcW w:w="8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E5FFFF"/>
          </w:tcPr>
          <w:p>
            <w:pPr>
              <w:spacing w:after="0"/>
              <w:rPr>
                <w:sz w:val="18"/>
                <w:szCs w:val="18"/>
                <w:color w:val="auto"/>
              </w:rPr>
            </w:pPr>
          </w:p>
        </w:tc>
        <w:tc>
          <w:tcPr>
            <w:tcW w:w="1060" w:type="dxa"/>
            <w:vAlign w:val="bottom"/>
            <w:gridSpan w:val="5"/>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93,706</w:t>
            </w:r>
          </w:p>
        </w:tc>
        <w:tc>
          <w:tcPr>
            <w:tcW w:w="100" w:type="dxa"/>
            <w:vAlign w:val="bottom"/>
            <w:shd w:val="clear" w:color="auto" w:fill="E5FFFF"/>
          </w:tcPr>
          <w:p>
            <w:pPr>
              <w:spacing w:after="0"/>
              <w:rPr>
                <w:sz w:val="18"/>
                <w:szCs w:val="18"/>
                <w:color w:val="auto"/>
              </w:rPr>
            </w:pPr>
          </w:p>
        </w:tc>
        <w:tc>
          <w:tcPr>
            <w:tcW w:w="106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91,477</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98,218</w:t>
            </w:r>
          </w:p>
        </w:tc>
        <w:tc>
          <w:tcPr>
            <w:tcW w:w="0" w:type="dxa"/>
            <w:vAlign w:val="bottom"/>
          </w:tcPr>
          <w:p>
            <w:pPr>
              <w:spacing w:after="0"/>
              <w:rPr>
                <w:sz w:val="1"/>
                <w:szCs w:val="1"/>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24"/>
                <w:szCs w:val="24"/>
                <w:color w:val="auto"/>
              </w:rPr>
            </w:pPr>
          </w:p>
        </w:tc>
        <w:tc>
          <w:tcPr>
            <w:tcW w:w="1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(32,616)</w:t>
            </w:r>
          </w:p>
        </w:tc>
        <w:tc>
          <w:tcPr>
            <w:tcW w:w="100" w:type="dxa"/>
            <w:vAlign w:val="bottom"/>
          </w:tcPr>
          <w:p>
            <w:pPr>
              <w:spacing w:after="0"/>
              <w:rPr>
                <w:sz w:val="24"/>
                <w:szCs w:val="24"/>
                <w:color w:val="auto"/>
              </w:rPr>
            </w:pPr>
          </w:p>
        </w:tc>
        <w:tc>
          <w:tcPr>
            <w:tcW w:w="10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(27,148)</w:t>
            </w:r>
          </w:p>
        </w:tc>
        <w:tc>
          <w:tcPr>
            <w:tcW w:w="100" w:type="dxa"/>
            <w:vAlign w:val="bottom"/>
          </w:tcPr>
          <w:p>
            <w:pPr>
              <w:spacing w:after="0"/>
              <w:rPr>
                <w:sz w:val="24"/>
                <w:szCs w:val="24"/>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(29,379)</w:t>
            </w:r>
          </w:p>
        </w:tc>
        <w:tc>
          <w:tcPr>
            <w:tcW w:w="0" w:type="dxa"/>
            <w:vAlign w:val="bottom"/>
          </w:tcPr>
          <w:p>
            <w:pPr>
              <w:spacing w:after="0"/>
              <w:rPr>
                <w:sz w:val="1"/>
                <w:szCs w:val="1"/>
                <w:color w:val="auto"/>
              </w:rPr>
            </w:pPr>
          </w:p>
        </w:tc>
      </w:tr>
      <w:tr>
        <w:trPr>
          <w:trHeight w:val="216"/>
        </w:trPr>
        <w:tc>
          <w:tcPr>
            <w:tcW w:w="80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00" w:type="dxa"/>
            <w:vAlign w:val="bottom"/>
            <w:shd w:val="clear" w:color="auto" w:fill="E5FFFF"/>
          </w:tcPr>
          <w:p>
            <w:pPr>
              <w:spacing w:after="0"/>
              <w:rPr>
                <w:sz w:val="18"/>
                <w:szCs w:val="18"/>
                <w:color w:val="auto"/>
              </w:rPr>
            </w:pPr>
          </w:p>
        </w:tc>
        <w:tc>
          <w:tcPr>
            <w:tcW w:w="1060" w:type="dxa"/>
            <w:vAlign w:val="bottom"/>
            <w:gridSpan w:val="5"/>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12,485</w:t>
            </w:r>
          </w:p>
        </w:tc>
        <w:tc>
          <w:tcPr>
            <w:tcW w:w="100" w:type="dxa"/>
            <w:vAlign w:val="bottom"/>
            <w:shd w:val="clear" w:color="auto" w:fill="E5FFFF"/>
          </w:tcPr>
          <w:p>
            <w:pPr>
              <w:spacing w:after="0"/>
              <w:rPr>
                <w:sz w:val="18"/>
                <w:szCs w:val="18"/>
                <w:color w:val="auto"/>
              </w:rPr>
            </w:pPr>
          </w:p>
        </w:tc>
        <w:tc>
          <w:tcPr>
            <w:tcW w:w="106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13,921</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0" w:type="dxa"/>
            <w:vAlign w:val="bottom"/>
          </w:tcPr>
          <w:p>
            <w:pPr>
              <w:spacing w:after="0"/>
              <w:rPr>
                <w:sz w:val="18"/>
                <w:szCs w:val="18"/>
                <w:color w:val="auto"/>
              </w:rPr>
            </w:pPr>
          </w:p>
        </w:tc>
        <w:tc>
          <w:tcPr>
            <w:tcW w:w="1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14,997</w:t>
            </w:r>
          </w:p>
        </w:tc>
        <w:tc>
          <w:tcPr>
            <w:tcW w:w="100" w:type="dxa"/>
            <w:vAlign w:val="bottom"/>
          </w:tcPr>
          <w:p>
            <w:pPr>
              <w:spacing w:after="0"/>
              <w:rPr>
                <w:sz w:val="18"/>
                <w:szCs w:val="18"/>
                <w:color w:val="auto"/>
              </w:rPr>
            </w:pPr>
          </w:p>
        </w:tc>
        <w:tc>
          <w:tcPr>
            <w:tcW w:w="10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19,158</w:t>
            </w:r>
          </w:p>
        </w:tc>
        <w:tc>
          <w:tcPr>
            <w:tcW w:w="1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15,724</w:t>
            </w:r>
          </w:p>
        </w:tc>
        <w:tc>
          <w:tcPr>
            <w:tcW w:w="0" w:type="dxa"/>
            <w:vAlign w:val="bottom"/>
          </w:tcPr>
          <w:p>
            <w:pPr>
              <w:spacing w:after="0"/>
              <w:rPr>
                <w:sz w:val="1"/>
                <w:szCs w:val="1"/>
                <w:color w:val="auto"/>
              </w:rPr>
            </w:pPr>
          </w:p>
        </w:tc>
      </w:tr>
      <w:tr>
        <w:trPr>
          <w:trHeight w:val="210"/>
        </w:trPr>
        <w:tc>
          <w:tcPr>
            <w:tcW w:w="8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E5FFFF"/>
          </w:tcPr>
          <w:p>
            <w:pPr>
              <w:spacing w:after="0"/>
              <w:rPr>
                <w:sz w:val="18"/>
                <w:szCs w:val="18"/>
                <w:color w:val="auto"/>
              </w:rPr>
            </w:pPr>
          </w:p>
        </w:tc>
        <w:tc>
          <w:tcPr>
            <w:tcW w:w="1060" w:type="dxa"/>
            <w:vAlign w:val="bottom"/>
            <w:gridSpan w:val="5"/>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88,572</w:t>
            </w:r>
          </w:p>
        </w:tc>
        <w:tc>
          <w:tcPr>
            <w:tcW w:w="100" w:type="dxa"/>
            <w:vAlign w:val="bottom"/>
            <w:shd w:val="clear" w:color="auto" w:fill="E5FFFF"/>
          </w:tcPr>
          <w:p>
            <w:pPr>
              <w:spacing w:after="0"/>
              <w:rPr>
                <w:sz w:val="18"/>
                <w:szCs w:val="18"/>
                <w:color w:val="auto"/>
              </w:rPr>
            </w:pPr>
          </w:p>
        </w:tc>
        <w:tc>
          <w:tcPr>
            <w:tcW w:w="106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92,872</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98,484</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0" w:type="dxa"/>
            <w:vAlign w:val="bottom"/>
          </w:tcPr>
          <w:p>
            <w:pPr>
              <w:spacing w:after="0"/>
              <w:rPr>
                <w:sz w:val="18"/>
                <w:szCs w:val="18"/>
                <w:color w:val="auto"/>
              </w:rPr>
            </w:pPr>
          </w:p>
        </w:tc>
        <w:tc>
          <w:tcPr>
            <w:tcW w:w="1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tcPr>
          <w:p>
            <w:pPr>
              <w:spacing w:after="0"/>
              <w:rPr>
                <w:sz w:val="18"/>
                <w:szCs w:val="18"/>
                <w:color w:val="auto"/>
              </w:rPr>
            </w:pPr>
          </w:p>
        </w:tc>
        <w:tc>
          <w:tcPr>
            <w:tcW w:w="10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(21,386)</w:t>
            </w:r>
          </w:p>
        </w:tc>
        <w:tc>
          <w:tcPr>
            <w:tcW w:w="1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(22,560)</w:t>
            </w:r>
          </w:p>
        </w:tc>
        <w:tc>
          <w:tcPr>
            <w:tcW w:w="0" w:type="dxa"/>
            <w:vAlign w:val="bottom"/>
          </w:tcPr>
          <w:p>
            <w:pPr>
              <w:spacing w:after="0"/>
              <w:rPr>
                <w:sz w:val="1"/>
                <w:szCs w:val="1"/>
                <w:color w:val="auto"/>
              </w:rPr>
            </w:pPr>
          </w:p>
        </w:tc>
      </w:tr>
      <w:tr>
        <w:trPr>
          <w:trHeight w:val="209"/>
        </w:trPr>
        <w:tc>
          <w:tcPr>
            <w:tcW w:w="8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E5FFFF"/>
          </w:tcPr>
          <w:p>
            <w:pPr>
              <w:spacing w:after="0"/>
              <w:rPr>
                <w:sz w:val="18"/>
                <w:szCs w:val="18"/>
                <w:color w:val="auto"/>
              </w:rPr>
            </w:pPr>
          </w:p>
        </w:tc>
        <w:tc>
          <w:tcPr>
            <w:tcW w:w="1060" w:type="dxa"/>
            <w:vAlign w:val="bottom"/>
            <w:gridSpan w:val="5"/>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95,074</w:t>
            </w:r>
          </w:p>
        </w:tc>
        <w:tc>
          <w:tcPr>
            <w:tcW w:w="100" w:type="dxa"/>
            <w:vAlign w:val="bottom"/>
            <w:shd w:val="clear" w:color="auto" w:fill="E5FFFF"/>
          </w:tcPr>
          <w:p>
            <w:pPr>
              <w:spacing w:after="0"/>
              <w:rPr>
                <w:sz w:val="18"/>
                <w:szCs w:val="18"/>
                <w:color w:val="auto"/>
              </w:rPr>
            </w:pPr>
          </w:p>
        </w:tc>
        <w:tc>
          <w:tcPr>
            <w:tcW w:w="106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71,486</w:t>
            </w:r>
          </w:p>
        </w:tc>
        <w:tc>
          <w:tcPr>
            <w:tcW w:w="100" w:type="dxa"/>
            <w:vAlign w:val="bottom"/>
            <w:shd w:val="clear" w:color="auto" w:fill="E5FFFF"/>
          </w:tcPr>
          <w:p>
            <w:pPr>
              <w:spacing w:after="0"/>
              <w:rPr>
                <w:sz w:val="18"/>
                <w:szCs w:val="18"/>
                <w:color w:val="auto"/>
              </w:rPr>
            </w:pPr>
          </w:p>
        </w:tc>
        <w:tc>
          <w:tcPr>
            <w:tcW w:w="7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75,924</w:t>
            </w:r>
          </w:p>
        </w:tc>
        <w:tc>
          <w:tcPr>
            <w:tcW w:w="0" w:type="dxa"/>
            <w:vAlign w:val="bottom"/>
          </w:tcPr>
          <w:p>
            <w:pPr>
              <w:spacing w:after="0"/>
              <w:rPr>
                <w:sz w:val="1"/>
                <w:szCs w:val="1"/>
                <w:color w:val="auto"/>
              </w:rPr>
            </w:pPr>
          </w:p>
        </w:tc>
      </w:tr>
      <w:tr>
        <w:trPr>
          <w:trHeight w:val="22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Pr>
          <w:p>
            <w:pPr>
              <w:spacing w:after="0"/>
              <w:rPr>
                <w:sz w:val="19"/>
                <w:szCs w:val="19"/>
                <w:color w:val="auto"/>
              </w:rPr>
            </w:pPr>
          </w:p>
        </w:tc>
        <w:tc>
          <w:tcPr>
            <w:tcW w:w="1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(12,123)</w:t>
            </w:r>
          </w:p>
        </w:tc>
        <w:tc>
          <w:tcPr>
            <w:tcW w:w="100" w:type="dxa"/>
            <w:vAlign w:val="bottom"/>
          </w:tcPr>
          <w:p>
            <w:pPr>
              <w:spacing w:after="0"/>
              <w:rPr>
                <w:sz w:val="19"/>
                <w:szCs w:val="19"/>
                <w:color w:val="auto"/>
              </w:rPr>
            </w:pPr>
          </w:p>
        </w:tc>
        <w:tc>
          <w:tcPr>
            <w:tcW w:w="10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(13,319)</w:t>
            </w:r>
          </w:p>
        </w:tc>
        <w:tc>
          <w:tcPr>
            <w:tcW w:w="100" w:type="dxa"/>
            <w:vAlign w:val="bottom"/>
          </w:tcPr>
          <w:p>
            <w:pPr>
              <w:spacing w:after="0"/>
              <w:rPr>
                <w:sz w:val="19"/>
                <w:szCs w:val="19"/>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(14,989)</w:t>
            </w:r>
          </w:p>
        </w:tc>
        <w:tc>
          <w:tcPr>
            <w:tcW w:w="0" w:type="dxa"/>
            <w:vAlign w:val="bottom"/>
          </w:tcPr>
          <w:p>
            <w:pPr>
              <w:spacing w:after="0"/>
              <w:rPr>
                <w:sz w:val="1"/>
                <w:szCs w:val="1"/>
                <w:color w:val="auto"/>
              </w:rPr>
            </w:pPr>
          </w:p>
        </w:tc>
      </w:tr>
      <w:tr>
        <w:trPr>
          <w:trHeight w:val="209"/>
        </w:trPr>
        <w:tc>
          <w:tcPr>
            <w:tcW w:w="808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82,951</w:t>
            </w:r>
          </w:p>
        </w:tc>
        <w:tc>
          <w:tcPr>
            <w:tcW w:w="44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58,167</w:t>
            </w:r>
          </w:p>
        </w:tc>
        <w:tc>
          <w:tcPr>
            <w:tcW w:w="42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60,935</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tcPr>
          <w:p>
            <w:pPr>
              <w:spacing w:after="0"/>
              <w:rPr>
                <w:sz w:val="24"/>
                <w:szCs w:val="24"/>
                <w:color w:val="auto"/>
              </w:rPr>
            </w:pPr>
          </w:p>
        </w:tc>
        <w:tc>
          <w:tcPr>
            <w:tcW w:w="1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33,208</w:t>
            </w:r>
          </w:p>
        </w:tc>
        <w:tc>
          <w:tcPr>
            <w:tcW w:w="100" w:type="dxa"/>
            <w:vAlign w:val="bottom"/>
          </w:tcPr>
          <w:p>
            <w:pPr>
              <w:spacing w:after="0"/>
              <w:rPr>
                <w:sz w:val="24"/>
                <w:szCs w:val="24"/>
                <w:color w:val="auto"/>
              </w:rPr>
            </w:pPr>
          </w:p>
        </w:tc>
        <w:tc>
          <w:tcPr>
            <w:tcW w:w="10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35,272</w:t>
            </w:r>
          </w:p>
        </w:tc>
        <w:tc>
          <w:tcPr>
            <w:tcW w:w="100" w:type="dxa"/>
            <w:vAlign w:val="bottom"/>
          </w:tcPr>
          <w:p>
            <w:pPr>
              <w:spacing w:after="0"/>
              <w:rPr>
                <w:sz w:val="24"/>
                <w:szCs w:val="24"/>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34,964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REX common shareholders</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5"/>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80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Pr>
          <w:p>
            <w:pPr>
              <w:spacing w:after="0"/>
              <w:rPr>
                <w:sz w:val="24"/>
                <w:szCs w:val="24"/>
                <w:color w:val="auto"/>
              </w:rPr>
            </w:pPr>
          </w:p>
        </w:tc>
        <w:tc>
          <w:tcPr>
            <w:tcW w:w="10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33,208</w:t>
            </w:r>
          </w:p>
        </w:tc>
        <w:tc>
          <w:tcPr>
            <w:tcW w:w="100" w:type="dxa"/>
            <w:vAlign w:val="bottom"/>
          </w:tcPr>
          <w:p>
            <w:pPr>
              <w:spacing w:after="0"/>
              <w:rPr>
                <w:sz w:val="24"/>
                <w:szCs w:val="24"/>
                <w:color w:val="auto"/>
              </w:rPr>
            </w:pPr>
          </w:p>
        </w:tc>
        <w:tc>
          <w:tcPr>
            <w:tcW w:w="10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35,272</w:t>
            </w:r>
          </w:p>
        </w:tc>
        <w:tc>
          <w:tcPr>
            <w:tcW w:w="100" w:type="dxa"/>
            <w:vAlign w:val="bottom"/>
          </w:tcPr>
          <w:p>
            <w:pPr>
              <w:spacing w:after="0"/>
              <w:rPr>
                <w:sz w:val="24"/>
                <w:szCs w:val="24"/>
                <w:color w:val="auto"/>
              </w:rPr>
            </w:pP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35,151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REX common shareholders</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5"/>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808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5" w:name="page36"/>
    <w:bookmarkEnd w:id="35"/>
    <w:p>
      <w:pPr>
        <w:ind w:right="5500"/>
        <w:spacing w:after="0" w:line="262"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SHAREHOLDERS’ EQUITY FOR THE YEARS ENDED JANUARY 31, 2026, 2025 AND 2024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4"/>
                <w:szCs w:val="14"/>
                <w:color w:val="auto"/>
              </w:rPr>
              <w:t>REX Shareholders</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Noncontrolling</w:t>
            </w:r>
          </w:p>
        </w:tc>
        <w:tc>
          <w:tcPr>
            <w:tcW w:w="200" w:type="dxa"/>
            <w:vAlign w:val="bottom"/>
          </w:tcPr>
          <w:p>
            <w:pPr>
              <w:spacing w:after="0"/>
              <w:rPr>
                <w:sz w:val="14"/>
                <w:szCs w:val="14"/>
                <w:color w:val="auto"/>
              </w:rPr>
            </w:pPr>
          </w:p>
        </w:tc>
        <w:tc>
          <w:tcPr>
            <w:tcW w:w="6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29"/>
        </w:trPr>
        <w:tc>
          <w:tcPr>
            <w:tcW w:w="4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Issued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color w:val="auto"/>
              </w:rPr>
              <w:t>Paid-in</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3"/>
                <w:szCs w:val="13"/>
                <w:color w:val="auto"/>
              </w:rPr>
              <w:t>Retained</w:t>
            </w:r>
          </w:p>
        </w:tc>
        <w:tc>
          <w:tcPr>
            <w:tcW w:w="32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jc w:val="right"/>
              <w:ind w:right="480"/>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w w:val="98"/>
              </w:rPr>
              <w:t>Capital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color w:val="auto"/>
                <w:w w:val="96"/>
              </w:rPr>
              <w:t>Earnings</w:t>
            </w:r>
          </w:p>
        </w:tc>
        <w:tc>
          <w:tcPr>
            <w:tcW w:w="220" w:type="dxa"/>
            <w:vAlign w:val="bottom"/>
          </w:tcPr>
          <w:p>
            <w:pPr>
              <w:spacing w:after="0"/>
              <w:rPr>
                <w:sz w:val="12"/>
                <w:szCs w:val="12"/>
                <w:color w:val="auto"/>
              </w:rPr>
            </w:pPr>
          </w:p>
        </w:tc>
        <w:tc>
          <w:tcPr>
            <w:tcW w:w="9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200" w:type="dxa"/>
            <w:vAlign w:val="bottom"/>
          </w:tcPr>
          <w:p>
            <w:pPr>
              <w:spacing w:after="0"/>
              <w:rPr>
                <w:sz w:val="12"/>
                <w:szCs w:val="12"/>
                <w:color w:val="auto"/>
              </w:rPr>
            </w:pPr>
          </w:p>
        </w:tc>
        <w:tc>
          <w:tcPr>
            <w:tcW w:w="68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2023</w:t>
            </w:r>
          </w:p>
        </w:tc>
        <w:tc>
          <w:tcPr>
            <w:tcW w:w="1140" w:type="dxa"/>
            <w:vAlign w:val="bottom"/>
            <w:gridSpan w:val="4"/>
            <w:shd w:val="clear" w:color="auto" w:fill="E5FFFF"/>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34,780</w:t>
            </w:r>
          </w:p>
        </w:tc>
        <w:tc>
          <w:tcPr>
            <w:tcW w:w="12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4"/>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180" w:type="dxa"/>
            <w:vAlign w:val="bottom"/>
            <w:shd w:val="clear" w:color="auto" w:fill="E5FF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E5FF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447,634</w:t>
            </w:r>
          </w:p>
        </w:tc>
        <w:tc>
          <w:tcPr>
            <w:tcW w:w="2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63,012</w:t>
            </w:r>
          </w:p>
        </w:tc>
        <w:tc>
          <w:tcPr>
            <w:tcW w:w="200" w:type="dxa"/>
            <w:vAlign w:val="bottom"/>
            <w:shd w:val="clear" w:color="auto" w:fill="E5F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510,994</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60,935</w:t>
            </w:r>
          </w:p>
        </w:tc>
        <w:tc>
          <w:tcPr>
            <w:tcW w:w="220" w:type="dxa"/>
            <w:vAlign w:val="bottom"/>
          </w:tcPr>
          <w:p>
            <w:pPr>
              <w:spacing w:after="0"/>
              <w:rPr>
                <w:sz w:val="24"/>
                <w:szCs w:val="24"/>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14,989</w:t>
            </w:r>
          </w:p>
        </w:tc>
        <w:tc>
          <w:tcPr>
            <w:tcW w:w="2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75,924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contributions</w:t>
            </w:r>
          </w:p>
        </w:tc>
        <w:tc>
          <w:tcPr>
            <w:tcW w:w="20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00" w:type="dxa"/>
            <w:vAlign w:val="bottom"/>
            <w:tcBorders>
              <w:right w:val="single" w:sz="8" w:color="E5FFFF"/>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98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(4,344)</w:t>
            </w:r>
          </w:p>
        </w:tc>
        <w:tc>
          <w:tcPr>
            <w:tcW w:w="2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1140" w:type="dxa"/>
            <w:vAlign w:val="bottom"/>
            <w:gridSpan w:val="4"/>
            <w:shd w:val="clear" w:color="auto" w:fill="E5FFFF"/>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E5FFFF"/>
          </w:tcPr>
          <w:p>
            <w:pPr>
              <w:spacing w:after="0"/>
              <w:rPr>
                <w:sz w:val="12"/>
                <w:szCs w:val="12"/>
                <w:color w:val="auto"/>
              </w:rPr>
            </w:pPr>
          </w:p>
        </w:tc>
        <w:tc>
          <w:tcPr>
            <w:tcW w:w="980" w:type="dxa"/>
            <w:vAlign w:val="bottom"/>
            <w:gridSpan w:val="4"/>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4,999</w:t>
            </w:r>
          </w:p>
        </w:tc>
        <w:tc>
          <w:tcPr>
            <w:tcW w:w="220" w:type="dxa"/>
            <w:vAlign w:val="bottom"/>
            <w:shd w:val="clear" w:color="auto" w:fill="E5FFFF"/>
          </w:tcPr>
          <w:p>
            <w:pPr>
              <w:spacing w:after="0"/>
              <w:rPr>
                <w:sz w:val="12"/>
                <w:szCs w:val="12"/>
                <w:color w:val="auto"/>
              </w:rPr>
            </w:pPr>
          </w:p>
        </w:tc>
        <w:tc>
          <w:tcPr>
            <w:tcW w:w="98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5,001</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Balance at January 31, 2024</w:t>
            </w:r>
          </w:p>
        </w:tc>
        <w:tc>
          <w:tcPr>
            <w:tcW w:w="114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color w:val="auto"/>
              </w:rPr>
              <w:t>35,007</w:t>
            </w:r>
          </w:p>
        </w:tc>
        <w:tc>
          <w:tcPr>
            <w:tcW w:w="120" w:type="dxa"/>
            <w:vAlign w:val="bottom"/>
          </w:tcPr>
          <w:p>
            <w:pPr>
              <w:spacing w:after="0"/>
              <w:rPr>
                <w:sz w:val="24"/>
                <w:szCs w:val="24"/>
                <w:color w:val="auto"/>
              </w:rPr>
            </w:pPr>
          </w:p>
        </w:tc>
        <w:tc>
          <w:tcPr>
            <w:tcW w:w="9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350</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513,568</w:t>
            </w:r>
          </w:p>
        </w:tc>
        <w:tc>
          <w:tcPr>
            <w:tcW w:w="220" w:type="dxa"/>
            <w:vAlign w:val="bottom"/>
          </w:tcPr>
          <w:p>
            <w:pPr>
              <w:spacing w:after="0"/>
              <w:rPr>
                <w:sz w:val="24"/>
                <w:szCs w:val="24"/>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73,679</w:t>
            </w:r>
          </w:p>
        </w:tc>
        <w:tc>
          <w:tcPr>
            <w:tcW w:w="2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587,597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00" w:type="dxa"/>
            <w:vAlign w:val="bottom"/>
            <w:tcBorders>
              <w:right w:val="single" w:sz="8" w:color="E5FFFF"/>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58,167</w:t>
            </w:r>
          </w:p>
        </w:tc>
        <w:tc>
          <w:tcPr>
            <w:tcW w:w="220" w:type="dxa"/>
            <w:vAlign w:val="bottom"/>
            <w:shd w:val="clear" w:color="auto" w:fill="E5FFFF"/>
          </w:tcPr>
          <w:p>
            <w:pPr>
              <w:spacing w:after="0"/>
              <w:rPr>
                <w:sz w:val="12"/>
                <w:szCs w:val="12"/>
                <w:color w:val="auto"/>
              </w:rPr>
            </w:pPr>
          </w:p>
        </w:tc>
        <w:tc>
          <w:tcPr>
            <w:tcW w:w="98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13,319</w:t>
            </w:r>
          </w:p>
        </w:tc>
        <w:tc>
          <w:tcPr>
            <w:tcW w:w="200" w:type="dxa"/>
            <w:vAlign w:val="bottom"/>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71,486</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repurchases</w:t>
            </w:r>
          </w:p>
        </w:tc>
        <w:tc>
          <w:tcPr>
            <w:tcW w:w="1140" w:type="dxa"/>
            <w:vAlign w:val="bottom"/>
            <w:gridSpan w:val="4"/>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120" w:type="dxa"/>
            <w:vAlign w:val="bottom"/>
          </w:tcPr>
          <w:p>
            <w:pPr>
              <w:spacing w:after="0"/>
              <w:rPr>
                <w:sz w:val="12"/>
                <w:szCs w:val="12"/>
                <w:color w:val="auto"/>
              </w:rPr>
            </w:pPr>
          </w:p>
        </w:tc>
        <w:tc>
          <w:tcPr>
            <w:tcW w:w="98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(15,515)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20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00" w:type="dxa"/>
            <w:vAlign w:val="bottom"/>
            <w:tcBorders>
              <w:right w:val="single" w:sz="8" w:color="E5FFFF"/>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98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(3,733)</w:t>
            </w:r>
          </w:p>
        </w:tc>
        <w:tc>
          <w:tcPr>
            <w:tcW w:w="200" w:type="dxa"/>
            <w:vAlign w:val="bottom"/>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(3,733)</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1140" w:type="dxa"/>
            <w:vAlign w:val="bottom"/>
            <w:gridSpan w:val="4"/>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2"/>
                <w:szCs w:val="12"/>
                <w:color w:val="auto"/>
              </w:rPr>
            </w:pPr>
          </w:p>
        </w:tc>
        <w:tc>
          <w:tcPr>
            <w:tcW w:w="98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3,773</w:t>
            </w:r>
          </w:p>
        </w:tc>
        <w:tc>
          <w:tcPr>
            <w:tcW w:w="22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2025</w:t>
            </w:r>
          </w:p>
        </w:tc>
        <w:tc>
          <w:tcPr>
            <w:tcW w:w="1140" w:type="dxa"/>
            <w:vAlign w:val="bottom"/>
            <w:gridSpan w:val="4"/>
            <w:shd w:val="clear" w:color="auto" w:fill="E5FFFF"/>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34,389</w:t>
            </w:r>
          </w:p>
        </w:tc>
        <w:tc>
          <w:tcPr>
            <w:tcW w:w="120" w:type="dxa"/>
            <w:vAlign w:val="bottom"/>
            <w:shd w:val="clear" w:color="auto" w:fill="E5FFFF"/>
          </w:tcPr>
          <w:p>
            <w:pPr>
              <w:spacing w:after="0"/>
              <w:rPr>
                <w:sz w:val="12"/>
                <w:szCs w:val="12"/>
                <w:color w:val="auto"/>
              </w:rPr>
            </w:pPr>
          </w:p>
        </w:tc>
        <w:tc>
          <w:tcPr>
            <w:tcW w:w="980" w:type="dxa"/>
            <w:vAlign w:val="bottom"/>
            <w:gridSpan w:val="4"/>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18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559,993</w:t>
            </w:r>
          </w:p>
        </w:tc>
        <w:tc>
          <w:tcPr>
            <w:tcW w:w="220" w:type="dxa"/>
            <w:vAlign w:val="bottom"/>
            <w:shd w:val="clear" w:color="auto" w:fill="E5FFFF"/>
          </w:tcPr>
          <w:p>
            <w:pPr>
              <w:spacing w:after="0"/>
              <w:rPr>
                <w:sz w:val="12"/>
                <w:szCs w:val="12"/>
                <w:color w:val="auto"/>
              </w:rPr>
            </w:pPr>
          </w:p>
        </w:tc>
        <w:tc>
          <w:tcPr>
            <w:tcW w:w="98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83,265</w:t>
            </w:r>
          </w:p>
        </w:tc>
        <w:tc>
          <w:tcPr>
            <w:tcW w:w="200" w:type="dxa"/>
            <w:vAlign w:val="bottom"/>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643,602</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82,951</w:t>
            </w:r>
          </w:p>
        </w:tc>
        <w:tc>
          <w:tcPr>
            <w:tcW w:w="220" w:type="dxa"/>
            <w:vAlign w:val="bottom"/>
          </w:tcPr>
          <w:p>
            <w:pPr>
              <w:spacing w:after="0"/>
              <w:rPr>
                <w:sz w:val="24"/>
                <w:szCs w:val="24"/>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12,123</w:t>
            </w:r>
          </w:p>
        </w:tc>
        <w:tc>
          <w:tcPr>
            <w:tcW w:w="2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contributions</w:t>
            </w:r>
          </w:p>
        </w:tc>
        <w:tc>
          <w:tcPr>
            <w:tcW w:w="20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00" w:type="dxa"/>
            <w:vAlign w:val="bottom"/>
            <w:tcBorders>
              <w:right w:val="single" w:sz="8" w:color="E5FFFF"/>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98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repurchases</w:t>
            </w:r>
          </w:p>
        </w:tc>
        <w:tc>
          <w:tcPr>
            <w:tcW w:w="1140" w:type="dxa"/>
            <w:vAlign w:val="bottom"/>
            <w:gridSpan w:val="4"/>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(1,651)</w:t>
            </w:r>
          </w:p>
        </w:tc>
        <w:tc>
          <w:tcPr>
            <w:tcW w:w="120" w:type="dxa"/>
            <w:vAlign w:val="bottom"/>
          </w:tcPr>
          <w:p>
            <w:pPr>
              <w:spacing w:after="0"/>
              <w:rPr>
                <w:sz w:val="12"/>
                <w:szCs w:val="12"/>
                <w:color w:val="auto"/>
              </w:rPr>
            </w:pPr>
          </w:p>
        </w:tc>
        <w:tc>
          <w:tcPr>
            <w:tcW w:w="98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(32,869)</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20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00" w:type="dxa"/>
            <w:vAlign w:val="bottom"/>
            <w:tcBorders>
              <w:right w:val="single" w:sz="8" w:color="E5FFFF"/>
            </w:tcBorders>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4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0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220" w:type="dxa"/>
            <w:vAlign w:val="bottom"/>
            <w:shd w:val="clear" w:color="auto" w:fill="E5FFFF"/>
          </w:tcPr>
          <w:p>
            <w:pPr>
              <w:spacing w:after="0"/>
              <w:rPr>
                <w:sz w:val="12"/>
                <w:szCs w:val="12"/>
                <w:color w:val="auto"/>
              </w:rPr>
            </w:pPr>
          </w:p>
        </w:tc>
        <w:tc>
          <w:tcPr>
            <w:tcW w:w="98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(4,104)</w:t>
            </w:r>
          </w:p>
        </w:tc>
        <w:tc>
          <w:tcPr>
            <w:tcW w:w="200" w:type="dxa"/>
            <w:vAlign w:val="bottom"/>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(4,104)</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1140" w:type="dxa"/>
            <w:vAlign w:val="bottom"/>
            <w:gridSpan w:val="4"/>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20" w:type="dxa"/>
            <w:vAlign w:val="bottom"/>
          </w:tcPr>
          <w:p>
            <w:pPr>
              <w:spacing w:after="0"/>
              <w:rPr>
                <w:sz w:val="12"/>
                <w:szCs w:val="12"/>
                <w:color w:val="auto"/>
              </w:rPr>
            </w:pPr>
          </w:p>
        </w:tc>
        <w:tc>
          <w:tcPr>
            <w:tcW w:w="98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66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2,621</w:t>
            </w:r>
          </w:p>
        </w:tc>
        <w:tc>
          <w:tcPr>
            <w:tcW w:w="220" w:type="dxa"/>
            <w:vAlign w:val="bottom"/>
          </w:tcPr>
          <w:p>
            <w:pPr>
              <w:spacing w:after="0"/>
              <w:rPr>
                <w:sz w:val="12"/>
                <w:szCs w:val="12"/>
                <w:color w:val="auto"/>
              </w:rPr>
            </w:pPr>
          </w:p>
        </w:tc>
        <w:tc>
          <w:tcPr>
            <w:tcW w:w="98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Correction to equity awards and stock-based compensation expense</w:t>
            </w:r>
          </w:p>
        </w:tc>
        <w:tc>
          <w:tcPr>
            <w:tcW w:w="1140" w:type="dxa"/>
            <w:vAlign w:val="bottom"/>
            <w:gridSpan w:val="4"/>
            <w:shd w:val="clear" w:color="auto" w:fill="E5FFFF"/>
          </w:tcPr>
          <w:p>
            <w:pPr>
              <w:jc w:val="right"/>
              <w:ind w:right="293"/>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E5FFFF"/>
          </w:tcPr>
          <w:p>
            <w:pPr>
              <w:spacing w:after="0"/>
              <w:rPr>
                <w:sz w:val="12"/>
                <w:szCs w:val="12"/>
                <w:color w:val="auto"/>
              </w:rPr>
            </w:pPr>
          </w:p>
        </w:tc>
        <w:tc>
          <w:tcPr>
            <w:tcW w:w="980" w:type="dxa"/>
            <w:vAlign w:val="bottom"/>
            <w:gridSpan w:val="4"/>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20" w:type="dxa"/>
            <w:vAlign w:val="bottom"/>
            <w:shd w:val="clear" w:color="auto" w:fill="E5FFFF"/>
          </w:tcPr>
          <w:p>
            <w:pPr>
              <w:spacing w:after="0"/>
              <w:rPr>
                <w:sz w:val="12"/>
                <w:szCs w:val="12"/>
                <w:color w:val="auto"/>
              </w:rPr>
            </w:pPr>
          </w:p>
        </w:tc>
        <w:tc>
          <w:tcPr>
            <w:tcW w:w="3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(2,379)</w:t>
            </w:r>
          </w:p>
        </w:tc>
        <w:tc>
          <w:tcPr>
            <w:tcW w:w="220" w:type="dxa"/>
            <w:vAlign w:val="bottom"/>
            <w:shd w:val="clear" w:color="auto" w:fill="E5FFFF"/>
          </w:tcPr>
          <w:p>
            <w:pPr>
              <w:spacing w:after="0"/>
              <w:rPr>
                <w:sz w:val="12"/>
                <w:szCs w:val="12"/>
                <w:color w:val="auto"/>
              </w:rPr>
            </w:pPr>
          </w:p>
        </w:tc>
        <w:tc>
          <w:tcPr>
            <w:tcW w:w="98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5FFFF"/>
          </w:tcPr>
          <w:p>
            <w:pPr>
              <w:spacing w:after="0"/>
              <w:rPr>
                <w:sz w:val="12"/>
                <w:szCs w:val="12"/>
                <w:color w:val="auto"/>
              </w:rPr>
            </w:pPr>
          </w:p>
        </w:tc>
        <w:tc>
          <w:tcPr>
            <w:tcW w:w="5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(2,381)</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Balance at January 31, 2026</w:t>
            </w:r>
          </w:p>
        </w:tc>
        <w:tc>
          <w:tcPr>
            <w:tcW w:w="114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color w:val="auto"/>
              </w:rPr>
              <w:t>32,938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329</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66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610,317</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91,293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(Amounts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r>
      <w:tr>
        <w:trPr>
          <w:trHeight w:val="196"/>
        </w:trPr>
        <w:tc>
          <w:tcPr>
            <w:tcW w:w="7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3"/>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gridSpan w:val="3"/>
          </w:tcPr>
          <w:p>
            <w:pPr>
              <w:jc w:val="right"/>
              <w:ind w:right="24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
        </w:trPr>
        <w:tc>
          <w:tcPr>
            <w:tcW w:w="7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95,074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71,486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75,924</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15,340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15,927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17,794</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6,398</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5,788</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5,245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1,424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4,205</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3,638</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6,209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(12,485)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(9,385)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(13,921)</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Dividends received from equity method investments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10,526</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8,521</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12,030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(4,842)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(5,576)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(10,008)</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Loss on disposal of real estate and property and equipment</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(3,472)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9,802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14,627</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6,829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1,674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7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3,254</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(4,692)</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21,760</w:t>
            </w:r>
          </w:p>
        </w:tc>
      </w:tr>
      <w:tr>
        <w:trPr>
          <w:trHeight w:val="216"/>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(14,946)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(4,495)</w:t>
            </w:r>
          </w:p>
        </w:tc>
      </w:tr>
      <w:tr>
        <w:trPr>
          <w:trHeight w:val="216"/>
        </w:trPr>
        <w:tc>
          <w:tcPr>
            <w:tcW w:w="7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Income taxes refundable</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(5,929)</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(2,766)</w:t>
            </w:r>
          </w:p>
        </w:tc>
      </w:tr>
      <w:tr>
        <w:trPr>
          <w:trHeight w:val="216"/>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8,395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(14,724)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7,868</w:t>
            </w:r>
          </w:p>
        </w:tc>
      </w:tr>
      <w:tr>
        <w:trPr>
          <w:trHeight w:val="216"/>
        </w:trPr>
        <w:tc>
          <w:tcPr>
            <w:tcW w:w="71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taxes payable</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(4,334)</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4,334</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(2,457)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(6,988)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(4,517)</w:t>
            </w:r>
          </w:p>
        </w:tc>
      </w:tr>
      <w:tr>
        <w:trPr>
          <w:trHeight w:val="209"/>
        </w:trPr>
        <w:tc>
          <w:tcPr>
            <w:tcW w:w="71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0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gridSpan w:val="4"/>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w w:val="92"/>
              </w:rPr>
              <w:t>117,829</w:t>
            </w: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64,192</w:t>
            </w: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127,970</w:t>
            </w:r>
          </w:p>
        </w:tc>
        <w:tc>
          <w:tcPr>
            <w:tcW w:w="100" w:type="dxa"/>
            <w:vAlign w:val="bottom"/>
            <w:tcBorders>
              <w:top w:val="single" w:sz="8" w:color="E5FFFF"/>
            </w:tcBorders>
            <w:shd w:val="clear" w:color="auto" w:fill="E5FFFF"/>
          </w:tcPr>
          <w:p>
            <w:pPr>
              <w:spacing w:after="0"/>
              <w:rPr>
                <w:sz w:val="18"/>
                <w:szCs w:val="18"/>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(68,439)</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(71,318)</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(37,663)</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w w:val="99"/>
              </w:rPr>
              <w:t>(296,386)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9"/>
              </w:rPr>
              <w:t>(372,341)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w w:val="99"/>
              </w:rPr>
              <w:t>(448,507)</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277,000</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370,357</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514,586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real estate and property and equipment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Deposits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71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700" w:type="dxa"/>
            <w:vAlign w:val="bottom"/>
            <w:tcBorders>
              <w:bottom w:val="single" w:sz="8" w:color="E5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(72,860)</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28,402</w:t>
            </w:r>
          </w:p>
        </w:tc>
        <w:tc>
          <w:tcPr>
            <w:tcW w:w="100" w:type="dxa"/>
            <w:vAlign w:val="bottom"/>
            <w:tcBorders>
              <w:bottom w:val="single" w:sz="8" w:color="E5FFFF"/>
            </w:tcBorders>
          </w:tcPr>
          <w:p>
            <w:pPr>
              <w:spacing w:after="0"/>
              <w:rPr>
                <w:sz w:val="18"/>
                <w:szCs w:val="18"/>
                <w:color w:val="auto"/>
              </w:rPr>
            </w:pPr>
          </w:p>
        </w:tc>
      </w:tr>
      <w:tr>
        <w:trPr>
          <w:trHeight w:val="209"/>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acquired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(33,383)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(14,741)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Capital contributions from minority investor</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(4,104)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(3,733)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(4,344)</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Principal paid on finance lease liabilities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1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00" w:type="dxa"/>
            <w:vAlign w:val="bottom"/>
            <w:tcBorders>
              <w:bottom w:val="single" w:sz="8" w:color="E5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Borders>
              <w:bottom w:val="single" w:sz="8" w:color="E5FFFF"/>
            </w:tcBorders>
          </w:tcPr>
          <w:p>
            <w:pPr>
              <w:spacing w:after="0"/>
              <w:rPr>
                <w:sz w:val="18"/>
                <w:szCs w:val="18"/>
                <w:color w:val="auto"/>
              </w:rPr>
            </w:pPr>
          </w:p>
        </w:tc>
      </w:tr>
      <w:tr>
        <w:trPr>
          <w:trHeight w:val="210"/>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7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20" w:type="dxa"/>
            <w:vAlign w:val="bottom"/>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152,050</w:t>
            </w:r>
          </w:p>
        </w:tc>
        <w:tc>
          <w:tcPr>
            <w:tcW w:w="100" w:type="dxa"/>
            <w:vAlign w:val="bottom"/>
            <w:shd w:val="clear" w:color="auto" w:fill="E5FF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EQUIVALENTS-Beginning of year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196,255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223,397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71,347</w:t>
            </w:r>
          </w:p>
        </w:tc>
      </w:tr>
      <w:tr>
        <w:trPr>
          <w:trHeight w:val="209"/>
        </w:trPr>
        <w:tc>
          <w:tcPr>
            <w:tcW w:w="71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EQUIVALENTS-End of year</w:t>
            </w:r>
          </w:p>
        </w:tc>
        <w:tc>
          <w:tcPr>
            <w:tcW w:w="70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4"/>
            <w:shd w:val="clear" w:color="auto" w:fill="E5FFFF"/>
          </w:tcPr>
          <w:p>
            <w:pPr>
              <w:ind w:left="140"/>
              <w:spacing w:after="0"/>
              <w:rPr>
                <w:sz w:val="20"/>
                <w:szCs w:val="20"/>
                <w:color w:val="auto"/>
              </w:rPr>
            </w:pPr>
            <w:r>
              <w:rPr>
                <w:rFonts w:ascii="Times New Roman" w:cs="Times New Roman" w:eastAsia="Times New Roman" w:hAnsi="Times New Roman"/>
                <w:sz w:val="18"/>
                <w:szCs w:val="18"/>
                <w:color w:val="auto"/>
                <w:w w:val="95"/>
              </w:rPr>
              <w:t>188,734</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196,255</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223,397</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activities-Accrued capital expenditures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8,758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1,152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Non-cash investing activities-Capital additions transferred from prepaid expenses</w:t>
            </w:r>
          </w:p>
        </w:tc>
        <w:tc>
          <w:tcPr>
            <w:tcW w:w="8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Non-cash financing activities-Stock awards issued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2,172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Non-cash financing activities-Stock awards accrued</w:t>
            </w:r>
          </w:p>
        </w:tc>
        <w:tc>
          <w:tcPr>
            <w:tcW w:w="8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3,896</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2,037</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2,172</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Non-cash financing activities-Stock repurchases accrued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right-of-use assets acquired and liabilities incurred upon lease commencement</w:t>
            </w:r>
          </w:p>
        </w:tc>
        <w:tc>
          <w:tcPr>
            <w:tcW w:w="8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3,007</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13,734</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3,210</w:t>
            </w: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Finance right-of-use assets acquired and liabilities incurred upon lease commencement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3,381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jc w:val="both"/>
        <w:ind w:left="4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Principles of Consolidation – </w:t>
      </w:r>
      <w:r>
        <w:rPr>
          <w:rFonts w:ascii="Times New Roman" w:cs="Times New Roman" w:eastAsia="Times New Roman" w:hAnsi="Times New Roman"/>
          <w:sz w:val="18"/>
          <w:szCs w:val="18"/>
          <w:color w:val="auto"/>
        </w:rPr>
        <w:t>The accompanying financial statements consolidate the operating results and financial position of REX American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Resources Corporation and its wholly-owned and majority owned subsidiaries (the “Company” or “REX”). All intercompany balances and transactions have been eliminated. As of January 31, 2026, the Company owns interests in three operating entities – two are consolidated and one is accounted for using the equity method of accounting. The results of One Earth are included on a delayed basis of one month lag as One Earth has a fiscal year end of December 31. The other consolidated entity has the same fiscal year end as the parent company.</w:t>
      </w:r>
    </w:p>
    <w:p>
      <w:pPr>
        <w:spacing w:after="0" w:line="179"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Stock Split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26, 2025, the Board of Directors of the Company adopted resolutions declaring a two-for-one split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to be effectuated in the form of a 100% stock dividend, payable on September 15, 2025 to stockholders of record at the close of business on September 8, 2025. The stock split has been retroactively reflected in the accompanying consolidated financial statements.</w:t>
      </w:r>
    </w:p>
    <w:p>
      <w:pPr>
        <w:spacing w:after="0" w:line="170"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Fiscal Year – </w:t>
      </w:r>
      <w:r>
        <w:rPr>
          <w:rFonts w:ascii="Times New Roman" w:cs="Times New Roman" w:eastAsia="Times New Roman" w:hAnsi="Times New Roman"/>
          <w:sz w:val="18"/>
          <w:szCs w:val="18"/>
          <w:color w:val="auto"/>
        </w:rPr>
        <w:t>All references in these consolidated financial statements to a particular fiscal year are to the Company’s fiscal year ended January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refers to its fiscal year by reference to the year immediately preceding the January 31 fiscal year end date. For example, “fiscal year 2025” means the period February 1, 2025 to January 31, 2026.</w:t>
      </w:r>
    </w:p>
    <w:p>
      <w:pPr>
        <w:spacing w:after="0" w:line="170" w:lineRule="exact"/>
        <w:rPr>
          <w:rFonts w:ascii="Times New Roman" w:cs="Times New Roman" w:eastAsia="Times New Roman" w:hAnsi="Times New Roman"/>
          <w:sz w:val="18"/>
          <w:szCs w:val="18"/>
          <w:b w:val="1"/>
          <w:bCs w:val="1"/>
          <w:color w:val="auto"/>
        </w:rPr>
      </w:pPr>
    </w:p>
    <w:p>
      <w:pPr>
        <w:ind w:left="4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Segments – </w:t>
      </w:r>
      <w:r>
        <w:rPr>
          <w:rFonts w:ascii="Times New Roman" w:cs="Times New Roman" w:eastAsia="Times New Roman" w:hAnsi="Times New Roman"/>
          <w:sz w:val="18"/>
          <w:szCs w:val="18"/>
          <w:color w:val="auto"/>
        </w:rPr>
        <w:t>The Company has one reportable segment, ethanol and by-products. Within the ethanol and by-products segment,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investments in three ethanol limited liability companies, two of which are majority ownership interests.</w:t>
      </w:r>
    </w:p>
    <w:p>
      <w:pPr>
        <w:spacing w:after="0" w:line="158"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applying the criteria set forth in ASC 280 the Company determined that based on the nature of the products and production process and the expected financial results, the Company’s operations at its ethanol plants are aggregated into one reporting segment.</w:t>
      </w:r>
    </w:p>
    <w:p>
      <w:pPr>
        <w:spacing w:after="0" w:line="157" w:lineRule="exact"/>
        <w:rPr>
          <w:rFonts w:ascii="Times New Roman" w:cs="Times New Roman" w:eastAsia="Times New Roman" w:hAnsi="Times New Roman"/>
          <w:sz w:val="18"/>
          <w:szCs w:val="18"/>
          <w:b w:val="1"/>
          <w:bCs w:val="1"/>
          <w:color w:val="auto"/>
        </w:rPr>
      </w:pPr>
    </w:p>
    <w:p>
      <w:pPr>
        <w:jc w:val="both"/>
        <w:ind w:left="4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Use of Estimates – </w:t>
      </w:r>
      <w:r>
        <w:rPr>
          <w:rFonts w:ascii="Times New Roman" w:cs="Times New Roman" w:eastAsia="Times New Roman" w:hAnsi="Times New Roman"/>
          <w:sz w:val="18"/>
          <w:szCs w:val="18"/>
          <w:color w:val="auto"/>
        </w:rPr>
        <w:t>The preparation of consolidated financial statements in conformity with accounting principles generally accepted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76" w:lineRule="exact"/>
        <w:rPr>
          <w:rFonts w:ascii="Times New Roman" w:cs="Times New Roman" w:eastAsia="Times New Roman" w:hAnsi="Times New Roman"/>
          <w:sz w:val="18"/>
          <w:szCs w:val="18"/>
          <w:b w:val="1"/>
          <w:bCs w:val="1"/>
          <w:color w:val="auto"/>
        </w:rPr>
      </w:pPr>
    </w:p>
    <w:p>
      <w:pPr>
        <w:ind w:left="4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Cash Equivalents – </w:t>
      </w:r>
      <w:r>
        <w:rPr>
          <w:rFonts w:ascii="Times New Roman" w:cs="Times New Roman" w:eastAsia="Times New Roman" w:hAnsi="Times New Roman"/>
          <w:sz w:val="18"/>
          <w:szCs w:val="18"/>
          <w:color w:val="auto"/>
        </w:rPr>
        <w:t>Cash equivalents are principally short-term investments with original maturities of three months or less. The carrying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equivalents approximates fair value.</w:t>
      </w:r>
    </w:p>
    <w:p>
      <w:pPr>
        <w:spacing w:after="0" w:line="154" w:lineRule="exact"/>
        <w:rPr>
          <w:rFonts w:ascii="Times New Roman" w:cs="Times New Roman" w:eastAsia="Times New Roman" w:hAnsi="Times New Roman"/>
          <w:sz w:val="18"/>
          <w:szCs w:val="18"/>
          <w:b w:val="1"/>
          <w:bCs w:val="1"/>
          <w:color w:val="auto"/>
        </w:rPr>
      </w:pPr>
    </w:p>
    <w:p>
      <w:pPr>
        <w:jc w:val="both"/>
        <w:ind w:left="4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Concentration of Risk – </w:t>
      </w:r>
      <w:r>
        <w:rPr>
          <w:rFonts w:ascii="Times New Roman" w:cs="Times New Roman" w:eastAsia="Times New Roman" w:hAnsi="Times New Roman"/>
          <w:sz w:val="18"/>
          <w:szCs w:val="18"/>
          <w:color w:val="auto"/>
        </w:rPr>
        <w:t>The Company maintains cash and cash equivalents in accounts with financial institutions which exceed federally insured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limits. The Company has not experienced any losses in such accounts. The Company does not believe there is significant credit risk related to its cash and cash equivalents.</w:t>
      </w:r>
    </w:p>
    <w:p>
      <w:pPr>
        <w:spacing w:after="0" w:line="174" w:lineRule="exact"/>
        <w:rPr>
          <w:rFonts w:ascii="Times New Roman" w:cs="Times New Roman" w:eastAsia="Times New Roman" w:hAnsi="Times New Roman"/>
          <w:sz w:val="18"/>
          <w:szCs w:val="18"/>
          <w:b w:val="1"/>
          <w:bCs w:val="1"/>
          <w:color w:val="auto"/>
        </w:rPr>
      </w:pPr>
    </w:p>
    <w:p>
      <w:pPr>
        <w:jc w:val="both"/>
        <w:ind w:left="4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sells its products to a limited number of larger commercial buyers, which may increase the chance of loss due to non-performance by a counterparty. Ten customers in fiscal years 2025 and 2024 and nine customers in fiscal year 2023 accounted for approximately 93%, 92%, and 92% of the Company’s net sales and revenue, respectively. At January 31, 2026 and 2025, seven customers and six customers at each period end represented approximately 92% of the Company’s accounts receivable balance. The Company has not experienced any significant losses in such accounts.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both"/>
        <w:ind w:lef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 </w:t>
      </w:r>
      <w:r>
        <w:rPr>
          <w:rFonts w:ascii="Times New Roman" w:cs="Times New Roman" w:eastAsia="Times New Roman" w:hAnsi="Times New Roman"/>
          <w:sz w:val="18"/>
          <w:szCs w:val="18"/>
          <w:color w:val="auto"/>
        </w:rPr>
        <w:t>Accounts receivable are recorded at their estimated net realizable value. Accounts are considered past due if payment is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on a timely basis in accordance with the Company’s credit terms. Accounts considered uncollectible are written off in the period they are determined to be uncollectible. As of January 31, 2026 and 2025, the Company believes that all amounts are collectible and an allowance for credit losses was not considered necessary. The balance of accounts receivables at January 31, 2024 was $23.2 million.</w:t>
      </w:r>
    </w:p>
    <w:p>
      <w:pPr>
        <w:spacing w:after="0" w:line="176"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 Inventories are carried at the lower of cost or net realizable value. Cost for all inventories is determined using the first-in, first-out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 Inventory is permanently written down for instances when cost exceeds estimated net realizable value; such write-downs are based primarily upon commodity prices as the market value of inventory is often dependent upon changes in commodity prices. The Company recorded approximately $0.1 million of inventory write-downs in cost of sales at both January 31, 2026 and January 31, 2025. Fluctuations in the write-down of inventory generally relate to the levels and composition of such inventory at a given point in time and commodity prices.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inventory are as follows (amounts in thousands):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2026</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Ethanol and other finished goods</w:t>
            </w:r>
          </w:p>
        </w:tc>
        <w:tc>
          <w:tcPr>
            <w:tcW w:w="7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460" w:type="dxa"/>
            <w:vAlign w:val="bottom"/>
            <w:shd w:val="clear" w:color="auto" w:fill="E5FFFF"/>
          </w:tcPr>
          <w:p>
            <w:pPr>
              <w:spacing w:after="0"/>
              <w:rPr>
                <w:sz w:val="18"/>
                <w:szCs w:val="18"/>
                <w:color w:val="auto"/>
              </w:rPr>
            </w:pPr>
          </w:p>
        </w:tc>
        <w:tc>
          <w:tcPr>
            <w:tcW w:w="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Grain and other raw materials</w:t>
            </w:r>
          </w:p>
        </w:tc>
        <w:tc>
          <w:tcPr>
            <w:tcW w:w="600" w:type="dxa"/>
            <w:vAlign w:val="bottom"/>
            <w:shd w:val="clear" w:color="auto" w:fill="E5FFFF"/>
          </w:tcPr>
          <w:p>
            <w:pPr>
              <w:spacing w:after="0"/>
              <w:rPr>
                <w:sz w:val="19"/>
                <w:szCs w:val="19"/>
                <w:color w:val="auto"/>
              </w:rPr>
            </w:pPr>
          </w:p>
        </w:tc>
        <w:tc>
          <w:tcPr>
            <w:tcW w:w="100" w:type="dxa"/>
            <w:vAlign w:val="bottom"/>
            <w:tcBorders>
              <w:bottom w:val="single" w:sz="8" w:color="auto"/>
            </w:tcBorders>
            <w:shd w:val="clear" w:color="auto" w:fill="E5FFFF"/>
          </w:tcPr>
          <w:p>
            <w:pPr>
              <w:spacing w:after="0"/>
              <w:rPr>
                <w:sz w:val="19"/>
                <w:szCs w:val="19"/>
                <w:color w:val="auto"/>
              </w:rPr>
            </w:pPr>
          </w:p>
        </w:tc>
        <w:tc>
          <w:tcPr>
            <w:tcW w:w="50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6"/>
              </w:rPr>
              <w:t>17,182</w:t>
            </w:r>
          </w:p>
        </w:tc>
        <w:tc>
          <w:tcPr>
            <w:tcW w:w="460" w:type="dxa"/>
            <w:vAlign w:val="bottom"/>
            <w:shd w:val="clear" w:color="auto" w:fill="E5FFFF"/>
          </w:tcPr>
          <w:p>
            <w:pPr>
              <w:spacing w:after="0"/>
              <w:rPr>
                <w:sz w:val="19"/>
                <w:szCs w:val="19"/>
                <w:color w:val="auto"/>
              </w:rPr>
            </w:pPr>
          </w:p>
        </w:tc>
        <w:tc>
          <w:tcPr>
            <w:tcW w:w="80" w:type="dxa"/>
            <w:vAlign w:val="bottom"/>
            <w:tcBorders>
              <w:bottom w:val="single" w:sz="8" w:color="auto"/>
            </w:tcBorders>
            <w:shd w:val="clear" w:color="auto" w:fill="E5FFFF"/>
          </w:tcPr>
          <w:p>
            <w:pPr>
              <w:spacing w:after="0"/>
              <w:rPr>
                <w:sz w:val="19"/>
                <w:szCs w:val="19"/>
                <w:color w:val="auto"/>
              </w:rPr>
            </w:pPr>
          </w:p>
        </w:tc>
        <w:tc>
          <w:tcPr>
            <w:tcW w:w="50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6"/>
              </w:rPr>
              <w:t>21,568</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28,422</w:t>
            </w:r>
          </w:p>
        </w:tc>
        <w:tc>
          <w:tcPr>
            <w:tcW w:w="4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31,676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 </w:t>
      </w:r>
      <w:r>
        <w:rPr>
          <w:rFonts w:ascii="Times New Roman" w:cs="Times New Roman" w:eastAsia="Times New Roman" w:hAnsi="Times New Roman"/>
          <w:sz w:val="18"/>
          <w:szCs w:val="18"/>
          <w:color w:val="auto"/>
        </w:rPr>
        <w:t>Property and equipment is recorded at cost or the fair value on the date of acquisition (for property and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in a business combination). Depreciation is computed using the straight-line method. Estimated useful lives are 15 to 40 years for buildings and improvements, and 3 to 40 years for machinery, fixtures and equipment.</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property and equipment are as follows (amounts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9"/>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18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7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42,840</w:t>
            </w:r>
          </w:p>
        </w:tc>
        <w:tc>
          <w:tcPr>
            <w:tcW w:w="240" w:type="dxa"/>
            <w:vAlign w:val="bottom"/>
            <w:shd w:val="clear" w:color="auto" w:fill="E5FFFF"/>
          </w:tcPr>
          <w:p>
            <w:pPr>
              <w:spacing w:after="0"/>
              <w:rPr>
                <w:sz w:val="18"/>
                <w:szCs w:val="18"/>
                <w:color w:val="auto"/>
              </w:rPr>
            </w:pPr>
          </w:p>
        </w:tc>
        <w:tc>
          <w:tcPr>
            <w:tcW w:w="2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34,112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17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371,405</w:t>
            </w: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318,399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98,722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94,010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7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545,806</w:t>
            </w: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470,547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9"/>
              </w:rPr>
              <w:t>(273,777)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6"/>
              </w:rPr>
              <w:t>(259,864)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7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272,029</w:t>
            </w:r>
          </w:p>
        </w:tc>
        <w:tc>
          <w:tcPr>
            <w:tcW w:w="24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210,683</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E5FFFF"/>
            </w:tcBorders>
          </w:tcPr>
          <w:p>
            <w:pPr>
              <w:spacing w:after="0" w:line="20" w:lineRule="exact"/>
              <w:rPr>
                <w:sz w:val="1"/>
                <w:szCs w:val="1"/>
                <w:color w:val="auto"/>
              </w:rPr>
            </w:pPr>
          </w:p>
        </w:tc>
        <w:tc>
          <w:tcPr>
            <w:tcW w:w="17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360-05, the Company reviews its long-lived assets, consisting of property and equipment, equity method investments and operating lease right-of-use assets, for impairment whenever events or changes in circumstances indicate the carrying amount of the asset may not be recoverable. The Company assesses long-lived assets for impairment by first determining the forecasted, undiscounted cash flows the asset group is expected to generate. If this total is less than the carrying value of the asset, the Company will then determine the fair value of the asset group. An impairment loss would be recognized in the amount by which the carrying amount of the asset</w:t>
      </w:r>
    </w:p>
    <w:p>
      <w:pPr>
        <w:spacing w:after="0" w:line="35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117" w:right="339" w:bottom="1440" w:gutter="0" w:footer="0" w:header="0"/>
        </w:sectPr>
      </w:pPr>
    </w:p>
    <w:bookmarkStart w:id="39" w:name="page40"/>
    <w:bookmarkEnd w:id="39"/>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exceeded the fair value of the asset. Significant management judgement is required to determine the fair value of long-lived assets, which includes discounted cash flows. Such estimates could be significantly affected by future changes in market conditions. The Company recorded no impairment charges in fiscal years 2025, 2024, and 2023.</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Depreciation expense was approximately $15.3 million, $15.9 million, and $17.8 million in fiscal years 2025, 2024, and 2023, respectively.</w:t>
      </w:r>
    </w:p>
    <w:p>
      <w:pPr>
        <w:spacing w:after="0" w:line="221" w:lineRule="exact"/>
        <w:rPr>
          <w:sz w:val="20"/>
          <w:szCs w:val="20"/>
          <w:color w:val="auto"/>
        </w:rPr>
      </w:pPr>
    </w:p>
    <w:p>
      <w:pPr>
        <w:jc w:val="both"/>
        <w:ind w:lef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 </w:t>
      </w:r>
      <w:r>
        <w:rPr>
          <w:rFonts w:ascii="Times New Roman" w:cs="Times New Roman" w:eastAsia="Times New Roman" w:hAnsi="Times New Roman"/>
          <w:sz w:val="18"/>
          <w:szCs w:val="18"/>
          <w:color w:val="auto"/>
        </w:rPr>
        <w:t>The Company has lease agreements, as lessee, for railcars. All the leases are accounted for as operating leases. The lease agreements do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 a specified implicit interest rate; therefore, the Company’s estimated incremental borrowing rate was used to determine the present value of future minimum lease payments. The lease term for all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available pursuant to ASC 842 for lessees to include both lease and non-lease components as a single component and account for it as a lease. In general, certain maintenance costs are the responsibility of the Company under its railcar leases. These maintenance costs are a non-lease component which the Company elected to combine with rental payments and account for the total amount as operating lease expense.</w:t>
      </w:r>
    </w:p>
    <w:p>
      <w:pPr>
        <w:spacing w:after="0" w:line="180" w:lineRule="exact"/>
        <w:rPr>
          <w:sz w:val="20"/>
          <w:szCs w:val="20"/>
          <w:color w:val="auto"/>
        </w:rPr>
      </w:pPr>
    </w:p>
    <w:p>
      <w:pPr>
        <w:jc w:val="both"/>
        <w:ind w:left="40"/>
        <w:spacing w:after="0" w:line="261" w:lineRule="auto"/>
        <w:rPr>
          <w:sz w:val="20"/>
          <w:szCs w:val="20"/>
          <w:color w:val="auto"/>
        </w:rPr>
      </w:pPr>
      <w:r>
        <w:rPr>
          <w:rFonts w:ascii="Times New Roman" w:cs="Times New Roman" w:eastAsia="Times New Roman" w:hAnsi="Times New Roman"/>
          <w:sz w:val="18"/>
          <w:szCs w:val="18"/>
          <w:color w:val="auto"/>
        </w:rPr>
        <w:t>The Company has one lease agreement that was classified as a finance lease for an electrical substation facility. The lease term for this lease includes the noncancelable period of the lease and any periods for which only the Company has the option to cancel but is reasonably expected to continue the lease. Based on this, the lease term was determined to be 10 years. A discount rate of 6.9% was deemed appropriate as an incremental borrowing rate for a 10-year term.</w:t>
      </w:r>
    </w:p>
    <w:p>
      <w:pPr>
        <w:spacing w:after="0" w:line="176"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 </w:t>
      </w:r>
      <w:r>
        <w:rPr>
          <w:rFonts w:ascii="Times New Roman" w:cs="Times New Roman" w:eastAsia="Times New Roman" w:hAnsi="Times New Roman"/>
          <w:sz w:val="18"/>
          <w:szCs w:val="18"/>
          <w:color w:val="auto"/>
        </w:rPr>
        <w:t>The method of accounting applied to long-term investments, whether consolidated, equity or cost, involves an evaluation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limited liability companies in which it may have a less than 20% ownership interest, using the equity method of accounting when the factors discussed in ASC 323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using the equity method of accounting and includes the results of Big River on a delayed basis of one month as it has a fiscal year end of December 31.</w:t>
      </w:r>
    </w:p>
    <w:p>
      <w:pPr>
        <w:spacing w:after="0" w:line="192" w:lineRule="exact"/>
        <w:rPr>
          <w:sz w:val="20"/>
          <w:szCs w:val="20"/>
          <w:color w:val="auto"/>
        </w:rPr>
      </w:pPr>
    </w:p>
    <w:p>
      <w:pPr>
        <w:jc w:val="both"/>
        <w:ind w:left="40"/>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its investments for impairment due to declines in market value considered to be other than temporary. Such impairment evaluations include, in addition to persistent, declining market prices,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80" w:lineRule="exact"/>
        <w:rPr>
          <w:sz w:val="20"/>
          <w:szCs w:val="20"/>
          <w:color w:val="auto"/>
        </w:rPr>
      </w:pPr>
    </w:p>
    <w:p>
      <w:pPr>
        <w:ind w:left="40" w:right="140"/>
        <w:spacing w:after="0" w:line="282" w:lineRule="auto"/>
        <w:rPr>
          <w:sz w:val="20"/>
          <w:szCs w:val="20"/>
          <w:color w:val="auto"/>
        </w:rPr>
      </w:pPr>
      <w:r>
        <w:rPr>
          <w:rFonts w:ascii="Times New Roman" w:cs="Times New Roman" w:eastAsia="Times New Roman" w:hAnsi="Times New Roman"/>
          <w:sz w:val="18"/>
          <w:szCs w:val="18"/>
          <w:color w:val="auto"/>
        </w:rPr>
        <w:t>Short-term investments, consisting of U.S. government obligations, are considered held-to-maturity, and therefore are carried at amortized historical cost.</w:t>
      </w:r>
    </w:p>
    <w:p>
      <w:pPr>
        <w:spacing w:after="0" w:line="158" w:lineRule="exact"/>
        <w:rPr>
          <w:sz w:val="20"/>
          <w:szCs w:val="20"/>
          <w:color w:val="auto"/>
        </w:rPr>
      </w:pPr>
    </w:p>
    <w:p>
      <w:pPr>
        <w:jc w:val="both"/>
        <w:ind w:lef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w:t>
      </w:r>
      <w:r>
        <w:rPr>
          <w:rFonts w:ascii="Times New Roman" w:cs="Times New Roman" w:eastAsia="Times New Roman" w:hAnsi="Times New Roman"/>
          <w:sz w:val="18"/>
          <w:szCs w:val="18"/>
          <w:color w:val="auto"/>
        </w:rPr>
        <w:t>The Company recognizes sales of ethanol, distillers grains and distillers corn oil when obligations under the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contracts with customers are satisfied; this occurs with the transfer of control of products, generally upon shipment from the ethanol plant or upon loading of the rail car used to transport the products.</w:t>
      </w:r>
    </w:p>
    <w:p>
      <w:pPr>
        <w:spacing w:after="0" w:line="171" w:lineRule="exact"/>
        <w:rPr>
          <w:sz w:val="20"/>
          <w:szCs w:val="20"/>
          <w:color w:val="auto"/>
        </w:rPr>
      </w:pPr>
    </w:p>
    <w:p>
      <w:pPr>
        <w:jc w:val="both"/>
        <w:ind w:lef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 </w:t>
      </w:r>
      <w:r>
        <w:rPr>
          <w:rFonts w:ascii="Times New Roman" w:cs="Times New Roman" w:eastAsia="Times New Roman" w:hAnsi="Times New Roman"/>
          <w:sz w:val="18"/>
          <w:szCs w:val="18"/>
          <w:color w:val="auto"/>
        </w:rPr>
        <w:t>Cost of sales includes depreciation, costs of raw materials, third-party freight charges, purchasing and receiving costs, inspection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other distribution expenses, warehousing costs, plant repair and maintenance costs, production labor and related payroll costs, and general facility overhead charges.</w:t>
      </w:r>
    </w:p>
    <w:p>
      <w:pPr>
        <w:spacing w:after="0" w:line="13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154305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720" w:top="121"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SG&amp;A Expenses – </w:t>
      </w:r>
      <w:r>
        <w:rPr>
          <w:rFonts w:ascii="Times New Roman" w:cs="Times New Roman" w:eastAsia="Times New Roman" w:hAnsi="Times New Roman"/>
          <w:sz w:val="18"/>
          <w:szCs w:val="18"/>
          <w:color w:val="auto"/>
        </w:rPr>
        <w:t>The Company includes non-production related costs such as professional fees, selling charges, operating lease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payroll in SG&amp;A expenses.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 Certain of the forward corn purchase and ethanol, distillers grains and distillers corn oil sale contracts are accounted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“normal purchases and normal sales” scope exemption of ASC 815 because these arrangements are for purchases of grain that will be delivered in quantities expected to be used and sales of ethanol, distillers grains and distillers corn oil that will be produced in quantities expected to be sold by us over a reasonable period of time in the normal course of business. During fiscal years 2025, 2024, and 2023 there were no material settlements of forward contracts that were recorded at fair value. The Company recorded an asset and liability of $0.3 million and $0.5 million, respectively, associated with contracts not accounted for under the “normal purchases and normal sales” scope exception of ASC 815 at January 31, 2026. The Company recorded an asset and liability of $1.3 million and $0.4 million, respectively, associated with contracts not accounted for under the “normal purchases and normal sales” scope exception of ASC 815 at January 31, 2025.</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derivative financial instruments (exchange-traded futures contracts and swaps) to manage a portion of the risk associated with changes in commodity prices, primarily related to corn and ethanol.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 The Company had a stock-based compensation plan, approved by its shareholders, which reserved a total of 3,300,000 split-adjusted shares of common stock for issuance pursuant to its terms. The plan provided for the granting of shares of stock, including options to purchase shares of common stock, stock appreciation rights tied to the value of common stock, restricted stock, and restricted stock unit awards to eligible employees, non-employee directors and consultants. The Company measures share-based compensation grants at fair value on the grant date, adjusted for estimated forfeitures. The Company records noncash compensation expense related to equity and liability awards in its consolidated financial statements over the requisite service period on a straight-line basis. See Note 10 for a further discussion of restricted stock.</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 As part of the Coronavirus Aid, Relief, and Economic Security Act, passed in 2020, $700 million in funds were made available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Department of Agriculture to distribute to impacted producers of ethanol, biodiesel, and other renewable fuels under the Biofuel Producer Program. The U.S. Department of Agriculture (“USDA”) distributed funds to applicants in May 2022. Our consolidated plants received a total of approximately $1.0 million in fiscal year 2023 which was recorded within “Interest and other income, net” in the Consolidated Statements of Operations. The Company has no further reporting or other obligations related to the receipt of these funds.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Company provides for deferred tax liabilities and assets for the future tax consequences attributable to differences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 carrying amounts of existing assets and liabilities and their respective tax bases and operating loss and tax credit carryforwards. The Company provides for a valuation allowance if, based on the weight of available positive and negative evidence, it is more likely than not that some or all of the deferred tax assets will not be realized.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that it qualifies for clean fuel production tax credits allowable under the IRA and OBBBA. The Company elected to account for the nonrefundable, transferable tax credits under ASC 740. The credits are recognized as a tax benefit in the period in which production occurs, and the product is sold in a qualifying manner. The tax benefit recognized is determined based on the Company’s CI score to date. The Company intends on utilizing the tax credits earned in 2025 to offset taxes due and payable. The credits are recorded within income tax benefit (provision) on the consolidated statements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w:t>
      </w:r>
      <w:r>
        <w:rPr>
          <w:rFonts w:ascii="Times New Roman" w:cs="Times New Roman" w:eastAsia="Times New Roman" w:hAnsi="Times New Roman"/>
          <w:sz w:val="18"/>
          <w:szCs w:val="18"/>
          <w:color w:val="auto"/>
        </w:rPr>
        <w:t>– The Company has no components of other comprehensive income, and therefore, comprehensive income equals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154305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117" w:right="339" w:bottom="1440" w:gutter="0" w:footer="0" w:header="0"/>
        </w:sectPr>
      </w:pPr>
    </w:p>
    <w:bookmarkStart w:id="41" w:name="page42"/>
    <w:bookmarkEnd w:id="41"/>
    <w:p>
      <w:pPr>
        <w:jc w:val="both"/>
        <w:ind w:lef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 </w:t>
      </w:r>
      <w:r>
        <w:rPr>
          <w:rFonts w:ascii="Times New Roman" w:cs="Times New Roman" w:eastAsia="Times New Roman" w:hAnsi="Times New Roman"/>
          <w:sz w:val="18"/>
          <w:szCs w:val="18"/>
          <w:color w:val="auto"/>
        </w:rPr>
        <w:t>In December 2023, the FASB issued ASU 2023-09, “Income Taxes (Topic 740): Improvements to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Disclosures”, to enhance the transparency and decision usefulness of income tax disclosures. This ASU was effective for all entities that are subject to Topic 740 for fiscal years beginning after December 15, 2024. The Company adopted this guidance for the fiscal-year ended January 31, 2026. See Note 16 included in the notes to the audited consolidated financial statements for more information on our income tax disclosures.</w:t>
      </w:r>
    </w:p>
    <w:p>
      <w:pPr>
        <w:spacing w:after="0" w:line="180"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which provides clarity in assessing an entity’s performance and prospects for future cash flows by disclosure of more detailed information about the types of expenses in commonly presented expense captions. ASU 2024-03 is effective for the Company’s fiscal year-ended January 31, 2028. Early adoption is permitted. The Company is currently evaluating the impact of this ASU.</w:t>
      </w:r>
    </w:p>
    <w:p>
      <w:pPr>
        <w:spacing w:after="0" w:line="180"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2025-10, “Accounting for Government Grants Received by Business Entities”, which establishes a unified accounting model for business entities when recognizing, measuring, and presenting government grants. The ASU categorizes grants as either related to an asset or related to income. A grant related to income is recognized in earnings in a systematic and rational manner over the periods in which the entity recognizes the related expenses. Presentation of the grant on the income statement can be either as a component of other income or as a deduction from the related expenses. The standard is effective for annual periods beginning after December 15, 2028. However, the ASU permits early adoption. The Company is still assessing the impact on its financial statements, including the presentation of its Section 45Z production tax credits.</w:t>
      </w:r>
    </w:p>
    <w:p>
      <w:pPr>
        <w:spacing w:after="0" w:line="185"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 AND REVENUE</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179" w:lineRule="exact"/>
        <w:rPr>
          <w:rFonts w:ascii="Times New Roman" w:cs="Times New Roman" w:eastAsia="Times New Roman" w:hAnsi="Times New Roman"/>
          <w:sz w:val="18"/>
          <w:szCs w:val="18"/>
          <w:b w:val="1"/>
          <w:bCs w:val="1"/>
          <w:color w:val="auto"/>
        </w:rPr>
      </w:pPr>
    </w:p>
    <w:p>
      <w:pPr>
        <w:jc w:val="both"/>
        <w:ind w:left="4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sales contracts in which payment is due from a customer prior to transferring product to the customer. Thus, the Company does not record unearned revenue.</w:t>
      </w:r>
    </w:p>
    <w:p>
      <w:pPr>
        <w:spacing w:after="0" w:line="17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disaggregated revenue by product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18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0" w:type="dxa"/>
            <w:vAlign w:val="bottom"/>
            <w:gridSpan w:val="2"/>
            <w:shd w:val="clear" w:color="auto" w:fill="E5FF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Sales of products:</w:t>
            </w:r>
          </w:p>
        </w:tc>
        <w:tc>
          <w:tcPr>
            <w:tcW w:w="1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Ethanol</w:t>
            </w:r>
          </w:p>
        </w:tc>
        <w:tc>
          <w:tcPr>
            <w:tcW w:w="2860" w:type="dxa"/>
            <w:vAlign w:val="bottom"/>
            <w:tcBorders>
              <w:top w:val="single" w:sz="8" w:color="E5FFFF"/>
            </w:tcBorders>
          </w:tcPr>
          <w:p>
            <w:pPr>
              <w:spacing w:after="0"/>
              <w:rPr>
                <w:sz w:val="24"/>
                <w:szCs w:val="24"/>
                <w:color w:val="auto"/>
              </w:rPr>
            </w:pPr>
          </w:p>
        </w:tc>
        <w:tc>
          <w:tcPr>
            <w:tcW w:w="134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E5FF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504,416</w:t>
            </w:r>
          </w:p>
        </w:tc>
        <w:tc>
          <w:tcPr>
            <w:tcW w:w="680" w:type="dxa"/>
            <w:vAlign w:val="bottom"/>
            <w:tcBorders>
              <w:top w:val="single" w:sz="8" w:color="E5FF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E5FF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496,411</w:t>
            </w:r>
          </w:p>
        </w:tc>
        <w:tc>
          <w:tcPr>
            <w:tcW w:w="280" w:type="dxa"/>
            <w:vAlign w:val="bottom"/>
            <w:tcBorders>
              <w:top w:val="single" w:sz="8" w:color="E5FFFF"/>
            </w:tcBorders>
          </w:tcPr>
          <w:p>
            <w:pPr>
              <w:spacing w:after="0"/>
              <w:rPr>
                <w:sz w:val="24"/>
                <w:szCs w:val="24"/>
                <w:color w:val="auto"/>
              </w:rPr>
            </w:pPr>
          </w:p>
        </w:tc>
        <w:tc>
          <w:tcPr>
            <w:tcW w:w="40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E5FF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635,420</w:t>
            </w:r>
          </w:p>
        </w:tc>
        <w:tc>
          <w:tcPr>
            <w:tcW w:w="80" w:type="dxa"/>
            <w:vAlign w:val="bottom"/>
            <w:tcBorders>
              <w:top w:val="single" w:sz="8" w:color="E5FFFF"/>
            </w:tcBorders>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Dried distillers grains</w:t>
            </w:r>
          </w:p>
        </w:tc>
        <w:tc>
          <w:tcPr>
            <w:tcW w:w="1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88,156</w:t>
            </w:r>
          </w:p>
        </w:tc>
        <w:tc>
          <w:tcPr>
            <w:tcW w:w="5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101,432</w:t>
            </w:r>
          </w:p>
        </w:tc>
        <w:tc>
          <w:tcPr>
            <w:tcW w:w="2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139,173</w:t>
            </w: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Distillers corn oil</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52,382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52,935</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Modified distillers grains</w:t>
            </w:r>
          </w:p>
        </w:tc>
        <w:tc>
          <w:tcPr>
            <w:tcW w:w="1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5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2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financial instruments (losses) gains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sales</w:t>
            </w:r>
          </w:p>
        </w:tc>
        <w:tc>
          <w:tcPr>
            <w:tcW w:w="1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650,487</w:t>
            </w: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642,491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833,384</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1340" w:type="dxa"/>
            <w:vAlign w:val="bottom"/>
            <w:tcBorders>
              <w:bottom w:val="single" w:sz="8" w:color="C0C0C0"/>
            </w:tcBorders>
          </w:tcPr>
          <w:p>
            <w:pPr>
              <w:spacing w:after="0"/>
              <w:rPr>
                <w:sz w:val="21"/>
                <w:szCs w:val="21"/>
                <w:color w:val="auto"/>
              </w:rPr>
            </w:pPr>
          </w:p>
        </w:tc>
        <w:tc>
          <w:tcPr>
            <w:tcW w:w="2860" w:type="dxa"/>
            <w:vAlign w:val="bottom"/>
            <w:tcBorders>
              <w:bottom w:val="single" w:sz="8" w:color="C0C0C0"/>
            </w:tcBorders>
          </w:tcPr>
          <w:p>
            <w:pPr>
              <w:spacing w:after="0"/>
              <w:rPr>
                <w:sz w:val="21"/>
                <w:szCs w:val="21"/>
                <w:color w:val="auto"/>
              </w:rPr>
            </w:pPr>
          </w:p>
        </w:tc>
        <w:tc>
          <w:tcPr>
            <w:tcW w:w="118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5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8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2" w:name="page43"/>
    <w:bookmarkEnd w:id="42"/>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Equity Method Investment in Big River</w:t>
      </w:r>
    </w:p>
    <w:p>
      <w:pPr>
        <w:spacing w:after="0" w:line="229" w:lineRule="exact"/>
        <w:rPr>
          <w:rFonts w:ascii="Times New Roman" w:cs="Times New Roman" w:eastAsia="Times New Roman" w:hAnsi="Times New Roman"/>
          <w:sz w:val="18"/>
          <w:szCs w:val="18"/>
          <w:b w:val="1"/>
          <w:bCs w:val="1"/>
          <w:color w:val="auto"/>
        </w:rPr>
      </w:pPr>
    </w:p>
    <w:p>
      <w:pPr>
        <w:ind w:left="4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equity method investment in Big River Resources, LLC (“Big River”) is accounted for under ASC 323. The following table summarizes the investment (amounts in thousands):</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2400" w:type="dxa"/>
            <w:vAlign w:val="bottom"/>
            <w:gridSpan w:val="2"/>
          </w:tcPr>
          <w:p>
            <w:pPr>
              <w:spacing w:after="0"/>
              <w:rPr>
                <w:sz w:val="17"/>
                <w:szCs w:val="17"/>
                <w:color w:val="auto"/>
              </w:rPr>
            </w:pPr>
          </w:p>
        </w:tc>
        <w:tc>
          <w:tcPr>
            <w:tcW w:w="3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2026</w:t>
            </w:r>
          </w:p>
        </w:tc>
        <w:tc>
          <w:tcPr>
            <w:tcW w:w="12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24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88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37,759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Ownership percentage</w:t>
            </w:r>
          </w:p>
        </w:tc>
        <w:tc>
          <w:tcPr>
            <w:tcW w:w="2880" w:type="dxa"/>
            <w:vAlign w:val="bottom"/>
            <w:gridSpan w:val="4"/>
          </w:tcPr>
          <w:p>
            <w:pPr>
              <w:ind w:left="2400"/>
              <w:spacing w:after="0"/>
              <w:rPr>
                <w:sz w:val="20"/>
                <w:szCs w:val="20"/>
                <w:color w:val="auto"/>
              </w:rPr>
            </w:pPr>
            <w:r>
              <w:rPr>
                <w:rFonts w:ascii="Times New Roman" w:cs="Times New Roman" w:eastAsia="Times New Roman" w:hAnsi="Times New Roman"/>
                <w:sz w:val="18"/>
                <w:szCs w:val="18"/>
                <w:color w:val="auto"/>
                <w:w w:val="98"/>
              </w:rPr>
              <w:t>10.3%</w:t>
            </w:r>
          </w:p>
        </w:tc>
        <w:tc>
          <w:tcPr>
            <w:tcW w:w="102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w w:val="98"/>
              </w:rPr>
              <w:t>10.3%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8"/>
          <w:szCs w:val="18"/>
          <w:color w:val="auto"/>
        </w:rPr>
        <w:t>The Company invested approximately $20.0 million in Big River which is a holding company for several entities. Big River, through its various entities (both wholly and partially owned), operates four ethanol manufacturing facilities that combined shipped approximately 432.3 million gallons of ethanol in the twelve months ended January 31, 2026. The Company recorded income of approximately $12.5 million, $9.4 million, and $13.9 million as its share of earnings from Big River during fiscal years 2025, 2024, and 2023, respectively. The Company received dividends of approximately $10.5 million, $8.5 million, and $12.0 million from Big River during fiscal years 2025, 2024, and 2023, respectively. At January 31, 2026, the carrying value of the investment in Big River was approximately $37.8 million; the amount of underlying equity in the net assets of Big River was approximately $41.0 million.</w:t>
      </w:r>
    </w:p>
    <w:p>
      <w:pPr>
        <w:spacing w:after="0" w:line="189"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equity method investee as of and for its fiscal year end is presented in the following tables (amounts in thousands):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3"/>
          </w:tcPr>
          <w:p>
            <w:pPr>
              <w:jc w:val="right"/>
              <w:ind w:right="34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740" w:type="dxa"/>
            <w:vAlign w:val="bottom"/>
            <w:gridSpan w:val="2"/>
            <w:shd w:val="clear" w:color="auto" w:fill="E5FF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346,342</w:t>
            </w:r>
          </w:p>
        </w:tc>
        <w:tc>
          <w:tcPr>
            <w:tcW w:w="860" w:type="dxa"/>
            <w:vAlign w:val="bottom"/>
            <w:gridSpan w:val="2"/>
            <w:shd w:val="clear" w:color="auto" w:fill="E5FF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300,492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Non current assets</w:t>
            </w:r>
          </w:p>
        </w:tc>
        <w:tc>
          <w:tcPr>
            <w:tcW w:w="25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181,506</w:t>
            </w:r>
          </w:p>
        </w:tc>
        <w:tc>
          <w:tcPr>
            <w:tcW w:w="58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181,235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54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527,848</w:t>
            </w:r>
          </w:p>
        </w:tc>
        <w:tc>
          <w:tcPr>
            <w:tcW w:w="58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481,727</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7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85,296</w:t>
            </w:r>
          </w:p>
        </w:tc>
        <w:tc>
          <w:tcPr>
            <w:tcW w:w="8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89,409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5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58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5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97,343</w:t>
            </w:r>
          </w:p>
        </w:tc>
        <w:tc>
          <w:tcPr>
            <w:tcW w:w="5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101,644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Members’ capital</w:t>
            </w:r>
          </w:p>
        </w:tc>
        <w:tc>
          <w:tcPr>
            <w:tcW w:w="2740" w:type="dxa"/>
            <w:vAlign w:val="bottom"/>
            <w:gridSpan w:val="2"/>
            <w:shd w:val="clear" w:color="auto" w:fill="E5FF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398,006</w:t>
            </w:r>
          </w:p>
        </w:tc>
        <w:tc>
          <w:tcPr>
            <w:tcW w:w="860" w:type="dxa"/>
            <w:vAlign w:val="bottom"/>
            <w:gridSpan w:val="2"/>
            <w:shd w:val="clear" w:color="auto" w:fill="E5FF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356,340</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54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58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23,743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members’ equity</w:t>
            </w:r>
          </w:p>
        </w:tc>
        <w:tc>
          <w:tcPr>
            <w:tcW w:w="254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430,505</w:t>
            </w:r>
          </w:p>
        </w:tc>
        <w:tc>
          <w:tcPr>
            <w:tcW w:w="58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380,083</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gridSpan w:val="2"/>
          </w:tcPr>
          <w:p>
            <w:pPr>
              <w:jc w:val="right"/>
              <w:ind w:right="900"/>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44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2023</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0" w:type="dxa"/>
            <w:vAlign w:val="bottom"/>
            <w:vMerge w:val="restart"/>
          </w:tcPr>
          <w:p>
            <w:pPr>
              <w:spacing w:after="0"/>
              <w:rPr>
                <w:sz w:val="21"/>
                <w:szCs w:val="21"/>
                <w:color w:val="auto"/>
              </w:rPr>
            </w:pPr>
          </w:p>
        </w:tc>
        <w:tc>
          <w:tcPr>
            <w:tcW w:w="3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200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1,007,906</w:t>
            </w:r>
          </w:p>
        </w:tc>
        <w:tc>
          <w:tcPr>
            <w:tcW w:w="94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520"/>
              <w:spacing w:after="0"/>
              <w:rPr>
                <w:sz w:val="20"/>
                <w:szCs w:val="20"/>
                <w:color w:val="auto"/>
              </w:rPr>
            </w:pPr>
            <w:r>
              <w:rPr>
                <w:rFonts w:ascii="Times New Roman" w:cs="Times New Roman" w:eastAsia="Times New Roman" w:hAnsi="Times New Roman"/>
                <w:sz w:val="18"/>
                <w:szCs w:val="18"/>
                <w:color w:val="auto"/>
                <w:w w:val="99"/>
              </w:rPr>
              <w:t>1,021,561</w:t>
            </w:r>
          </w:p>
        </w:tc>
        <w:tc>
          <w:tcPr>
            <w:tcW w:w="44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1,379,651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118,143</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117,159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160,549</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00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15,608</w:t>
            </w:r>
          </w:p>
        </w:tc>
        <w:tc>
          <w:tcPr>
            <w:tcW w:w="94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520"/>
              <w:spacing w:after="0"/>
              <w:rPr>
                <w:sz w:val="20"/>
                <w:szCs w:val="20"/>
                <w:color w:val="auto"/>
              </w:rPr>
            </w:pPr>
            <w:r>
              <w:rPr>
                <w:rFonts w:ascii="Times New Roman" w:cs="Times New Roman" w:eastAsia="Times New Roman" w:hAnsi="Times New Roman"/>
                <w:sz w:val="18"/>
                <w:szCs w:val="18"/>
                <w:color w:val="auto"/>
              </w:rPr>
              <w:t>20,314</w:t>
            </w:r>
          </w:p>
        </w:tc>
        <w:tc>
          <w:tcPr>
            <w:tcW w:w="44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26,142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140,484</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108,778</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155,116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members</w:t>
            </w:r>
          </w:p>
        </w:tc>
        <w:tc>
          <w:tcPr>
            <w:tcW w:w="200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119,448</w:t>
            </w:r>
          </w:p>
        </w:tc>
        <w:tc>
          <w:tcPr>
            <w:tcW w:w="94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520"/>
              <w:spacing w:after="0"/>
              <w:rPr>
                <w:sz w:val="20"/>
                <w:szCs w:val="20"/>
                <w:color w:val="auto"/>
              </w:rPr>
            </w:pPr>
            <w:r>
              <w:rPr>
                <w:rFonts w:ascii="Times New Roman" w:cs="Times New Roman" w:eastAsia="Times New Roman" w:hAnsi="Times New Roman"/>
                <w:sz w:val="18"/>
                <w:szCs w:val="18"/>
                <w:color w:val="auto"/>
              </w:rPr>
              <w:t>93,321</w:t>
            </w:r>
          </w:p>
        </w:tc>
        <w:tc>
          <w:tcPr>
            <w:tcW w:w="44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135,012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3840" w:type="dxa"/>
            <w:vAlign w:val="bottom"/>
            <w:tcBorders>
              <w:bottom w:val="single" w:sz="8" w:color="C0C0C0"/>
            </w:tcBorders>
          </w:tcPr>
          <w:p>
            <w:pPr>
              <w:spacing w:after="0"/>
              <w:rPr>
                <w:sz w:val="21"/>
                <w:szCs w:val="21"/>
                <w:color w:val="auto"/>
              </w:rPr>
            </w:pPr>
          </w:p>
        </w:tc>
        <w:tc>
          <w:tcPr>
            <w:tcW w:w="200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94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3" w:name="page44"/>
    <w:bookmarkEnd w:id="43"/>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Big River has debt agreements that limit and restrict amounts the entity can pay in the form of dividends or advances to owners. The restricted net assets of Big River at January 31, 2026 are approximately $144.1 million; the Company’s proportionate share of restricted net assets of Big River is approximately $14.9 million.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ind w:left="420" w:right="20"/>
        <w:spacing w:after="0" w:line="266" w:lineRule="auto"/>
        <w:rPr>
          <w:sz w:val="20"/>
          <w:szCs w:val="20"/>
          <w:color w:val="auto"/>
        </w:rPr>
      </w:pPr>
      <w:r>
        <w:rPr>
          <w:rFonts w:ascii="Times New Roman" w:cs="Times New Roman" w:eastAsia="Times New Roman" w:hAnsi="Times New Roman"/>
          <w:sz w:val="18"/>
          <w:szCs w:val="18"/>
          <w:color w:val="auto"/>
        </w:rPr>
        <w:t>At January 31, 2026, the Company owned United States Treasury Bills (classified as short-term investments) that had an amortized cost, or carrying value, of approximately $187.0 million. The contractual maturity of these investments was less than one year. The yield to maturity rate was approximately 3.8%. Unrecognized holding losses at January 31, 2026 were approximately $52,000.</w:t>
      </w:r>
    </w:p>
    <w:p>
      <w:pPr>
        <w:spacing w:after="0" w:line="176" w:lineRule="exact"/>
        <w:rPr>
          <w:sz w:val="20"/>
          <w:szCs w:val="20"/>
          <w:color w:val="auto"/>
        </w:rPr>
      </w:pPr>
    </w:p>
    <w:p>
      <w:pPr>
        <w:jc w:val="both"/>
        <w:ind w:left="420" w:right="20"/>
        <w:spacing w:after="0" w:line="266" w:lineRule="auto"/>
        <w:rPr>
          <w:sz w:val="20"/>
          <w:szCs w:val="20"/>
          <w:color w:val="auto"/>
        </w:rPr>
      </w:pPr>
      <w:r>
        <w:rPr>
          <w:rFonts w:ascii="Times New Roman" w:cs="Times New Roman" w:eastAsia="Times New Roman" w:hAnsi="Times New Roman"/>
          <w:sz w:val="18"/>
          <w:szCs w:val="18"/>
          <w:color w:val="auto"/>
        </w:rPr>
        <w:t>At January 31, 2025, the Company owned United States Treasury Bills (classified as short-term investments) that had an amortized cost, or carrying value, of approximately $162.8 million. The contractual maturity of these investments was less than one year. The yield to maturity rate was approximately 4.4%. Unrecognized holding losses at January 31, 2025 were approximately $19,000.</w:t>
      </w:r>
    </w:p>
    <w:p>
      <w:pPr>
        <w:spacing w:after="0" w:line="172"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5"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financial instruments at fair value.</w:t>
      </w:r>
    </w:p>
    <w:p>
      <w:pPr>
        <w:spacing w:after="0" w:line="180" w:lineRule="exact"/>
        <w:rPr>
          <w:sz w:val="20"/>
          <w:szCs w:val="20"/>
          <w:color w:val="auto"/>
        </w:rPr>
      </w:pPr>
    </w:p>
    <w:p>
      <w:pPr>
        <w:jc w:val="both"/>
        <w:ind w:left="440" w:firstLine="180"/>
        <w:spacing w:after="0" w:line="282" w:lineRule="auto"/>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 Level 1 assets and liabilities include derivative contracts that are traded in an active exchange market.</w:t>
      </w:r>
    </w:p>
    <w:p>
      <w:pPr>
        <w:spacing w:after="0" w:line="162" w:lineRule="exact"/>
        <w:rPr>
          <w:sz w:val="20"/>
          <w:szCs w:val="20"/>
          <w:color w:val="auto"/>
        </w:rPr>
      </w:pPr>
    </w:p>
    <w:p>
      <w:pPr>
        <w:jc w:val="both"/>
        <w:ind w:left="440" w:firstLine="180"/>
        <w:spacing w:after="0" w:line="261"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derivative contracts whose value is determined using a pricing model with inputs that are observable in the market or can be derived principally or corroborated by observable market data.</w:t>
      </w:r>
    </w:p>
    <w:p>
      <w:pPr>
        <w:spacing w:after="0" w:line="180" w:lineRule="exact"/>
        <w:rPr>
          <w:sz w:val="20"/>
          <w:szCs w:val="20"/>
          <w:color w:val="auto"/>
        </w:rPr>
      </w:pPr>
    </w:p>
    <w:p>
      <w:pPr>
        <w:jc w:val="both"/>
        <w:ind w:left="440" w:firstLine="180"/>
        <w:spacing w:after="0" w:line="261"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Level 3 assets and liabilities include financial instruments whose value is determined using pricing models, discounted cash flow methods, or similar techniques, as well as instruments for which the determination of fair value requires significant management judgment or estimation. Unobservable inputs are developed based on the best information available, which may include the Company’s own data.</w:t>
      </w:r>
    </w:p>
    <w:p>
      <w:pPr>
        <w:spacing w:after="0" w:line="180"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 The fair values of property and equipment are determined by using various models that discount future expected cash flows.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To ensure the prudent application of estimates and management judgment in determining the fair value of derivative assets and liabilities and property and equipment, various processes and controls have been adopted, which include: (i) model validation that requires a review and approval for pricing, financial statement fair value determination and risk quantification; and (ii) periodic review and substantiation of profit and loss reporting for all derivative instruments.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at January 31, 2026 on a recurring basis are summarized below (amounts in thousands):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17"/>
                <w:szCs w:val="17"/>
                <w:color w:val="auto"/>
              </w:rPr>
            </w:pPr>
          </w:p>
        </w:tc>
        <w:tc>
          <w:tcPr>
            <w:tcW w:w="5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7"/>
              </w:rPr>
              <w:t>Level 3</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Forward purchase contracts asset (1)</w:t>
            </w:r>
          </w:p>
        </w:tc>
        <w:tc>
          <w:tcPr>
            <w:tcW w:w="12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660" w:type="dxa"/>
            <w:vAlign w:val="bottom"/>
            <w:gridSpan w:val="2"/>
            <w:shd w:val="clear" w:color="auto" w:fill="E5FF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Commodity futures (2)</w:t>
            </w:r>
          </w:p>
        </w:tc>
        <w:tc>
          <w:tcPr>
            <w:tcW w:w="116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8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8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8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5FFFF"/>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purchase contracts liability (3)</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at January 31, 2025 on a recurring basis are summarized below (amounts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Forward purchase contracts asset (1)</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Commodity futures (2)</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Total Fair</w:t>
            </w: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7"/>
              </w:rPr>
              <w:t>Level 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3"/>
              </w:rPr>
              <w:t>Level 3</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3"/>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8"/>
        </w:trPr>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6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48"/>
        </w:trPr>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10"/>
        </w:trPr>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-453390</wp:posOffset>
            </wp:positionV>
            <wp:extent cx="606044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-170815</wp:posOffset>
            </wp:positionV>
            <wp:extent cx="606044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80" w:space="720"/>
            <w:col w:w="5640"/>
          </w:cols>
          <w:pgMar w:left="320" w:top="121" w:right="339" w:bottom="1440" w:gutter="0" w:footer="0" w:header="0"/>
          <w:type w:val="continuous"/>
        </w:sectPr>
      </w:pPr>
    </w:p>
    <w:p>
      <w:pPr>
        <w:ind w:left="440"/>
        <w:spacing w:after="0"/>
        <w:tabs>
          <w:tab w:leader="none" w:pos="5580" w:val="left"/>
          <w:tab w:leader="none" w:pos="6400" w:val="left"/>
          <w:tab w:leader="none" w:pos="6840" w:val="left"/>
          <w:tab w:leader="none" w:pos="7420" w:val="left"/>
          <w:tab w:leader="none" w:pos="8060" w:val="left"/>
          <w:tab w:leader="none" w:pos="8580" w:val="left"/>
          <w:tab w:leader="none" w:pos="9020" w:val="left"/>
          <w:tab w:leader="none" w:pos="9600" w:val="left"/>
        </w:tabs>
        <w:rPr>
          <w:sz w:val="20"/>
          <w:szCs w:val="20"/>
          <w:color w:val="auto"/>
        </w:rPr>
      </w:pPr>
      <w:r>
        <w:rPr>
          <w:rFonts w:ascii="Times New Roman" w:cs="Times New Roman" w:eastAsia="Times New Roman" w:hAnsi="Times New Roman"/>
          <w:sz w:val="18"/>
          <w:szCs w:val="18"/>
          <w:color w:val="auto"/>
        </w:rPr>
        <w:t>Forward purchase contracts liability (3)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378</w:t>
      </w:r>
    </w:p>
    <w:p>
      <w:pPr>
        <w:spacing w:after="0" w:line="225" w:lineRule="exact"/>
        <w:rPr>
          <w:sz w:val="20"/>
          <w:szCs w:val="20"/>
          <w:color w:val="auto"/>
        </w:rPr>
      </w:pPr>
    </w:p>
    <w:p>
      <w:pPr>
        <w:ind w:left="840" w:hanging="41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forward purchase contracts asset is included in “Prepaid expenses and other” on the accompanying Consolidated Balance Sheets.</w:t>
      </w:r>
    </w:p>
    <w:p>
      <w:pPr>
        <w:spacing w:after="0" w:line="225" w:lineRule="exact"/>
        <w:rPr>
          <w:rFonts w:ascii="Times New Roman" w:cs="Times New Roman" w:eastAsia="Times New Roman" w:hAnsi="Times New Roman"/>
          <w:sz w:val="18"/>
          <w:szCs w:val="18"/>
          <w:color w:val="auto"/>
        </w:rPr>
      </w:pPr>
    </w:p>
    <w:p>
      <w:pPr>
        <w:ind w:left="840" w:hanging="414"/>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futures liability is netted with cash collateral due from broker and included in “Prepaid expenses and other” on the accompanying Consolidated Balance Sheets.</w:t>
      </w:r>
    </w:p>
    <w:p>
      <w:pPr>
        <w:spacing w:after="0" w:line="161" w:lineRule="exact"/>
        <w:rPr>
          <w:rFonts w:ascii="Times New Roman" w:cs="Times New Roman" w:eastAsia="Times New Roman" w:hAnsi="Times New Roman"/>
          <w:sz w:val="18"/>
          <w:szCs w:val="18"/>
          <w:color w:val="auto"/>
        </w:rPr>
      </w:pPr>
    </w:p>
    <w:p>
      <w:pPr>
        <w:ind w:left="840" w:hanging="414"/>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forward purchase contracts liability is included in “Accrued expenses and other current liabilities” on the accompanying Consolidated Balance Sheets.</w:t>
      </w:r>
    </w:p>
    <w:p>
      <w:pPr>
        <w:spacing w:after="0" w:line="162"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No other financial instruments were elected to be measured at fair value in accordance with ASC 470-20-25-21. The carrying value of all other financial assets and liabilities approximate fair value.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assets measured at fair value at January 31, 2026 and 2025 on a non-recurring basis.</w:t>
      </w:r>
    </w:p>
    <w:p>
      <w:pPr>
        <w:spacing w:after="0" w:line="221"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other noncurrent assets are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8"/>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3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3,974</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4"/>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Prepaid utility equipment deposit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15,600</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37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5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4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660" w:type="dxa"/>
            <w:vAlign w:val="bottom"/>
            <w:gridSpan w:val="4"/>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1,121</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4,963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16,721</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3740" w:type="dxa"/>
            <w:vAlign w:val="bottom"/>
            <w:tcBorders>
              <w:bottom w:val="single" w:sz="8" w:color="C0C0C0"/>
            </w:tcBorders>
          </w:tcPr>
          <w:p>
            <w:pPr>
              <w:spacing w:after="0"/>
              <w:rPr>
                <w:sz w:val="21"/>
                <w:szCs w:val="21"/>
                <w:color w:val="auto"/>
              </w:rPr>
            </w:pPr>
          </w:p>
        </w:tc>
        <w:tc>
          <w:tcPr>
            <w:tcW w:w="216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294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45" w:name="page46"/>
    <w:bookmarkEnd w:id="45"/>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accrued expenses and other current liabilities are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8"/>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15,056</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4"/>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8,961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Accrued utility charges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6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0" w:type="dxa"/>
            <w:vAlign w:val="bottom"/>
            <w:gridSpan w:val="3"/>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5,563</w:t>
            </w:r>
          </w:p>
        </w:tc>
        <w:tc>
          <w:tcPr>
            <w:tcW w:w="120" w:type="dxa"/>
            <w:vAlign w:val="bottom"/>
            <w:shd w:val="clear" w:color="auto" w:fill="E5FFFF"/>
          </w:tcPr>
          <w:p>
            <w:pPr>
              <w:spacing w:after="0"/>
              <w:rPr>
                <w:sz w:val="18"/>
                <w:szCs w:val="18"/>
                <w:color w:val="auto"/>
              </w:rPr>
            </w:pPr>
          </w:p>
        </w:tc>
        <w:tc>
          <w:tcPr>
            <w:tcW w:w="660" w:type="dxa"/>
            <w:vAlign w:val="bottom"/>
            <w:gridSpan w:val="4"/>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Accrued transportation related items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Forward purchase contracts</w:t>
            </w:r>
          </w:p>
        </w:tc>
        <w:tc>
          <w:tcPr>
            <w:tcW w:w="16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0" w:type="dxa"/>
            <w:vAlign w:val="bottom"/>
            <w:gridSpan w:val="3"/>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E5FFFF"/>
          </w:tcPr>
          <w:p>
            <w:pPr>
              <w:spacing w:after="0"/>
              <w:rPr>
                <w:sz w:val="18"/>
                <w:szCs w:val="18"/>
                <w:color w:val="auto"/>
              </w:rPr>
            </w:pPr>
          </w:p>
        </w:tc>
        <w:tc>
          <w:tcPr>
            <w:tcW w:w="660" w:type="dxa"/>
            <w:vAlign w:val="bottom"/>
            <w:gridSpan w:val="4"/>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Accrued real estate taxes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2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4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gridSpan w:val="4"/>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29,587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16,360</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vMerge w:val="continue"/>
          </w:tcPr>
          <w:p>
            <w:pPr>
              <w:spacing w:after="0"/>
              <w:rPr>
                <w:sz w:val="24"/>
                <w:szCs w:val="24"/>
                <w:color w:val="auto"/>
              </w:rPr>
            </w:pPr>
          </w:p>
        </w:tc>
        <w:tc>
          <w:tcPr>
            <w:tcW w:w="42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At January 31, 2026, the Company has lease agreements, as lessee, for railcars. All the leases are accounted for as operating leases. The lease agreements do not contain a specified implicit interest rate; therefore, the Company’s estimated incremental borrowing rate was used to determine the present value of future minimum lease payments. The lease term for all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183" w:lineRule="exact"/>
        <w:rPr>
          <w:sz w:val="20"/>
          <w:szCs w:val="20"/>
          <w:color w:val="auto"/>
        </w:rPr>
      </w:pPr>
    </w:p>
    <w:p>
      <w:pPr>
        <w:jc w:val="both"/>
        <w:ind w:left="400" w:right="20"/>
        <w:spacing w:after="0" w:line="282" w:lineRule="auto"/>
        <w:rPr>
          <w:sz w:val="20"/>
          <w:szCs w:val="20"/>
          <w:color w:val="auto"/>
        </w:rPr>
      </w:pPr>
      <w:r>
        <w:rPr>
          <w:rFonts w:ascii="Times New Roman" w:cs="Times New Roman" w:eastAsia="Times New Roman" w:hAnsi="Times New Roman"/>
          <w:sz w:val="18"/>
          <w:szCs w:val="18"/>
          <w:color w:val="auto"/>
        </w:rPr>
        <w:t>For fiscal years 2025, 2024,and 2023, the components of lease expense, classified as SG&amp;A expenses on the Consolidated Statement of Operations are as follows (amounts in thousands):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7"/>
                <w:szCs w:val="17"/>
                <w:color w:val="auto"/>
              </w:rPr>
            </w:pPr>
          </w:p>
        </w:tc>
      </w:tr>
      <w:tr>
        <w:trPr>
          <w:trHeight w:val="237"/>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7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8,151</w:t>
            </w:r>
          </w:p>
        </w:tc>
        <w:tc>
          <w:tcPr>
            <w:tcW w:w="460" w:type="dxa"/>
            <w:vAlign w:val="bottom"/>
            <w:gridSpan w:val="2"/>
            <w:shd w:val="clear" w:color="auto" w:fill="E5FF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E5FFFF"/>
          </w:tcPr>
          <w:p>
            <w:pPr>
              <w:jc w:val="right"/>
              <w:ind w:right="460"/>
              <w:spacing w:after="0"/>
              <w:rPr>
                <w:sz w:val="20"/>
                <w:szCs w:val="20"/>
                <w:color w:val="auto"/>
              </w:rPr>
            </w:pPr>
            <w:r>
              <w:rPr>
                <w:rFonts w:ascii="Times New Roman" w:cs="Times New Roman" w:eastAsia="Times New Roman" w:hAnsi="Times New Roman"/>
                <w:sz w:val="18"/>
                <w:szCs w:val="18"/>
                <w:color w:val="auto"/>
              </w:rPr>
              <w:t>7,209</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4"/>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6,386</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60" w:type="dxa"/>
            <w:vAlign w:val="bottom"/>
          </w:tcPr>
          <w:p>
            <w:pPr>
              <w:spacing w:after="0"/>
              <w:rPr>
                <w:sz w:val="18"/>
                <w:szCs w:val="18"/>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301</w:t>
            </w:r>
          </w:p>
        </w:tc>
      </w:tr>
      <w:tr>
        <w:trPr>
          <w:trHeight w:val="210"/>
        </w:trPr>
        <w:tc>
          <w:tcPr>
            <w:tcW w:w="47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46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Total cash paid for amounts included in the measurement of lease liabilities was $7.8 million and $6.9 million for fiscal years 2025 and 2024,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color w:val="auto"/>
        </w:rPr>
        <w:t>The following table is a summary of future minimum rentals on such leases at January 31, 2026 (amounts in thousands):</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Minimum Rentals</w:t>
            </w:r>
          </w:p>
        </w:tc>
      </w:tr>
      <w:tr>
        <w:trPr>
          <w:trHeight w:val="250"/>
        </w:trPr>
        <w:tc>
          <w:tcPr>
            <w:tcW w:w="1920" w:type="dxa"/>
            <w:vAlign w:val="bottom"/>
            <w:tcBorders>
              <w:top w:val="single" w:sz="8" w:color="auto"/>
            </w:tcBorders>
          </w:tcPr>
          <w:p>
            <w:pPr>
              <w:spacing w:after="0"/>
              <w:rPr>
                <w:sz w:val="21"/>
                <w:szCs w:val="21"/>
                <w:color w:val="auto"/>
              </w:rPr>
            </w:pPr>
          </w:p>
        </w:tc>
        <w:tc>
          <w:tcPr>
            <w:tcW w:w="224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1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2027</w:t>
            </w:r>
          </w:p>
        </w:tc>
        <w:tc>
          <w:tcPr>
            <w:tcW w:w="224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7,706</w:t>
            </w:r>
          </w:p>
        </w:tc>
        <w:tc>
          <w:tcPr>
            <w:tcW w:w="40" w:type="dxa"/>
            <w:vAlign w:val="bottom"/>
            <w:shd w:val="clear" w:color="auto" w:fill="E5FFFF"/>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6,378</w:t>
            </w:r>
          </w:p>
        </w:tc>
        <w:tc>
          <w:tcPr>
            <w:tcW w:w="40" w:type="dxa"/>
            <w:vAlign w:val="bottom"/>
          </w:tcPr>
          <w:p>
            <w:pPr>
              <w:spacing w:after="0"/>
              <w:rPr>
                <w:sz w:val="18"/>
                <w:szCs w:val="18"/>
                <w:color w:val="auto"/>
              </w:rPr>
            </w:pPr>
          </w:p>
        </w:tc>
      </w:tr>
      <w:tr>
        <w:trPr>
          <w:trHeight w:val="216"/>
        </w:trPr>
        <w:tc>
          <w:tcPr>
            <w:tcW w:w="1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2029</w:t>
            </w:r>
          </w:p>
        </w:tc>
        <w:tc>
          <w:tcPr>
            <w:tcW w:w="224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5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3,698</w:t>
            </w:r>
          </w:p>
        </w:tc>
        <w:tc>
          <w:tcPr>
            <w:tcW w:w="40" w:type="dxa"/>
            <w:vAlign w:val="bottom"/>
            <w:shd w:val="clear" w:color="auto" w:fill="E5FFFF"/>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2,035</w:t>
            </w:r>
          </w:p>
        </w:tc>
        <w:tc>
          <w:tcPr>
            <w:tcW w:w="40" w:type="dxa"/>
            <w:vAlign w:val="bottom"/>
          </w:tcPr>
          <w:p>
            <w:pPr>
              <w:spacing w:after="0"/>
              <w:rPr>
                <w:sz w:val="18"/>
                <w:szCs w:val="18"/>
                <w:color w:val="auto"/>
              </w:rPr>
            </w:pPr>
          </w:p>
        </w:tc>
      </w:tr>
      <w:tr>
        <w:trPr>
          <w:trHeight w:val="230"/>
        </w:trPr>
        <w:tc>
          <w:tcPr>
            <w:tcW w:w="1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2031</w:t>
            </w:r>
          </w:p>
        </w:tc>
        <w:tc>
          <w:tcPr>
            <w:tcW w:w="224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5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shd w:val="clear" w:color="auto" w:fill="E5FFFF"/>
          </w:tcPr>
          <w:p>
            <w:pPr>
              <w:spacing w:after="0"/>
              <w:rPr>
                <w:sz w:val="19"/>
                <w:szCs w:val="19"/>
                <w:color w:val="auto"/>
              </w:rPr>
            </w:pP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19,950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1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8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52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1,881</w:t>
            </w:r>
          </w:p>
        </w:tc>
        <w:tc>
          <w:tcPr>
            <w:tcW w:w="40" w:type="dxa"/>
            <w:vAlign w:val="bottom"/>
            <w:shd w:val="clear" w:color="auto" w:fill="E5FFFF"/>
          </w:tcPr>
          <w:p>
            <w:pPr>
              <w:spacing w:after="0"/>
              <w:rPr>
                <w:sz w:val="19"/>
                <w:szCs w:val="19"/>
                <w:color w:val="auto"/>
              </w:rPr>
            </w:pP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18,069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At January 31, 2026, the weighted average remaining lease term was 2.7 years, and the weighted average discount rate was 6.61% for the outstanding leases.</w:t>
      </w:r>
    </w:p>
    <w:p>
      <w:pPr>
        <w:spacing w:after="0" w:line="162"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At January 31, 2025, the weighted average remaining lease term was 3.5 years, and the weighted average discount rate was 6.60% for the outstanding leases.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Finance Lease</w:t>
      </w:r>
    </w:p>
    <w:p>
      <w:pPr>
        <w:spacing w:after="0" w:line="229"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At January 31, 2026, the Company has one lease agreement that was classified as a finance lease for an electrical substation facility. Prepayments totaling $15.6 million were made prior to fiscal year 2025 and were recorded within “Other assets” on the accompanying Consolidated Balance Sheets as of January 31, 2025. This balance was included in the finance lease right-of-use asset calculation upon lease commencement in fiscal year 2026 as a non-cash investing activity. The lease includes monthly payments of approximately $39,000 to be made over the term of the lease. The lease term for this lease includes the noncancelable period of the lease and any periods for which only the Company has the option to cancel but is reasonably expected to continue the lease. Based on this, the lease term was determined to be 10 years. Control of the facility’s output was transferred to the Company just before the end of the first quarter of 2025, with monthly lease expense commencing in the second quarter of 2025. For the year ended January 31, 2026, expense related to this lease was approximately $1.6 million, which includes approximately $171,000 in interest expense.</w:t>
      </w:r>
    </w:p>
    <w:p>
      <w:pPr>
        <w:spacing w:after="0" w:line="192"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the finance lease is 9.3 years as of January 31, 2026. A discount rate of 6.9% was deemed appropriate as an incremental borrowing rate for a 10-year term.</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is a summary of future minimum rentals on the lease at January 31, 2026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Ended January 31,</w:t>
            </w:r>
          </w:p>
        </w:tc>
        <w:tc>
          <w:tcPr>
            <w:tcW w:w="25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Minimum Rentals</w:t>
            </w:r>
          </w:p>
        </w:tc>
        <w:tc>
          <w:tcPr>
            <w:tcW w:w="5180" w:type="dxa"/>
            <w:vAlign w:val="bottom"/>
          </w:tcPr>
          <w:p>
            <w:pPr>
              <w:spacing w:after="0"/>
              <w:rPr>
                <w:sz w:val="18"/>
                <w:szCs w:val="18"/>
                <w:color w:val="auto"/>
              </w:rPr>
            </w:pPr>
          </w:p>
        </w:tc>
      </w:tr>
      <w:tr>
        <w:trPr>
          <w:trHeight w:val="250"/>
        </w:trPr>
        <w:tc>
          <w:tcPr>
            <w:tcW w:w="44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180" w:type="dxa"/>
            <w:vAlign w:val="bottom"/>
          </w:tcPr>
          <w:p>
            <w:pPr>
              <w:spacing w:after="0"/>
              <w:rPr>
                <w:sz w:val="21"/>
                <w:szCs w:val="21"/>
                <w:color w:val="auto"/>
              </w:rPr>
            </w:pPr>
          </w:p>
        </w:tc>
      </w:tr>
      <w:tr>
        <w:trPr>
          <w:trHeight w:val="216"/>
        </w:trPr>
        <w:tc>
          <w:tcPr>
            <w:tcW w:w="440" w:type="dxa"/>
            <w:vAlign w:val="bottom"/>
          </w:tcPr>
          <w:p>
            <w:pPr>
              <w:spacing w:after="0"/>
              <w:rPr>
                <w:sz w:val="18"/>
                <w:szCs w:val="18"/>
                <w:color w:val="auto"/>
              </w:rPr>
            </w:pPr>
          </w:p>
        </w:tc>
        <w:tc>
          <w:tcPr>
            <w:tcW w:w="1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2027</w:t>
            </w:r>
          </w:p>
        </w:tc>
        <w:tc>
          <w:tcPr>
            <w:tcW w:w="1180" w:type="dxa"/>
            <w:vAlign w:val="bottom"/>
            <w:shd w:val="clear" w:color="auto" w:fill="E5FFFF"/>
          </w:tcPr>
          <w:p>
            <w:pPr>
              <w:spacing w:after="0"/>
              <w:rPr>
                <w:sz w:val="18"/>
                <w:szCs w:val="18"/>
                <w:color w:val="auto"/>
              </w:rPr>
            </w:pPr>
          </w:p>
        </w:tc>
        <w:tc>
          <w:tcPr>
            <w:tcW w:w="20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E5FFFF"/>
            </w:tcBorders>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51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51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2029</w:t>
            </w:r>
          </w:p>
        </w:tc>
        <w:tc>
          <w:tcPr>
            <w:tcW w:w="1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460" w:type="dxa"/>
            <w:vAlign w:val="bottom"/>
            <w:tcBorders>
              <w:right w:val="single" w:sz="8" w:color="E5FFFF"/>
            </w:tcBorders>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51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51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9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2031</w:t>
            </w:r>
          </w:p>
        </w:tc>
        <w:tc>
          <w:tcPr>
            <w:tcW w:w="118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460" w:type="dxa"/>
            <w:vAlign w:val="bottom"/>
            <w:tcBorders>
              <w:right w:val="single" w:sz="8" w:color="E5FFFF"/>
            </w:tcBorders>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5180" w:type="dxa"/>
            <w:vAlign w:val="bottom"/>
          </w:tcPr>
          <w:p>
            <w:pPr>
              <w:spacing w:after="0"/>
              <w:rPr>
                <w:sz w:val="18"/>
                <w:szCs w:val="18"/>
                <w:color w:val="auto"/>
              </w:rPr>
            </w:pPr>
          </w:p>
        </w:tc>
      </w:tr>
      <w:tr>
        <w:trPr>
          <w:trHeight w:val="230"/>
        </w:trPr>
        <w:tc>
          <w:tcPr>
            <w:tcW w:w="44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1,994</w:t>
            </w:r>
          </w:p>
        </w:tc>
        <w:tc>
          <w:tcPr>
            <w:tcW w:w="5180" w:type="dxa"/>
            <w:vAlign w:val="bottom"/>
          </w:tcPr>
          <w:p>
            <w:pPr>
              <w:spacing w:after="0"/>
              <w:rPr>
                <w:sz w:val="19"/>
                <w:szCs w:val="19"/>
                <w:color w:val="auto"/>
              </w:rPr>
            </w:pPr>
          </w:p>
        </w:tc>
      </w:tr>
      <w:tr>
        <w:trPr>
          <w:trHeight w:val="210"/>
        </w:trPr>
        <w:tc>
          <w:tcPr>
            <w:tcW w:w="440" w:type="dxa"/>
            <w:vAlign w:val="bottom"/>
          </w:tcPr>
          <w:p>
            <w:pPr>
              <w:spacing w:after="0"/>
              <w:rPr>
                <w:sz w:val="18"/>
                <w:szCs w:val="18"/>
                <w:color w:val="auto"/>
              </w:rPr>
            </w:pPr>
          </w:p>
        </w:tc>
        <w:tc>
          <w:tcPr>
            <w:tcW w:w="3100" w:type="dxa"/>
            <w:vAlign w:val="bottom"/>
            <w:tcBorders>
              <w:top w:val="single" w:sz="8" w:color="E5FFFF"/>
            </w:tcBorders>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E5FFFF"/>
            </w:tcBorders>
            <w:shd w:val="clear" w:color="auto" w:fill="E5FFFF"/>
          </w:tcPr>
          <w:p>
            <w:pPr>
              <w:spacing w:after="0"/>
              <w:rPr>
                <w:sz w:val="18"/>
                <w:szCs w:val="18"/>
                <w:color w:val="auto"/>
              </w:rPr>
            </w:pPr>
          </w:p>
        </w:tc>
        <w:tc>
          <w:tcPr>
            <w:tcW w:w="88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4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3"/>
              </w:rPr>
              <w:t>4,339</w:t>
            </w:r>
          </w:p>
        </w:tc>
        <w:tc>
          <w:tcPr>
            <w:tcW w:w="60" w:type="dxa"/>
            <w:vAlign w:val="bottom"/>
            <w:tcBorders>
              <w:top w:val="single" w:sz="8" w:color="E5FFFF"/>
              <w:right w:val="single" w:sz="8" w:color="E5FFFF"/>
            </w:tcBorders>
            <w:shd w:val="clear" w:color="auto" w:fill="E5FFFF"/>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44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1,138</w:t>
            </w:r>
          </w:p>
        </w:tc>
        <w:tc>
          <w:tcPr>
            <w:tcW w:w="518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310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80" w:type="dxa"/>
            <w:vAlign w:val="bottom"/>
            <w:tcBorders>
              <w:top w:val="single" w:sz="8" w:color="E5FFFF"/>
              <w:bottom w:val="single" w:sz="8" w:color="E5FFFF"/>
            </w:tcBorders>
            <w:shd w:val="clear" w:color="auto" w:fill="E5FFFF"/>
          </w:tcPr>
          <w:p>
            <w:pPr>
              <w:spacing w:after="0"/>
              <w:rPr>
                <w:sz w:val="19"/>
                <w:szCs w:val="19"/>
                <w:color w:val="auto"/>
              </w:rPr>
            </w:pPr>
          </w:p>
        </w:tc>
        <w:tc>
          <w:tcPr>
            <w:tcW w:w="88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3"/>
              </w:rPr>
              <w:t>3,201</w:t>
            </w:r>
          </w:p>
        </w:tc>
        <w:tc>
          <w:tcPr>
            <w:tcW w:w="60" w:type="dxa"/>
            <w:vAlign w:val="bottom"/>
            <w:tcBorders>
              <w:top w:val="single" w:sz="8" w:color="E5FFFF"/>
              <w:bottom w:val="single" w:sz="8" w:color="E5FFFF"/>
              <w:right w:val="single" w:sz="8" w:color="E5FFFF"/>
            </w:tcBorders>
            <w:shd w:val="clear" w:color="auto" w:fill="E5FFFF"/>
          </w:tcPr>
          <w:p>
            <w:pPr>
              <w:spacing w:after="0"/>
              <w:rPr>
                <w:sz w:val="19"/>
                <w:szCs w:val="19"/>
                <w:color w:val="auto"/>
              </w:rPr>
            </w:pPr>
          </w:p>
        </w:tc>
        <w:tc>
          <w:tcPr>
            <w:tcW w:w="518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1920" w:type="dxa"/>
            <w:vAlign w:val="bottom"/>
            <w:tcBorders>
              <w:bottom w:val="single" w:sz="8" w:color="C0C0C0"/>
            </w:tcBorders>
          </w:tcPr>
          <w:p>
            <w:pPr>
              <w:spacing w:after="0"/>
              <w:rPr>
                <w:sz w:val="21"/>
                <w:szCs w:val="21"/>
                <w:color w:val="auto"/>
              </w:rPr>
            </w:pPr>
          </w:p>
        </w:tc>
        <w:tc>
          <w:tcPr>
            <w:tcW w:w="1180" w:type="dxa"/>
            <w:vAlign w:val="bottom"/>
            <w:tcBorders>
              <w:bottom w:val="single" w:sz="8" w:color="C0C0C0"/>
            </w:tcBorders>
          </w:tcPr>
          <w:p>
            <w:pPr>
              <w:spacing w:after="0"/>
              <w:rPr>
                <w:sz w:val="21"/>
                <w:szCs w:val="21"/>
                <w:color w:val="auto"/>
              </w:rPr>
            </w:pPr>
          </w:p>
        </w:tc>
        <w:tc>
          <w:tcPr>
            <w:tcW w:w="1080" w:type="dxa"/>
            <w:vAlign w:val="bottom"/>
            <w:tcBorders>
              <w:bottom w:val="single" w:sz="8" w:color="C0C0C0"/>
            </w:tcBorders>
          </w:tcPr>
          <w:p>
            <w:pPr>
              <w:spacing w:after="0"/>
              <w:rPr>
                <w:sz w:val="21"/>
                <w:szCs w:val="21"/>
                <w:color w:val="auto"/>
              </w:rPr>
            </w:pPr>
          </w:p>
        </w:tc>
        <w:tc>
          <w:tcPr>
            <w:tcW w:w="8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51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121" w:right="339" w:bottom="1440" w:gutter="0" w:footer="0" w:header="0"/>
        </w:sectPr>
      </w:pPr>
    </w:p>
    <w:bookmarkStart w:id="47" w:name="page48"/>
    <w:bookmarkEnd w:id="47"/>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rFonts w:ascii="Times New Roman" w:cs="Times New Roman" w:eastAsia="Times New Roman" w:hAnsi="Times New Roman"/>
          <w:sz w:val="18"/>
          <w:szCs w:val="18"/>
          <w:b w:val="1"/>
          <w:bCs w:val="1"/>
          <w:color w:val="auto"/>
        </w:rPr>
      </w:pPr>
    </w:p>
    <w:p>
      <w:pPr>
        <w:jc w:val="both"/>
        <w:ind w:left="4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26, 2025, the Board of Directors of the Company adopted resolutions declaring a two-for-one split of the Company’s Common Stock to be effectuated in the form of a 100% stock dividend, payable on September 15, 2025 to stockholders of record at the close of business on September 8, 2025. The stock split has been retroactively reflected in the accompanying consolidated financial statements.</w:t>
      </w:r>
    </w:p>
    <w:p>
      <w:pPr>
        <w:spacing w:after="0" w:line="175"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years 2025 and 2024 the Company purchased approximately 1,651,000 shares and 745,000 shares of its common stock for approximately $32.9 million and $15.5 million, respectively. The Company did not purchase any shares of its common stock during fiscal year 2023. At January 31, 2026, the Company had prior authorization by its Board of Directors to purchase, in open market transactions, approximately an additional 2,357,000 shares of its common stock.</w:t>
      </w:r>
    </w:p>
    <w:p>
      <w:pPr>
        <w:spacing w:after="0" w:line="179"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regarding the Company’s common stock is as follows (amounts in thousands):</w:t>
      </w: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January 31,</w:t>
            </w:r>
          </w:p>
        </w:tc>
      </w:tr>
      <w:tr>
        <w:trPr>
          <w:trHeight w:val="20"/>
        </w:trPr>
        <w:tc>
          <w:tcPr>
            <w:tcW w:w="2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78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2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27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Authorized shares</w:t>
            </w:r>
          </w:p>
        </w:tc>
        <w:tc>
          <w:tcPr>
            <w:tcW w:w="21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45,000</w:t>
            </w:r>
          </w:p>
        </w:tc>
        <w:tc>
          <w:tcPr>
            <w:tcW w:w="740" w:type="dxa"/>
            <w:vAlign w:val="bottom"/>
            <w:gridSpan w:val="4"/>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Issued shares</w:t>
            </w:r>
          </w:p>
        </w:tc>
        <w:tc>
          <w:tcPr>
            <w:tcW w:w="2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32,938</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34,389</w:t>
            </w:r>
          </w:p>
        </w:tc>
      </w:tr>
      <w:tr>
        <w:trPr>
          <w:trHeight w:val="216"/>
        </w:trPr>
        <w:tc>
          <w:tcPr>
            <w:tcW w:w="27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Outstanding shares</w:t>
            </w:r>
          </w:p>
        </w:tc>
        <w:tc>
          <w:tcPr>
            <w:tcW w:w="210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32,938</w:t>
            </w:r>
          </w:p>
        </w:tc>
        <w:tc>
          <w:tcPr>
            <w:tcW w:w="740" w:type="dxa"/>
            <w:vAlign w:val="bottom"/>
            <w:gridSpan w:val="4"/>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34,389</w:t>
            </w:r>
          </w:p>
        </w:tc>
      </w:tr>
    </w:tbl>
    <w:p>
      <w:pPr>
        <w:spacing w:after="0" w:line="207"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87" w:lineRule="exact"/>
        <w:rPr>
          <w:rFonts w:ascii="Times New Roman" w:cs="Times New Roman" w:eastAsia="Times New Roman" w:hAnsi="Times New Roman"/>
          <w:sz w:val="18"/>
          <w:szCs w:val="18"/>
          <w:b w:val="1"/>
          <w:bCs w:val="1"/>
          <w:color w:val="auto"/>
        </w:rPr>
      </w:pPr>
    </w:p>
    <w:p>
      <w:pPr>
        <w:ind w:left="4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the fair values of the Company’s derivative financial instruments and the line items on the Consolidated Balance Sheets in which the fair values are reflected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Fair Value at January 31,</w:t>
            </w:r>
          </w:p>
        </w:tc>
        <w:tc>
          <w:tcPr>
            <w:tcW w:w="2660" w:type="dxa"/>
            <w:vAlign w:val="bottom"/>
            <w:gridSpan w:val="11"/>
          </w:tcPr>
          <w:p>
            <w:pPr>
              <w:ind w:left="640"/>
              <w:spacing w:after="0"/>
              <w:rPr>
                <w:sz w:val="20"/>
                <w:szCs w:val="20"/>
                <w:color w:val="auto"/>
              </w:rPr>
            </w:pPr>
            <w:r>
              <w:rPr>
                <w:rFonts w:ascii="Times New Roman" w:cs="Times New Roman" w:eastAsia="Times New Roman" w:hAnsi="Times New Roman"/>
                <w:sz w:val="18"/>
                <w:szCs w:val="18"/>
                <w:b w:val="1"/>
                <w:bCs w:val="1"/>
                <w:color w:val="auto"/>
              </w:rPr>
              <w:t>Fair Value at January 31,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120" w:type="dxa"/>
            <w:vAlign w:val="bottom"/>
            <w:gridSpan w:val="4"/>
          </w:tcPr>
          <w:p>
            <w:pPr>
              <w:ind w:left="1760"/>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2026</w:t>
            </w:r>
          </w:p>
        </w:tc>
        <w:tc>
          <w:tcPr>
            <w:tcW w:w="120" w:type="dxa"/>
            <w:vAlign w:val="bottom"/>
          </w:tcPr>
          <w:p>
            <w:pPr>
              <w:spacing w:after="0"/>
              <w:rPr>
                <w:sz w:val="17"/>
                <w:szCs w:val="17"/>
                <w:color w:val="auto"/>
              </w:rPr>
            </w:pPr>
          </w:p>
        </w:tc>
        <w:tc>
          <w:tcPr>
            <w:tcW w:w="132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1260" w:type="dxa"/>
            <w:vAlign w:val="bottom"/>
            <w:gridSpan w:val="5"/>
          </w:tcPr>
          <w:p>
            <w:pPr>
              <w:jc w:val="right"/>
              <w:ind w:right="180"/>
              <w:spacing w:after="0" w:line="198" w:lineRule="exact"/>
              <w:rPr>
                <w:sz w:val="20"/>
                <w:szCs w:val="20"/>
                <w:color w:val="auto"/>
              </w:rPr>
            </w:pPr>
            <w:r>
              <w:rPr>
                <w:rFonts w:ascii="Times New Roman" w:cs="Times New Roman" w:eastAsia="Times New Roman" w:hAnsi="Times New Roman"/>
                <w:sz w:val="18"/>
                <w:szCs w:val="18"/>
                <w:b w:val="1"/>
                <w:bCs w:val="1"/>
                <w:color w:val="auto"/>
              </w:rPr>
              <w:t>2026</w:t>
            </w:r>
          </w:p>
        </w:tc>
        <w:tc>
          <w:tcPr>
            <w:tcW w:w="1300" w:type="dxa"/>
            <w:vAlign w:val="bottom"/>
            <w:gridSpan w:val="5"/>
          </w:tcPr>
          <w:p>
            <w:pPr>
              <w:jc w:val="right"/>
              <w:ind w:right="18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vMerge w:val="restart"/>
          </w:tcPr>
          <w:p>
            <w:pPr>
              <w:spacing w:after="0"/>
              <w:rPr>
                <w:sz w:val="20"/>
                <w:szCs w:val="20"/>
                <w:color w:val="auto"/>
              </w:rPr>
            </w:pPr>
          </w:p>
        </w:tc>
        <w:tc>
          <w:tcPr>
            <w:tcW w:w="3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Forward purchase contracts (1)</w:t>
            </w:r>
          </w:p>
        </w:tc>
        <w:tc>
          <w:tcPr>
            <w:tcW w:w="188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780" w:type="dxa"/>
            <w:vAlign w:val="bottom"/>
            <w:gridSpan w:val="3"/>
            <w:shd w:val="clear" w:color="auto" w:fill="E5FF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90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E5FF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1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collateral balance (2)</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Commodity futures (3)</w:t>
            </w:r>
          </w:p>
        </w:tc>
        <w:tc>
          <w:tcPr>
            <w:tcW w:w="1720" w:type="dxa"/>
            <w:vAlign w:val="bottom"/>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36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900" w:type="dxa"/>
            <w:vAlign w:val="bottom"/>
            <w:shd w:val="clear" w:color="auto" w:fill="E5FFFF"/>
          </w:tcPr>
          <w:p>
            <w:pPr>
              <w:spacing w:after="0"/>
              <w:rPr>
                <w:sz w:val="18"/>
                <w:szCs w:val="18"/>
                <w:color w:val="auto"/>
              </w:rPr>
            </w:pPr>
          </w:p>
        </w:tc>
        <w:tc>
          <w:tcPr>
            <w:tcW w:w="60" w:type="dxa"/>
            <w:vAlign w:val="bottom"/>
            <w:tcBorders>
              <w:bottom w:val="single" w:sz="8" w:color="auto"/>
            </w:tcBorders>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54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98"/>
              </w:rPr>
              <w:t>(1,291)</w:t>
            </w:r>
          </w:p>
        </w:tc>
        <w:tc>
          <w:tcPr>
            <w:tcW w:w="640" w:type="dxa"/>
            <w:vAlign w:val="bottom"/>
            <w:shd w:val="clear" w:color="auto" w:fill="E5FFFF"/>
          </w:tcPr>
          <w:p>
            <w:pPr>
              <w:spacing w:after="0"/>
              <w:rPr>
                <w:sz w:val="18"/>
                <w:szCs w:val="18"/>
                <w:color w:val="auto"/>
              </w:rPr>
            </w:pPr>
          </w:p>
        </w:tc>
        <w:tc>
          <w:tcPr>
            <w:tcW w:w="80" w:type="dxa"/>
            <w:vAlign w:val="bottom"/>
            <w:tcBorders>
              <w:bottom w:val="single" w:sz="8" w:color="auto"/>
            </w:tcBorders>
            <w:shd w:val="clear" w:color="auto" w:fill="E5FFFF"/>
          </w:tcPr>
          <w:p>
            <w:pPr>
              <w:spacing w:after="0"/>
              <w:rPr>
                <w:sz w:val="18"/>
                <w:szCs w:val="18"/>
                <w:color w:val="auto"/>
              </w:rPr>
            </w:pPr>
          </w:p>
        </w:tc>
        <w:tc>
          <w:tcPr>
            <w:tcW w:w="60" w:type="dxa"/>
            <w:vAlign w:val="bottom"/>
            <w:tcBorders>
              <w:bottom w:val="single" w:sz="8" w:color="auto"/>
            </w:tcBorders>
            <w:shd w:val="clear" w:color="auto" w:fill="E5FFFF"/>
          </w:tcPr>
          <w:p>
            <w:pPr>
              <w:spacing w:after="0"/>
              <w:rPr>
                <w:sz w:val="18"/>
                <w:szCs w:val="18"/>
                <w:color w:val="auto"/>
              </w:rPr>
            </w:pPr>
          </w:p>
        </w:tc>
        <w:tc>
          <w:tcPr>
            <w:tcW w:w="480" w:type="dxa"/>
            <w:vAlign w:val="bottom"/>
            <w:tcBorders>
              <w:bottom w:val="single" w:sz="8" w:color="auto"/>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FFFF"/>
          </w:tcPr>
          <w:p>
            <w:pPr>
              <w:spacing w:after="0"/>
              <w:rPr>
                <w:sz w:val="18"/>
                <w:szCs w:val="18"/>
                <w:color w:val="auto"/>
              </w:rPr>
            </w:pPr>
          </w:p>
        </w:tc>
        <w:tc>
          <w:tcPr>
            <w:tcW w:w="6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40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5FF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position with broker</w:t>
            </w:r>
          </w:p>
        </w:tc>
        <w:tc>
          <w:tcPr>
            <w:tcW w:w="17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900" w:type="dxa"/>
            <w:vAlign w:val="bottom"/>
          </w:tcPr>
          <w:p>
            <w:pPr>
              <w:spacing w:after="0"/>
              <w:rPr>
                <w:sz w:val="18"/>
                <w:szCs w:val="18"/>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780" w:type="dxa"/>
            <w:vAlign w:val="bottom"/>
            <w:gridSpan w:val="3"/>
            <w:shd w:val="clear" w:color="auto" w:fill="E5FF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90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E5FF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60" w:type="dxa"/>
            <w:vAlign w:val="bottom"/>
            <w:tcBorders>
              <w:top w:val="single" w:sz="8" w:color="E5FFFF"/>
            </w:tcBorders>
          </w:tcPr>
          <w:p>
            <w:pPr>
              <w:spacing w:after="0" w:line="20" w:lineRule="exact"/>
              <w:rPr>
                <w:sz w:val="1"/>
                <w:szCs w:val="1"/>
                <w:color w:val="auto"/>
              </w:rPr>
            </w:pPr>
          </w:p>
        </w:tc>
        <w:tc>
          <w:tcPr>
            <w:tcW w:w="1720" w:type="dxa"/>
            <w:vAlign w:val="bottom"/>
            <w:tcBorders>
              <w:top w:val="single" w:sz="8" w:color="E5FFFF"/>
              <w:bottom w:val="single" w:sz="8" w:color="E5FF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3660" w:type="dxa"/>
            <w:vAlign w:val="bottom"/>
            <w:tcBorders>
              <w:bottom w:val="single" w:sz="8" w:color="C0C0C0"/>
            </w:tcBorders>
          </w:tcPr>
          <w:p>
            <w:pPr>
              <w:spacing w:after="0"/>
              <w:rPr>
                <w:sz w:val="21"/>
                <w:szCs w:val="21"/>
                <w:color w:val="auto"/>
              </w:rPr>
            </w:pPr>
          </w:p>
        </w:tc>
        <w:tc>
          <w:tcPr>
            <w:tcW w:w="172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30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8" w:name="page49"/>
    <w:bookmarkEnd w:id="48"/>
    <w:p>
      <w:pPr>
        <w:ind w:left="860" w:hanging="434"/>
        <w:spacing w:after="0" w:line="282" w:lineRule="auto"/>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purchase contracts assets are included in “Prepaid expenses and other” on the accompanying Consolidated Balance Sheets. These contracts are for purchases of approximately 8.8 million and 16.8 million bushels of corn at January 31, 2026 and 2025, respectively.</w:t>
      </w:r>
    </w:p>
    <w:p>
      <w:pPr>
        <w:spacing w:after="0" w:line="161" w:lineRule="exact"/>
        <w:rPr>
          <w:rFonts w:ascii="Times New Roman" w:cs="Times New Roman" w:eastAsia="Times New Roman" w:hAnsi="Times New Roman"/>
          <w:sz w:val="18"/>
          <w:szCs w:val="18"/>
          <w:color w:val="auto"/>
        </w:rPr>
      </w:pPr>
    </w:p>
    <w:p>
      <w:pPr>
        <w:jc w:val="both"/>
        <w:ind w:left="8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purchase contracts liabilities are included in “Accrued expenses and other current liabilities” on the accompanying Consolidated Balance Sheets. These contracts are for purchases of approximately 9.6 million and 7.6 million bushels of corn at January 31, 2026 and 2025, respectively.</w:t>
      </w:r>
    </w:p>
    <w:p>
      <w:pPr>
        <w:spacing w:after="0" w:line="175" w:lineRule="exact"/>
        <w:rPr>
          <w:rFonts w:ascii="Times New Roman" w:cs="Times New Roman" w:eastAsia="Times New Roman" w:hAnsi="Times New Roman"/>
          <w:sz w:val="18"/>
          <w:szCs w:val="18"/>
          <w:color w:val="auto"/>
        </w:rPr>
      </w:pPr>
    </w:p>
    <w:p>
      <w:pPr>
        <w:jc w:val="both"/>
        <w:ind w:left="860" w:hanging="434"/>
        <w:spacing w:after="0" w:line="256" w:lineRule="auto"/>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2026, and 2025,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January 31, 2026 and 2025, the Company was required to maintain collateral with the counterparty in the amount of approximately $180,000 and $2,523,000, respectively, recorded within “Prepaid expenses and other” on the accompanying Consolidated Balance Sheets.</w:t>
      </w:r>
    </w:p>
    <w:p>
      <w:pPr>
        <w:spacing w:after="0" w:line="187" w:lineRule="exact"/>
        <w:rPr>
          <w:rFonts w:ascii="Times New Roman" w:cs="Times New Roman" w:eastAsia="Times New Roman" w:hAnsi="Times New Roman"/>
          <w:sz w:val="18"/>
          <w:szCs w:val="18"/>
          <w:color w:val="auto"/>
        </w:rPr>
      </w:pPr>
    </w:p>
    <w:p>
      <w:pPr>
        <w:jc w:val="both"/>
        <w:ind w:left="860" w:hanging="434"/>
        <w:spacing w:after="0" w:line="258" w:lineRule="auto"/>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futures assets and liabilities are included in “Prepaid expenses and other” on the accompanying Consolidated Balance Sheets. These contracts included short/sell positions and long/buy positions for approximately 2.4 million and 1.8 million bushels of corn, respectively at January 31, 2026. These contracts also included short/sell positions for approximately 3.6 million gallons of ethanol at January 31, 2026. These contracts included short/sell positions and long/buy positions for approximately 6.3 million and 575,000 bushels of corn, respectively at January 31, 2025. These contracts also included short/sell positions for approximately 4.2 million gallons of ethanol at January 31, 2025.</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4 which contains fair value information related to derivative financial instruments.</w:t>
      </w:r>
    </w:p>
    <w:p>
      <w:pPr>
        <w:spacing w:after="0" w:line="225"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about (losses) gains recognized in income on the Company’s derivative financial instruments and the line items on the accompanying Consolidated Statements of Operations in which the fair values are reflected for the years ended January 31, 2026, 2025, and 2024 (amounts in thousands):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520" w:type="dxa"/>
            <w:vAlign w:val="bottom"/>
            <w:gridSpan w:val="10"/>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January 31,</w:t>
            </w:r>
          </w:p>
        </w:tc>
      </w:tr>
      <w:tr>
        <w:trPr>
          <w:trHeight w:val="198"/>
        </w:trPr>
        <w:tc>
          <w:tcPr>
            <w:tcW w:w="3060" w:type="dxa"/>
            <w:vAlign w:val="bottom"/>
          </w:tcPr>
          <w:p>
            <w:pPr>
              <w:spacing w:after="0"/>
              <w:rPr>
                <w:sz w:val="17"/>
                <w:szCs w:val="17"/>
                <w:color w:val="auto"/>
              </w:rPr>
            </w:pPr>
          </w:p>
        </w:tc>
        <w:tc>
          <w:tcPr>
            <w:tcW w:w="2560" w:type="dxa"/>
            <w:vAlign w:val="bottom"/>
            <w:gridSpan w:val="2"/>
          </w:tcPr>
          <w:p>
            <w:pPr>
              <w:jc w:val="center"/>
              <w:ind w:left="21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r>
      <w:tr>
        <w:trPr>
          <w:trHeight w:val="20"/>
        </w:trPr>
        <w:tc>
          <w:tcPr>
            <w:tcW w:w="3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84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w w:val="95"/>
              </w:rPr>
              <w:t>$ (254)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4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color w:val="auto"/>
              </w:rPr>
              <w:t>$5,375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(2,739)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2"/>
              </w:rPr>
              <w:t>15,023</w:t>
            </w:r>
          </w:p>
        </w:tc>
      </w:tr>
    </w:tbl>
    <w:p>
      <w:pPr>
        <w:spacing w:after="0" w:line="194"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its expiration on June 1, 2025 the Company maintained the REX American Resources Corporation 2015 Incentive Plan, approved by its shareholders, which reserved a total of 3,300,000 split-adjusted shares of common stock for issuance pursuant to its terms. The plan provided for the granting of shares of stock, including options to purchase shares of common stock, stock 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vested based on the Company’s TSR compared to the TSRs of companies that comprise the Russell 2000 Index over a three-year performance period (see below). The Company measures share-based compensation grants at fair value on the grant date, adjusted for estimated forfeitures. The Company records non-cash compensation expense related to equity awards in its consolidated financial statements over the requisite service period on a straight-line basis. At the time of its expiration, 1,065,809 shares (pre-2025 split) remained available for issuance under the Plan.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left="440"/>
        <w:spacing w:after="0" w:line="269" w:lineRule="auto"/>
        <w:rPr>
          <w:sz w:val="20"/>
          <w:szCs w:val="20"/>
          <w:color w:val="auto"/>
        </w:rPr>
      </w:pPr>
      <w:r>
        <w:rPr>
          <w:rFonts w:ascii="Times New Roman" w:cs="Times New Roman" w:eastAsia="Times New Roman" w:hAnsi="Times New Roman"/>
          <w:sz w:val="18"/>
          <w:szCs w:val="18"/>
          <w:color w:val="auto"/>
        </w:rPr>
        <w:t>As a component of their compensation, restricted stock has been granted to directors and certain employees at the closing market price of REX common stock on the date of the grant. In addition, one-quarter of executives’ incentive compensation is payable by an award of restricted stock based on the then market price of REX common stock on the date of grant. The Company’s board of directors has determined that the grant date will be June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or the next business day, for all grants of restricted stock.</w:t>
      </w:r>
    </w:p>
    <w:p>
      <w:pPr>
        <w:spacing w:after="0" w:line="51" w:lineRule="exact"/>
        <w:rPr>
          <w:sz w:val="20"/>
          <w:szCs w:val="20"/>
          <w:color w:val="auto"/>
        </w:rPr>
      </w:pPr>
    </w:p>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Based on retirement eligibility provisions, a portion of restricted stock grants are expensed at grant date, based on grant date fair value, thus considered vested for accounting purposes. At January 31, 2026, 20,964 shares were unvested for accounting purposes and unrecognized compensation cost related to these nonvested restricted stock awards was approximately $245,000, to be recognized over a weighted average vesting term of 1.2 years.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legally non-vested restricted stock award activity for fiscal years 2025,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7"/>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60" w:type="dxa"/>
            <w:vAlign w:val="bottom"/>
            <w:gridSpan w:val="3"/>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Remaining</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14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 Term</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6"/>
          </w:tcPr>
          <w:p>
            <w:pPr>
              <w:jc w:val="right"/>
              <w:ind w:right="360"/>
              <w:spacing w:after="0" w:line="198" w:lineRule="exact"/>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6"/>
          </w:tcPr>
          <w:p>
            <w:pPr>
              <w:jc w:val="center"/>
              <w:ind w:right="6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(000’s)</w:t>
            </w:r>
          </w:p>
        </w:tc>
        <w:tc>
          <w:tcPr>
            <w:tcW w:w="174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(in years)</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4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4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2025</w:t>
            </w:r>
          </w:p>
        </w:tc>
        <w:tc>
          <w:tcPr>
            <w:tcW w:w="980" w:type="dxa"/>
            <w:vAlign w:val="bottom"/>
            <w:gridSpan w:val="6"/>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324,784</w:t>
            </w:r>
          </w:p>
        </w:tc>
        <w:tc>
          <w:tcPr>
            <w:tcW w:w="160" w:type="dxa"/>
            <w:vAlign w:val="bottom"/>
            <w:shd w:val="clear" w:color="auto" w:fill="E5FFFF"/>
          </w:tcPr>
          <w:p>
            <w:pPr>
              <w:spacing w:after="0"/>
              <w:rPr>
                <w:sz w:val="18"/>
                <w:szCs w:val="18"/>
                <w:color w:val="auto"/>
              </w:rPr>
            </w:pP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20" w:type="dxa"/>
            <w:vAlign w:val="bottom"/>
            <w:gridSpan w:val="5"/>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6,190</w:t>
            </w: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6"/>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20" w:type="dxa"/>
            <w:vAlign w:val="bottom"/>
            <w:gridSpan w:val="5"/>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164,420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 w:type="dxa"/>
            <w:vAlign w:val="bottom"/>
            <w:vMerge w:val="continue"/>
          </w:tcPr>
          <w:p>
            <w:pPr>
              <w:spacing w:after="0"/>
              <w:rPr>
                <w:sz w:val="22"/>
                <w:szCs w:val="22"/>
                <w:color w:val="auto"/>
              </w:rPr>
            </w:pPr>
          </w:p>
        </w:tc>
        <w:tc>
          <w:tcPr>
            <w:tcW w:w="44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2026</w:t>
            </w:r>
          </w:p>
        </w:tc>
        <w:tc>
          <w:tcPr>
            <w:tcW w:w="980" w:type="dxa"/>
            <w:vAlign w:val="bottom"/>
            <w:gridSpan w:val="6"/>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160,364</w:t>
            </w:r>
          </w:p>
        </w:tc>
        <w:tc>
          <w:tcPr>
            <w:tcW w:w="160" w:type="dxa"/>
            <w:vAlign w:val="bottom"/>
            <w:shd w:val="clear" w:color="auto" w:fill="E5FFFF"/>
          </w:tcPr>
          <w:p>
            <w:pPr>
              <w:spacing w:after="0"/>
              <w:rPr>
                <w:sz w:val="22"/>
                <w:szCs w:val="22"/>
                <w:color w:val="auto"/>
              </w:rPr>
            </w:pP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5FFFF"/>
          </w:tcPr>
          <w:p>
            <w:pPr>
              <w:spacing w:after="0"/>
              <w:rPr>
                <w:sz w:val="22"/>
                <w:szCs w:val="22"/>
                <w:color w:val="auto"/>
              </w:rPr>
            </w:pPr>
          </w:p>
        </w:tc>
        <w:tc>
          <w:tcPr>
            <w:tcW w:w="100" w:type="dxa"/>
            <w:vAlign w:val="bottom"/>
            <w:shd w:val="clear" w:color="auto" w:fill="E5FFFF"/>
          </w:tcPr>
          <w:p>
            <w:pPr>
              <w:spacing w:after="0"/>
              <w:rPr>
                <w:sz w:val="22"/>
                <w:szCs w:val="22"/>
                <w:color w:val="auto"/>
              </w:rPr>
            </w:pPr>
          </w:p>
        </w:tc>
        <w:tc>
          <w:tcPr>
            <w:tcW w:w="1020" w:type="dxa"/>
            <w:vAlign w:val="bottom"/>
            <w:gridSpan w:val="5"/>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1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E5FFFF"/>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54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7"/>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540" w:type="dxa"/>
            <w:vAlign w:val="bottom"/>
          </w:tcPr>
          <w:p>
            <w:pPr>
              <w:spacing w:after="0"/>
              <w:rPr>
                <w:sz w:val="16"/>
                <w:szCs w:val="16"/>
                <w:color w:val="auto"/>
              </w:rPr>
            </w:pPr>
          </w:p>
        </w:tc>
        <w:tc>
          <w:tcPr>
            <w:tcW w:w="112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Remaining</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9"/>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 Term</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5"/>
          </w:tcPr>
          <w:p>
            <w:pPr>
              <w:jc w:val="right"/>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5"/>
          </w:tcPr>
          <w:p>
            <w:pPr>
              <w:jc w:val="center"/>
              <w:ind w:right="520"/>
              <w:spacing w:after="0" w:line="198" w:lineRule="exact"/>
              <w:rPr>
                <w:sz w:val="20"/>
                <w:szCs w:val="20"/>
                <w:color w:val="auto"/>
              </w:rPr>
            </w:pPr>
            <w:r>
              <w:rPr>
                <w:rFonts w:ascii="Times New Roman" w:cs="Times New Roman" w:eastAsia="Times New Roman" w:hAnsi="Times New Roman"/>
                <w:sz w:val="18"/>
                <w:szCs w:val="18"/>
                <w:b w:val="1"/>
                <w:bCs w:val="1"/>
                <w:color w:val="auto"/>
                <w:w w:val="96"/>
              </w:rPr>
              <w:t>(000’s)</w:t>
            </w:r>
          </w:p>
        </w:tc>
        <w:tc>
          <w:tcPr>
            <w:tcW w:w="540" w:type="dxa"/>
            <w:vAlign w:val="bottom"/>
          </w:tcPr>
          <w:p>
            <w:pPr>
              <w:spacing w:after="0"/>
              <w:rPr>
                <w:sz w:val="17"/>
                <w:szCs w:val="17"/>
                <w:color w:val="auto"/>
              </w:rPr>
            </w:pPr>
          </w:p>
        </w:tc>
        <w:tc>
          <w:tcPr>
            <w:tcW w:w="1200" w:type="dxa"/>
            <w:vAlign w:val="bottom"/>
            <w:gridSpan w:val="3"/>
          </w:tcPr>
          <w:p>
            <w:pPr>
              <w:jc w:val="center"/>
              <w:ind w:right="4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(in years)</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4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2024</w:t>
            </w:r>
          </w:p>
        </w:tc>
        <w:tc>
          <w:tcPr>
            <w:tcW w:w="1140" w:type="dxa"/>
            <w:vAlign w:val="bottom"/>
            <w:gridSpan w:val="7"/>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325,710</w:t>
            </w:r>
          </w:p>
        </w:tc>
        <w:tc>
          <w:tcPr>
            <w:tcW w:w="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6"/>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5,369</w:t>
            </w:r>
          </w:p>
        </w:tc>
        <w:tc>
          <w:tcPr>
            <w:tcW w:w="160" w:type="dxa"/>
            <w:vAlign w:val="bottom"/>
            <w:shd w:val="clear" w:color="auto" w:fill="E5FFFF"/>
          </w:tcPr>
          <w:p>
            <w:pPr>
              <w:spacing w:after="0"/>
              <w:rPr>
                <w:sz w:val="18"/>
                <w:szCs w:val="18"/>
                <w:color w:val="auto"/>
              </w:rPr>
            </w:pPr>
          </w:p>
        </w:tc>
        <w:tc>
          <w:tcPr>
            <w:tcW w:w="1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126,814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2,894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7"/>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00" w:type="dxa"/>
            <w:vAlign w:val="bottom"/>
            <w:gridSpan w:val="6"/>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127,740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2,073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 w:type="dxa"/>
            <w:vAlign w:val="bottom"/>
            <w:vMerge w:val="continue"/>
          </w:tcPr>
          <w:p>
            <w:pPr>
              <w:spacing w:after="0"/>
              <w:rPr>
                <w:sz w:val="21"/>
                <w:szCs w:val="21"/>
                <w:color w:val="auto"/>
              </w:rPr>
            </w:pPr>
          </w:p>
        </w:tc>
        <w:tc>
          <w:tcPr>
            <w:tcW w:w="44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2025</w:t>
            </w:r>
          </w:p>
        </w:tc>
        <w:tc>
          <w:tcPr>
            <w:tcW w:w="1140" w:type="dxa"/>
            <w:vAlign w:val="bottom"/>
            <w:gridSpan w:val="7"/>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324,784</w:t>
            </w: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6"/>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6,190</w:t>
            </w:r>
          </w:p>
        </w:tc>
        <w:tc>
          <w:tcPr>
            <w:tcW w:w="160" w:type="dxa"/>
            <w:vAlign w:val="bottom"/>
            <w:shd w:val="clear" w:color="auto" w:fill="E5FFFF"/>
          </w:tcPr>
          <w:p>
            <w:pPr>
              <w:spacing w:after="0"/>
              <w:rPr>
                <w:sz w:val="21"/>
                <w:szCs w:val="21"/>
                <w:color w:val="auto"/>
              </w:rPr>
            </w:pPr>
          </w:p>
        </w:tc>
        <w:tc>
          <w:tcPr>
            <w:tcW w:w="1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E5FFFF"/>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54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440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38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4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540" w:type="dxa"/>
            <w:vAlign w:val="bottom"/>
            <w:tcBorders>
              <w:bottom w:val="single" w:sz="8" w:color="C0C0C0"/>
            </w:tcBorders>
          </w:tcPr>
          <w:p>
            <w:pPr>
              <w:spacing w:after="0"/>
              <w:rPr>
                <w:sz w:val="21"/>
                <w:szCs w:val="21"/>
                <w:color w:val="auto"/>
              </w:rPr>
            </w:pPr>
          </w:p>
        </w:tc>
        <w:tc>
          <w:tcPr>
            <w:tcW w:w="720" w:type="dxa"/>
            <w:vAlign w:val="bottom"/>
            <w:tcBorders>
              <w:bottom w:val="single" w:sz="8" w:color="C0C0C0"/>
            </w:tcBorders>
          </w:tcPr>
          <w:p>
            <w:pPr>
              <w:spacing w:after="0"/>
              <w:rPr>
                <w:sz w:val="21"/>
                <w:szCs w:val="21"/>
                <w:color w:val="auto"/>
              </w:rPr>
            </w:pPr>
          </w:p>
        </w:tc>
        <w:tc>
          <w:tcPr>
            <w:tcW w:w="40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8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0" w:name="page51"/>
    <w:bookmarkEnd w:id="50"/>
    <w:p>
      <w:pPr>
        <w:spacing w:after="0" w:line="1" w:lineRule="exact"/>
        <w:rPr>
          <w:sz w:val="20"/>
          <w:szCs w:val="20"/>
          <w:color w:val="auto"/>
        </w:rPr>
      </w:pPr>
    </w:p>
    <w:tbl>
      <w:tblPr>
        <w:tblLayout w:type="fixed"/>
        <w:tblInd w:w="432"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4"/>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60" w:type="dxa"/>
            <w:vAlign w:val="bottom"/>
            <w:gridSpan w:val="3"/>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70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 Term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60" w:type="dxa"/>
            <w:vAlign w:val="bottom"/>
            <w:gridSpan w:val="3"/>
          </w:tcPr>
          <w:p>
            <w:pPr>
              <w:jc w:val="right"/>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jc w:val="center"/>
              <w:ind w:right="520"/>
              <w:spacing w:after="0" w:line="198" w:lineRule="exact"/>
              <w:rPr>
                <w:sz w:val="20"/>
                <w:szCs w:val="20"/>
                <w:color w:val="auto"/>
              </w:rPr>
            </w:pPr>
            <w:r>
              <w:rPr>
                <w:rFonts w:ascii="Times New Roman" w:cs="Times New Roman" w:eastAsia="Times New Roman" w:hAnsi="Times New Roman"/>
                <w:sz w:val="18"/>
                <w:szCs w:val="18"/>
                <w:b w:val="1"/>
                <w:bCs w:val="1"/>
                <w:color w:val="auto"/>
                <w:w w:val="96"/>
              </w:rPr>
              <w:t>(000’s)</w:t>
            </w:r>
          </w:p>
        </w:tc>
        <w:tc>
          <w:tcPr>
            <w:tcW w:w="174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2023</w:t>
            </w:r>
          </w:p>
        </w:tc>
        <w:tc>
          <w:tcPr>
            <w:tcW w:w="9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162,528</w:t>
            </w:r>
          </w:p>
        </w:tc>
        <w:tc>
          <w:tcPr>
            <w:tcW w:w="5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2,320</w:t>
            </w:r>
          </w:p>
        </w:tc>
        <w:tc>
          <w:tcPr>
            <w:tcW w:w="160" w:type="dxa"/>
            <w:vAlign w:val="bottom"/>
            <w:shd w:val="clear" w:color="auto" w:fill="E5FFFF"/>
          </w:tcPr>
          <w:p>
            <w:pPr>
              <w:spacing w:after="0"/>
              <w:rPr>
                <w:sz w:val="18"/>
                <w:szCs w:val="18"/>
                <w:color w:val="auto"/>
              </w:rPr>
            </w:pPr>
          </w:p>
        </w:tc>
        <w:tc>
          <w:tcPr>
            <w:tcW w:w="1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227,452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3,945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64,270</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Non-Vested at January 31, 2024</w:t>
            </w:r>
          </w:p>
        </w:tc>
        <w:tc>
          <w:tcPr>
            <w:tcW w:w="9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325,710</w:t>
            </w:r>
          </w:p>
        </w:tc>
        <w:tc>
          <w:tcPr>
            <w:tcW w:w="5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5,369</w:t>
            </w:r>
          </w:p>
        </w:tc>
        <w:tc>
          <w:tcPr>
            <w:tcW w:w="160" w:type="dxa"/>
            <w:vAlign w:val="bottom"/>
            <w:shd w:val="clear" w:color="auto" w:fill="E5FFFF"/>
          </w:tcPr>
          <w:p>
            <w:pPr>
              <w:spacing w:after="0"/>
              <w:rPr>
                <w:sz w:val="21"/>
                <w:szCs w:val="21"/>
                <w:color w:val="auto"/>
              </w:rPr>
            </w:pPr>
          </w:p>
        </w:tc>
        <w:tc>
          <w:tcPr>
            <w:tcW w:w="1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54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left="432"/>
        <w:spacing w:after="0" w:line="261" w:lineRule="auto"/>
        <w:rPr>
          <w:sz w:val="20"/>
          <w:szCs w:val="20"/>
          <w:color w:val="auto"/>
        </w:rPr>
      </w:pPr>
      <w:r>
        <w:rPr>
          <w:rFonts w:ascii="Times New Roman" w:cs="Times New Roman" w:eastAsia="Times New Roman" w:hAnsi="Times New Roman"/>
          <w:sz w:val="18"/>
          <w:szCs w:val="18"/>
          <w:color w:val="auto"/>
        </w:rPr>
        <w:t>In May 2022, the Company issued a total of 135,000 RSUs to certain officers with a performance period that ended on December 31, 2024. The number of RSUs eligible to vest ranged from zero percent to two-hundred percent and was determined based on how the Company’s TSR compared to the TSR of companies that comprise the Russell 2000 Index during the performance period. The calculated payout of the RSUs that vested was 148%, or 199,800 shares of REX common stock, and the shares were issued on February 26, 2025.</w:t>
      </w:r>
    </w:p>
    <w:p>
      <w:pPr>
        <w:spacing w:after="0" w:line="180" w:lineRule="exact"/>
        <w:rPr>
          <w:sz w:val="20"/>
          <w:szCs w:val="20"/>
          <w:color w:val="auto"/>
        </w:rPr>
      </w:pPr>
    </w:p>
    <w:p>
      <w:pPr>
        <w:jc w:val="both"/>
        <w:ind w:left="432"/>
        <w:spacing w:after="0" w:line="266" w:lineRule="auto"/>
        <w:rPr>
          <w:sz w:val="20"/>
          <w:szCs w:val="20"/>
          <w:color w:val="auto"/>
        </w:rPr>
      </w:pPr>
      <w:r>
        <w:rPr>
          <w:rFonts w:ascii="Times New Roman" w:cs="Times New Roman" w:eastAsia="Times New Roman" w:hAnsi="Times New Roman"/>
          <w:sz w:val="18"/>
          <w:szCs w:val="18"/>
          <w:color w:val="auto"/>
        </w:rPr>
        <w:t>The Company did not recognize any compensation cost related to RSUs for the year ended January 31, 2026. For the years ended January 31, 2025 and 2024, the Company recognized compensation cost of approximately $0.9 million and $1.1 million, respectively, related to RSUs. There was no unrecognized compensation cost related to nonvested RSUs at January 31, 2026 and 2025, respectively.</w:t>
      </w:r>
    </w:p>
    <w:p>
      <w:pPr>
        <w:spacing w:after="0" w:line="176"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At January 31, 2024, we calculated the diluted weighted average shares as follows (amounts in thousands):</w:t>
      </w:r>
    </w:p>
    <w:p>
      <w:pPr>
        <w:sectPr>
          <w:pgSz w:w="11900" w:h="16838" w:orient="portrait"/>
          <w:cols w:equalWidth="0" w:num="1">
            <w:col w:w="11232"/>
          </w:cols>
          <w:pgMar w:left="328" w:top="414" w:right="339" w:bottom="1440" w:gutter="0" w:footer="0" w:header="0"/>
        </w:sectPr>
      </w:pPr>
    </w:p>
    <w:p>
      <w:pPr>
        <w:spacing w:after="0" w:line="225"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Weighted average shares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-119380</wp:posOffset>
            </wp:positionV>
            <wp:extent cx="42773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Dilutive effect of RSUs</w:t>
      </w:r>
    </w:p>
    <w:p>
      <w:pPr>
        <w:spacing w:after="0" w:line="9"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7"/>
          <w:szCs w:val="17"/>
          <w:color w:val="auto"/>
        </w:rPr>
        <w:t>Weighted average shares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-114935</wp:posOffset>
            </wp:positionV>
            <wp:extent cx="427736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275" w:lineRule="exact"/>
        <w:rPr>
          <w:sz w:val="20"/>
          <w:szCs w:val="20"/>
          <w:color w:val="auto"/>
        </w:rPr>
      </w:pPr>
    </w:p>
    <w:p>
      <w:pPr>
        <w:ind w:left="412" w:hanging="412"/>
        <w:spacing w:after="0"/>
        <w:tabs>
          <w:tab w:leader="none" w:pos="41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8"/>
          <w:szCs w:val="18"/>
          <w:color w:val="auto"/>
        </w:rPr>
        <w:t>34,964</w:t>
      </w:r>
    </w:p>
    <w:p>
      <w:pPr>
        <w:spacing w:after="0" w:line="27"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8"/>
          <w:szCs w:val="18"/>
          <w:color w:val="auto"/>
        </w:rPr>
        <w:t>187</w:t>
      </w:r>
    </w:p>
    <w:p>
      <w:pPr>
        <w:spacing w:after="0" w:line="18"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8"/>
          <w:szCs w:val="18"/>
          <w:color w:val="auto"/>
        </w:rPr>
        <w:t>35,151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43180</wp:posOffset>
            </wp:positionV>
            <wp:extent cx="3168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682" w:lineRule="exact"/>
        <w:rPr>
          <w:sz w:val="20"/>
          <w:szCs w:val="20"/>
          <w:color w:val="auto"/>
        </w:rPr>
      </w:pPr>
    </w:p>
    <w:p>
      <w:pPr>
        <w:sectPr>
          <w:pgSz w:w="11900" w:h="16838" w:orient="portrait"/>
          <w:cols w:equalWidth="0" w:num="2">
            <w:col w:w="5952" w:space="720"/>
            <w:col w:w="4560"/>
          </w:cols>
          <w:pgMar w:left="328" w:top="414" w:right="339" w:bottom="1440" w:gutter="0" w:footer="0" w:header="0"/>
          <w:type w:val="continuous"/>
        </w:sectPr>
      </w:pPr>
    </w:p>
    <w:p>
      <w:pPr>
        <w:spacing w:after="0" w:line="29" w:lineRule="exact"/>
        <w:rPr>
          <w:sz w:val="20"/>
          <w:szCs w:val="20"/>
          <w:color w:val="auto"/>
        </w:rPr>
      </w:pPr>
    </w:p>
    <w:p>
      <w:pPr>
        <w:jc w:val="both"/>
        <w:ind w:left="432"/>
        <w:spacing w:after="0" w:line="282" w:lineRule="auto"/>
        <w:rPr>
          <w:sz w:val="20"/>
          <w:szCs w:val="20"/>
          <w:color w:val="auto"/>
        </w:rPr>
      </w:pPr>
      <w:r>
        <w:rPr>
          <w:rFonts w:ascii="Times New Roman" w:cs="Times New Roman" w:eastAsia="Times New Roman" w:hAnsi="Times New Roman"/>
          <w:sz w:val="18"/>
          <w:szCs w:val="18"/>
          <w:color w:val="auto"/>
        </w:rPr>
        <w:t>At January 31, 2026, One Earth and NuGen had combined forward purchase contracts for approximately 18.4 million bushels of corn, the principal raw material for their ethanol plants and they had combined forward purchase contracts for approximately 1.7 million MmBtu of natural gas.</w:t>
      </w:r>
    </w:p>
    <w:p>
      <w:pPr>
        <w:spacing w:after="0" w:line="162" w:lineRule="exact"/>
        <w:rPr>
          <w:sz w:val="20"/>
          <w:szCs w:val="20"/>
          <w:color w:val="auto"/>
        </w:rPr>
      </w:pPr>
    </w:p>
    <w:p>
      <w:pPr>
        <w:jc w:val="both"/>
        <w:ind w:left="432"/>
        <w:spacing w:after="0" w:line="282" w:lineRule="auto"/>
        <w:rPr>
          <w:sz w:val="20"/>
          <w:szCs w:val="20"/>
          <w:color w:val="auto"/>
        </w:rPr>
      </w:pPr>
      <w:r>
        <w:rPr>
          <w:rFonts w:ascii="Times New Roman" w:cs="Times New Roman" w:eastAsia="Times New Roman" w:hAnsi="Times New Roman"/>
          <w:sz w:val="18"/>
          <w:szCs w:val="18"/>
          <w:color w:val="auto"/>
        </w:rPr>
        <w:t>At January 31, 2026, One Earth and NuGen had combined sales commitments for approximately 54.8 million gallons of ethanol, 107,000 tons of distillers grains and 17.0 million pounds of distillers corn oil.</w:t>
      </w:r>
    </w:p>
    <w:p>
      <w:pPr>
        <w:spacing w:after="0" w:line="162" w:lineRule="exact"/>
        <w:rPr>
          <w:sz w:val="20"/>
          <w:szCs w:val="20"/>
          <w:color w:val="auto"/>
        </w:rPr>
      </w:pPr>
    </w:p>
    <w:p>
      <w:pPr>
        <w:ind w:left="432"/>
        <w:spacing w:after="0"/>
        <w:rPr>
          <w:sz w:val="20"/>
          <w:szCs w:val="20"/>
          <w:color w:val="auto"/>
        </w:rPr>
      </w:pPr>
      <w:r>
        <w:rPr>
          <w:rFonts w:ascii="Times New Roman" w:cs="Times New Roman" w:eastAsia="Times New Roman" w:hAnsi="Times New Roman"/>
          <w:sz w:val="18"/>
          <w:szCs w:val="18"/>
          <w:color w:val="auto"/>
        </w:rPr>
        <w:t>At January 31, 2026, One Earth and NuGen had signed contracts in place for capital projects of approximately $16.2 million.</w:t>
      </w:r>
    </w:p>
    <w:p>
      <w:pPr>
        <w:spacing w:after="0" w:line="225" w:lineRule="exact"/>
        <w:rPr>
          <w:sz w:val="20"/>
          <w:szCs w:val="20"/>
          <w:color w:val="auto"/>
        </w:rPr>
      </w:pPr>
    </w:p>
    <w:p>
      <w:pPr>
        <w:jc w:val="both"/>
        <w:ind w:left="432" w:right="20"/>
        <w:spacing w:after="0" w:line="266" w:lineRule="auto"/>
        <w:rPr>
          <w:sz w:val="20"/>
          <w:szCs w:val="20"/>
          <w:color w:val="auto"/>
        </w:rPr>
      </w:pPr>
      <w:r>
        <w:rPr>
          <w:rFonts w:ascii="Times New Roman" w:cs="Times New Roman" w:eastAsia="Times New Roman" w:hAnsi="Times New Roman"/>
          <w:sz w:val="18"/>
          <w:szCs w:val="18"/>
          <w:color w:val="auto"/>
        </w:rPr>
        <w:t>One Earth has entered into a 10-year agreement in 2009 with an unrelated party for the use of a portion of that party’s natural gas pipeline. A new 15-year agreement, with monthly payments of $29,250 was effective February 1, 2019. One Earth paid approximately $351,000 in fiscal years 2025, 2024, and 2023 pursuant to the agreement.</w:t>
      </w:r>
    </w:p>
    <w:p>
      <w:pPr>
        <w:spacing w:after="0" w:line="176" w:lineRule="exact"/>
        <w:rPr>
          <w:sz w:val="20"/>
          <w:szCs w:val="20"/>
          <w:color w:val="auto"/>
        </w:rPr>
      </w:pPr>
    </w:p>
    <w:p>
      <w:pPr>
        <w:jc w:val="both"/>
        <w:ind w:left="432"/>
        <w:spacing w:after="0" w:line="266" w:lineRule="auto"/>
        <w:rPr>
          <w:sz w:val="20"/>
          <w:szCs w:val="20"/>
          <w:color w:val="auto"/>
        </w:rPr>
      </w:pPr>
      <w:r>
        <w:rPr>
          <w:rFonts w:ascii="Times New Roman" w:cs="Times New Roman" w:eastAsia="Times New Roman" w:hAnsi="Times New Roman"/>
          <w:sz w:val="18"/>
          <w:szCs w:val="18"/>
          <w:color w:val="auto"/>
        </w:rPr>
        <w:t>One Earth and NuGen each have a contract with an unrelated party (“Distillers Grains Marketers”) for distillers grains marketing services. Under the terms of the contracts, the Distillers Grains Marketers will purchase all of One Earth’s and NuGen’s distillers grains production during the term of the contracts. The contracts call for One</w:t>
      </w:r>
    </w:p>
    <w:p>
      <w:pPr>
        <w:spacing w:after="0" w:line="14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414" w:right="339" w:bottom="1440" w:gutter="0" w:footer="0" w:header="0"/>
          <w:type w:val="continuous"/>
        </w:sectPr>
      </w:pPr>
    </w:p>
    <w:bookmarkStart w:id="51" w:name="page52"/>
    <w:bookmarkEnd w:id="51"/>
    <w:p>
      <w:pPr>
        <w:jc w:val="both"/>
        <w:ind w:left="440"/>
        <w:spacing w:after="0" w:line="261" w:lineRule="auto"/>
        <w:rPr>
          <w:sz w:val="20"/>
          <w:szCs w:val="20"/>
          <w:color w:val="auto"/>
        </w:rPr>
      </w:pPr>
      <w:r>
        <w:rPr>
          <w:rFonts w:ascii="Times New Roman" w:cs="Times New Roman" w:eastAsia="Times New Roman" w:hAnsi="Times New Roman"/>
          <w:sz w:val="18"/>
          <w:szCs w:val="18"/>
          <w:color w:val="auto"/>
        </w:rPr>
        <w:t>Earth and NuGen to pay a fee per ton of distillers grains sold for the Distillers Grains Marketers’ services. The terms of the agreements are for one year and renew automatically for additional one-year terms, unless either party sends notice to the other party of its intent to terminate the agreement at least 90 days prior to the expiration of the then current term of the agreement. One Earth and NuGen combined incurred fees of approximately $1,062,000 $1,110,000, and $1,199,000 in fiscal years 2025, 2024, and 2023, respectively, for these marketing services.</w:t>
      </w:r>
    </w:p>
    <w:p>
      <w:pPr>
        <w:spacing w:after="0" w:line="176"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fiscal years 2025, 2024, and 2023 consists of the following (amounts in thousands):</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Federal:</w:t>
            </w:r>
          </w:p>
        </w:tc>
        <w:tc>
          <w:tcPr>
            <w:tcW w:w="19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(4,340)</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19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8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(5,254)</w:t>
            </w:r>
          </w:p>
        </w:tc>
        <w:tc>
          <w:tcPr>
            <w:tcW w:w="18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40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7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14,102</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(9,594)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9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1940" w:type="dxa"/>
            <w:vAlign w:val="bottom"/>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spacing w:after="0"/>
              <w:rPr>
                <w:sz w:val="19"/>
                <w:szCs w:val="19"/>
                <w:color w:val="auto"/>
              </w:rPr>
            </w:pP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spacing w:after="0"/>
              <w:rPr>
                <w:sz w:val="19"/>
                <w:szCs w:val="19"/>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0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72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1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(6,502)</w:t>
            </w:r>
          </w:p>
        </w:tc>
        <w:tc>
          <w:tcPr>
            <w:tcW w:w="44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56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E5FFFF"/>
            </w:tcBorders>
          </w:tcPr>
          <w:p>
            <w:pPr>
              <w:spacing w:after="0" w:line="20" w:lineRule="exact"/>
              <w:rPr>
                <w:sz w:val="1"/>
                <w:szCs w:val="1"/>
                <w:color w:val="auto"/>
              </w:rPr>
            </w:pPr>
          </w:p>
        </w:tc>
        <w:tc>
          <w:tcPr>
            <w:tcW w:w="19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deferred tax assets and liabilities are as follows (amounts in thousands):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860" w:type="dxa"/>
            <w:vAlign w:val="bottom"/>
            <w:gridSpan w:val="4"/>
          </w:tcPr>
          <w:p>
            <w:pPr>
              <w:jc w:val="right"/>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4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20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business credit carryforward</w:t>
            </w: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24,701</w:t>
            </w:r>
          </w:p>
        </w:tc>
        <w:tc>
          <w:tcPr>
            <w:tcW w:w="2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860" w:type="dxa"/>
            <w:vAlign w:val="bottom"/>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80" w:type="dxa"/>
            <w:vAlign w:val="bottom"/>
            <w:gridSpan w:val="3"/>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net operating loss carryforward</w:t>
            </w: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8"/>
                <w:szCs w:val="18"/>
                <w:color w:val="auto"/>
              </w:rPr>
              <w:t>Other items</w:t>
            </w:r>
          </w:p>
        </w:tc>
        <w:tc>
          <w:tcPr>
            <w:tcW w:w="2860" w:type="dxa"/>
            <w:vAlign w:val="bottom"/>
            <w:gridSpan w:val="4"/>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80" w:type="dxa"/>
            <w:vAlign w:val="bottom"/>
            <w:gridSpan w:val="3"/>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Valuation allowance</w:t>
            </w:r>
          </w:p>
        </w:tc>
        <w:tc>
          <w:tcPr>
            <w:tcW w:w="2040" w:type="dxa"/>
            <w:vAlign w:val="bottom"/>
          </w:tcPr>
          <w:p>
            <w:pPr>
              <w:spacing w:after="0"/>
              <w:rPr>
                <w:sz w:val="19"/>
                <w:szCs w:val="19"/>
                <w:color w:val="auto"/>
              </w:rPr>
            </w:pP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405" w:right="339" w:bottom="1440"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-119380</wp:posOffset>
            </wp:positionV>
            <wp:extent cx="570039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570039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Basis in pass through entities, including depreciation</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br w:type="column"/>
      </w:r>
    </w:p>
    <w:p>
      <w:pPr>
        <w:ind w:left="60"/>
        <w:spacing w:after="0"/>
        <w:tabs>
          <w:tab w:leader="none" w:pos="1280" w:val="left"/>
        </w:tabs>
        <w:rPr>
          <w:sz w:val="20"/>
          <w:szCs w:val="20"/>
          <w:color w:val="auto"/>
        </w:rPr>
      </w:pPr>
      <w:r>
        <w:rPr>
          <w:rFonts w:ascii="Times New Roman" w:cs="Times New Roman" w:eastAsia="Times New Roman" w:hAnsi="Times New Roman"/>
          <w:sz w:val="18"/>
          <w:szCs w:val="18"/>
          <w:color w:val="auto"/>
        </w:rPr>
        <w:t>25,674</w:t>
      </w:r>
      <w:r>
        <w:rPr>
          <w:sz w:val="20"/>
          <w:szCs w:val="20"/>
          <w:color w:val="auto"/>
        </w:rPr>
        <w:tab/>
      </w:r>
      <w:r>
        <w:rPr>
          <w:rFonts w:ascii="Times New Roman" w:cs="Times New Roman" w:eastAsia="Times New Roman" w:hAnsi="Times New Roman"/>
          <w:sz w:val="18"/>
          <w:szCs w:val="18"/>
          <w:color w:val="auto"/>
        </w:rPr>
        <w:t>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17145</wp:posOffset>
            </wp:positionV>
            <wp:extent cx="1251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21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(25,765)</w:t>
      </w:r>
      <w:r>
        <w:rPr>
          <w:sz w:val="20"/>
          <w:szCs w:val="20"/>
          <w:color w:val="auto"/>
        </w:rPr>
        <w:tab/>
      </w:r>
      <w:r>
        <w:rPr>
          <w:rFonts w:ascii="Times New Roman" w:cs="Times New Roman" w:eastAsia="Times New Roman" w:hAnsi="Times New Roman"/>
          <w:sz w:val="18"/>
          <w:szCs w:val="18"/>
          <w:color w:val="auto"/>
        </w:rPr>
        <w:t>(7,470)</w:t>
      </w:r>
    </w:p>
    <w:p>
      <w:pPr>
        <w:spacing w:after="0" w:line="27" w:lineRule="exact"/>
        <w:rPr>
          <w:sz w:val="20"/>
          <w:szCs w:val="20"/>
          <w:color w:val="auto"/>
        </w:rPr>
      </w:pPr>
    </w:p>
    <w:p>
      <w:pPr>
        <w:ind w:left="1240" w:hanging="736"/>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22860</wp:posOffset>
            </wp:positionV>
            <wp:extent cx="12515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20"/>
          </w:cols>
          <w:pgMar w:left="320" w:top="405" w:right="3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3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840" w:type="dxa"/>
            <w:vAlign w:val="bottom"/>
            <w:gridSpan w:val="2"/>
            <w:shd w:val="clear" w:color="auto" w:fill="E5FFFF"/>
          </w:tcPr>
          <w:p>
            <w:pPr>
              <w:jc w:val="right"/>
              <w:ind w:right="61"/>
              <w:spacing w:after="0"/>
              <w:rPr>
                <w:sz w:val="20"/>
                <w:szCs w:val="20"/>
                <w:color w:val="auto"/>
              </w:rPr>
            </w:pPr>
            <w:r>
              <w:rPr>
                <w:rFonts w:ascii="Times New Roman" w:cs="Times New Roman" w:eastAsia="Times New Roman" w:hAnsi="Times New Roman"/>
                <w:sz w:val="18"/>
                <w:szCs w:val="18"/>
                <w:color w:val="auto"/>
              </w:rPr>
              <w:t>(25,765)</w:t>
            </w:r>
          </w:p>
        </w:tc>
        <w:tc>
          <w:tcPr>
            <w:tcW w:w="10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(3,562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8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0" w:type="dxa"/>
            <w:vAlign w:val="bottom"/>
            <w:tcBorders>
              <w:bottom w:val="single" w:sz="8" w:color="C0C0C0"/>
            </w:tcBorders>
          </w:tcPr>
          <w:p>
            <w:pPr>
              <w:spacing w:after="0"/>
              <w:rPr>
                <w:sz w:val="21"/>
                <w:szCs w:val="21"/>
                <w:color w:val="auto"/>
              </w:rPr>
            </w:pPr>
          </w:p>
        </w:tc>
        <w:tc>
          <w:tcPr>
            <w:tcW w:w="3440" w:type="dxa"/>
            <w:vAlign w:val="bottom"/>
            <w:tcBorders>
              <w:bottom w:val="single" w:sz="8" w:color="C0C0C0"/>
            </w:tcBorders>
          </w:tcPr>
          <w:p>
            <w:pPr>
              <w:spacing w:after="0"/>
              <w:rPr>
                <w:sz w:val="21"/>
                <w:szCs w:val="21"/>
                <w:color w:val="auto"/>
              </w:rPr>
            </w:pPr>
          </w:p>
        </w:tc>
        <w:tc>
          <w:tcPr>
            <w:tcW w:w="348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640" w:type="dxa"/>
            <w:vAlign w:val="bottom"/>
            <w:tcBorders>
              <w:bottom w:val="single" w:sz="8" w:color="C0C0C0"/>
            </w:tcBorders>
          </w:tcPr>
          <w:p>
            <w:pPr>
              <w:spacing w:after="0"/>
              <w:rPr>
                <w:sz w:val="21"/>
                <w:szCs w:val="21"/>
                <w:color w:val="auto"/>
              </w:rPr>
            </w:pPr>
          </w:p>
        </w:tc>
        <w:tc>
          <w:tcPr>
            <w:tcW w:w="20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8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type w:val="continuous"/>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The net deferred tax liability is reported on the accompanying Consolidated Balance Sheets based on net position by tax jurisdiction, within federal positions of approximately $4.0 million recorded as assets on the Consolidated Balance Sheets within “Other assets” and state positions of $4.1 million recorded as liabilities on the accompanying Consolidated Balance Sheets at January 31, 2026. At January 31, 2025, both federal positions and state positions were recorded as net liabilities with “Deferred taxes” on the Consolidated Balance Sheets.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4, 2025, the OBBBA was signed into law. The OBBBA contains various tax reform provisions affecting businesses, such as the extension of bonus depreciation for assets placed in service after January 19, 2025 and immediate expensing of domestic research and development costs, to result in current deductions that will lower cash paid for income taxes for 2025. The OBBBA made changes to the 45Z and 45Q tax credits that the Company intends to take advantage of which materially impact our effective tax rate. The Section 45Z clean fuel production credit is a general business credit that is allowed with respect to clean transportation fuel produced domestically after December 31, 2024, and before December 31, 2029. This credit, which was part of the IRA, and subsequently extended by the OBBBA, incentivizes the production of clean fuels at our plants that reduce GHG emissions below a CI score of 50. The tax credit utilizes a sliding scale where credits can be earned incrementally between $0.02 and $0.20, or $0.10 and $1.00 if prevailing wage and apprenticeship requirements are met, per gallon of non-SAF fuels based on an ethanol plant’s GHG reduction below a 50 CI score threshold, with the first two or ten cents earned upon achieving a CI score below 47.5. The company expects that it is more-likely-than-not that prevailing wage and apprenticeship requirements will be met for 2025 for its consolidated ethanol plants and has calculated the credit at the highest credit rate based on its CI score for 2025, after the purchase of EACs.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general business credit carryforward, net of the impact of uncertain tax positions, of approximately $24.7 million and $4.2 million at January 31, 2026 and 2025, respectively. The credits at January 31, 2025 were fully utilized as part of the effective settlement of the IRS audit that is in process of being finalized. The Company earned 45Z clean fuel production credits in 2025 that make up the $24.7 million of credits to be carried forward at January 31, 2026. The Company can carry these credits forward for up to twenty-two years. The carryforward periods expire in fiscal year 2047.</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valuation allowance of approximately $64,000 and $132,000 at January 31, 2026 and 2025, respectively, related to state net operating loss carryforwards. The Company decreased the valuation allowance by $68,000 in fiscal year 2025. These adjustments to the valuation allowance are a result of estimates of realizing certain future state tax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2025, the Company recognized an income tax benefit for federal 45Z clean fuel production credits of approximately $28.1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credits can be used to reduce future income tax liabilities for up to 22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income taxes in fiscal years 2025, 2024, 2023 of the following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5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Federal</w:t>
            </w:r>
          </w:p>
        </w:tc>
        <w:tc>
          <w:tcPr>
            <w:tcW w:w="3160" w:type="dxa"/>
            <w:vAlign w:val="bottom"/>
            <w:gridSpan w:val="2"/>
            <w:shd w:val="clear" w:color="auto" w:fill="E5FF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0" w:type="dxa"/>
            <w:vAlign w:val="bottom"/>
            <w:gridSpan w:val="2"/>
            <w:shd w:val="clear" w:color="auto" w:fill="E5FF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5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E5FFFF"/>
          </w:tcPr>
          <w:p>
            <w:pPr>
              <w:spacing w:after="0"/>
              <w:rPr>
                <w:sz w:val="18"/>
                <w:szCs w:val="18"/>
                <w:color w:val="auto"/>
              </w:rPr>
            </w:pPr>
          </w:p>
        </w:tc>
      </w:tr>
      <w:tr>
        <w:trPr>
          <w:trHeight w:val="230"/>
        </w:trPr>
        <w:tc>
          <w:tcPr>
            <w:tcW w:w="35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State</w:t>
            </w:r>
          </w:p>
        </w:tc>
        <w:tc>
          <w:tcPr>
            <w:tcW w:w="2980" w:type="dxa"/>
            <w:vAlign w:val="bottom"/>
            <w:tcBorders>
              <w:bottom w:val="single" w:sz="8" w:color="E5FF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420" w:type="dxa"/>
            <w:vAlign w:val="bottom"/>
            <w:tcBorders>
              <w:bottom w:val="single" w:sz="8" w:color="E5FF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400" w:type="dxa"/>
            <w:vAlign w:val="bottom"/>
            <w:tcBorders>
              <w:bottom w:val="single" w:sz="8" w:color="E5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00" w:type="dxa"/>
            <w:vAlign w:val="bottom"/>
            <w:tcBorders>
              <w:bottom w:val="single" w:sz="8" w:color="E5FFFF"/>
            </w:tcBorders>
          </w:tcPr>
          <w:p>
            <w:pPr>
              <w:spacing w:after="0"/>
              <w:rPr>
                <w:sz w:val="19"/>
                <w:szCs w:val="19"/>
                <w:color w:val="auto"/>
              </w:rPr>
            </w:pPr>
          </w:p>
        </w:tc>
      </w:tr>
      <w:tr>
        <w:trPr>
          <w:trHeight w:val="223"/>
        </w:trPr>
        <w:tc>
          <w:tcPr>
            <w:tcW w:w="350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tcBorders>
              <w:bottom w:val="single" w:sz="8" w:color="E5FFFF"/>
            </w:tcBorders>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420" w:type="dxa"/>
            <w:vAlign w:val="bottom"/>
            <w:tcBorders>
              <w:bottom w:val="single" w:sz="8" w:color="E5FFFF"/>
            </w:tcBorders>
            <w:shd w:val="clear" w:color="auto" w:fill="E5FFFF"/>
          </w:tcPr>
          <w:p>
            <w:pPr>
              <w:spacing w:after="0"/>
              <w:rPr>
                <w:sz w:val="19"/>
                <w:szCs w:val="19"/>
                <w:color w:val="auto"/>
              </w:rPr>
            </w:pPr>
          </w:p>
        </w:tc>
        <w:tc>
          <w:tcPr>
            <w:tcW w:w="180" w:type="dxa"/>
            <w:vAlign w:val="bottom"/>
            <w:tcBorders>
              <w:bottom w:val="single" w:sz="8" w:color="auto"/>
            </w:tcBorders>
            <w:shd w:val="clear" w:color="auto" w:fill="E5FF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40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tcBorders>
              <w:bottom w:val="single" w:sz="8" w:color="E5FFFF"/>
            </w:tcBorders>
            <w:shd w:val="clear" w:color="auto" w:fill="E5FF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no refunds in fiscal years 2025, 2024, and 2023.</w:t>
      </w:r>
    </w:p>
    <w:p>
      <w:pPr>
        <w:spacing w:after="0" w:line="19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154305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760" w:top="405" w:right="339" w:bottom="1440" w:gutter="0" w:footer="0" w:header="0"/>
        </w:sectPr>
      </w:pPr>
    </w:p>
    <w:bookmarkStart w:id="53" w:name="page54"/>
    <w:bookmarkEnd w:id="53"/>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Income taxes paid (net of refunds) exceeded 5 percent of total income taxes paid (net of refunds) in the following state jurisdictions in fiscal years 2025, 2024 and 2023 (amounts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State</w:t>
            </w:r>
          </w:p>
        </w:tc>
        <w:tc>
          <w:tcPr>
            <w:tcW w:w="248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98"/>
        </w:trPr>
        <w:tc>
          <w:tcPr>
            <w:tcW w:w="30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Illinois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4,021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3,052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the federal statutory tax and the Company’s income tax (benefit) provision for fiscal years 2025, 2024, and 2023 are as follows (amounts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3900" w:type="dxa"/>
            <w:vAlign w:val="bottom"/>
            <w:tcBorders>
              <w:bottom w:val="single" w:sz="8" w:color="E5FFFF"/>
            </w:tcBorders>
          </w:tcPr>
          <w:p>
            <w:pPr>
              <w:spacing w:after="0"/>
              <w:rPr>
                <w:sz w:val="20"/>
                <w:szCs w:val="20"/>
                <w:color w:val="auto"/>
              </w:rPr>
            </w:pPr>
          </w:p>
        </w:tc>
        <w:tc>
          <w:tcPr>
            <w:tcW w:w="600" w:type="dxa"/>
            <w:vAlign w:val="bottom"/>
            <w:tcBorders>
              <w:bottom w:val="single" w:sz="8" w:color="E5FFFF"/>
            </w:tcBorders>
          </w:tcPr>
          <w:p>
            <w:pPr>
              <w:spacing w:after="0"/>
              <w:rPr>
                <w:sz w:val="20"/>
                <w:szCs w:val="20"/>
                <w:color w:val="auto"/>
              </w:rPr>
            </w:pPr>
          </w:p>
        </w:tc>
        <w:tc>
          <w:tcPr>
            <w:tcW w:w="11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11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112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r>
      <w:tr>
        <w:trPr>
          <w:trHeight w:val="210"/>
        </w:trPr>
        <w:tc>
          <w:tcPr>
            <w:tcW w:w="39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Tax at U.S. statutory rate</w:t>
            </w:r>
          </w:p>
        </w:tc>
        <w:tc>
          <w:tcPr>
            <w:tcW w:w="600" w:type="dxa"/>
            <w:vAlign w:val="bottom"/>
            <w:shd w:val="clear" w:color="auto" w:fill="E5FFFF"/>
          </w:tcPr>
          <w:p>
            <w:pPr>
              <w:spacing w:after="0"/>
              <w:rPr>
                <w:sz w:val="18"/>
                <w:szCs w:val="18"/>
                <w:color w:val="auto"/>
              </w:rPr>
            </w:pP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38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19,503</w:t>
            </w:r>
          </w:p>
        </w:tc>
        <w:tc>
          <w:tcPr>
            <w:tcW w:w="38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20,682</w:t>
            </w:r>
          </w:p>
        </w:tc>
        <w:tc>
          <w:tcPr>
            <w:tcW w:w="38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r>
      <w:tr>
        <w:trPr>
          <w:trHeight w:val="216"/>
        </w:trPr>
        <w:tc>
          <w:tcPr>
            <w:tcW w:w="39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6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45Z credits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(28,142)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39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credits</w:t>
            </w:r>
          </w:p>
        </w:tc>
        <w:tc>
          <w:tcPr>
            <w:tcW w:w="6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(204)</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6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380" w:type="dxa"/>
            <w:vAlign w:val="bottom"/>
            <w:shd w:val="clear" w:color="auto" w:fill="E5FFFF"/>
          </w:tcPr>
          <w:p>
            <w:pPr>
              <w:spacing w:after="0"/>
              <w:rPr>
                <w:sz w:val="18"/>
                <w:szCs w:val="18"/>
                <w:color w:val="auto"/>
              </w:rPr>
            </w:pPr>
          </w:p>
        </w:tc>
        <w:tc>
          <w:tcPr>
            <w:tcW w:w="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80" w:type="dxa"/>
            <w:vAlign w:val="bottom"/>
            <w:shd w:val="clear" w:color="auto" w:fill="E5FFFF"/>
          </w:tcPr>
          <w:p>
            <w:pPr>
              <w:spacing w:after="0"/>
              <w:rPr>
                <w:sz w:val="18"/>
                <w:szCs w:val="18"/>
                <w:color w:val="auto"/>
              </w:rPr>
            </w:pPr>
          </w:p>
        </w:tc>
        <w:tc>
          <w:tcPr>
            <w:tcW w:w="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380" w:type="dxa"/>
            <w:vAlign w:val="bottom"/>
            <w:shd w:val="clear" w:color="auto" w:fill="E5FFFF"/>
          </w:tcPr>
          <w:p>
            <w:pPr>
              <w:spacing w:after="0"/>
              <w:rPr>
                <w:sz w:val="18"/>
                <w:szCs w:val="18"/>
                <w:color w:val="auto"/>
              </w:rPr>
            </w:pPr>
          </w:p>
        </w:tc>
        <w:tc>
          <w:tcPr>
            <w:tcW w:w="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E5FF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Nontaxable 45Z revenue, passed through</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39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Changes in uncertain tax positions</w:t>
            </w:r>
          </w:p>
        </w:tc>
        <w:tc>
          <w:tcPr>
            <w:tcW w:w="6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380" w:type="dxa"/>
            <w:vAlign w:val="bottom"/>
            <w:shd w:val="clear" w:color="auto" w:fill="E5FFFF"/>
          </w:tcPr>
          <w:p>
            <w:pPr>
              <w:spacing w:after="0"/>
              <w:rPr>
                <w:sz w:val="18"/>
                <w:szCs w:val="18"/>
                <w:color w:val="auto"/>
              </w:rPr>
            </w:pPr>
          </w:p>
        </w:tc>
        <w:tc>
          <w:tcPr>
            <w:tcW w:w="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E5FFFF"/>
          </w:tcPr>
          <w:p>
            <w:pPr>
              <w:spacing w:after="0"/>
              <w:rPr>
                <w:sz w:val="18"/>
                <w:szCs w:val="18"/>
                <w:color w:val="auto"/>
              </w:rPr>
            </w:pPr>
          </w:p>
        </w:tc>
        <w:tc>
          <w:tcPr>
            <w:tcW w:w="6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(3,228)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39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600" w:type="dxa"/>
            <w:vAlign w:val="bottom"/>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spacing w:after="0"/>
              <w:rPr>
                <w:sz w:val="19"/>
                <w:szCs w:val="19"/>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80" w:type="dxa"/>
            <w:vAlign w:val="bottom"/>
            <w:shd w:val="clear" w:color="auto" w:fill="E5FFFF"/>
          </w:tcPr>
          <w:p>
            <w:pPr>
              <w:spacing w:after="0"/>
              <w:rPr>
                <w:sz w:val="19"/>
                <w:szCs w:val="19"/>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80" w:type="dxa"/>
            <w:vAlign w:val="bottom"/>
            <w:shd w:val="clear" w:color="auto" w:fill="E5FFFF"/>
          </w:tcPr>
          <w:p>
            <w:pPr>
              <w:spacing w:after="0"/>
              <w:rPr>
                <w:sz w:val="19"/>
                <w:szCs w:val="19"/>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80" w:type="dxa"/>
            <w:vAlign w:val="bottom"/>
            <w:shd w:val="clear" w:color="auto" w:fill="E5FFFF"/>
          </w:tcPr>
          <w:p>
            <w:pPr>
              <w:spacing w:after="0"/>
              <w:rPr>
                <w:sz w:val="19"/>
                <w:szCs w:val="19"/>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E5FFFF"/>
          </w:tcPr>
          <w:p>
            <w:pPr>
              <w:spacing w:after="0"/>
              <w:rPr>
                <w:sz w:val="19"/>
                <w:szCs w:val="19"/>
                <w:color w:val="auto"/>
              </w:rPr>
            </w:pPr>
          </w:p>
        </w:tc>
      </w:tr>
      <w:tr>
        <w:trPr>
          <w:trHeight w:val="45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(6,502)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21,386</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24"/>
                <w:szCs w:val="24"/>
                <w:color w:val="auto"/>
              </w:rPr>
            </w:pPr>
          </w:p>
        </w:tc>
      </w:tr>
      <w:tr>
        <w:trPr>
          <w:trHeight w:val="20"/>
        </w:trPr>
        <w:tc>
          <w:tcPr>
            <w:tcW w:w="3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Company files a U.S. federal income tax return and income tax returns in various states. In general, the Company is no longer subject to U.S. federal, state or local income tax examinations by tax authorities for fiscal years ended January 31, 2014 and prior. The Company is currently finalizing, as a settlement agreement has been reached, a federal income tax examination for the years ended January 31, 2015 through January 31, 2022 related to tax credits claimed on returns during those years.</w:t>
      </w:r>
    </w:p>
    <w:p>
      <w:pPr>
        <w:spacing w:after="0" w:line="180"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applies the provisions of ASC 740-10-25-5 for uncertain tax positions. Tax positions held at January 31, 2025 related to the research and experimentation credits that are under IRS audit have been considered effectively settled as of January 31, 2026. The Company has reached a settlement with the IRS and is in process of finalizing the audit. As of January 31, 2026, total unrecognized tax benefits were approximately $259,000, and accrued penalties and interest were approximately $124,000. If the Company were to prevail on all unrecognized tax benefits recorded, the provision for income taxes would be reduced by approximately $178,000. In addition, the impact of penalties and interest would also benefit the effective tax rate. Interest and penalties associated with unrecognized tax benefits are recorded within income tax expense.</w:t>
      </w:r>
    </w:p>
    <w:p>
      <w:pPr>
        <w:spacing w:after="0" w:line="187"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The Company accounts for uncertainty in income taxes by determining whether it is more likely than not the position will be sustained on audit, including resolution of any related tax audits.</w:t>
      </w:r>
    </w:p>
    <w:p>
      <w:pPr>
        <w:spacing w:after="0" w:line="15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154305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20"/>
          </w:cols>
          <w:pgMar w:left="740" w:top="405" w:right="339" w:bottom="1440" w:gutter="0" w:footer="0" w:header="0"/>
        </w:sectPr>
      </w:pPr>
    </w:p>
    <w:bookmarkStart w:id="54" w:name="page55"/>
    <w:bookmarkEnd w:id="54"/>
    <w:p>
      <w:pPr>
        <w:ind w:left="44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including interest and penalties, is as follows (amounts in thousands):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20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18,965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Changes for tax positions for prior years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(18,706)</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Changes for tax positions for current year</w:t>
            </w:r>
          </w:p>
        </w:tc>
        <w:tc>
          <w:tcPr>
            <w:tcW w:w="184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6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53"/>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184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4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At January 31, 2026 and 2025, the total unrecognized tax benefits were included within the following lines on the accompanying Consolidated Balance Sheets (amounts in thousands):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8"/>
          </w:tcPr>
          <w:p>
            <w:pPr>
              <w:ind w:left="3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48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Refundable income taxes</w:t>
            </w:r>
          </w:p>
        </w:tc>
        <w:tc>
          <w:tcPr>
            <w:tcW w:w="22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taxes payable</w:t>
            </w:r>
          </w:p>
        </w:tc>
        <w:tc>
          <w:tcPr>
            <w:tcW w:w="20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22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E5FFFF"/>
            </w:tcBorders>
          </w:tcPr>
          <w:p>
            <w:pPr>
              <w:spacing w:after="0" w:line="20" w:lineRule="exact"/>
              <w:rPr>
                <w:sz w:val="1"/>
                <w:szCs w:val="1"/>
                <w:color w:val="auto"/>
              </w:rPr>
            </w:pPr>
          </w:p>
        </w:tc>
        <w:tc>
          <w:tcPr>
            <w:tcW w:w="20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involved in various legal actions arising in the normal course of business. After taking into consideration legal counsels’ evaluation of such actions, management is of the opinion that their outcome will not have a material effect on the Company’s consolidated financial statements. There were no liabilities recorded at January 31, 2026 as the Company did not believe that there was a probable and reasonably estimable loss associated with any legal contingencies.</w:t>
      </w:r>
    </w:p>
    <w:p>
      <w:pPr>
        <w:spacing w:after="0" w:line="175"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years 2025, 2024, and 2023, One Earth and NuGen, combined, purchased approximately $86.4 million, $99.2 million, and $117.0 million, respectively, of corn and other supplies from minority equity investors. The Company had amounts payable to related parties of approximately $1.2 million and $1.4 million at January 31, 2026 and 2025, respectively.</w:t>
      </w:r>
    </w:p>
    <w:p>
      <w:pPr>
        <w:spacing w:after="0" w:line="175" w:lineRule="exact"/>
        <w:rPr>
          <w:rFonts w:ascii="Times New Roman" w:cs="Times New Roman" w:eastAsia="Times New Roman" w:hAnsi="Times New Roman"/>
          <w:sz w:val="18"/>
          <w:szCs w:val="18"/>
          <w:b w:val="1"/>
          <w:bCs w:val="1"/>
          <w:color w:val="auto"/>
        </w:rPr>
      </w:pPr>
    </w:p>
    <w:p>
      <w:pPr>
        <w:ind w:left="4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fiscal year 2024, $1.5 million was paid to landowners who are equity investors of One Earth Energy, for land easements related to the carbon sequestration project.</w:t>
      </w:r>
    </w:p>
    <w:p>
      <w:pPr>
        <w:spacing w:after="0" w:line="157"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jc w:val="both"/>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one reportable segment, ethanol and by-products. Within the ethanol and by-products segment, the Company has equity investments in three ethanol limited liability companies, two of which are majority ownership interests and are consolidated in the financial statements presented. Prior period amounts have been reclassified to conform to current segment reporting.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5" w:name="page56"/>
    <w:bookmarkEnd w:id="55"/>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is the Executive Committee that includes the Executive Chairman of the Board and The Chief Executive Officer. The chief operating decision maker uses net income generated from operating segments in determining the allocation of resources and making assessment of Company performance.</w:t>
      </w:r>
    </w:p>
    <w:p>
      <w:pPr>
        <w:spacing w:after="0" w:line="176" w:lineRule="exact"/>
        <w:rPr>
          <w:sz w:val="20"/>
          <w:szCs w:val="20"/>
          <w:color w:val="auto"/>
        </w:rPr>
      </w:pPr>
    </w:p>
    <w:p>
      <w:pPr>
        <w:jc w:val="both"/>
        <w:ind w:left="440"/>
        <w:spacing w:after="0" w:line="254" w:lineRule="auto"/>
        <w:rPr>
          <w:sz w:val="20"/>
          <w:szCs w:val="20"/>
          <w:color w:val="auto"/>
        </w:rPr>
      </w:pPr>
      <w:r>
        <w:rPr>
          <w:rFonts w:ascii="Times New Roman" w:cs="Times New Roman" w:eastAsia="Times New Roman" w:hAnsi="Times New Roman"/>
          <w:sz w:val="18"/>
          <w:szCs w:val="18"/>
          <w:color w:val="auto"/>
        </w:rPr>
        <w:t>In applying the criteria set forth in ASC 280 the Company determined that based on the nature of the products and production process and the expected financial results, the Company’s operations at its ethanol plants, each of which is reviewed in the same manner by the CODM, are aggregated into one reporting segment. Aggregation into one reporting segment is appropriate based upon the similarity of economic characteristics of the operating segments, including the markets for identical revenue sources and the primary input, corn. The plants in all locations operate in a similar manner to produce ethanol and by-products. The types of customers and how the products are distributed to the customers are similar across each operating entity, consisting of a combination of rail and truck shipments. Finally, the regulatory environment is largely impacted by guidance from the federal level, impacting each operating segment the same. The measure of segment assets is reported on the balance sheet as total consolidated assets.</w:t>
      </w:r>
    </w:p>
    <w:p>
      <w:pPr>
        <w:spacing w:after="0" w:line="192"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financial data for the Company’s reportable segment for the years ended January 31, 2026, 2025 and 2024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6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Net sales and revenue</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r>
      <w:tr>
        <w:trPr>
          <w:trHeight w:val="216"/>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Ethanol and by-products</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1,658,393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1,664,052</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2,213,035</w:t>
            </w:r>
          </w:p>
        </w:tc>
      </w:tr>
      <w:tr>
        <w:trPr>
          <w:trHeight w:val="230"/>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Reconciling Item: Equity method ethanol investment</w:t>
            </w:r>
          </w:p>
        </w:tc>
        <w:tc>
          <w:tcPr>
            <w:tcW w:w="20" w:type="dxa"/>
            <w:vAlign w:val="bottom"/>
            <w:shd w:val="clear" w:color="auto" w:fill="E5FFFF"/>
          </w:tcPr>
          <w:p>
            <w:pPr>
              <w:spacing w:after="0"/>
              <w:rPr>
                <w:sz w:val="19"/>
                <w:szCs w:val="19"/>
                <w:color w:val="auto"/>
              </w:rPr>
            </w:pPr>
          </w:p>
        </w:tc>
        <w:tc>
          <w:tcPr>
            <w:tcW w:w="240" w:type="dxa"/>
            <w:vAlign w:val="bottom"/>
            <w:tcBorders>
              <w:bottom w:val="single" w:sz="8" w:color="auto"/>
            </w:tcBorders>
            <w:shd w:val="clear" w:color="auto" w:fill="E5FFFF"/>
          </w:tcPr>
          <w:p>
            <w:pPr>
              <w:spacing w:after="0"/>
              <w:rPr>
                <w:sz w:val="19"/>
                <w:szCs w:val="19"/>
                <w:color w:val="auto"/>
              </w:rPr>
            </w:pPr>
          </w:p>
        </w:tc>
        <w:tc>
          <w:tcPr>
            <w:tcW w:w="12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(1,007,906)</w:t>
            </w:r>
          </w:p>
        </w:tc>
        <w:tc>
          <w:tcPr>
            <w:tcW w:w="340" w:type="dxa"/>
            <w:vAlign w:val="bottom"/>
            <w:tcBorders>
              <w:bottom w:val="single" w:sz="8" w:color="auto"/>
            </w:tcBorders>
            <w:shd w:val="clear" w:color="auto" w:fill="E5FFFF"/>
          </w:tcPr>
          <w:p>
            <w:pPr>
              <w:spacing w:after="0"/>
              <w:rPr>
                <w:sz w:val="19"/>
                <w:szCs w:val="19"/>
                <w:color w:val="auto"/>
              </w:rPr>
            </w:pPr>
          </w:p>
        </w:tc>
        <w:tc>
          <w:tcPr>
            <w:tcW w:w="13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(1,021,561)</w:t>
            </w:r>
          </w:p>
        </w:tc>
        <w:tc>
          <w:tcPr>
            <w:tcW w:w="440" w:type="dxa"/>
            <w:vAlign w:val="bottom"/>
            <w:tcBorders>
              <w:bottom w:val="single" w:sz="8" w:color="auto"/>
            </w:tcBorders>
            <w:shd w:val="clear" w:color="auto" w:fill="E5FFFF"/>
          </w:tcPr>
          <w:p>
            <w:pPr>
              <w:spacing w:after="0"/>
              <w:rPr>
                <w:sz w:val="19"/>
                <w:szCs w:val="19"/>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(1,379,651)</w:t>
            </w:r>
          </w:p>
        </w:tc>
      </w:tr>
      <w:tr>
        <w:trPr>
          <w:trHeight w:val="223"/>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consolidated net sales and revenue</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650,487</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642,491</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833,384</w:t>
            </w: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r>
      <w:tr>
        <w:trPr>
          <w:trHeight w:val="216"/>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Ethanol and by-products: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580" w:type="dxa"/>
            <w:vAlign w:val="bottom"/>
            <w:shd w:val="clear" w:color="auto" w:fill="E5FFFF"/>
          </w:tcPr>
          <w:p>
            <w:pPr>
              <w:ind w:left="600"/>
              <w:spacing w:after="0"/>
              <w:rPr>
                <w:sz w:val="20"/>
                <w:szCs w:val="20"/>
                <w:color w:val="auto"/>
              </w:rPr>
            </w:pPr>
            <w:r>
              <w:rPr>
                <w:rFonts w:ascii="Times New Roman" w:cs="Times New Roman" w:eastAsia="Times New Roman" w:hAnsi="Times New Roman"/>
                <w:sz w:val="18"/>
                <w:szCs w:val="18"/>
                <w:color w:val="auto"/>
              </w:rPr>
              <w:t>Cost of corn</w:t>
            </w:r>
          </w:p>
        </w:tc>
        <w:tc>
          <w:tcPr>
            <w:tcW w:w="260" w:type="dxa"/>
            <w:vAlign w:val="bottom"/>
            <w:gridSpan w:val="2"/>
            <w:shd w:val="clear" w:color="auto" w:fill="E5FF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5FFFF"/>
          </w:tcPr>
          <w:p>
            <w:pPr>
              <w:jc w:val="right"/>
              <w:ind w:right="150"/>
              <w:spacing w:after="0"/>
              <w:rPr>
                <w:sz w:val="20"/>
                <w:szCs w:val="20"/>
                <w:color w:val="auto"/>
              </w:rPr>
            </w:pPr>
            <w:r>
              <w:rPr>
                <w:rFonts w:ascii="Times New Roman" w:cs="Times New Roman" w:eastAsia="Times New Roman" w:hAnsi="Times New Roman"/>
                <w:sz w:val="18"/>
                <w:szCs w:val="18"/>
                <w:color w:val="auto"/>
              </w:rPr>
              <w:t>1,057,816</w:t>
            </w:r>
          </w:p>
        </w:tc>
        <w:tc>
          <w:tcPr>
            <w:tcW w:w="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5FFFF"/>
          </w:tcPr>
          <w:p>
            <w:pPr>
              <w:jc w:val="right"/>
              <w:ind w:right="150"/>
              <w:spacing w:after="0"/>
              <w:rPr>
                <w:sz w:val="20"/>
                <w:szCs w:val="20"/>
                <w:color w:val="auto"/>
              </w:rPr>
            </w:pPr>
            <w:r>
              <w:rPr>
                <w:rFonts w:ascii="Times New Roman" w:cs="Times New Roman" w:eastAsia="Times New Roman" w:hAnsi="Times New Roman"/>
                <w:sz w:val="18"/>
                <w:szCs w:val="18"/>
                <w:color w:val="auto"/>
              </w:rPr>
              <w:t>1,094,364</w:t>
            </w:r>
          </w:p>
        </w:tc>
        <w:tc>
          <w:tcPr>
            <w:tcW w:w="440" w:type="dxa"/>
            <w:vAlign w:val="bottom"/>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1,542,265</w:t>
            </w:r>
          </w:p>
        </w:tc>
      </w:tr>
      <w:tr>
        <w:trPr>
          <w:trHeight w:val="216"/>
        </w:trPr>
        <w:tc>
          <w:tcPr>
            <w:tcW w:w="6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cost of sales (1)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388,728</w:t>
            </w:r>
          </w:p>
        </w:tc>
        <w:tc>
          <w:tcPr>
            <w:tcW w:w="34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361,052</w:t>
            </w:r>
          </w:p>
        </w:tc>
        <w:tc>
          <w:tcPr>
            <w:tcW w:w="4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412,003</w:t>
            </w:r>
          </w:p>
        </w:tc>
      </w:tr>
      <w:tr>
        <w:trPr>
          <w:trHeight w:val="229"/>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Reconciling Item: Equity method ethanol investment</w:t>
            </w:r>
          </w:p>
        </w:tc>
        <w:tc>
          <w:tcPr>
            <w:tcW w:w="20" w:type="dxa"/>
            <w:vAlign w:val="bottom"/>
            <w:shd w:val="clear" w:color="auto" w:fill="E5FFFF"/>
          </w:tcPr>
          <w:p>
            <w:pPr>
              <w:spacing w:after="0"/>
              <w:rPr>
                <w:sz w:val="19"/>
                <w:szCs w:val="19"/>
                <w:color w:val="auto"/>
              </w:rPr>
            </w:pPr>
          </w:p>
        </w:tc>
        <w:tc>
          <w:tcPr>
            <w:tcW w:w="240" w:type="dxa"/>
            <w:vAlign w:val="bottom"/>
            <w:tcBorders>
              <w:bottom w:val="single" w:sz="8" w:color="auto"/>
            </w:tcBorders>
            <w:shd w:val="clear" w:color="auto" w:fill="E5FFFF"/>
          </w:tcPr>
          <w:p>
            <w:pPr>
              <w:spacing w:after="0"/>
              <w:rPr>
                <w:sz w:val="19"/>
                <w:szCs w:val="19"/>
                <w:color w:val="auto"/>
              </w:rPr>
            </w:pPr>
          </w:p>
        </w:tc>
        <w:tc>
          <w:tcPr>
            <w:tcW w:w="12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(889,763)</w:t>
            </w:r>
          </w:p>
        </w:tc>
        <w:tc>
          <w:tcPr>
            <w:tcW w:w="340" w:type="dxa"/>
            <w:vAlign w:val="bottom"/>
            <w:tcBorders>
              <w:bottom w:val="single" w:sz="8" w:color="auto"/>
            </w:tcBorders>
            <w:shd w:val="clear" w:color="auto" w:fill="E5FFFF"/>
          </w:tcPr>
          <w:p>
            <w:pPr>
              <w:spacing w:after="0"/>
              <w:rPr>
                <w:sz w:val="19"/>
                <w:szCs w:val="19"/>
                <w:color w:val="auto"/>
              </w:rPr>
            </w:pPr>
          </w:p>
        </w:tc>
        <w:tc>
          <w:tcPr>
            <w:tcW w:w="13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(904,402)</w:t>
            </w:r>
          </w:p>
        </w:tc>
        <w:tc>
          <w:tcPr>
            <w:tcW w:w="440" w:type="dxa"/>
            <w:vAlign w:val="bottom"/>
            <w:tcBorders>
              <w:bottom w:val="single" w:sz="8" w:color="auto"/>
            </w:tcBorders>
            <w:shd w:val="clear" w:color="auto" w:fill="E5FFFF"/>
          </w:tcPr>
          <w:p>
            <w:pPr>
              <w:spacing w:after="0"/>
              <w:rPr>
                <w:sz w:val="19"/>
                <w:szCs w:val="19"/>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(1,219,102)</w:t>
            </w:r>
          </w:p>
        </w:tc>
      </w:tr>
      <w:tr>
        <w:trPr>
          <w:trHeight w:val="223"/>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cost of sales</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556,781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551,014</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735,166</w:t>
            </w: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r>
      <w:tr>
        <w:trPr>
          <w:trHeight w:val="216"/>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Ethanol and by-products</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211,849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208,636</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258,767</w:t>
            </w:r>
          </w:p>
        </w:tc>
      </w:tr>
      <w:tr>
        <w:trPr>
          <w:trHeight w:val="230"/>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Reconciling Item: Equity method ethanol investment</w:t>
            </w:r>
          </w:p>
        </w:tc>
        <w:tc>
          <w:tcPr>
            <w:tcW w:w="20" w:type="dxa"/>
            <w:vAlign w:val="bottom"/>
            <w:shd w:val="clear" w:color="auto" w:fill="E5FFFF"/>
          </w:tcPr>
          <w:p>
            <w:pPr>
              <w:spacing w:after="0"/>
              <w:rPr>
                <w:sz w:val="19"/>
                <w:szCs w:val="19"/>
                <w:color w:val="auto"/>
              </w:rPr>
            </w:pPr>
          </w:p>
        </w:tc>
        <w:tc>
          <w:tcPr>
            <w:tcW w:w="240" w:type="dxa"/>
            <w:vAlign w:val="bottom"/>
            <w:tcBorders>
              <w:bottom w:val="single" w:sz="8" w:color="auto"/>
            </w:tcBorders>
            <w:shd w:val="clear" w:color="auto" w:fill="E5FFFF"/>
          </w:tcPr>
          <w:p>
            <w:pPr>
              <w:spacing w:after="0"/>
              <w:rPr>
                <w:sz w:val="19"/>
                <w:szCs w:val="19"/>
                <w:color w:val="auto"/>
              </w:rPr>
            </w:pPr>
          </w:p>
        </w:tc>
        <w:tc>
          <w:tcPr>
            <w:tcW w:w="12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(118,143)</w:t>
            </w:r>
          </w:p>
        </w:tc>
        <w:tc>
          <w:tcPr>
            <w:tcW w:w="340" w:type="dxa"/>
            <w:vAlign w:val="bottom"/>
            <w:tcBorders>
              <w:bottom w:val="single" w:sz="8" w:color="auto"/>
            </w:tcBorders>
            <w:shd w:val="clear" w:color="auto" w:fill="E5FFFF"/>
          </w:tcPr>
          <w:p>
            <w:pPr>
              <w:spacing w:after="0"/>
              <w:rPr>
                <w:sz w:val="19"/>
                <w:szCs w:val="19"/>
                <w:color w:val="auto"/>
              </w:rPr>
            </w:pPr>
          </w:p>
        </w:tc>
        <w:tc>
          <w:tcPr>
            <w:tcW w:w="13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(117,159)</w:t>
            </w:r>
          </w:p>
        </w:tc>
        <w:tc>
          <w:tcPr>
            <w:tcW w:w="440" w:type="dxa"/>
            <w:vAlign w:val="bottom"/>
            <w:tcBorders>
              <w:bottom w:val="single" w:sz="8" w:color="auto"/>
            </w:tcBorders>
            <w:shd w:val="clear" w:color="auto" w:fill="E5FFFF"/>
          </w:tcPr>
          <w:p>
            <w:pPr>
              <w:spacing w:after="0"/>
              <w:rPr>
                <w:sz w:val="19"/>
                <w:szCs w:val="19"/>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(160,549)</w:t>
            </w:r>
          </w:p>
        </w:tc>
      </w:tr>
      <w:tr>
        <w:trPr>
          <w:trHeight w:val="223"/>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consolidated gross profit</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93,706</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91,477</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98,218</w:t>
            </w: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r>
      <w:tr>
        <w:trPr>
          <w:trHeight w:val="216"/>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Ethanol and by-products</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46,374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49,071</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56,207</w:t>
            </w:r>
          </w:p>
        </w:tc>
      </w:tr>
      <w:tr>
        <w:trPr>
          <w:trHeight w:val="230"/>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Reconciling Item: Equity method ethanol investment</w:t>
            </w:r>
          </w:p>
        </w:tc>
        <w:tc>
          <w:tcPr>
            <w:tcW w:w="20" w:type="dxa"/>
            <w:vAlign w:val="bottom"/>
            <w:shd w:val="clear" w:color="auto" w:fill="E5FFFF"/>
          </w:tcPr>
          <w:p>
            <w:pPr>
              <w:spacing w:after="0"/>
              <w:rPr>
                <w:sz w:val="19"/>
                <w:szCs w:val="19"/>
                <w:color w:val="auto"/>
              </w:rPr>
            </w:pPr>
          </w:p>
        </w:tc>
        <w:tc>
          <w:tcPr>
            <w:tcW w:w="240" w:type="dxa"/>
            <w:vAlign w:val="bottom"/>
            <w:tcBorders>
              <w:bottom w:val="single" w:sz="8" w:color="auto"/>
            </w:tcBorders>
            <w:shd w:val="clear" w:color="auto" w:fill="E5FFFF"/>
          </w:tcPr>
          <w:p>
            <w:pPr>
              <w:spacing w:after="0"/>
              <w:rPr>
                <w:sz w:val="19"/>
                <w:szCs w:val="19"/>
                <w:color w:val="auto"/>
              </w:rPr>
            </w:pPr>
          </w:p>
        </w:tc>
        <w:tc>
          <w:tcPr>
            <w:tcW w:w="12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(23,212)</w:t>
            </w:r>
          </w:p>
        </w:tc>
        <w:tc>
          <w:tcPr>
            <w:tcW w:w="340" w:type="dxa"/>
            <w:vAlign w:val="bottom"/>
            <w:tcBorders>
              <w:bottom w:val="single" w:sz="8" w:color="auto"/>
            </w:tcBorders>
            <w:shd w:val="clear" w:color="auto" w:fill="E5FFFF"/>
          </w:tcPr>
          <w:p>
            <w:pPr>
              <w:spacing w:after="0"/>
              <w:rPr>
                <w:sz w:val="19"/>
                <w:szCs w:val="19"/>
                <w:color w:val="auto"/>
              </w:rPr>
            </w:pPr>
          </w:p>
        </w:tc>
        <w:tc>
          <w:tcPr>
            <w:tcW w:w="13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(27,356)</w:t>
            </w:r>
          </w:p>
        </w:tc>
        <w:tc>
          <w:tcPr>
            <w:tcW w:w="440" w:type="dxa"/>
            <w:vAlign w:val="bottom"/>
            <w:tcBorders>
              <w:bottom w:val="single" w:sz="8" w:color="auto"/>
            </w:tcBorders>
            <w:shd w:val="clear" w:color="auto" w:fill="E5FFFF"/>
          </w:tcPr>
          <w:p>
            <w:pPr>
              <w:spacing w:after="0"/>
              <w:rPr>
                <w:sz w:val="19"/>
                <w:szCs w:val="19"/>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(33,168)</w:t>
            </w:r>
          </w:p>
        </w:tc>
      </w:tr>
      <w:tr>
        <w:trPr>
          <w:trHeight w:val="223"/>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consolidated depreciation and amortization expense</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23,162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21,715</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23,039</w:t>
            </w: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Income before taxes</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r>
      <w:tr>
        <w:trPr>
          <w:trHeight w:val="216"/>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Ethanol and by-products</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229,056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201,650</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253,600</w:t>
            </w:r>
          </w:p>
        </w:tc>
      </w:tr>
      <w:tr>
        <w:trPr>
          <w:trHeight w:val="230"/>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Reconciling Item: Equity method ethanol investment</w:t>
            </w:r>
          </w:p>
        </w:tc>
        <w:tc>
          <w:tcPr>
            <w:tcW w:w="20" w:type="dxa"/>
            <w:vAlign w:val="bottom"/>
            <w:shd w:val="clear" w:color="auto" w:fill="E5FFFF"/>
          </w:tcPr>
          <w:p>
            <w:pPr>
              <w:spacing w:after="0"/>
              <w:rPr>
                <w:sz w:val="19"/>
                <w:szCs w:val="19"/>
                <w:color w:val="auto"/>
              </w:rPr>
            </w:pPr>
          </w:p>
        </w:tc>
        <w:tc>
          <w:tcPr>
            <w:tcW w:w="240" w:type="dxa"/>
            <w:vAlign w:val="bottom"/>
            <w:tcBorders>
              <w:bottom w:val="single" w:sz="8" w:color="auto"/>
            </w:tcBorders>
            <w:shd w:val="clear" w:color="auto" w:fill="E5FFFF"/>
          </w:tcPr>
          <w:p>
            <w:pPr>
              <w:spacing w:after="0"/>
              <w:rPr>
                <w:sz w:val="19"/>
                <w:szCs w:val="19"/>
                <w:color w:val="auto"/>
              </w:rPr>
            </w:pPr>
          </w:p>
        </w:tc>
        <w:tc>
          <w:tcPr>
            <w:tcW w:w="12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(140,484)</w:t>
            </w:r>
          </w:p>
        </w:tc>
        <w:tc>
          <w:tcPr>
            <w:tcW w:w="340" w:type="dxa"/>
            <w:vAlign w:val="bottom"/>
            <w:tcBorders>
              <w:bottom w:val="single" w:sz="8" w:color="auto"/>
            </w:tcBorders>
            <w:shd w:val="clear" w:color="auto" w:fill="E5FFFF"/>
          </w:tcPr>
          <w:p>
            <w:pPr>
              <w:spacing w:after="0"/>
              <w:rPr>
                <w:sz w:val="19"/>
                <w:szCs w:val="19"/>
                <w:color w:val="auto"/>
              </w:rPr>
            </w:pPr>
          </w:p>
        </w:tc>
        <w:tc>
          <w:tcPr>
            <w:tcW w:w="13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(108,778)</w:t>
            </w:r>
          </w:p>
        </w:tc>
        <w:tc>
          <w:tcPr>
            <w:tcW w:w="440" w:type="dxa"/>
            <w:vAlign w:val="bottom"/>
            <w:tcBorders>
              <w:bottom w:val="single" w:sz="8" w:color="auto"/>
            </w:tcBorders>
            <w:shd w:val="clear" w:color="auto" w:fill="E5FFFF"/>
          </w:tcPr>
          <w:p>
            <w:pPr>
              <w:spacing w:after="0"/>
              <w:rPr>
                <w:sz w:val="19"/>
                <w:szCs w:val="19"/>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(155,116)</w:t>
            </w:r>
          </w:p>
        </w:tc>
      </w:tr>
      <w:tr>
        <w:trPr>
          <w:trHeight w:val="210"/>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88,572</w:t>
            </w:r>
          </w:p>
        </w:tc>
        <w:tc>
          <w:tcPr>
            <w:tcW w:w="34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92,872</w:t>
            </w:r>
          </w:p>
        </w:tc>
        <w:tc>
          <w:tcPr>
            <w:tcW w:w="4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98,484</w:t>
            </w:r>
          </w:p>
        </w:tc>
      </w:tr>
      <w:tr>
        <w:trPr>
          <w:trHeight w:val="230"/>
        </w:trPr>
        <w:tc>
          <w:tcPr>
            <w:tcW w:w="6580" w:type="dxa"/>
            <w:vAlign w:val="bottom"/>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E5FFFF"/>
          </w:tcPr>
          <w:p>
            <w:pPr>
              <w:spacing w:after="0"/>
              <w:rPr>
                <w:sz w:val="19"/>
                <w:szCs w:val="19"/>
                <w:color w:val="auto"/>
              </w:rPr>
            </w:pPr>
          </w:p>
        </w:tc>
        <w:tc>
          <w:tcPr>
            <w:tcW w:w="240" w:type="dxa"/>
            <w:vAlign w:val="bottom"/>
            <w:tcBorders>
              <w:bottom w:val="single" w:sz="8" w:color="auto"/>
            </w:tcBorders>
            <w:shd w:val="clear" w:color="auto" w:fill="E5FFFF"/>
          </w:tcPr>
          <w:p>
            <w:pPr>
              <w:spacing w:after="0"/>
              <w:rPr>
                <w:sz w:val="19"/>
                <w:szCs w:val="19"/>
                <w:color w:val="auto"/>
              </w:rPr>
            </w:pPr>
          </w:p>
        </w:tc>
        <w:tc>
          <w:tcPr>
            <w:tcW w:w="1220" w:type="dxa"/>
            <w:vAlign w:val="bottom"/>
            <w:tcBorders>
              <w:bottom w:val="single" w:sz="8" w:color="auto"/>
            </w:tcBorders>
            <w:shd w:val="clear" w:color="auto" w:fill="E5FFFF"/>
          </w:tcPr>
          <w:p>
            <w:pPr>
              <w:jc w:val="right"/>
              <w:ind w:right="150"/>
              <w:spacing w:after="0"/>
              <w:rPr>
                <w:sz w:val="20"/>
                <w:szCs w:val="20"/>
                <w:color w:val="auto"/>
              </w:rPr>
            </w:pPr>
            <w:r>
              <w:rPr>
                <w:rFonts w:ascii="Times New Roman" w:cs="Times New Roman" w:eastAsia="Times New Roman" w:hAnsi="Times New Roman"/>
                <w:sz w:val="18"/>
                <w:szCs w:val="18"/>
                <w:color w:val="auto"/>
              </w:rPr>
              <w:t>6,502</w:t>
            </w:r>
          </w:p>
        </w:tc>
        <w:tc>
          <w:tcPr>
            <w:tcW w:w="340" w:type="dxa"/>
            <w:vAlign w:val="bottom"/>
            <w:tcBorders>
              <w:bottom w:val="single" w:sz="8" w:color="auto"/>
            </w:tcBorders>
            <w:shd w:val="clear" w:color="auto" w:fill="E5FFFF"/>
          </w:tcPr>
          <w:p>
            <w:pPr>
              <w:spacing w:after="0"/>
              <w:rPr>
                <w:sz w:val="19"/>
                <w:szCs w:val="19"/>
                <w:color w:val="auto"/>
              </w:rPr>
            </w:pPr>
          </w:p>
        </w:tc>
        <w:tc>
          <w:tcPr>
            <w:tcW w:w="1320" w:type="dxa"/>
            <w:vAlign w:val="bottom"/>
            <w:tcBorders>
              <w:bottom w:val="single" w:sz="8" w:color="auto"/>
            </w:tcBorders>
            <w:shd w:val="clear" w:color="auto" w:fill="E5FFFF"/>
          </w:tcPr>
          <w:p>
            <w:pPr>
              <w:jc w:val="right"/>
              <w:ind w:right="90"/>
              <w:spacing w:after="0"/>
              <w:rPr>
                <w:sz w:val="20"/>
                <w:szCs w:val="20"/>
                <w:color w:val="auto"/>
              </w:rPr>
            </w:pPr>
            <w:r>
              <w:rPr>
                <w:rFonts w:ascii="Times New Roman" w:cs="Times New Roman" w:eastAsia="Times New Roman" w:hAnsi="Times New Roman"/>
                <w:sz w:val="18"/>
                <w:szCs w:val="18"/>
                <w:color w:val="auto"/>
              </w:rPr>
              <w:t>(21,386)</w:t>
            </w:r>
          </w:p>
        </w:tc>
        <w:tc>
          <w:tcPr>
            <w:tcW w:w="440" w:type="dxa"/>
            <w:vAlign w:val="bottom"/>
            <w:tcBorders>
              <w:bottom w:val="single" w:sz="8" w:color="auto"/>
            </w:tcBorders>
            <w:shd w:val="clear" w:color="auto" w:fill="E5FFFF"/>
          </w:tcPr>
          <w:p>
            <w:pPr>
              <w:spacing w:after="0"/>
              <w:rPr>
                <w:sz w:val="19"/>
                <w:szCs w:val="19"/>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(22,560)</w:t>
            </w:r>
          </w:p>
        </w:tc>
      </w:tr>
      <w:tr>
        <w:trPr>
          <w:trHeight w:val="223"/>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consolidated net income</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95,074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71,486</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75,924</w:t>
            </w: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-4114165</wp:posOffset>
            </wp:positionV>
            <wp:extent cx="26543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26543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4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-3376930</wp:posOffset>
            </wp:positionV>
            <wp:extent cx="26543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-3102610</wp:posOffset>
            </wp:positionV>
            <wp:extent cx="26543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-2828290</wp:posOffset>
            </wp:positionV>
            <wp:extent cx="26543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4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26543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26543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4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26543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26543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4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26543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4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26543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4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26543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430" cy="146050"/>
                    </a:xfrm>
                    <a:prstGeom prst="rect">
                      <a:avLst/>
                    </a:prstGeom>
                    <a:noFill/>
                  </pic:spPr>
                </pic:pic>
              </a:graphicData>
            </a:graphic>
          </wp:anchor>
        </w:drawing>
      </w:r>
    </w:p>
    <w:p>
      <w:pPr>
        <w:spacing w:after="0" w:line="178" w:lineRule="exact"/>
        <w:rPr>
          <w:sz w:val="20"/>
          <w:szCs w:val="20"/>
          <w:color w:val="auto"/>
        </w:rPr>
      </w:pPr>
    </w:p>
    <w:p>
      <w:pPr>
        <w:ind w:left="760" w:hanging="33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within “Other cost of sales” consists primarily of depreciation, other raw materials such as denaturant and chemicals, utilities, repair and maintenance and production labor.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6" w:name="page57"/>
    <w:bookmarkEnd w:id="5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REX American Resources Corporation and its subsidiaries (the Company) as of January 31, 2026 and 2025, the related consolidated statements of operations, shareholders’ equity and cash flows for each of the three years in the period ended January 31, 2026, and the related notes to the consolidated financial statements and schedules (collectively, the financial statements). In our opinion, the financial statements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w:t>
      </w:r>
    </w:p>
    <w:p>
      <w:pPr>
        <w:spacing w:after="0" w:line="1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March 30, 2026 expressed an unqualified opinion on the effectiveness of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45Z Tax Credit Recognition</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described in Note 1 and Note 12 to the financial statements, the Company has determined that it qualifies for clean fuel production tax credits allowable under the Inflation Reduction Act (IRA) and One Big Beautiful Bill Act (OBBBA). The Company elected to account for the nonrefundable, transferable tax credits under ASC 740. The credits are recognized as a tax benefit in the period in which production occurs, and the product is sold in a qualifying manner. The tax benefit recognized is determined based on the company’s carbon intensity (CI) score to date. In accordance with ASC 740, the tax incentives are recognized when it is more-likely-than-not the Company will comply with the provisions of the incentive and that the incentive will be received. The Company recognized $28,100,000, as 45Z Tax Credits within the balance sheet (deferred tax asset) and statement of operations (income tax benefit) as of and for the year ended January 31, 2026.</w:t>
      </w:r>
    </w:p>
    <w:p>
      <w:pPr>
        <w:spacing w:after="0" w:line="18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identified the accounting for the 45Z tax credits as a critical audit matter because of the significant judgments management makes when determining how to account for the 45Z tax credits given the significant unusual nature of the credits, as well as when determining eligibility for the tax credits. The 45Z tax credit recognition required a high degree of auditor judgment when performing audit procedures to evaluate whether management appropriately determined eligibility and accounted for the tax credits.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Our audit procedures related to the accounting for the 45Z tax credits included the following, among others:</w:t>
      </w:r>
    </w:p>
    <w:p>
      <w:pPr>
        <w:spacing w:after="0" w:line="225" w:lineRule="exact"/>
        <w:rPr>
          <w:sz w:val="20"/>
          <w:szCs w:val="20"/>
          <w:color w:val="auto"/>
        </w:rPr>
      </w:pPr>
    </w:p>
    <w:p>
      <w:pPr>
        <w:ind w:left="340" w:hanging="332"/>
        <w:spacing w:after="0" w:line="281" w:lineRule="auto"/>
        <w:tabs>
          <w:tab w:leader="none" w:pos="3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We obtained an understanding of management’s process and internal controls over the determination of eligibility, valuation of, and accounting for tax credits and tested the operating effectiveness of the controls.</w:t>
      </w:r>
    </w:p>
    <w:p>
      <w:pPr>
        <w:spacing w:after="0" w:line="162"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We obtained evidence of the facilities’ approved registrations as clean transportation fuel producers.</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We compared production and sales volumes to internal production records and sales invoices, which were subjected to our revenue testing.</w:t>
      </w:r>
    </w:p>
    <w:p>
      <w:pPr>
        <w:spacing w:after="0" w:line="224"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We agreed the emissions rates to certifications provided by a qualified third-party verifier or, when certifications were not available, agreed inputs into the 45ZCF-GREET model to internal records and third-party invoices and validated mathematical accuracy.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 Moines, Iowa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405"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REX AMERICAN RESOURCES CORPORATION AND SUBSIDIARIES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II - VALUATION AND QUALIFYING ACCOUNTS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JANUARY 31, 2026,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Additions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Charged to</w:t>
            </w:r>
          </w:p>
        </w:tc>
        <w:tc>
          <w:tcPr>
            <w:tcW w:w="120" w:type="dxa"/>
            <w:vAlign w:val="bottom"/>
          </w:tcPr>
          <w:p>
            <w:pPr>
              <w:spacing w:after="0"/>
              <w:rPr>
                <w:sz w:val="18"/>
                <w:szCs w:val="18"/>
                <w:color w:val="auto"/>
              </w:rPr>
            </w:pPr>
          </w:p>
        </w:tc>
        <w:tc>
          <w:tcPr>
            <w:tcW w:w="14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Charges for</w:t>
            </w:r>
          </w:p>
        </w:tc>
        <w:tc>
          <w:tcPr>
            <w:tcW w:w="7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860" w:type="dxa"/>
            <w:vAlign w:val="bottom"/>
            <w:gridSpan w:val="4"/>
          </w:tcPr>
          <w:p>
            <w:pPr>
              <w:ind w:left="192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Cost and</w:t>
            </w: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Which Reserves</w:t>
            </w:r>
          </w:p>
        </w:tc>
        <w:tc>
          <w:tcPr>
            <w:tcW w:w="80" w:type="dxa"/>
            <w:vAlign w:val="bottom"/>
          </w:tcPr>
          <w:p>
            <w:pPr>
              <w:spacing w:after="0"/>
              <w:rPr>
                <w:sz w:val="18"/>
                <w:szCs w:val="18"/>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End</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3"/>
              </w:rPr>
              <w:t>of Year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5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Were Created</w:t>
            </w:r>
          </w:p>
        </w:tc>
        <w:tc>
          <w:tcPr>
            <w:tcW w:w="80" w:type="dxa"/>
            <w:vAlign w:val="bottom"/>
          </w:tcPr>
          <w:p>
            <w:pPr>
              <w:spacing w:after="0"/>
              <w:rPr>
                <w:sz w:val="20"/>
                <w:szCs w:val="20"/>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of Year</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E5FFFF"/>
          </w:tcPr>
          <w:p>
            <w:pPr>
              <w:jc w:val="right"/>
              <w:ind w:right="3990"/>
              <w:spacing w:after="0"/>
              <w:rPr>
                <w:sz w:val="20"/>
                <w:szCs w:val="20"/>
                <w:color w:val="auto"/>
              </w:rPr>
            </w:pPr>
            <w:r>
              <w:rPr>
                <w:rFonts w:ascii="Times New Roman" w:cs="Times New Roman" w:eastAsia="Times New Roman" w:hAnsi="Times New Roman"/>
                <w:sz w:val="18"/>
                <w:szCs w:val="18"/>
                <w:color w:val="auto"/>
                <w:w w:val="97"/>
              </w:rPr>
              <w:t>2026:</w:t>
            </w:r>
          </w:p>
        </w:tc>
        <w:tc>
          <w:tcPr>
            <w:tcW w:w="19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20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E5FFFF"/>
          </w:tcPr>
          <w:p>
            <w:pPr>
              <w:jc w:val="right"/>
              <w:ind w:right="3990"/>
              <w:spacing w:after="0"/>
              <w:rPr>
                <w:sz w:val="20"/>
                <w:szCs w:val="20"/>
                <w:color w:val="auto"/>
              </w:rPr>
            </w:pPr>
            <w:r>
              <w:rPr>
                <w:rFonts w:ascii="Times New Roman" w:cs="Times New Roman" w:eastAsia="Times New Roman" w:hAnsi="Times New Roman"/>
                <w:sz w:val="18"/>
                <w:szCs w:val="18"/>
                <w:color w:val="auto"/>
                <w:w w:val="97"/>
              </w:rPr>
              <w:t>2025:</w:t>
            </w:r>
          </w:p>
        </w:tc>
        <w:tc>
          <w:tcPr>
            <w:tcW w:w="19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20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E5FFFF"/>
          </w:tcPr>
          <w:p>
            <w:pPr>
              <w:jc w:val="right"/>
              <w:ind w:right="3990"/>
              <w:spacing w:after="0"/>
              <w:rPr>
                <w:sz w:val="20"/>
                <w:szCs w:val="20"/>
                <w:color w:val="auto"/>
              </w:rPr>
            </w:pPr>
            <w:r>
              <w:rPr>
                <w:rFonts w:ascii="Times New Roman" w:cs="Times New Roman" w:eastAsia="Times New Roman" w:hAnsi="Times New Roman"/>
                <w:sz w:val="18"/>
                <w:szCs w:val="18"/>
                <w:color w:val="auto"/>
                <w:w w:val="97"/>
              </w:rPr>
              <w:t>2024:</w:t>
            </w:r>
          </w:p>
        </w:tc>
        <w:tc>
          <w:tcPr>
            <w:tcW w:w="19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20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Chief Financial Officer, the effectiveness of our disclosure controls and procedures (as defined in Rules 13a–15(e) and 15d–15(e) under the Securities Exchange Act of 1934) as of the end of the period covered by this report. Based on that evaluation, our Chief Executive Officer and Chief Financial Officer concluded that our disclosure controls and procedures are effective at the reasonable assurance level to ensure that information required to be disclosed by us in the reports that we file or submit under the Securities Exchange Act of 1934 is recorded, processed, summarized and reported within the time periods specified in the Securities and Exchange Commission’s rules and forms. Our officers concluded that our disclosure controls and procedures are also effective at the reasonable assurance level to ensure that information required to be disclosed in the reports that we file or submit under the Exchange Act is accumulated and communicated to our management, including our Chief Executive Officer and Chief Financial Officer, to allow timely decisions regarding required disclosure.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Material Changes to Internal Control Over Financial Reporting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financial reporting and the preparation of financial statements in accordance with accounting principles generally accepted in the United States of America.</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deemed to be effective can provide only reasonable assurance with respect to financial statement preparation and presentation.</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assessed the effectiveness of our internal control over financial reporting as of January 31, 2026 based on the Internal Control-Integrated Framework (2013) issued by the Committee of Sponsoring Organizations of the Treadway Commission (“COSO”). Based upon this assessment, our management concluded that our internal control over financial reporting was effective as of January 31, 2026 based on those criteria.</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31, 2026 has been audited by RSM US LLP, an independent registered public accounting firm, as stated in their report which is included herein.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 ZAFAR A. RIZVI</w:t>
            </w:r>
          </w:p>
        </w:tc>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340" w:type="dxa"/>
            <w:vAlign w:val="bottom"/>
          </w:tcPr>
          <w:p>
            <w:pPr>
              <w:spacing w:after="0"/>
              <w:rPr>
                <w:sz w:val="18"/>
                <w:szCs w:val="18"/>
                <w:color w:val="auto"/>
              </w:rPr>
            </w:pPr>
          </w:p>
        </w:tc>
      </w:tr>
      <w:tr>
        <w:trPr>
          <w:trHeight w:val="234"/>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Zafar A. Rizvi</w:t>
            </w:r>
          </w:p>
        </w:tc>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14"/>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 DOUGLAS L. BRUGGEMAN</w:t>
            </w:r>
          </w:p>
        </w:tc>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Vice President-Finance, Chief Financial Officer and Treasurer</w:t>
            </w:r>
          </w:p>
        </w:tc>
        <w:tc>
          <w:tcPr>
            <w:tcW w:w="2340" w:type="dxa"/>
            <w:vAlign w:val="bottom"/>
          </w:tcPr>
          <w:p>
            <w:pPr>
              <w:spacing w:after="0"/>
              <w:rPr>
                <w:sz w:val="24"/>
                <w:szCs w:val="24"/>
                <w:color w:val="auto"/>
              </w:rPr>
            </w:pPr>
          </w:p>
        </w:tc>
      </w:tr>
      <w:tr>
        <w:trPr>
          <w:trHeight w:val="234"/>
        </w:trPr>
        <w:tc>
          <w:tcPr>
            <w:tcW w:w="3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Douglas L. Bruggeman</w:t>
            </w:r>
          </w:p>
        </w:tc>
        <w:tc>
          <w:tcPr>
            <w:tcW w:w="5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05"/>
        </w:trPr>
        <w:tc>
          <w:tcPr>
            <w:tcW w:w="3620" w:type="dxa"/>
            <w:vAlign w:val="bottom"/>
          </w:tcPr>
          <w:p>
            <w:pPr>
              <w:spacing w:after="0"/>
              <w:rPr>
                <w:sz w:val="24"/>
                <w:szCs w:val="24"/>
                <w:color w:val="auto"/>
              </w:rPr>
            </w:pPr>
          </w:p>
        </w:tc>
        <w:tc>
          <w:tcPr>
            <w:tcW w:w="52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60</w:t>
            </w:r>
          </w:p>
        </w:tc>
        <w:tc>
          <w:tcPr>
            <w:tcW w:w="2340" w:type="dxa"/>
            <w:vAlign w:val="bottom"/>
          </w:tcPr>
          <w:p>
            <w:pPr>
              <w:spacing w:after="0"/>
              <w:rPr>
                <w:sz w:val="24"/>
                <w:szCs w:val="24"/>
                <w:color w:val="auto"/>
              </w:rPr>
            </w:pPr>
          </w:p>
        </w:tc>
      </w:tr>
      <w:tr>
        <w:trPr>
          <w:trHeight w:val="250"/>
        </w:trPr>
        <w:tc>
          <w:tcPr>
            <w:tcW w:w="3620" w:type="dxa"/>
            <w:vAlign w:val="bottom"/>
            <w:tcBorders>
              <w:bottom w:val="single" w:sz="8" w:color="C0C0C0"/>
            </w:tcBorders>
          </w:tcPr>
          <w:p>
            <w:pPr>
              <w:spacing w:after="0"/>
              <w:rPr>
                <w:sz w:val="21"/>
                <w:szCs w:val="21"/>
                <w:color w:val="auto"/>
              </w:rPr>
            </w:pPr>
          </w:p>
        </w:tc>
        <w:tc>
          <w:tcPr>
            <w:tcW w:w="5280" w:type="dxa"/>
            <w:vAlign w:val="bottom"/>
            <w:tcBorders>
              <w:bottom w:val="single" w:sz="8" w:color="C0C0C0"/>
            </w:tcBorders>
          </w:tcPr>
          <w:p>
            <w:pPr>
              <w:spacing w:after="0"/>
              <w:rPr>
                <w:sz w:val="21"/>
                <w:szCs w:val="21"/>
                <w:color w:val="auto"/>
              </w:rPr>
            </w:pPr>
          </w:p>
        </w:tc>
        <w:tc>
          <w:tcPr>
            <w:tcW w:w="23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3" w:right="339" w:bottom="1440" w:gutter="0" w:footer="0" w:header="0"/>
        </w:sectPr>
      </w:pPr>
    </w:p>
    <w:bookmarkStart w:id="60" w:name="page61"/>
    <w:bookmarkEnd w:id="60"/>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REX American Resources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REX American Resources Corporation and its subsidiaries (the Company)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In our opinion, the Company maintained, in all material respects, effective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of the Company and our report dated March 30, 2026, expressed an unqualified opinion.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 Moines, Iowa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61" w:name="page62"/>
    <w:bookmarkEnd w:id="6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is incorporated herein by reference to the Proxy Statement for our Annual Meeting of Shareholders on May 28, 2026, except for certain information concerning our executive officers which is set forth in Part I of this report.</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Executive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set forth in the Proxy Statement for our Annual Meeting of Shareholders on May 28, 2026 and is incorporated herein by reference.</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set forth in the Proxy Statement for our Annual Meeting of Shareholders on May 28, 2026 and is incorporated herein by reference.</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set forth in the Proxy Statement for our Annual Meeting of Shareholders on May 28, 2026 and is incorporated herein by reference.</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set forth in the Proxy Statement for our Annual Meeting of Shareholders on May 28, 2026 and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REX American Resources Corporation and subsidiaries are filed as a part of this report at Item 8 hereof.</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Balance Sheets as of January 31, 2026 and 2025</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January 31, 2026, 2025, and 2024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January 31, 2026, 2025, and 2024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January 31, 2026, 2025, and 2024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Firm-RSM US LLP (PCAOB ID No. 49)</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(a)(2)(i) </w:t>
      </w:r>
      <w:r>
        <w:rPr>
          <w:rFonts w:ascii="Times New Roman" w:cs="Times New Roman" w:eastAsia="Times New Roman" w:hAnsi="Times New Roman"/>
          <w:sz w:val="18"/>
          <w:szCs w:val="18"/>
          <w:u w:val="single" w:color="auto"/>
          <w:color w:val="auto"/>
        </w:rPr>
        <w:t>Financial Statement Schedules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2" w:name="page63"/>
    <w:bookmarkEnd w:id="62"/>
    <w:p>
      <w:pPr>
        <w:ind w:left="500"/>
        <w:spacing w:after="0"/>
        <w:rPr>
          <w:sz w:val="20"/>
          <w:szCs w:val="20"/>
          <w:color w:val="auto"/>
        </w:rPr>
      </w:pPr>
      <w:r>
        <w:rPr>
          <w:rFonts w:ascii="Times New Roman" w:cs="Times New Roman" w:eastAsia="Times New Roman" w:hAnsi="Times New Roman"/>
          <w:sz w:val="18"/>
          <w:szCs w:val="18"/>
          <w:color w:val="auto"/>
        </w:rPr>
        <w:t>The following financial statement schedules are filed as a part of this report at Item 8 hereof.</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Schedule II -Valuation and Qualifying Accounts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notes thereto.</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(3)(i)</w:t>
      </w:r>
      <w:r>
        <w:rPr>
          <w:sz w:val="20"/>
          <w:szCs w:val="20"/>
          <w:color w:val="auto"/>
        </w:rPr>
        <w:tab/>
      </w:r>
      <w:r>
        <w:rPr>
          <w:rFonts w:ascii="Times New Roman" w:cs="Times New Roman" w:eastAsia="Times New Roman" w:hAnsi="Times New Roman"/>
          <w:sz w:val="17"/>
          <w:szCs w:val="17"/>
          <w:i w:val="1"/>
          <w:iCs w:val="1"/>
          <w:color w:val="auto"/>
        </w:rPr>
        <w:t>Articles of Incorporation:</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3(i)</w:t>
      </w:r>
      <w:r>
        <w:rPr>
          <w:sz w:val="20"/>
          <w:szCs w:val="20"/>
          <w:color w:val="auto"/>
        </w:rPr>
        <w:tab/>
      </w:r>
      <w:r>
        <w:rPr>
          <w:rFonts w:ascii="Times New Roman" w:cs="Times New Roman" w:eastAsia="Times New Roman" w:hAnsi="Times New Roman"/>
          <w:sz w:val="18"/>
          <w:szCs w:val="18"/>
          <w:color w:val="auto"/>
        </w:rPr>
        <w:t>Certificate of Incorporation, as amended (incorporated by reference to Exhibit 3(a) to Form 10-Q for quarter ended July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 2010, File No. 001-09097)</w:t>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(3)(ii)</w:t>
      </w:r>
      <w:r>
        <w:rPr>
          <w:sz w:val="20"/>
          <w:szCs w:val="20"/>
          <w:color w:val="auto"/>
        </w:rPr>
        <w:tab/>
      </w:r>
      <w:r>
        <w:rPr>
          <w:rFonts w:ascii="Times New Roman" w:cs="Times New Roman" w:eastAsia="Times New Roman" w:hAnsi="Times New Roman"/>
          <w:sz w:val="18"/>
          <w:szCs w:val="18"/>
          <w:i w:val="1"/>
          <w:iCs w:val="1"/>
          <w:color w:val="auto"/>
        </w:rPr>
        <w:t>Bylaws:</w:t>
      </w:r>
    </w:p>
    <w:p>
      <w:pPr>
        <w:sectPr>
          <w:pgSz w:w="11900" w:h="16838" w:orient="portrait"/>
          <w:cols w:equalWidth="0" w:num="1">
            <w:col w:w="11220"/>
          </w:cols>
          <w:pgMar w:left="320" w:top="405" w:right="359" w:bottom="1440" w:gutter="0" w:footer="0" w:header="0"/>
        </w:sectPr>
      </w:pP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3(ii)</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By-Laws, as amended (incorporated by reference to Exhibit 3(ii) to Form 8-K filed August 7, 2024, File No. 001-09097)</w:t>
      </w:r>
    </w:p>
    <w:p>
      <w:pPr>
        <w:spacing w:after="0" w:line="160" w:lineRule="exact"/>
        <w:rPr>
          <w:sz w:val="20"/>
          <w:szCs w:val="20"/>
          <w:color w:val="auto"/>
        </w:rPr>
      </w:pPr>
    </w:p>
    <w:p>
      <w:pPr>
        <w:sectPr>
          <w:pgSz w:w="11900" w:h="16838" w:orient="portrait"/>
          <w:cols w:equalWidth="0" w:num="2">
            <w:col w:w="960" w:space="340"/>
            <w:col w:w="9920"/>
          </w:cols>
          <w:pgMar w:left="320" w:top="405" w:right="359" w:bottom="1440" w:gutter="0" w:footer="0" w:header="0"/>
          <w:type w:val="continuous"/>
        </w:sect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Instruments defining the rights of securities holders, including indentures:</w:t>
      </w:r>
    </w:p>
    <w:p>
      <w:pPr>
        <w:spacing w:after="0" w:line="2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4(a)</w:t>
      </w:r>
      <w:r>
        <w:rPr>
          <w:sz w:val="20"/>
          <w:szCs w:val="20"/>
          <w:color w:val="auto"/>
        </w:rPr>
        <w:tab/>
      </w:r>
      <w:r>
        <w:rPr>
          <w:rFonts w:ascii="Times New Roman" w:cs="Times New Roman" w:eastAsia="Times New Roman" w:hAnsi="Times New Roman"/>
          <w:sz w:val="18"/>
          <w:szCs w:val="18"/>
          <w:color w:val="auto"/>
        </w:rPr>
        <w:t>Description of Securities Registered Under Section 12 of the Exchange Act (incorporated by reference to Exhibit 4(a)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Form 10-K filed April 1, 2020, File No. 001-09097)</w:t>
      </w:r>
    </w:p>
    <w:p>
      <w:pPr>
        <w:spacing w:after="0" w:line="20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contracts:</w:t>
      </w:r>
    </w:p>
    <w:p>
      <w:pPr>
        <w:spacing w:after="0" w:line="227" w:lineRule="exact"/>
        <w:rPr>
          <w:rFonts w:ascii="Times New Roman" w:cs="Times New Roman" w:eastAsia="Times New Roman" w:hAnsi="Times New Roman"/>
          <w:sz w:val="18"/>
          <w:szCs w:val="18"/>
          <w:color w:val="auto"/>
        </w:rPr>
      </w:pPr>
    </w:p>
    <w:p>
      <w:pPr>
        <w:ind w:left="1300" w:right="12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10(a)* Employment Agreement dated May 24, 2022 between Rex Radio and Television, Inc. (a subsidiary of the Company) and Zafar A. Rizvi (incorporated by reference to Exhibit 10.1 to Form 8-K filed May 27, 2022, File No. 001-09097)</w:t>
      </w:r>
    </w:p>
    <w:p>
      <w:pPr>
        <w:spacing w:after="0" w:line="161" w:lineRule="exact"/>
        <w:rPr>
          <w:rFonts w:ascii="Times New Roman" w:cs="Times New Roman" w:eastAsia="Times New Roman" w:hAnsi="Times New Roman"/>
          <w:sz w:val="18"/>
          <w:szCs w:val="18"/>
          <w:color w:val="auto"/>
        </w:rPr>
      </w:pPr>
    </w:p>
    <w:p>
      <w:pPr>
        <w:ind w:left="1300" w:right="128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10(b)* Employment Agreement dated May 24, 2022 between Rex Radio and Television, Inc. (a subsidiary of the Company) and Douglas L. Bruggeman (incorporated by reference to Exhibit 10.2 to Form 8-K filed May 27, 2022, File No. 001-09097)</w:t>
      </w:r>
    </w:p>
    <w:p>
      <w:pPr>
        <w:spacing w:after="0" w:line="175" w:lineRule="exact"/>
        <w:rPr>
          <w:rFonts w:ascii="Times New Roman" w:cs="Times New Roman" w:eastAsia="Times New Roman" w:hAnsi="Times New Roman"/>
          <w:sz w:val="18"/>
          <w:szCs w:val="18"/>
          <w:color w:val="auto"/>
        </w:rPr>
      </w:pPr>
    </w:p>
    <w:p>
      <w:pPr>
        <w:ind w:left="1300" w:right="12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10(c)* Employment Agreement dated May 24, 2022 between Rex Radio and Television, Inc. (a subsidiary of the Company) and Stuart A. Rose (incorporated by reference to Exhibit 10.3 to Form 8-K filed May 27, 2022, File No. 001-09097)</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10(d)*  2015 Incentive Plan (incorporated by reference to Exhibit 10(d) to Form 8-K filed June 8, 2015, File No. 001-09097)</w:t>
      </w:r>
    </w:p>
    <w:p>
      <w:pPr>
        <w:spacing w:after="0" w:line="225" w:lineRule="exact"/>
        <w:rPr>
          <w:rFonts w:ascii="Times New Roman" w:cs="Times New Roman" w:eastAsia="Times New Roman" w:hAnsi="Times New Roman"/>
          <w:sz w:val="18"/>
          <w:szCs w:val="18"/>
          <w:color w:val="auto"/>
        </w:rPr>
      </w:pPr>
    </w:p>
    <w:p>
      <w:pPr>
        <w:ind w:left="1300" w:right="12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10(e)* Form of Restricted Stock Award Agreement under the REX American Resources 2015 Incentive Plan (incorporated by reference to Exhibit 10.1 to Form 8-K filed June 22, 2022, File No. 001-09097)</w:t>
      </w:r>
    </w:p>
    <w:p>
      <w:pPr>
        <w:spacing w:after="0" w:line="161" w:lineRule="exact"/>
        <w:rPr>
          <w:rFonts w:ascii="Times New Roman" w:cs="Times New Roman" w:eastAsia="Times New Roman" w:hAnsi="Times New Roman"/>
          <w:sz w:val="18"/>
          <w:szCs w:val="18"/>
          <w:color w:val="auto"/>
        </w:rPr>
      </w:pPr>
    </w:p>
    <w:p>
      <w:pPr>
        <w:ind w:left="1300" w:right="12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10(f) </w:t>
      </w:r>
      <w:r>
        <w:rPr>
          <w:rFonts w:ascii="Times New Roman" w:cs="Times New Roman" w:eastAsia="Times New Roman" w:hAnsi="Times New Roman"/>
          <w:sz w:val="18"/>
          <w:szCs w:val="18"/>
          <w:u w:val="single" w:color="auto"/>
          <w:color w:val="0000EE"/>
        </w:rPr>
        <w:t>Consulting Services Agreement, effective as of January 1, 2026, between One Earth Sequestration LLC and Mercury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Public Affairs LLC</w:t>
      </w:r>
    </w:p>
    <w:p>
      <w:pPr>
        <w:spacing w:after="0" w:line="160"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 trading policies and procedures:</w:t>
      </w:r>
    </w:p>
    <w:p>
      <w:pPr>
        <w:spacing w:after="0" w:line="227" w:lineRule="exact"/>
        <w:rPr>
          <w:rFonts w:ascii="Times New Roman" w:cs="Times New Roman" w:eastAsia="Times New Roman" w:hAnsi="Times New Roman"/>
          <w:sz w:val="18"/>
          <w:szCs w:val="18"/>
          <w:color w:val="auto"/>
        </w:rPr>
      </w:pPr>
    </w:p>
    <w:p>
      <w:pPr>
        <w:ind w:left="1300" w:right="128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19REX American Resources Corporation Revised Insider Trading Policy (incorporated by reference to Exhibit 4(a) to Form 10-K filed March 28, 2025, File No. 001-09097)</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type w:val="continuous"/>
        </w:sectPr>
      </w:pPr>
    </w:p>
    <w:bookmarkStart w:id="63" w:name="page64"/>
    <w:bookmarkEnd w:id="63"/>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 of the registrant:</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u w:val="single" w:color="auto"/>
          <w:color w:val="0000EE"/>
        </w:rPr>
        <w:t>Subsidiaries of registrant</w:t>
      </w:r>
    </w:p>
    <w:p>
      <w:pPr>
        <w:spacing w:after="0" w:line="223"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Consents of experts and counsel:</w:t>
      </w:r>
    </w:p>
    <w:p>
      <w:pPr>
        <w:spacing w:after="0" w:line="227" w:lineRule="exact"/>
        <w:rPr>
          <w:sz w:val="20"/>
          <w:szCs w:val="20"/>
          <w:color w:val="auto"/>
        </w:rPr>
      </w:pPr>
    </w:p>
    <w:p>
      <w:pPr>
        <w:ind w:left="1300" w:hanging="644"/>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RSM US LLP, Independent Registered Public Accounting Firm</w:t>
      </w: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13a-14(a)/15d-14(a) Certifications:</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Certifications</w:t>
      </w:r>
    </w:p>
    <w:p>
      <w:pPr>
        <w:spacing w:after="0" w:line="2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1350 Certifications:</w:t>
      </w:r>
    </w:p>
    <w:p>
      <w:pPr>
        <w:spacing w:after="0" w:line="2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Certifications</w:t>
      </w:r>
    </w:p>
    <w:p>
      <w:pPr>
        <w:spacing w:after="0" w:line="223"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Policy relating to erroneously awarded compensation:</w:t>
      </w:r>
    </w:p>
    <w:p>
      <w:pPr>
        <w:spacing w:after="0" w:line="227" w:lineRule="exact"/>
        <w:rPr>
          <w:sz w:val="20"/>
          <w:szCs w:val="20"/>
          <w:color w:val="auto"/>
        </w:rPr>
      </w:pPr>
    </w:p>
    <w:p>
      <w:pPr>
        <w:ind w:left="1300" w:right="106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REX American Resources Corporation Compensation Recovery Policy (incorporated by reference to Exhibit 97.1 to Form 10-K filed March 29, 2024, File No. 001-09097)</w:t>
      </w:r>
    </w:p>
    <w:p>
      <w:pPr>
        <w:spacing w:after="0" w:line="15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Interactive Data File:</w:t>
      </w:r>
    </w:p>
    <w:p>
      <w:pPr>
        <w:spacing w:after="0" w:line="227" w:lineRule="exact"/>
        <w:rPr>
          <w:rFonts w:ascii="Times New Roman" w:cs="Times New Roman" w:eastAsia="Times New Roman" w:hAnsi="Times New Roman"/>
          <w:sz w:val="18"/>
          <w:szCs w:val="18"/>
          <w:color w:val="auto"/>
        </w:rPr>
      </w:pPr>
    </w:p>
    <w:p>
      <w:pPr>
        <w:jc w:val="both"/>
        <w:ind w:left="1300" w:right="1060" w:hanging="644"/>
        <w:spacing w:after="0" w:line="261"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from REX American Resources Corporation Annual Report on Form 10-K for the fiscal year ended January 31, 2026, formatted in iXBRL: (i) Consolidated Balance Sheets, (ii) Consolidated Statements of Operations, (iii) Consolidated Statements of Shareholders’ Equity, (iv) Consolidated Statements of Cash Flows and (v) Notes to Consolidated Financial Statements.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REX American Resources Corporation on Form 10-K for the year ended January 31, 2026</w:t>
      </w:r>
    </w:p>
    <w:p>
      <w:pPr>
        <w:spacing w:after="0" w:line="221" w:lineRule="exact"/>
        <w:rPr>
          <w:sz w:val="20"/>
          <w:szCs w:val="20"/>
          <w:color w:val="auto"/>
        </w:rPr>
      </w:pPr>
    </w:p>
    <w:p>
      <w:pPr>
        <w:ind w:left="1300" w:right="1560"/>
        <w:spacing w:after="0" w:line="286" w:lineRule="auto"/>
        <w:rPr>
          <w:sz w:val="20"/>
          <w:szCs w:val="20"/>
          <w:color w:val="auto"/>
        </w:rPr>
      </w:pPr>
      <w:r>
        <w:rPr>
          <w:rFonts w:ascii="Times New Roman" w:cs="Times New Roman" w:eastAsia="Times New Roman" w:hAnsi="Times New Roman"/>
          <w:sz w:val="18"/>
          <w:szCs w:val="18"/>
          <w:b w:val="1"/>
          <w:bCs w:val="1"/>
          <w:color w:val="auto"/>
        </w:rPr>
        <w:t>Copies of the Exhibits not filed herewith may be obtained by writing to Edward M. Kress, Secretary, REX American Resources Corporation, 7720 Paragon Road, Dayton, Ohio 45459</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Those exhibits marked with an asterisk (*) above are management contracts or compensatory plans or arrangements for directors or executive officers of the registrant.</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00"/>
          </w:cols>
          <w:pgMar w:left="320" w:top="403" w:right="5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REX AMERICAN RESOURCES CORPORATION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ZAFAR A. RIZVI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3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STUART A. ROSE</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A. Rose</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2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ZAFAR A. RIZVI</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Chief Executive Officer, President</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Zafar A. Rizvi</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and Director (principal executive officer)</w:t>
            </w:r>
          </w:p>
        </w:tc>
        <w:tc>
          <w:tcPr>
            <w:tcW w:w="2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DOUGLAS L. BRUGGEMAN</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Vice President-Finance, Chief</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L. Bruggeman</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Financial Officer and Treasurer</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EDWARD M. KRESS</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M. Kress</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CHARLES A. ELCAN</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A. Elcan</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S. HARRIS</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 Harris</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MERVYN L. ALPHONSO</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Mervyn L. Alphonso</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LEE I. FISHER</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I. Fisher</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ANNE C. MACMILLAN</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C. MacMillan</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CHERYL L. BUSTOS</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Cheryl L. Bustos</w:t>
            </w:r>
          </w:p>
        </w:tc>
        <w:tc>
          <w:tcPr>
            <w:tcW w:w="50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28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March 30, 2026</w:t>
            </w:r>
          </w:p>
        </w:tc>
      </w:tr>
      <w:tr>
        <w:trPr>
          <w:trHeight w:val="405"/>
        </w:trPr>
        <w:tc>
          <w:tcPr>
            <w:tcW w:w="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040" w:type="dxa"/>
            <w:vAlign w:val="bottom"/>
            <w:gridSpan w:val="3"/>
          </w:tcPr>
          <w:p>
            <w:pPr>
              <w:jc w:val="right"/>
              <w:ind w:right="2700"/>
              <w:spacing w:after="0"/>
              <w:rPr>
                <w:sz w:val="20"/>
                <w:szCs w:val="20"/>
                <w:color w:val="auto"/>
              </w:rPr>
            </w:pPr>
            <w:r>
              <w:rPr>
                <w:rFonts w:ascii="Times New Roman" w:cs="Times New Roman" w:eastAsia="Times New Roman" w:hAnsi="Times New Roman"/>
                <w:sz w:val="18"/>
                <w:szCs w:val="18"/>
                <w:color w:val="auto"/>
              </w:rPr>
              <w:t>65</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760" w:type="dxa"/>
            <w:vAlign w:val="bottom"/>
            <w:tcBorders>
              <w:bottom w:val="single" w:sz="8" w:color="C0C0C0"/>
            </w:tcBorders>
          </w:tcPr>
          <w:p>
            <w:pPr>
              <w:spacing w:after="0"/>
              <w:rPr>
                <w:sz w:val="21"/>
                <w:szCs w:val="21"/>
                <w:color w:val="auto"/>
              </w:rPr>
            </w:pPr>
          </w:p>
        </w:tc>
        <w:tc>
          <w:tcPr>
            <w:tcW w:w="2620" w:type="dxa"/>
            <w:vAlign w:val="bottom"/>
            <w:tcBorders>
              <w:bottom w:val="single" w:sz="8" w:color="C0C0C0"/>
            </w:tcBorders>
          </w:tcPr>
          <w:p>
            <w:pPr>
              <w:spacing w:after="0"/>
              <w:rPr>
                <w:sz w:val="21"/>
                <w:szCs w:val="21"/>
                <w:color w:val="auto"/>
              </w:rPr>
            </w:pPr>
          </w:p>
        </w:tc>
        <w:tc>
          <w:tcPr>
            <w:tcW w:w="900" w:type="dxa"/>
            <w:vAlign w:val="bottom"/>
            <w:tcBorders>
              <w:bottom w:val="single" w:sz="8" w:color="C0C0C0"/>
            </w:tcBorders>
          </w:tcPr>
          <w:p>
            <w:pPr>
              <w:spacing w:after="0"/>
              <w:rPr>
                <w:sz w:val="21"/>
                <w:szCs w:val="21"/>
                <w:color w:val="auto"/>
              </w:rPr>
            </w:pPr>
          </w:p>
        </w:tc>
        <w:tc>
          <w:tcPr>
            <w:tcW w:w="700" w:type="dxa"/>
            <w:vAlign w:val="bottom"/>
            <w:tcBorders>
              <w:bottom w:val="single" w:sz="8" w:color="C0C0C0"/>
            </w:tcBorders>
          </w:tcPr>
          <w:p>
            <w:pPr>
              <w:spacing w:after="0"/>
              <w:rPr>
                <w:sz w:val="21"/>
                <w:szCs w:val="21"/>
                <w:color w:val="auto"/>
              </w:rPr>
            </w:pPr>
          </w:p>
        </w:tc>
        <w:tc>
          <w:tcPr>
            <w:tcW w:w="344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440" w:type="dxa"/>
            <w:vAlign w:val="bottom"/>
            <w:tcBorders>
              <w:bottom w:val="single" w:sz="8" w:color="C0C0C0"/>
            </w:tcBorders>
          </w:tcPr>
          <w:p>
            <w:pPr>
              <w:spacing w:after="0"/>
              <w:rPr>
                <w:sz w:val="21"/>
                <w:szCs w:val="21"/>
                <w:color w:val="auto"/>
              </w:rPr>
            </w:pPr>
          </w:p>
        </w:tc>
      </w:tr>
    </w:tbl>
    <w:p>
      <w:pPr>
        <w:sectPr>
          <w:pgSz w:w="11900" w:h="16838" w:orient="portrait"/>
          <w:cols w:equalWidth="0" w:num="1">
            <w:col w:w="11240"/>
          </w:cols>
          <w:pgMar w:left="320" w:top="40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156845</wp:posOffset>
            </wp:positionV>
            <wp:extent cx="1979930" cy="5918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7993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CONSULTING SERVICES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One Earth Sequestration LLC </w:t>
      </w:r>
      <w:r>
        <w:rPr>
          <w:rFonts w:ascii="Times New Roman" w:cs="Times New Roman" w:eastAsia="Times New Roman" w:hAnsi="Times New Roman"/>
          <w:sz w:val="18"/>
          <w:szCs w:val="18"/>
          <w:color w:val="auto"/>
        </w:rPr>
        <w:t>(“Client”) enters into this Consulting Services Agreement (the “Agreement”) effective as of January 1, 2026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Date”), to retain </w:t>
      </w:r>
      <w:r>
        <w:rPr>
          <w:rFonts w:ascii="Times New Roman" w:cs="Times New Roman" w:eastAsia="Times New Roman" w:hAnsi="Times New Roman"/>
          <w:sz w:val="18"/>
          <w:szCs w:val="18"/>
          <w:b w:val="1"/>
          <w:bCs w:val="1"/>
          <w:color w:val="auto"/>
        </w:rPr>
        <w:t>Mercury Public Affairs LLC</w:t>
      </w:r>
      <w:r>
        <w:rPr>
          <w:rFonts w:ascii="Times New Roman" w:cs="Times New Roman" w:eastAsia="Times New Roman" w:hAnsi="Times New Roman"/>
          <w:sz w:val="18"/>
          <w:szCs w:val="18"/>
          <w:color w:val="auto"/>
        </w:rPr>
        <w:t xml:space="preserve"> (“Consultant”), to perform the services described herein. Client and Consultant may each be referred to herein as a “Party,” and together as the “Parties.”</w:t>
      </w:r>
    </w:p>
    <w:p>
      <w:pPr>
        <w:spacing w:after="0" w:line="175" w:lineRule="exact"/>
        <w:rPr>
          <w:sz w:val="20"/>
          <w:szCs w:val="20"/>
          <w:color w:val="auto"/>
        </w:rPr>
      </w:pPr>
    </w:p>
    <w:p>
      <w:pPr>
        <w:ind w:left="520" w:hanging="188"/>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Services</w:t>
      </w:r>
      <w:r>
        <w:rPr>
          <w:rFonts w:ascii="Times New Roman" w:cs="Times New Roman" w:eastAsia="Times New Roman" w:hAnsi="Times New Roman"/>
          <w:sz w:val="18"/>
          <w:szCs w:val="18"/>
          <w:color w:val="auto"/>
        </w:rPr>
        <w:t>. Consultant shall render services to Client as specified on Schedule 1 attached hereto (the “Services”).</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5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Client shall pay fees and expenses per the terms set forth on Schedule 2 attached hereto. Payment in full of fees and expenses shall be made to Consultant within thirty (30) days after an invoice is rendered. In the event Client does not pay such fees and expenses as specified, Consultant may suspend Services until payment is made. All payments made by Client shall be without deduction or offset.</w:t>
      </w:r>
    </w:p>
    <w:p>
      <w:pPr>
        <w:spacing w:after="0" w:line="17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begin on the Effective Date and will continue in effect until June 30, 2026 (the “Term”).</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Contractor Status</w:t>
      </w:r>
      <w:r>
        <w:rPr>
          <w:rFonts w:ascii="Times New Roman" w:cs="Times New Roman" w:eastAsia="Times New Roman" w:hAnsi="Times New Roman"/>
          <w:sz w:val="18"/>
          <w:szCs w:val="18"/>
          <w:color w:val="auto"/>
        </w:rPr>
        <w:t>. Consultant is an independent contractor and not an agent or employee of Client.</w:t>
      </w:r>
    </w:p>
    <w:p>
      <w:pPr>
        <w:spacing w:after="0" w:line="225" w:lineRule="exact"/>
        <w:rPr>
          <w:rFonts w:ascii="Times New Roman" w:cs="Times New Roman" w:eastAsia="Times New Roman" w:hAnsi="Times New Roman"/>
          <w:sz w:val="18"/>
          <w:szCs w:val="18"/>
          <w:color w:val="auto"/>
        </w:rPr>
      </w:pPr>
    </w:p>
    <w:p>
      <w:pPr>
        <w:jc w:val="both"/>
        <w:ind w:firstLine="332"/>
        <w:spacing w:after="0" w:line="258" w:lineRule="auto"/>
        <w:tabs>
          <w:tab w:leader="none" w:pos="5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During the performance of Services, Consultant may have access to, have disclosed to it, or otherwise obtain information which Client identifies as confidential or proprietary (“Confidential Information”). Consultant shall use such Confidential Information solely in performance of its obligations under this Agreement. Information shall not be deemed Confidential Information if such information is: (i) already known to Consultant free of any restriction; (ii) obtained from a third party free of any restriction; (iii) developed independently by Consultant; or (iv) available publicly.</w:t>
      </w:r>
    </w:p>
    <w:p>
      <w:pPr>
        <w:spacing w:after="0" w:line="183" w:lineRule="exact"/>
        <w:rPr>
          <w:rFonts w:ascii="Times New Roman" w:cs="Times New Roman" w:eastAsia="Times New Roman" w:hAnsi="Times New Roman"/>
          <w:sz w:val="18"/>
          <w:szCs w:val="18"/>
          <w:color w:val="auto"/>
        </w:rPr>
      </w:pPr>
    </w:p>
    <w:p>
      <w:pPr>
        <w:jc w:val="both"/>
        <w:ind w:firstLine="332"/>
        <w:spacing w:after="0" w:line="254" w:lineRule="auto"/>
        <w:tabs>
          <w:tab w:leader="none" w:pos="5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Party will indemnify and hold harmless the other Party, its principals, employees, officers, and agents (collectively, the “Indemnified Party”) from and against any and all liabilities, losses, claims, demands, actions, judgments, costs, and expenses, including but not limited to reasonable attorneys’ fees, arising out of or resulting from any negligence, gross negligence, or willful misconduct by the indemnifying Party, its employees, officers, directors, and agents. Each Party’s indemnification obligations are conditioned upon the Indemnified Party: (i) giving prompt written notice of any claim, action, suit or proceeding for which the Indemnified Party is seeking indemnity; (ii) granting control of the defense and settlement of the action to the indemnifying Party, provided that no settlement admitting liability or that requires the payment of funds or the granting of legal or equitable relief will be entered into absent mutual agreement of the Parties, which will not be unreasonably withheld; and (iii) reasonably cooperating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Earth Sequestration LLC IL contract 01012026.docx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line="282" w:lineRule="auto"/>
        <w:rPr>
          <w:sz w:val="20"/>
          <w:szCs w:val="20"/>
          <w:color w:val="auto"/>
        </w:rPr>
      </w:pPr>
      <w:r>
        <w:rPr>
          <w:rFonts w:ascii="Times New Roman" w:cs="Times New Roman" w:eastAsia="Times New Roman" w:hAnsi="Times New Roman"/>
          <w:sz w:val="18"/>
          <w:szCs w:val="18"/>
          <w:color w:val="auto"/>
        </w:rPr>
        <w:t>indemnifying Party with respect to the defense of the action. Notwithstanding the foregoing, the Indemnified Party may, at its option and expense, participate in the defense or settlement of any claim, action, suit, or proceeding.</w:t>
      </w:r>
    </w:p>
    <w:p>
      <w:pPr>
        <w:spacing w:after="0" w:line="162" w:lineRule="exact"/>
        <w:rPr>
          <w:sz w:val="20"/>
          <w:szCs w:val="20"/>
          <w:color w:val="auto"/>
        </w:rPr>
      </w:pPr>
    </w:p>
    <w:p>
      <w:pPr>
        <w:ind w:firstLine="332"/>
        <w:spacing w:after="0" w:line="282" w:lineRule="auto"/>
        <w:tabs>
          <w:tab w:leader="none" w:pos="51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Neither Party will use the other Party’s name, logo, trademarks, or service marks in any advertising, publicity releases, or any other materials without that Party’s prior written approval.</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Party may assign this Agreement, except to an affiliate or subsidiary, without the prior written consent of the other Party.</w:t>
      </w:r>
    </w:p>
    <w:p>
      <w:pPr>
        <w:spacing w:after="0" w:line="225" w:lineRule="exact"/>
        <w:rPr>
          <w:rFonts w:ascii="Times New Roman" w:cs="Times New Roman" w:eastAsia="Times New Roman" w:hAnsi="Times New Roman"/>
          <w:sz w:val="18"/>
          <w:szCs w:val="18"/>
          <w:color w:val="auto"/>
        </w:rPr>
      </w:pPr>
    </w:p>
    <w:p>
      <w:pPr>
        <w:jc w:val="both"/>
        <w:ind w:firstLine="332"/>
        <w:spacing w:after="0" w:line="266" w:lineRule="auto"/>
        <w:tabs>
          <w:tab w:leader="none" w:pos="5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in connection herewith will be in writing, sent per the contact information on Schedule 3 attached hereto, and either delivered personally, or mailed by certified mail, postage prepaid, or sent via email. Notice will be deemed given when delivered personally, or, if mailed, 72 hours after the time of mailing, or, if by email, 24 hours after an email is sent.</w:t>
      </w:r>
    </w:p>
    <w:p>
      <w:pPr>
        <w:spacing w:after="0" w:line="175" w:lineRule="exact"/>
        <w:rPr>
          <w:rFonts w:ascii="Times New Roman" w:cs="Times New Roman" w:eastAsia="Times New Roman" w:hAnsi="Times New Roman"/>
          <w:sz w:val="18"/>
          <w:szCs w:val="18"/>
          <w:color w:val="auto"/>
        </w:rPr>
      </w:pPr>
    </w:p>
    <w:p>
      <w:pPr>
        <w:jc w:val="both"/>
        <w:ind w:firstLine="332"/>
        <w:spacing w:after="0" w:line="261" w:lineRule="auto"/>
        <w:tabs>
          <w:tab w:leader="none" w:pos="62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Jurisdiction/Venue</w:t>
      </w:r>
      <w:r>
        <w:rPr>
          <w:rFonts w:ascii="Times New Roman" w:cs="Times New Roman" w:eastAsia="Times New Roman" w:hAnsi="Times New Roman"/>
          <w:sz w:val="18"/>
          <w:szCs w:val="18"/>
          <w:color w:val="auto"/>
        </w:rPr>
        <w:t xml:space="preserve">. This Agreement will be governed by and construed in accordance with the laws of the State of Illinois, without regard to its conflicts of laws rules, and both Parties submit to the exclusive personal jurisdiction of the state and federal courts in Illinois, and to venue in said courts, and waive any claim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Each party waives any right to have any dispute in connection herewith resolved by jury trial.</w:t>
      </w:r>
    </w:p>
    <w:p>
      <w:pPr>
        <w:spacing w:after="0" w:line="179" w:lineRule="exact"/>
        <w:rPr>
          <w:rFonts w:ascii="Times New Roman" w:cs="Times New Roman" w:eastAsia="Times New Roman" w:hAnsi="Times New Roman"/>
          <w:sz w:val="18"/>
          <w:szCs w:val="18"/>
          <w:color w:val="auto"/>
        </w:rPr>
      </w:pPr>
    </w:p>
    <w:p>
      <w:pPr>
        <w:ind w:firstLine="332"/>
        <w:spacing w:after="0" w:line="282" w:lineRule="auto"/>
        <w:tabs>
          <w:tab w:leader="none" w:pos="5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Consultant</w:t>
      </w:r>
      <w:r>
        <w:rPr>
          <w:rFonts w:ascii="Times New Roman" w:cs="Times New Roman" w:eastAsia="Times New Roman" w:hAnsi="Times New Roman"/>
          <w:sz w:val="18"/>
          <w:szCs w:val="18"/>
          <w:color w:val="auto"/>
        </w:rPr>
        <w:t>. Consultant shall bear no liability to Client for loss or damage in connection with advice or assistance given in good faith performance of the Services.</w:t>
      </w:r>
    </w:p>
    <w:p>
      <w:pPr>
        <w:spacing w:after="0" w:line="161" w:lineRule="exact"/>
        <w:rPr>
          <w:rFonts w:ascii="Times New Roman" w:cs="Times New Roman" w:eastAsia="Times New Roman" w:hAnsi="Times New Roman"/>
          <w:sz w:val="18"/>
          <w:szCs w:val="18"/>
          <w:color w:val="auto"/>
        </w:rPr>
      </w:pPr>
    </w:p>
    <w:p>
      <w:pPr>
        <w:jc w:val="both"/>
        <w:ind w:firstLine="332"/>
        <w:spacing w:after="0" w:line="261" w:lineRule="auto"/>
        <w:tabs>
          <w:tab w:leader="none" w:pos="62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prevailing Party in any legal proceeding in connection with this Agreement shall have the right to require the non-prevailing Party in such proceeding to make payment to and reimburse the prevailing Party for reasonable attorneys’ fees and related expenses which the prevailing Party incurs in connection with the commencement, prosecution, or defense of such proceeding. The prevailing Party shall be that Party which prevails on a majority, but not necessarily all, of the material issues which were adjudicated in such proceeding.</w:t>
      </w:r>
    </w:p>
    <w:p>
      <w:pPr>
        <w:spacing w:after="0" w:line="179"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amendments or modifications of this Agreement shall be binding upon either Party unless made in writing and signed by both Parties.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6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between the Parties and supersedes all previous agreements, promises, proposals, representations, understandings, and negotiations, whether written or oral, respecting the subject matter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one or more of the provisions of this Agreement shall for any reason be held to be invalid, illegal, or unenforceable, the remaining provisions of this Agreement will be unimpaired, and the invalid, illegal, or unenforceable provision will be replaced by a provision which, being valid, legal, and enforceable, comes closest to the intention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Earth Sequestration LLC IL contract 01012026.docx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7" w:name="page68"/>
    <w:bookmarkEnd w:id="67"/>
    <w:p>
      <w:pPr>
        <w:ind w:right="20" w:firstLine="656"/>
        <w:spacing w:after="0" w:line="282" w:lineRule="auto"/>
        <w:tabs>
          <w:tab w:leader="none" w:pos="9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one or more counterparts, each of which shall be deemed to be an original, but all of which together will constitute one and the same instrument.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headings contained in this Agreement are inserted for convenience only and do not affect the meaning or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in this Agreement, in no event will Consultant be liable to Client (whether for damages, indemnification, or any other claim) for an amount greater than the amount of fees actually paid to Consultant by Client for the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entered into this Agreement as of the Effective Date noted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CONSULTANT:</w:t>
            </w:r>
          </w:p>
        </w:tc>
        <w:tc>
          <w:tcPr>
            <w:tcW w:w="522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CLIENT:</w:t>
            </w:r>
          </w:p>
        </w:tc>
      </w:tr>
      <w:tr>
        <w:trPr>
          <w:trHeight w:val="238"/>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Mercury Public Affairs LLC</w:t>
            </w:r>
          </w:p>
        </w:tc>
        <w:tc>
          <w:tcPr>
            <w:tcW w:w="522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One Earth Sequestration LLC</w:t>
            </w:r>
          </w:p>
        </w:tc>
      </w:tr>
      <w:tr>
        <w:trPr>
          <w:trHeight w:val="90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3840" w:type="dxa"/>
            <w:vAlign w:val="bottom"/>
            <w:tcBorders>
              <w:bottom w:val="single" w:sz="8" w:color="01355A"/>
            </w:tcBorders>
          </w:tcPr>
          <w:p>
            <w:pPr>
              <w:spacing w:after="0"/>
              <w:rPr>
                <w:sz w:val="24"/>
                <w:szCs w:val="24"/>
                <w:color w:val="auto"/>
              </w:rPr>
            </w:pPr>
          </w:p>
        </w:tc>
        <w:tc>
          <w:tcPr>
            <w:tcW w:w="16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Pr>
          <w:p>
            <w:pPr>
              <w:spacing w:after="0"/>
              <w:rPr>
                <w:sz w:val="24"/>
                <w:szCs w:val="24"/>
                <w:color w:val="auto"/>
              </w:rPr>
            </w:pPr>
          </w:p>
        </w:tc>
        <w:tc>
          <w:tcPr>
            <w:tcW w:w="3560" w:type="dxa"/>
            <w:vAlign w:val="bottom"/>
            <w:tcBorders>
              <w:bottom w:val="single" w:sz="8" w:color="01355A"/>
            </w:tcBorders>
          </w:tcPr>
          <w:p>
            <w:pPr>
              <w:spacing w:after="0"/>
              <w:rPr>
                <w:sz w:val="24"/>
                <w:szCs w:val="24"/>
                <w:color w:val="auto"/>
              </w:rPr>
            </w:pPr>
          </w:p>
        </w:tc>
      </w:tr>
      <w:tr>
        <w:trPr>
          <w:trHeight w:val="263"/>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Thomas Doherty</w:t>
            </w:r>
          </w:p>
        </w:tc>
        <w:tc>
          <w:tcPr>
            <w:tcW w:w="522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Name: Steven Kelly</w:t>
            </w: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22"/>
                <w:szCs w:val="22"/>
                <w:color w:val="auto"/>
              </w:rPr>
            </w:pPr>
          </w:p>
        </w:tc>
        <w:tc>
          <w:tcPr>
            <w:tcW w:w="3840" w:type="dxa"/>
            <w:vAlign w:val="bottom"/>
            <w:tcBorders>
              <w:top w:val="single" w:sz="8" w:color="01355A"/>
              <w:bottom w:val="single" w:sz="8" w:color="01355A"/>
            </w:tcBorders>
          </w:tcPr>
          <w:p>
            <w:pPr>
              <w:spacing w:after="0"/>
              <w:rPr>
                <w:sz w:val="20"/>
                <w:szCs w:val="20"/>
                <w:color w:val="auto"/>
              </w:rPr>
            </w:pPr>
            <w:r>
              <w:rPr>
                <w:rFonts w:ascii="Times New Roman" w:cs="Times New Roman" w:eastAsia="Times New Roman" w:hAnsi="Times New Roman"/>
                <w:sz w:val="18"/>
                <w:szCs w:val="18"/>
                <w:color w:val="auto"/>
              </w:rPr>
              <w:t>Partner</w:t>
            </w:r>
          </w:p>
        </w:tc>
        <w:tc>
          <w:tcPr>
            <w:tcW w:w="16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Borders>
              <w:top w:val="single" w:sz="8" w:color="01355A"/>
              <w:bottom w:val="single" w:sz="8" w:color="01355A"/>
            </w:tcBorders>
            <w:gridSpan w:val="2"/>
          </w:tcPr>
          <w:p>
            <w:pPr>
              <w:spacing w:after="0"/>
              <w:rPr>
                <w:sz w:val="20"/>
                <w:szCs w:val="20"/>
                <w:color w:val="auto"/>
              </w:rPr>
            </w:pPr>
            <w:r>
              <w:rPr>
                <w:rFonts w:ascii="Times New Roman" w:cs="Times New Roman" w:eastAsia="Times New Roman" w:hAnsi="Times New Roman"/>
                <w:sz w:val="18"/>
                <w:szCs w:val="18"/>
                <w:color w:val="auto"/>
              </w:rPr>
              <w:t>President &amp; CEO</w:t>
            </w: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80" w:type="dxa"/>
            <w:vAlign w:val="bottom"/>
          </w:tcPr>
          <w:p>
            <w:pPr>
              <w:spacing w:after="0"/>
              <w:rPr>
                <w:sz w:val="22"/>
                <w:szCs w:val="22"/>
                <w:color w:val="auto"/>
              </w:rPr>
            </w:pPr>
          </w:p>
        </w:tc>
        <w:tc>
          <w:tcPr>
            <w:tcW w:w="3840" w:type="dxa"/>
            <w:vAlign w:val="bottom"/>
            <w:tcBorders>
              <w:bottom w:val="single" w:sz="8" w:color="01355A"/>
            </w:tcBorders>
          </w:tcPr>
          <w:p>
            <w:pPr>
              <w:spacing w:after="0"/>
              <w:rPr>
                <w:sz w:val="20"/>
                <w:szCs w:val="20"/>
                <w:color w:val="auto"/>
              </w:rPr>
            </w:pPr>
            <w:r>
              <w:rPr>
                <w:rFonts w:ascii="Times New Roman" w:cs="Times New Roman" w:eastAsia="Times New Roman" w:hAnsi="Times New Roman"/>
                <w:sz w:val="18"/>
                <w:szCs w:val="18"/>
                <w:color w:val="auto"/>
              </w:rPr>
              <w:t>12/15/2025</w:t>
            </w:r>
          </w:p>
        </w:tc>
        <w:tc>
          <w:tcPr>
            <w:tcW w:w="16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Date:</w:t>
            </w:r>
          </w:p>
        </w:tc>
        <w:tc>
          <w:tcPr>
            <w:tcW w:w="3580" w:type="dxa"/>
            <w:vAlign w:val="bottom"/>
            <w:tcBorders>
              <w:bottom w:val="single" w:sz="8" w:color="01355A"/>
            </w:tcBorders>
            <w:gridSpan w:val="2"/>
          </w:tcPr>
          <w:p>
            <w:pPr>
              <w:spacing w:after="0"/>
              <w:rPr>
                <w:sz w:val="20"/>
                <w:szCs w:val="20"/>
                <w:color w:val="auto"/>
              </w:rPr>
            </w:pPr>
            <w:r>
              <w:rPr>
                <w:rFonts w:ascii="Times New Roman" w:cs="Times New Roman" w:eastAsia="Times New Roman" w:hAnsi="Times New Roman"/>
                <w:sz w:val="18"/>
                <w:szCs w:val="18"/>
                <w:color w:val="auto"/>
              </w:rPr>
              <w:t>December 12,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-796925</wp:posOffset>
            </wp:positionV>
            <wp:extent cx="1663065" cy="248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63065" cy="24892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-1010920</wp:posOffset>
            </wp:positionV>
            <wp:extent cx="2125980" cy="4629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25980" cy="4629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Earth Sequestration LLC IL contract 01012026.docx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 Not for Public Consumption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1 - Services</w:t>
      </w:r>
    </w:p>
    <w:p>
      <w:pPr>
        <w:spacing w:after="0" w:line="229" w:lineRule="exact"/>
        <w:rPr>
          <w:sz w:val="20"/>
          <w:szCs w:val="20"/>
          <w:color w:val="auto"/>
        </w:rPr>
      </w:pPr>
    </w:p>
    <w:p>
      <w:pPr>
        <w:ind w:left="520" w:hanging="188"/>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will provide Services as follows: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McClean and Ford County, Illinois officials to secure permits as needed.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Department of Transportation to implement PHSMA rules.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Illinois State lobbying, if requested.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2 - Compensation and Expenses</w:t>
      </w:r>
    </w:p>
    <w:p>
      <w:pPr>
        <w:spacing w:after="0" w:line="229" w:lineRule="exact"/>
        <w:rPr>
          <w:sz w:val="20"/>
          <w:szCs w:val="20"/>
          <w:color w:val="auto"/>
        </w:rPr>
      </w:pPr>
    </w:p>
    <w:p>
      <w:pPr>
        <w:ind w:left="520" w:hanging="188"/>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Services per Schedule 1, Client will pay Consultant the following fees:</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per month, invoiced monthly during the Term, invoice to be sent to the address provided by Client on Schedule 3.</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will pay and reimburse Consultant for out-of-state business expenses incurred in providing the Services, invoiced monthly. Out of state expenses require the prior approval of Client. All other expenses are included under Schedule 1, including transportation in the state of Illinois.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sole and exclusive discretion, Consultant may require Client to pay in advance or directly to a vendor or creditor any expense(s) in connection with this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SCHEDULE 3 - Contact Information</w:t>
            </w:r>
          </w:p>
        </w:tc>
        <w:tc>
          <w:tcPr>
            <w:tcW w:w="480" w:type="dxa"/>
            <w:vAlign w:val="bottom"/>
          </w:tcPr>
          <w:p>
            <w:pPr>
              <w:spacing w:after="0"/>
              <w:rPr>
                <w:sz w:val="17"/>
                <w:szCs w:val="17"/>
                <w:color w:val="auto"/>
              </w:rPr>
            </w:pPr>
          </w:p>
        </w:tc>
        <w:tc>
          <w:tcPr>
            <w:tcW w:w="7880" w:type="dxa"/>
            <w:vAlign w:val="bottom"/>
          </w:tcPr>
          <w:p>
            <w:pPr>
              <w:spacing w:after="0"/>
              <w:rPr>
                <w:sz w:val="17"/>
                <w:szCs w:val="17"/>
                <w:color w:val="auto"/>
              </w:rPr>
            </w:pPr>
          </w:p>
        </w:tc>
      </w:tr>
      <w:tr>
        <w:trPr>
          <w:trHeight w:val="434"/>
        </w:trPr>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Consultant:</w:t>
            </w:r>
          </w:p>
        </w:tc>
        <w:tc>
          <w:tcPr>
            <w:tcW w:w="78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Client:</w:t>
            </w:r>
          </w:p>
        </w:tc>
      </w:tr>
      <w:tr>
        <w:trPr>
          <w:trHeight w:val="216"/>
        </w:trPr>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Mercury Public Affairs LLC</w:t>
            </w:r>
          </w:p>
        </w:tc>
        <w:tc>
          <w:tcPr>
            <w:tcW w:w="78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One Earth Sequestration LLC</w:t>
            </w:r>
          </w:p>
        </w:tc>
      </w:tr>
      <w:tr>
        <w:trPr>
          <w:trHeight w:val="216"/>
        </w:trPr>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 Varick Street, Suite 600</w:t>
            </w:r>
          </w:p>
        </w:tc>
        <w:tc>
          <w:tcPr>
            <w:tcW w:w="78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Attn: Steve Kelly</w:t>
            </w:r>
          </w:p>
        </w:tc>
      </w:tr>
      <w:tr>
        <w:trPr>
          <w:trHeight w:val="216"/>
        </w:trPr>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New York, NY 10014</w:t>
            </w:r>
          </w:p>
        </w:tc>
        <w:tc>
          <w:tcPr>
            <w:tcW w:w="78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202 N. Jordan Dr.</w:t>
            </w:r>
          </w:p>
        </w:tc>
      </w:tr>
      <w:tr>
        <w:trPr>
          <w:trHeight w:val="216"/>
        </w:trPr>
        <w:tc>
          <w:tcPr>
            <w:tcW w:w="3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Email: dasaccounting@mercuryllc.com</w:t>
            </w:r>
          </w:p>
        </w:tc>
        <w:tc>
          <w:tcPr>
            <w:tcW w:w="78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Gibson City, IL 60936</w:t>
            </w:r>
          </w:p>
        </w:tc>
      </w:tr>
      <w:tr>
        <w:trPr>
          <w:trHeight w:val="216"/>
        </w:trPr>
        <w:tc>
          <w:tcPr>
            <w:tcW w:w="2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Email: zrizvi@rexamerican.com</w:t>
            </w:r>
          </w:p>
        </w:tc>
      </w:tr>
      <w:tr>
        <w:trPr>
          <w:trHeight w:val="234"/>
        </w:trPr>
        <w:tc>
          <w:tcPr>
            <w:tcW w:w="2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skelly@oneearthenergy.com</w:t>
            </w:r>
          </w:p>
        </w:tc>
      </w:tr>
      <w:tr>
        <w:trPr>
          <w:trHeight w:val="432"/>
        </w:trPr>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Billing email: Same as above</w:t>
            </w:r>
          </w:p>
        </w:tc>
      </w:tr>
      <w:tr>
        <w:trPr>
          <w:trHeight w:val="223"/>
        </w:trPr>
        <w:tc>
          <w:tcPr>
            <w:tcW w:w="2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80" w:type="dxa"/>
            <w:vAlign w:val="bottom"/>
            <w:tcBorders>
              <w:bottom w:val="single" w:sz="8" w:color="auto"/>
            </w:tcBorders>
          </w:tcPr>
          <w:p>
            <w:pPr>
              <w:spacing w:after="0"/>
              <w:rPr>
                <w:sz w:val="19"/>
                <w:szCs w:val="19"/>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r>
      <w:tr>
        <w:trPr>
          <w:trHeight w:val="175"/>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Earth Sequestration LLC IL contract 01012026.docx</w:t>
            </w:r>
          </w:p>
        </w:tc>
        <w:tc>
          <w:tcPr>
            <w:tcW w:w="7880" w:type="dxa"/>
            <w:vAlign w:val="bottom"/>
          </w:tcPr>
          <w:p>
            <w:pPr>
              <w:spacing w:after="0"/>
              <w:rPr>
                <w:sz w:val="15"/>
                <w:szCs w:val="15"/>
                <w:color w:val="auto"/>
              </w:rPr>
            </w:pPr>
          </w:p>
        </w:tc>
      </w:tr>
      <w:tr>
        <w:trPr>
          <w:trHeight w:val="396"/>
        </w:trPr>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Confidential - Not for Public Consumption or Distribution</w:t>
            </w:r>
          </w:p>
        </w:tc>
      </w:tr>
      <w:tr>
        <w:trPr>
          <w:trHeight w:val="260"/>
        </w:trPr>
        <w:tc>
          <w:tcPr>
            <w:tcW w:w="2880" w:type="dxa"/>
            <w:vAlign w:val="bottom"/>
            <w:tcBorders>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7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color w:val="auto"/>
        </w:rPr>
        <w:t>EXHIBIT 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REX AMERICAN RESOURCES CORPORATION</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Alistar Enterprises, LLC</w:t>
      </w:r>
      <w:r>
        <w:rPr>
          <w:rFonts w:ascii="Times New Roman" w:cs="Times New Roman" w:eastAsia="Times New Roman" w:hAnsi="Times New Roman"/>
          <w:sz w:val="35"/>
          <w:szCs w:val="35"/>
          <w:color w:val="auto"/>
          <w:vertAlign w:val="superscript"/>
        </w:rPr>
        <w:t>(1)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 Acquisition Corp.</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REX Management, Inc.</w:t>
      </w:r>
      <w:r>
        <w:rPr>
          <w:rFonts w:ascii="Times New Roman" w:cs="Times New Roman" w:eastAsia="Times New Roman" w:hAnsi="Times New Roman"/>
          <w:sz w:val="35"/>
          <w:szCs w:val="35"/>
          <w:color w:val="auto"/>
          <w:vertAlign w:val="superscript"/>
        </w:rPr>
        <w:t>(2)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Rex Acquisition, LLC</w:t>
      </w:r>
      <w:r>
        <w:rPr>
          <w:rFonts w:ascii="Times New Roman" w:cs="Times New Roman" w:eastAsia="Times New Roman" w:hAnsi="Times New Roman"/>
          <w:sz w:val="35"/>
          <w:szCs w:val="35"/>
          <w:color w:val="auto"/>
          <w:vertAlign w:val="superscript"/>
        </w:rPr>
        <w:t>(3)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REX Carbon, LLC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REX IP, LLC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REX Marketing Group, LLC</w:t>
      </w:r>
      <w:r>
        <w:rPr>
          <w:rFonts w:ascii="Times New Roman" w:cs="Times New Roman" w:eastAsia="Times New Roman" w:hAnsi="Times New Roman"/>
          <w:sz w:val="35"/>
          <w:szCs w:val="35"/>
          <w:color w:val="auto"/>
          <w:vertAlign w:val="superscript"/>
        </w:rPr>
        <w:t>(4)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RRC1, LLC</w:t>
      </w:r>
      <w:r>
        <w:rPr>
          <w:rFonts w:ascii="Times New Roman" w:cs="Times New Roman" w:eastAsia="Times New Roman" w:hAnsi="Times New Roman"/>
          <w:sz w:val="35"/>
          <w:szCs w:val="35"/>
          <w:color w:val="auto"/>
          <w:vertAlign w:val="superscript"/>
        </w:rPr>
        <w:t>(5)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Farmers Energy Incorporated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Farmers Energy Big River Holding, LLC</w:t>
      </w:r>
      <w:r>
        <w:rPr>
          <w:rFonts w:ascii="Times New Roman" w:cs="Times New Roman" w:eastAsia="Times New Roman" w:hAnsi="Times New Roman"/>
          <w:sz w:val="34"/>
          <w:szCs w:val="34"/>
          <w:color w:val="auto"/>
          <w:vertAlign w:val="superscript"/>
        </w:rPr>
        <w:t>(6)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Farmers Energy Big River, LLC</w:t>
      </w:r>
      <w:r>
        <w:rPr>
          <w:rFonts w:ascii="Times New Roman" w:cs="Times New Roman" w:eastAsia="Times New Roman" w:hAnsi="Times New Roman"/>
          <w:sz w:val="35"/>
          <w:szCs w:val="35"/>
          <w:color w:val="auto"/>
          <w:vertAlign w:val="superscript"/>
        </w:rPr>
        <w:t>(7)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Farmers Energy One Earth Holding, LLC</w:t>
      </w:r>
      <w:r>
        <w:rPr>
          <w:rFonts w:ascii="Times New Roman" w:cs="Times New Roman" w:eastAsia="Times New Roman" w:hAnsi="Times New Roman"/>
          <w:sz w:val="34"/>
          <w:szCs w:val="34"/>
          <w:color w:val="auto"/>
          <w:vertAlign w:val="superscript"/>
        </w:rPr>
        <w:t>(6)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Farmers Energy One Earth, LLC</w:t>
      </w:r>
      <w:r>
        <w:rPr>
          <w:rFonts w:ascii="Times New Roman" w:cs="Times New Roman" w:eastAsia="Times New Roman" w:hAnsi="Times New Roman"/>
          <w:sz w:val="35"/>
          <w:szCs w:val="35"/>
          <w:color w:val="auto"/>
          <w:vertAlign w:val="superscript"/>
        </w:rPr>
        <w:t>(7)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Earth Energy, LLC</w:t>
      </w:r>
      <w:r>
        <w:rPr>
          <w:rFonts w:ascii="Times New Roman" w:cs="Times New Roman" w:eastAsia="Times New Roman" w:hAnsi="Times New Roman"/>
          <w:sz w:val="35"/>
          <w:szCs w:val="35"/>
          <w:color w:val="auto"/>
          <w:vertAlign w:val="superscript"/>
        </w:rPr>
        <w:t>(8)</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Earth Sequestration, LLC</w:t>
      </w:r>
      <w:r>
        <w:rPr>
          <w:rFonts w:ascii="Times New Roman" w:cs="Times New Roman" w:eastAsia="Times New Roman" w:hAnsi="Times New Roman"/>
          <w:sz w:val="35"/>
          <w:szCs w:val="35"/>
          <w:color w:val="auto"/>
          <w:vertAlign w:val="superscript"/>
        </w:rPr>
        <w:t>(9)</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FEI Investment Incorporated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Future Energy, LLC</w:t>
      </w:r>
      <w:r>
        <w:rPr>
          <w:rFonts w:ascii="Times New Roman" w:cs="Times New Roman" w:eastAsia="Times New Roman" w:hAnsi="Times New Roman"/>
          <w:sz w:val="35"/>
          <w:szCs w:val="35"/>
          <w:color w:val="auto"/>
          <w:vertAlign w:val="superscript"/>
        </w:rPr>
        <w:t>(10)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FE-II, LLC</w:t>
      </w:r>
      <w:r>
        <w:rPr>
          <w:rFonts w:ascii="Times New Roman" w:cs="Times New Roman" w:eastAsia="Times New Roman" w:hAnsi="Times New Roman"/>
          <w:sz w:val="35"/>
          <w:szCs w:val="35"/>
          <w:color w:val="auto"/>
          <w:vertAlign w:val="superscript"/>
        </w:rPr>
        <w:t>(11)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REX NuGen Holding, LLC</w:t>
      </w:r>
      <w:r>
        <w:rPr>
          <w:rFonts w:ascii="Times New Roman" w:cs="Times New Roman" w:eastAsia="Times New Roman" w:hAnsi="Times New Roman"/>
          <w:sz w:val="35"/>
          <w:szCs w:val="35"/>
          <w:color w:val="auto"/>
          <w:vertAlign w:val="superscript"/>
        </w:rPr>
        <w:t>(6)</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gridSpan w:val="3"/>
          </w:tcPr>
          <w:p>
            <w:pPr>
              <w:jc w:val="center"/>
              <w:ind w:left="2112"/>
              <w:spacing w:after="0"/>
              <w:rPr>
                <w:sz w:val="20"/>
                <w:szCs w:val="20"/>
                <w:color w:val="auto"/>
              </w:rPr>
            </w:pPr>
            <w:r>
              <w:rPr>
                <w:rFonts w:ascii="Times New Roman" w:cs="Times New Roman" w:eastAsia="Times New Roman" w:hAnsi="Times New Roman"/>
                <w:sz w:val="22"/>
                <w:szCs w:val="22"/>
                <w:color w:val="auto"/>
                <w:w w:val="98"/>
              </w:rPr>
              <w:t>State of Incorporation</w:t>
            </w:r>
          </w:p>
        </w:tc>
        <w:tc>
          <w:tcPr>
            <w:tcW w:w="0" w:type="dxa"/>
            <w:vAlign w:val="bottom"/>
          </w:tcPr>
          <w:p>
            <w:pPr>
              <w:spacing w:after="0"/>
              <w:rPr>
                <w:sz w:val="1"/>
                <w:szCs w:val="1"/>
                <w:color w:val="auto"/>
              </w:rPr>
            </w:pPr>
          </w:p>
        </w:tc>
      </w:tr>
      <w:tr>
        <w:trPr>
          <w:trHeight w:val="108"/>
        </w:trPr>
        <w:tc>
          <w:tcPr>
            <w:tcW w:w="2720" w:type="dxa"/>
            <w:vAlign w:val="bottom"/>
            <w:gridSpan w:val="2"/>
            <w:vMerge w:val="continue"/>
          </w:tcPr>
          <w:p>
            <w:pPr>
              <w:spacing w:after="0"/>
              <w:rPr>
                <w:sz w:val="9"/>
                <w:szCs w:val="9"/>
                <w:color w:val="auto"/>
              </w:rPr>
            </w:pPr>
          </w:p>
        </w:tc>
        <w:tc>
          <w:tcPr>
            <w:tcW w:w="2480" w:type="dxa"/>
            <w:vAlign w:val="bottom"/>
          </w:tcPr>
          <w:p>
            <w:pPr>
              <w:spacing w:after="0"/>
              <w:rPr>
                <w:sz w:val="9"/>
                <w:szCs w:val="9"/>
                <w:color w:val="auto"/>
              </w:rPr>
            </w:pPr>
          </w:p>
        </w:tc>
        <w:tc>
          <w:tcPr>
            <w:tcW w:w="1640" w:type="dxa"/>
            <w:vAlign w:val="bottom"/>
            <w:gridSpan w:val="2"/>
            <w:vMerge w:val="restart"/>
          </w:tcPr>
          <w:p>
            <w:pPr>
              <w:jc w:val="center"/>
              <w:ind w:right="280"/>
              <w:spacing w:after="0" w:line="230" w:lineRule="exact"/>
              <w:rPr>
                <w:sz w:val="20"/>
                <w:szCs w:val="20"/>
                <w:color w:val="auto"/>
              </w:rPr>
            </w:pPr>
            <w:r>
              <w:rPr>
                <w:rFonts w:ascii="Times New Roman" w:cs="Times New Roman" w:eastAsia="Times New Roman" w:hAnsi="Times New Roman"/>
                <w:sz w:val="22"/>
                <w:szCs w:val="22"/>
                <w:color w:val="auto"/>
                <w:w w:val="98"/>
              </w:rPr>
              <w:t>or Organization</w:t>
            </w:r>
          </w:p>
        </w:tc>
        <w:tc>
          <w:tcPr>
            <w:tcW w:w="0" w:type="dxa"/>
            <w:vAlign w:val="bottom"/>
          </w:tcPr>
          <w:p>
            <w:pPr>
              <w:spacing w:after="0"/>
              <w:rPr>
                <w:sz w:val="1"/>
                <w:szCs w:val="1"/>
                <w:color w:val="auto"/>
              </w:rPr>
            </w:pPr>
          </w:p>
        </w:tc>
      </w:tr>
      <w:tr>
        <w:trPr>
          <w:trHeight w:val="102"/>
        </w:trPr>
        <w:tc>
          <w:tcPr>
            <w:tcW w:w="520" w:type="dxa"/>
            <w:vAlign w:val="bottom"/>
            <w:tcBorders>
              <w:top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2"/>
                <w:szCs w:val="22"/>
                <w:color w:val="auto"/>
              </w:rPr>
              <w:t>Delaware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4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513"/>
        </w:trPr>
        <w:tc>
          <w:tcPr>
            <w:tcW w:w="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4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Ohio</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Delaware</w:t>
      </w:r>
    </w:p>
    <w:p>
      <w:pPr>
        <w:spacing w:after="0" w:line="2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Illinois</w:t>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Illinois</w:t>
      </w:r>
    </w:p>
    <w:p>
      <w:pPr>
        <w:spacing w:after="0" w:line="2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Delaware</w:t>
      </w:r>
    </w:p>
    <w:p>
      <w:pPr>
        <w:spacing w:after="0" w:line="2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Ohio</w:t>
      </w:r>
    </w:p>
    <w:p>
      <w:pPr>
        <w:spacing w:after="0" w:line="28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South Dakota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156845</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3820" w:space="140"/>
            <w:col w:w="7280"/>
          </w:cols>
          <w:pgMar w:left="320" w:top="112"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REX NuGen, LLC</w:t>
      </w:r>
      <w:r>
        <w:rPr>
          <w:rFonts w:ascii="Times New Roman" w:cs="Times New Roman" w:eastAsia="Times New Roman" w:hAnsi="Times New Roman"/>
          <w:sz w:val="35"/>
          <w:szCs w:val="35"/>
          <w:color w:val="auto"/>
          <w:vertAlign w:val="superscript"/>
        </w:rPr>
        <w:t>(7)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NuGen Energy, LLC</w:t>
      </w:r>
      <w:r>
        <w:rPr>
          <w:rFonts w:ascii="Times New Roman" w:cs="Times New Roman" w:eastAsia="Times New Roman" w:hAnsi="Times New Roman"/>
          <w:sz w:val="35"/>
          <w:szCs w:val="35"/>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4230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RRC1, LLC</w:t>
      </w:r>
    </w:p>
    <w:p>
      <w:pPr>
        <w:spacing w:after="0" w:line="23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AVA Acquisition Corp.</w:t>
      </w:r>
    </w:p>
    <w:p>
      <w:pPr>
        <w:spacing w:after="0" w:line="23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REX Management, Inc.</w:t>
      </w:r>
    </w:p>
    <w:p>
      <w:pPr>
        <w:spacing w:after="0" w:line="23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Non-operating or inactive subsidiary.</w:t>
      </w:r>
    </w:p>
    <w:p>
      <w:pPr>
        <w:spacing w:after="0" w:line="23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AVA Acquisition Corp. owns a 95.35% percentage interest.</w:t>
      </w:r>
    </w:p>
    <w:p>
      <w:pPr>
        <w:spacing w:after="0" w:line="23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First-tier wholly-owned subsidiary of Farmers Energy Incorporated.</w:t>
      </w:r>
    </w:p>
    <w:p>
      <w:pPr>
        <w:spacing w:after="0" w:line="23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Second-tier wholly-owned subsidiary of Farmers Energy Incorporated.</w:t>
      </w:r>
    </w:p>
    <w:p>
      <w:pPr>
        <w:spacing w:after="0" w:line="244" w:lineRule="exact"/>
        <w:rPr>
          <w:rFonts w:ascii="Times New Roman" w:cs="Times New Roman" w:eastAsia="Times New Roman" w:hAnsi="Times New Roman"/>
          <w:sz w:val="17"/>
          <w:szCs w:val="17"/>
          <w:color w:val="auto"/>
        </w:rPr>
      </w:pPr>
    </w:p>
    <w:p>
      <w:pPr>
        <w:ind w:left="400" w:hanging="392"/>
        <w:spacing w:after="0"/>
        <w:tabs>
          <w:tab w:leader="none" w:pos="4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Third-tier majority-owned subsidiary of Farmers Energy Incorporated.</w:t>
      </w:r>
    </w:p>
    <w:p>
      <w:pPr>
        <w:spacing w:after="0" w:line="244" w:lineRule="exact"/>
        <w:rPr>
          <w:rFonts w:ascii="Times New Roman" w:cs="Times New Roman" w:eastAsia="Times New Roman" w:hAnsi="Times New Roman"/>
          <w:sz w:val="17"/>
          <w:szCs w:val="17"/>
          <w:color w:val="auto"/>
        </w:rPr>
      </w:pPr>
    </w:p>
    <w:p>
      <w:pPr>
        <w:ind w:left="400" w:hanging="392"/>
        <w:spacing w:after="0"/>
        <w:tabs>
          <w:tab w:leader="none" w:pos="4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Fourth-tier majority-owned subsidiary of Farmers Energy Incorporated.</w:t>
      </w:r>
    </w:p>
    <w:p>
      <w:pPr>
        <w:spacing w:after="0" w:line="244" w:lineRule="exact"/>
        <w:rPr>
          <w:rFonts w:ascii="Times New Roman" w:cs="Times New Roman" w:eastAsia="Times New Roman" w:hAnsi="Times New Roman"/>
          <w:sz w:val="17"/>
          <w:szCs w:val="17"/>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Majority-owned subsidiary of REX IP, LLC.</w:t>
      </w:r>
    </w:p>
    <w:p>
      <w:pPr>
        <w:spacing w:after="0" w:line="23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Wholly-owned subsidiary of Future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South Dakota</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South Dakota</w:t>
      </w:r>
    </w:p>
    <w:p>
      <w:pPr>
        <w:sectPr>
          <w:pgSz w:w="11900" w:h="16838" w:orient="portrait"/>
          <w:cols w:equalWidth="0" w:num="2">
            <w:col w:w="9100" w:space="720"/>
            <w:col w:w="1180"/>
          </w:cols>
          <w:pgMar w:left="320" w:top="405" w:right="57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(No. 333-205419) on Form S-8 of our reports dated March 30, 2026, relating to the consolidated financial statements of REX American Resources Corporation and its subsidiaries (the Company), and the effectiveness of the Company’s internal control over financial reporting appearing in the Annual Report on Form 10-K of the Company for the year ended January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 Moines, Iowa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820" w:hanging="164"/>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REX American Resources Corporation;</w:t>
      </w:r>
    </w:p>
    <w:p>
      <w:pPr>
        <w:spacing w:after="0" w:line="252"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8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2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firstLine="320"/>
        <w:spacing w:after="0" w:line="266" w:lineRule="auto"/>
        <w:tabs>
          <w:tab w:leader="none" w:pos="123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320" w:firstLine="320"/>
        <w:spacing w:after="0" w:line="282" w:lineRule="auto"/>
        <w:tabs>
          <w:tab w:leader="none" w:pos="122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23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ind w:left="-656" w:firstLine="656"/>
        <w:spacing w:after="0" w:line="282" w:lineRule="auto"/>
        <w:tabs>
          <w:tab w:leader="none" w:pos="1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4" w:right="460" w:firstLine="320"/>
        <w:spacing w:after="0" w:line="282" w:lineRule="auto"/>
        <w:tabs>
          <w:tab w:leader="none" w:pos="56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4" w:right="140" w:firstLine="320"/>
        <w:spacing w:after="0" w:line="282" w:lineRule="auto"/>
        <w:tabs>
          <w:tab w:leader="none" w:pos="57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134620</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5" w:right="419" w:bottom="1440" w:gutter="0" w:footer="0" w:header="0"/>
        </w:sectPr>
      </w:pPr>
    </w:p>
    <w:bookmarkStart w:id="74" w:name="page75"/>
    <w:bookmarkEnd w:id="7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840" w:hanging="184"/>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REX American Resources Corporation;</w:t>
      </w:r>
    </w:p>
    <w:p>
      <w:pPr>
        <w:spacing w:after="0" w:line="252"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82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2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firstLine="320"/>
        <w:spacing w:after="0" w:line="266" w:lineRule="auto"/>
        <w:tabs>
          <w:tab w:leader="none" w:pos="123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82" w:lineRule="auto"/>
        <w:tabs>
          <w:tab w:leader="none" w:pos="122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firstLine="320"/>
        <w:spacing w:after="0" w:line="266" w:lineRule="auto"/>
        <w:tabs>
          <w:tab w:leader="none" w:pos="123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75" w:name="page76"/>
    <w:bookmarkEnd w:id="75"/>
    <w:p>
      <w:pPr>
        <w:ind w:left="-656" w:firstLine="656"/>
        <w:spacing w:after="0" w:line="282" w:lineRule="auto"/>
        <w:tabs>
          <w:tab w:leader="none" w:pos="1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4" w:right="120" w:firstLine="644"/>
        <w:spacing w:after="0" w:line="282" w:lineRule="auto"/>
        <w:tabs>
          <w:tab w:leader="none" w:pos="89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400" w:firstLine="644"/>
        <w:spacing w:after="0" w:line="282" w:lineRule="auto"/>
        <w:tabs>
          <w:tab w:leader="none" w:pos="9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134620</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04"/>
          </w:cols>
          <w:pgMar w:left="976" w:top="405" w:right="41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Annual Report on Form 10-K for the period ended January 31</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2026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21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upperLetter"/>
      <w:start w:val="35"/>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1."/>
      <w:numFmt w:val="decimal"/>
      <w:start w:val="3"/>
    </w:lvl>
  </w:abstractNum>
  <w:abstractNum w:abstractNumId="8">
    <w:nsid w:val="B03E0C6"/>
    <w:multiLevelType w:val="hybridMultilevel"/>
    <w:lvl w:ilvl="0">
      <w:lvlJc w:val="left"/>
      <w:lvlText w:val="%1."/>
      <w:numFmt w:val="decimal"/>
      <w:start w:val="4"/>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5"/>
    </w:lvl>
  </w:abstractNum>
  <w:abstractNum w:abstractNumId="11">
    <w:nsid w:val="71F32454"/>
    <w:multiLevelType w:val="hybridMultilevel"/>
    <w:lvl w:ilvl="0">
      <w:lvlJc w:val="left"/>
      <w:lvlText w:val="%1."/>
      <w:numFmt w:val="decimal"/>
      <w:start w:val="6"/>
    </w:lvl>
  </w:abstractNum>
  <w:abstractNum w:abstractNumId="12">
    <w:nsid w:val="2CA88611"/>
    <w:multiLevelType w:val="hybridMultilevel"/>
    <w:lvl w:ilvl="0">
      <w:lvlJc w:val="left"/>
      <w:lvlText w:val="%1."/>
      <w:numFmt w:val="decimal"/>
      <w:start w:val="8"/>
    </w:lvl>
  </w:abstractNum>
  <w:abstractNum w:abstractNumId="13">
    <w:nsid w:val="836C40E"/>
    <w:multiLevelType w:val="hybridMultilevel"/>
    <w:lvl w:ilvl="0">
      <w:lvlJc w:val="left"/>
      <w:lvlText w:val="%1."/>
      <w:numFmt w:val="decimal"/>
      <w:start w:val="9"/>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0"/>
    </w:lvl>
  </w:abstractNum>
  <w:abstractNum w:abstractNumId="16">
    <w:nsid w:val="8138641"/>
    <w:multiLevelType w:val="hybridMultilevel"/>
    <w:lvl w:ilvl="0">
      <w:lvlJc w:val="left"/>
      <w:lvlText w:val="%1."/>
      <w:numFmt w:val="decimal"/>
      <w:start w:val="11"/>
    </w:lvl>
  </w:abstractNum>
  <w:abstractNum w:abstractNumId="17">
    <w:nsid w:val="1E7FF521"/>
    <w:multiLevelType w:val="hybridMultilevel"/>
    <w:lvl w:ilvl="0">
      <w:lvlJc w:val="left"/>
      <w:lvlText w:val="%1."/>
      <w:numFmt w:val="decimal"/>
      <w:start w:val="12"/>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decimal"/>
      <w:start w:val="13"/>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4"/>
    </w:lvl>
  </w:abstractNum>
  <w:abstractNum w:abstractNumId="23">
    <w:nsid w:val="3006C83E"/>
    <w:multiLevelType w:val="hybridMultilevel"/>
    <w:lvl w:ilvl="0">
      <w:lvlJc w:val="left"/>
      <w:lvlText w:val="(%1)"/>
      <w:numFmt w:val="decimal"/>
      <w:start w:val="10"/>
    </w:lvl>
  </w:abstractNum>
  <w:abstractNum w:abstractNumId="24">
    <w:nsid w:val="614FD4A1"/>
    <w:multiLevelType w:val="hybridMultilevel"/>
    <w:lvl w:ilvl="0">
      <w:lvlJc w:val="left"/>
      <w:lvlText w:val="(%1)"/>
      <w:numFmt w:val="decimal"/>
      <w:start w:val="19"/>
    </w:lvl>
  </w:abstractNum>
  <w:abstractNum w:abstractNumId="25">
    <w:nsid w:val="419AC241"/>
    <w:multiLevelType w:val="hybridMultilevel"/>
    <w:lvl w:ilvl="0">
      <w:lvlJc w:val="left"/>
      <w:lvlText w:val="(%1)"/>
      <w:numFmt w:val="decimal"/>
      <w:start w:val="21"/>
    </w:lvl>
  </w:abstractNum>
  <w:abstractNum w:abstractNumId="26">
    <w:nsid w:val="5577F8E1"/>
    <w:multiLevelType w:val="hybridMultilevel"/>
    <w:lvl w:ilvl="0">
      <w:lvlJc w:val="left"/>
      <w:lvlText w:val="(%1)"/>
      <w:numFmt w:val="decimal"/>
      <w:start w:val="23"/>
    </w:lvl>
  </w:abstractNum>
  <w:abstractNum w:abstractNumId="27">
    <w:nsid w:val="440BADFC"/>
    <w:multiLevelType w:val="hybridMultilevel"/>
    <w:lvl w:ilvl="0">
      <w:lvlJc w:val="left"/>
      <w:lvlText w:val="%1"/>
      <w:numFmt w:val="decimal"/>
      <w:start w:val="1"/>
    </w:lvl>
    <w:lvl w:ilvl="1">
      <w:lvlJc w:val="left"/>
      <w:lvlText w:val="%2"/>
      <w:numFmt w:val="decimal"/>
      <w:start w:val="23"/>
    </w:lvl>
  </w:abstractNum>
  <w:abstractNum w:abstractNumId="28">
    <w:nsid w:val="5072367"/>
    <w:multiLevelType w:val="hybridMultilevel"/>
    <w:lvl w:ilvl="0">
      <w:lvlJc w:val="left"/>
      <w:lvlText w:val="(%1)"/>
      <w:numFmt w:val="decimal"/>
      <w:start w:val="31"/>
    </w:lvl>
    <w:lvl w:ilvl="1">
      <w:lvlJc w:val="left"/>
      <w:lvlText w:val="%2"/>
      <w:numFmt w:val="decimal"/>
      <w:start w:val="31"/>
    </w:lvl>
  </w:abstractNum>
  <w:abstractNum w:abstractNumId="29">
    <w:nsid w:val="3804823E"/>
    <w:multiLevelType w:val="hybridMultilevel"/>
    <w:lvl w:ilvl="0">
      <w:lvlJc w:val="left"/>
      <w:lvlText w:val="%1"/>
      <w:numFmt w:val="decimal"/>
      <w:start w:val="1"/>
    </w:lvl>
    <w:lvl w:ilvl="1">
      <w:lvlJc w:val="left"/>
      <w:lvlText w:val="%2"/>
      <w:numFmt w:val="decimal"/>
      <w:start w:val="32"/>
    </w:lvl>
  </w:abstractNum>
  <w:abstractNum w:abstractNumId="30">
    <w:nsid w:val="77465F01"/>
    <w:multiLevelType w:val="hybridMultilevel"/>
    <w:lvl w:ilvl="0">
      <w:lvlJc w:val="left"/>
      <w:lvlText w:val="(%1)"/>
      <w:numFmt w:val="decimal"/>
      <w:start w:val="97"/>
    </w:lvl>
  </w:abstractNum>
  <w:abstractNum w:abstractNumId="31">
    <w:nsid w:val="7724C67E"/>
    <w:multiLevelType w:val="hybridMultilevel"/>
    <w:lvl w:ilvl="0">
      <w:lvlJc w:val="left"/>
      <w:lvlText w:val="%1"/>
      <w:numFmt w:val="decimal"/>
      <w:start w:val="1"/>
    </w:lvl>
    <w:lvl w:ilvl="1">
      <w:lvlJc w:val="left"/>
      <w:lvlText w:val="%2"/>
      <w:numFmt w:val="decimal"/>
      <w:start w:val="97"/>
    </w:lvl>
  </w:abstractNum>
  <w:abstractNum w:abstractNumId="32">
    <w:nsid w:val="5C482A97"/>
    <w:multiLevelType w:val="hybridMultilevel"/>
    <w:lvl w:ilvl="0">
      <w:lvlJc w:val="left"/>
      <w:lvlText w:val="(%1)"/>
      <w:numFmt w:val="decimal"/>
      <w:start w:val="101"/>
    </w:lvl>
    <w:lvl w:ilvl="1">
      <w:lvlJc w:val="left"/>
      <w:lvlText w:val="%2"/>
      <w:numFmt w:val="decimal"/>
      <w:start w:val="10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7"/>
    </w:lvl>
    <w:lvl w:ilvl="1">
      <w:lvlJc w:val="left"/>
      <w:lvlText w:val="(%2)"/>
      <w:numFmt w:val="lowerLetter"/>
      <w:start w:val="1"/>
    </w:lvl>
  </w:abstractNum>
  <w:abstractNum w:abstractNumId="35">
    <w:nsid w:val="51EAD36B"/>
    <w:multiLevelType w:val="hybridMultilevel"/>
    <w:lvl w:ilvl="0">
      <w:lvlJc w:val="left"/>
      <w:lvlText w:val="(%1)"/>
      <w:numFmt w:val="lowerLetter"/>
      <w:start w:val="4"/>
    </w:lvl>
  </w:abstractNum>
  <w:abstractNum w:abstractNumId="36">
    <w:nsid w:val="2D517796"/>
    <w:multiLevelType w:val="hybridMultilevel"/>
    <w:lvl w:ilvl="0">
      <w:lvlJc w:val="left"/>
      <w:lvlText w:val="%1."/>
      <w:numFmt w:val="decimal"/>
      <w:start w:val="1"/>
    </w:lvl>
    <w:lvl w:ilvl="1">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5"/>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2026-03-30T15:09:28Z</dcterms:created>
  <dcterms:modified xsi:type="dcterms:W3CDTF">2026-03-30T15:09:28Z</dcterms:modified>
</cp:coreProperties>
</file>