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REX Stores Corporation</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761624 10 5</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December 31, 1999</w:t>
      </w:r>
    </w:p>
    <w:p>
      <w:pPr>
        <w:spacing w:after="0" w:line="3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left="540"/>
        <w:spacing w:after="0"/>
        <w:tabs>
          <w:tab w:leader="none" w:pos="2840" w:val="left"/>
          <w:tab w:leader="none" w:pos="5040" w:val="left"/>
        </w:tabs>
        <w:rPr>
          <w:sz w:val="20"/>
          <w:szCs w:val="20"/>
          <w:color w:val="auto"/>
        </w:rPr>
      </w:pPr>
      <w:r>
        <w:rPr>
          <w:rFonts w:ascii="Courier New" w:cs="Courier New" w:eastAsia="Courier New" w:hAnsi="Courier New"/>
          <w:sz w:val="18"/>
          <w:szCs w:val="18"/>
          <w:color w:val="auto"/>
        </w:rPr>
        <w:t>/X/ Rule 13d-1(b)</w:t>
      </w:r>
      <w:r>
        <w:rPr>
          <w:sz w:val="20"/>
          <w:szCs w:val="20"/>
          <w:color w:val="auto"/>
        </w:rPr>
        <w:tab/>
      </w:r>
      <w:r>
        <w:rPr>
          <w:rFonts w:ascii="Courier New" w:cs="Courier New" w:eastAsia="Courier New" w:hAnsi="Courier New"/>
          <w:sz w:val="18"/>
          <w:szCs w:val="18"/>
          <w:color w:val="auto"/>
        </w:rPr>
        <w:t>/ /Rule 13d-1(c)</w:t>
      </w:r>
      <w:r>
        <w:rPr>
          <w:sz w:val="20"/>
          <w:szCs w:val="20"/>
          <w:color w:val="auto"/>
        </w:rPr>
        <w:tab/>
      </w:r>
      <w:r>
        <w:rPr>
          <w:rFonts w:ascii="Courier New" w:cs="Courier New" w:eastAsia="Courier New" w:hAnsi="Courier New"/>
          <w:sz w:val="16"/>
          <w:szCs w:val="16"/>
          <w:color w:val="auto"/>
        </w:rPr>
        <w:t>/ / Rule 13d-1(d)</w:t>
      </w:r>
    </w:p>
    <w:p>
      <w:pPr>
        <w:spacing w:after="0" w:line="20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139"/>
          </w:cols>
          <w:pgMar w:left="320" w:top="42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761624 10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0"/>
          <w:szCs w:val="20"/>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0" w:lineRule="exact"/>
        <w:rPr>
          <w:sz w:val="20"/>
          <w:szCs w:val="20"/>
          <w:color w:val="auto"/>
        </w:rPr>
      </w:pPr>
    </w:p>
    <w:p>
      <w:pPr>
        <w:spacing w:after="0" w:line="374" w:lineRule="exact"/>
        <w:rPr>
          <w:sz w:val="20"/>
          <w:szCs w:val="20"/>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 /X/</w:t>
      </w:r>
    </w:p>
    <w:p>
      <w:pPr>
        <w:spacing w:after="0" w:line="201"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420" w:right="6019" w:hanging="412"/>
        <w:spacing w:after="0" w:line="476" w:lineRule="auto"/>
        <w:tabs>
          <w:tab w:leader="none" w:pos="31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gridSpan w:val="3"/>
          </w:tcPr>
          <w:p>
            <w:pPr>
              <w:spacing w:after="0"/>
              <w:rPr>
                <w:sz w:val="20"/>
                <w:szCs w:val="20"/>
                <w:color w:val="auto"/>
              </w:rPr>
            </w:pPr>
            <w:r>
              <w:rPr>
                <w:rFonts w:ascii="Courier New" w:cs="Courier New" w:eastAsia="Courier New" w:hAnsi="Courier New"/>
                <w:sz w:val="18"/>
                <w:szCs w:val="18"/>
                <w:color w:val="auto"/>
              </w:rPr>
              <w:t>NUMBER OF</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SHARES BENEFICIALLY OWNED BY EACH REPORTING PERSON WITH:</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404,400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399,900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420" w:right="3499" w:hanging="412"/>
        <w:spacing w:after="0" w:line="476" w:lineRule="auto"/>
        <w:tabs>
          <w:tab w:leader="none" w:pos="31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480,600</w:t>
      </w:r>
    </w:p>
    <w:p>
      <w:pPr>
        <w:spacing w:after="0" w:line="1" w:lineRule="exact"/>
        <w:rPr>
          <w:sz w:val="20"/>
          <w:szCs w:val="20"/>
          <w:color w:val="auto"/>
        </w:rPr>
      </w:pPr>
    </w:p>
    <w:p>
      <w:pPr>
        <w:ind w:left="320" w:right="3399" w:hanging="315"/>
        <w:spacing w:after="0" w:line="346"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5.23%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OO</w:t>
      </w:r>
    </w:p>
    <w:p>
      <w:pPr>
        <w:sectPr>
          <w:pgSz w:w="11900" w:h="16838" w:orient="portrait"/>
          <w:cols w:equalWidth="0" w:num="1">
            <w:col w:w="10139"/>
          </w:cols>
          <w:pgMar w:left="320" w:top="69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761624 10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 /X/</w:t>
      </w:r>
    </w:p>
    <w:p>
      <w:pPr>
        <w:spacing w:after="0" w:line="201"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420" w:right="6019" w:hanging="412"/>
        <w:spacing w:after="0" w:line="476" w:lineRule="auto"/>
        <w:tabs>
          <w:tab w:leader="none" w:pos="31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gridSpan w:val="3"/>
          </w:tcPr>
          <w:p>
            <w:pPr>
              <w:spacing w:after="0"/>
              <w:rPr>
                <w:sz w:val="20"/>
                <w:szCs w:val="20"/>
                <w:color w:val="auto"/>
              </w:rPr>
            </w:pPr>
            <w:r>
              <w:rPr>
                <w:rFonts w:ascii="Courier New" w:cs="Courier New" w:eastAsia="Courier New" w:hAnsi="Courier New"/>
                <w:sz w:val="18"/>
                <w:szCs w:val="18"/>
                <w:color w:val="auto"/>
              </w:rPr>
              <w:t>NUMBER OF</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SHARES BENEFICIALLY OWNED BY EACH REPORTING PERSON WITH:</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404,400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399,900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420" w:right="3499" w:hanging="412"/>
        <w:spacing w:after="0" w:line="476" w:lineRule="auto"/>
        <w:tabs>
          <w:tab w:leader="none" w:pos="31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480,600</w:t>
      </w:r>
    </w:p>
    <w:p>
      <w:pPr>
        <w:spacing w:after="0" w:line="1" w:lineRule="exact"/>
        <w:rPr>
          <w:sz w:val="20"/>
          <w:szCs w:val="20"/>
          <w:color w:val="auto"/>
        </w:rPr>
      </w:pPr>
    </w:p>
    <w:p>
      <w:pPr>
        <w:ind w:left="320" w:right="3399" w:hanging="315"/>
        <w:spacing w:after="0" w:line="346"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5.23%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OO, HC</w:t>
      </w:r>
    </w:p>
    <w:p>
      <w:pPr>
        <w:sectPr>
          <w:pgSz w:w="11900" w:h="16838" w:orient="portrait"/>
          <w:cols w:equalWidth="0" w:num="1">
            <w:col w:w="10139"/>
          </w:cols>
          <w:pgMar w:left="320" w:top="69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761624 10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0" w:lineRule="exact"/>
        <w:rPr>
          <w:sz w:val="20"/>
          <w:szCs w:val="20"/>
          <w:color w:val="auto"/>
        </w:rPr>
      </w:pPr>
    </w:p>
    <w:p>
      <w:pPr>
        <w:spacing w:after="0" w:line="374" w:lineRule="exact"/>
        <w:rPr>
          <w:sz w:val="20"/>
          <w:szCs w:val="20"/>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 /X/</w:t>
      </w:r>
    </w:p>
    <w:p>
      <w:pPr>
        <w:spacing w:after="0" w:line="201"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420" w:right="6019" w:hanging="412"/>
        <w:spacing w:after="0" w:line="476" w:lineRule="auto"/>
        <w:tabs>
          <w:tab w:leader="none" w:pos="31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Frankfurt, Germany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gridSpan w:val="3"/>
          </w:tcPr>
          <w:p>
            <w:pPr>
              <w:spacing w:after="0"/>
              <w:rPr>
                <w:sz w:val="20"/>
                <w:szCs w:val="20"/>
                <w:color w:val="auto"/>
              </w:rPr>
            </w:pPr>
            <w:r>
              <w:rPr>
                <w:rFonts w:ascii="Courier New" w:cs="Courier New" w:eastAsia="Courier New" w:hAnsi="Courier New"/>
                <w:sz w:val="18"/>
                <w:szCs w:val="18"/>
                <w:color w:val="auto"/>
              </w:rPr>
              <w:t>NUMBER OF</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SHARES BENEFICIALLY OWNED BY EACH REPORTING PERSON WITH:</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404,400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399,900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420" w:right="3499" w:hanging="412"/>
        <w:spacing w:after="0" w:line="476" w:lineRule="auto"/>
        <w:tabs>
          <w:tab w:leader="none" w:pos="31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480,600</w:t>
      </w:r>
    </w:p>
    <w:p>
      <w:pPr>
        <w:spacing w:after="0" w:line="1" w:lineRule="exact"/>
        <w:rPr>
          <w:sz w:val="20"/>
          <w:szCs w:val="20"/>
          <w:color w:val="auto"/>
        </w:rPr>
      </w:pPr>
    </w:p>
    <w:p>
      <w:pPr>
        <w:ind w:left="320" w:right="3399" w:hanging="315"/>
        <w:spacing w:after="0" w:line="346"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5.23%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BK, HC</w:t>
      </w:r>
    </w:p>
    <w:p>
      <w:pPr>
        <w:sectPr>
          <w:pgSz w:w="11900" w:h="16838" w:orient="portrait"/>
          <w:cols w:equalWidth="0" w:num="1">
            <w:col w:w="10139"/>
          </w:cols>
          <w:pgMar w:left="320" w:top="69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REX Stores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2875 Needmore Road</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Dayton, OH 45414</w:t>
      </w:r>
    </w:p>
    <w:p>
      <w:pPr>
        <w:ind w:left="540"/>
        <w:spacing w:after="0"/>
        <w:rPr>
          <w:sz w:val="20"/>
          <w:szCs w:val="20"/>
          <w:color w:val="auto"/>
        </w:rPr>
      </w:pPr>
      <w:r>
        <w:rPr>
          <w:rFonts w:ascii="Courier New" w:cs="Courier New" w:eastAsia="Courier New" w:hAnsi="Courier New"/>
          <w:sz w:val="18"/>
          <w:szCs w:val="18"/>
          <w:color w:val="auto"/>
        </w:rPr>
        <w:t>Dayton, OH 45414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860" w:hanging="641"/>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RCM Global Investors LLC</w:t>
      </w:r>
    </w:p>
    <w:p>
      <w:pPr>
        <w:spacing w:after="0" w:line="30" w:lineRule="exact"/>
        <w:rPr>
          <w:rFonts w:ascii="Courier New" w:cs="Courier New" w:eastAsia="Courier New" w:hAnsi="Courier New"/>
          <w:sz w:val="18"/>
          <w:szCs w:val="18"/>
          <w:color w:val="auto"/>
        </w:rPr>
      </w:pPr>
    </w:p>
    <w:p>
      <w:pPr>
        <w:ind w:left="860" w:hanging="641"/>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RCM Global Investors US Holdings LLC</w:t>
      </w:r>
    </w:p>
    <w:p>
      <w:pPr>
        <w:ind w:left="860" w:hanging="641"/>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Bank AG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860" w:hanging="64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Embarcadero Center</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 California  94111</w:t>
      </w:r>
    </w:p>
    <w:p>
      <w:pPr>
        <w:spacing w:after="0" w:line="169" w:lineRule="exact"/>
        <w:rPr>
          <w:rFonts w:ascii="Courier New" w:cs="Courier New" w:eastAsia="Courier New" w:hAnsi="Courier New"/>
          <w:sz w:val="18"/>
          <w:szCs w:val="18"/>
          <w:color w:val="auto"/>
        </w:rPr>
      </w:pPr>
    </w:p>
    <w:p>
      <w:pPr>
        <w:ind w:left="860" w:hanging="64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Embarcadero Center</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 California  94111</w:t>
      </w:r>
    </w:p>
    <w:p>
      <w:pPr>
        <w:spacing w:after="0" w:line="169" w:lineRule="exact"/>
        <w:rPr>
          <w:rFonts w:ascii="Courier New" w:cs="Courier New" w:eastAsia="Courier New" w:hAnsi="Courier New"/>
          <w:sz w:val="18"/>
          <w:szCs w:val="18"/>
          <w:color w:val="auto"/>
        </w:rPr>
      </w:pPr>
    </w:p>
    <w:p>
      <w:pPr>
        <w:ind w:left="860" w:right="6759" w:hanging="641"/>
        <w:spacing w:after="0" w:line="402"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Jurgen-Ponto-Platz 1 60301 Frankfurt, Germany</w:t>
      </w: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Dresdner RCM Global Investors LLC - Delaware</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Dresdner RCM Global Investors</w:t>
      </w:r>
    </w:p>
    <w:p>
      <w:pPr>
        <w:ind w:left="540"/>
        <w:spacing w:after="0" w:line="238" w:lineRule="auto"/>
        <w:rPr>
          <w:sz w:val="20"/>
          <w:szCs w:val="20"/>
          <w:color w:val="auto"/>
        </w:rPr>
      </w:pPr>
      <w:r>
        <w:rPr>
          <w:rFonts w:ascii="Courier New" w:cs="Courier New" w:eastAsia="Courier New" w:hAnsi="Courier New"/>
          <w:sz w:val="18"/>
          <w:szCs w:val="18"/>
          <w:color w:val="auto"/>
        </w:rPr>
        <w:t>US Holdings LLC - Delaware</w:t>
      </w:r>
    </w:p>
    <w:p>
      <w:pPr>
        <w:ind w:left="320"/>
        <w:spacing w:after="0"/>
        <w:rPr>
          <w:sz w:val="20"/>
          <w:szCs w:val="20"/>
          <w:color w:val="auto"/>
        </w:rPr>
      </w:pPr>
      <w:r>
        <w:rPr>
          <w:rFonts w:ascii="Courier New" w:cs="Courier New" w:eastAsia="Courier New" w:hAnsi="Courier New"/>
          <w:sz w:val="18"/>
          <w:szCs w:val="18"/>
          <w:color w:val="auto"/>
        </w:rPr>
        <w:t>Dresdner Bank AG - Frankfurt, Germany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761624 10 5</w:t>
      </w:r>
    </w:p>
    <w:p>
      <w:pPr>
        <w:spacing w:after="0" w:line="201"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 w:lineRule="exact"/>
        <w:rPr>
          <w:sz w:val="20"/>
          <w:szCs w:val="20"/>
          <w:color w:val="auto"/>
        </w:rPr>
      </w:pPr>
    </w:p>
    <w:p>
      <w:pPr>
        <w:ind w:left="220"/>
        <w:spacing w:after="0"/>
        <w:tabs>
          <w:tab w:leader="none" w:pos="1040" w:val="left"/>
          <w:tab w:leader="none" w:pos="1560" w:val="left"/>
        </w:tabs>
        <w:rPr>
          <w:sz w:val="20"/>
          <w:szCs w:val="20"/>
          <w:color w:val="auto"/>
        </w:rPr>
      </w:pPr>
      <w:r>
        <w:rPr>
          <w:rFonts w:ascii="Courier New" w:cs="Courier New" w:eastAsia="Courier New" w:hAnsi="Courier New"/>
          <w:sz w:val="18"/>
          <w:szCs w:val="18"/>
          <w:color w:val="auto"/>
        </w:rPr>
        <w:t>(i)(e)</w:t>
        <w:tab/>
        <w:t>/X/</w:t>
      </w:r>
      <w:r>
        <w:rPr>
          <w:sz w:val="20"/>
          <w:szCs w:val="20"/>
          <w:color w:val="auto"/>
        </w:rPr>
        <w:tab/>
      </w:r>
      <w:r>
        <w:rPr>
          <w:rFonts w:ascii="Courier New" w:cs="Courier New" w:eastAsia="Courier New" w:hAnsi="Courier New"/>
          <w:sz w:val="16"/>
          <w:szCs w:val="16"/>
          <w:color w:val="auto"/>
        </w:rPr>
        <w:t>An investment adviser in accordance with Section 240.13d-1(b)(1)(</w:t>
      </w:r>
    </w:p>
    <w:p>
      <w:pPr>
        <w:spacing w:after="0" w:line="201" w:lineRule="exact"/>
        <w:rPr>
          <w:sz w:val="20"/>
          <w:szCs w:val="20"/>
          <w:color w:val="auto"/>
        </w:rPr>
      </w:pPr>
    </w:p>
    <w:p>
      <w:pPr>
        <w:ind w:left="1160" w:right="2019" w:hanging="1473"/>
        <w:spacing w:after="0" w:line="346" w:lineRule="auto"/>
        <w:tabs>
          <w:tab w:leader="none" w:pos="1140" w:val="left"/>
        </w:tabs>
        <w:rPr>
          <w:sz w:val="20"/>
          <w:szCs w:val="20"/>
          <w:color w:val="auto"/>
        </w:rPr>
      </w:pPr>
      <w:r>
        <w:rPr>
          <w:rFonts w:ascii="Courier New" w:cs="Courier New" w:eastAsia="Courier New" w:hAnsi="Courier New"/>
          <w:sz w:val="18"/>
          <w:szCs w:val="18"/>
          <w:color w:val="auto"/>
        </w:rPr>
        <w:t>(ii)(g)</w:t>
        <w:tab/>
        <w:t>/X/ A parent holding company or control person in accordance with Section 240.13d-1(b)(1)(ii)(G).</w:t>
      </w:r>
    </w:p>
    <w:p>
      <w:pPr>
        <w:spacing w:after="0" w:line="20" w:lineRule="exact"/>
        <w:rPr>
          <w:sz w:val="20"/>
          <w:szCs w:val="20"/>
          <w:color w:val="auto"/>
        </w:rPr>
      </w:pPr>
    </w:p>
    <w:p>
      <w:pPr>
        <w:ind w:left="1280" w:right="1919" w:hanging="1578"/>
        <w:spacing w:after="0" w:line="346" w:lineRule="auto"/>
        <w:tabs>
          <w:tab w:leader="none" w:pos="1260" w:val="left"/>
        </w:tabs>
        <w:rPr>
          <w:sz w:val="20"/>
          <w:szCs w:val="20"/>
          <w:color w:val="auto"/>
        </w:rPr>
      </w:pPr>
      <w:r>
        <w:rPr>
          <w:rFonts w:ascii="Courier New" w:cs="Courier New" w:eastAsia="Courier New" w:hAnsi="Courier New"/>
          <w:sz w:val="18"/>
          <w:szCs w:val="18"/>
          <w:color w:val="auto"/>
        </w:rPr>
        <w:t>(iii)(g)</w:t>
        <w:tab/>
        <w:t>/X/ A parent holding company or control person in accordance with Section 240.13d-1(b)(1)(ii)(G).</w:t>
      </w:r>
    </w:p>
    <w:p>
      <w:pPr>
        <w:spacing w:after="0" w:line="2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responses to Items 5, 6, 7, 8, 9, and 11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2439" w:firstLine="211"/>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Another Person.</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960" w:right="2239" w:hanging="947"/>
        <w:spacing w:after="0" w:line="402"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139"/>
          </w:cols>
          <w:pgMar w:left="320" w:top="690" w:right="1440" w:bottom="19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in connection with or as a participant in any transaction having that purpose or effect.</w:t>
      </w:r>
    </w:p>
    <w:p>
      <w:pPr>
        <w:spacing w:after="0" w:line="29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15,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Weeman, Jr.</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Kenneth B. Weeman, Jr.</w:t>
      </w:r>
    </w:p>
    <w:p>
      <w:pPr>
        <w:ind w:left="320"/>
        <w:spacing w:after="0" w:line="238" w:lineRule="auto"/>
        <w:rPr>
          <w:sz w:val="20"/>
          <w:szCs w:val="20"/>
          <w:color w:val="auto"/>
        </w:rPr>
      </w:pPr>
      <w:r>
        <w:rPr>
          <w:rFonts w:ascii="Courier New" w:cs="Courier New" w:eastAsia="Courier New" w:hAnsi="Courier New"/>
          <w:sz w:val="18"/>
          <w:szCs w:val="18"/>
          <w:color w:val="auto"/>
        </w:rPr>
        <w:t>In his capacity as</w:t>
      </w:r>
    </w:p>
    <w:p>
      <w:pPr>
        <w:ind w:left="320"/>
        <w:spacing w:after="0"/>
        <w:rPr>
          <w:sz w:val="20"/>
          <w:szCs w:val="20"/>
          <w:color w:val="auto"/>
        </w:rPr>
      </w:pPr>
      <w:r>
        <w:rPr>
          <w:rFonts w:ascii="Courier New" w:cs="Courier New" w:eastAsia="Courier New" w:hAnsi="Courier New"/>
          <w:sz w:val="18"/>
          <w:szCs w:val="18"/>
          <w:color w:val="auto"/>
        </w:rPr>
        <w:t>Vice Chairman</w:t>
      </w:r>
    </w:p>
    <w:p>
      <w:pPr>
        <w:ind w:left="320"/>
        <w:spacing w:after="0" w:line="238" w:lineRule="auto"/>
        <w:rPr>
          <w:sz w:val="20"/>
          <w:szCs w:val="20"/>
          <w:color w:val="auto"/>
        </w:rPr>
      </w:pPr>
      <w:r>
        <w:rPr>
          <w:rFonts w:ascii="Courier New" w:cs="Courier New" w:eastAsia="Courier New" w:hAnsi="Courier New"/>
          <w:sz w:val="18"/>
          <w:szCs w:val="18"/>
          <w:color w:val="auto"/>
        </w:rPr>
        <w:t>of Dresdner RCM Global</w:t>
      </w:r>
    </w:p>
    <w:p>
      <w:pPr>
        <w:ind w:left="320"/>
        <w:spacing w:after="0" w:line="238" w:lineRule="auto"/>
        <w:rPr>
          <w:sz w:val="20"/>
          <w:szCs w:val="20"/>
          <w:color w:val="auto"/>
        </w:rPr>
      </w:pPr>
      <w:r>
        <w:rPr>
          <w:rFonts w:ascii="Courier New" w:cs="Courier New" w:eastAsia="Courier New" w:hAnsi="Courier New"/>
          <w:sz w:val="18"/>
          <w:szCs w:val="18"/>
          <w:color w:val="auto"/>
        </w:rPr>
        <w:t>Investors LLC, Vice Chairman of</w:t>
      </w:r>
    </w:p>
    <w:p>
      <w:pPr>
        <w:ind w:left="320"/>
        <w:spacing w:after="0"/>
        <w:rPr>
          <w:sz w:val="20"/>
          <w:szCs w:val="20"/>
          <w:color w:val="auto"/>
        </w:rPr>
      </w:pPr>
      <w:r>
        <w:rPr>
          <w:rFonts w:ascii="Courier New" w:cs="Courier New" w:eastAsia="Courier New" w:hAnsi="Courier New"/>
          <w:sz w:val="18"/>
          <w:szCs w:val="18"/>
          <w:color w:val="auto"/>
        </w:rPr>
        <w:t>Dresdner RCM Global</w:t>
      </w:r>
    </w:p>
    <w:p>
      <w:pPr>
        <w:ind w:left="320"/>
        <w:spacing w:after="0" w:line="238" w:lineRule="auto"/>
        <w:rPr>
          <w:sz w:val="20"/>
          <w:szCs w:val="20"/>
          <w:color w:val="auto"/>
        </w:rPr>
      </w:pPr>
      <w:r>
        <w:rPr>
          <w:rFonts w:ascii="Courier New" w:cs="Courier New" w:eastAsia="Courier New" w:hAnsi="Courier New"/>
          <w:sz w:val="18"/>
          <w:szCs w:val="18"/>
          <w:color w:val="auto"/>
        </w:rPr>
        <w:t>Investors US Holdings LLC,</w:t>
      </w:r>
    </w:p>
    <w:p>
      <w:pPr>
        <w:ind w:left="320"/>
        <w:spacing w:after="0" w:line="238" w:lineRule="auto"/>
        <w:rPr>
          <w:sz w:val="20"/>
          <w:szCs w:val="20"/>
          <w:color w:val="auto"/>
        </w:rPr>
      </w:pPr>
      <w:r>
        <w:rPr>
          <w:rFonts w:ascii="Courier New" w:cs="Courier New" w:eastAsia="Courier New" w:hAnsi="Courier New"/>
          <w:sz w:val="18"/>
          <w:szCs w:val="18"/>
          <w:color w:val="auto"/>
        </w:rPr>
        <w:t>and as Attorney-In-Fact</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 Dresdner Bank AG</w:t>
      </w:r>
    </w:p>
    <w:p>
      <w:pPr>
        <w:sectPr>
          <w:pgSz w:w="11900" w:h="16838" w:orient="portrait"/>
          <w:cols w:equalWidth="0" w:num="1">
            <w:col w:w="10139"/>
          </w:cols>
          <w:pgMar w:left="320" w:top="69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Dresdner RCM Global Investors LLC ("Dresdner RCM") is an investment adviser and a wholly owned subsidiary of Dresdner RCM US Holdings LLC ("DRCM Holdings"). DRCM Holdings, a Delaware Limited Liability Company, is a wholly owned subsidiary of Dresdner Bank AG ("Dresdner"). Dresdner is an international banking organization headquartered in Frankfurt, Germany.</w:t>
      </w:r>
    </w:p>
    <w:p>
      <w:pPr>
        <w:spacing w:after="0" w:line="89"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Dresdner RCM has filed this Schedule 13G pursuant to Section 240.13d-1(b)(1)(ii)(E) of the Securities Exchange Act of 1934 (the "Act"). DRCM Holdings and Dresdner have filed this Schedule 13G pursuant to Section 240.13d-(b)(1)(ii)(G) of the Act.</w:t>
      </w:r>
    </w:p>
    <w:p>
      <w:pPr>
        <w:spacing w:after="0" w:line="81" w:lineRule="exact"/>
        <w:rPr>
          <w:sz w:val="20"/>
          <w:szCs w:val="20"/>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Dresdner RCM, DRCM Holdings and Dresdner are now filing a joint statement on Schedule 13G under the Act in connection with the common stock of REX Stores Corporation . Previously, Dresdner RCM and DRCM Holdings filed separately from Dresdner. Effective with this filing, all three entities are now filing jointly.</w:t>
      </w:r>
    </w:p>
    <w:p>
      <w:pPr>
        <w:spacing w:after="0" w:line="89" w:lineRule="exact"/>
        <w:rPr>
          <w:sz w:val="20"/>
          <w:szCs w:val="20"/>
          <w:color w:val="auto"/>
        </w:rPr>
      </w:pPr>
    </w:p>
    <w:p>
      <w:pPr>
        <w:ind w:right="2119"/>
        <w:spacing w:after="0" w:line="265" w:lineRule="auto"/>
        <w:rPr>
          <w:sz w:val="20"/>
          <w:szCs w:val="20"/>
          <w:color w:val="auto"/>
        </w:rPr>
      </w:pPr>
      <w:r>
        <w:rPr>
          <w:rFonts w:ascii="Courier New" w:cs="Courier New" w:eastAsia="Courier New" w:hAnsi="Courier New"/>
          <w:sz w:val="18"/>
          <w:szCs w:val="18"/>
          <w:color w:val="auto"/>
        </w:rPr>
        <w:t>Dresdner RCM, DRCM Holdings and Dresdner are each responsible for the timely filing of Schedule 13G and any amendments thereto, and for the completeness and accuracy of the information concerning each of them contained therein, but none of them is responsible for the completeness or accuracy of the information of the other.</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15,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Weeman, Jr.</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Kenneth B. Weeman, Jr.</w:t>
      </w:r>
    </w:p>
    <w:p>
      <w:pPr>
        <w:ind w:left="320"/>
        <w:spacing w:after="0" w:line="238" w:lineRule="auto"/>
        <w:rPr>
          <w:sz w:val="20"/>
          <w:szCs w:val="20"/>
          <w:color w:val="auto"/>
        </w:rPr>
      </w:pPr>
      <w:r>
        <w:rPr>
          <w:rFonts w:ascii="Courier New" w:cs="Courier New" w:eastAsia="Courier New" w:hAnsi="Courier New"/>
          <w:sz w:val="18"/>
          <w:szCs w:val="18"/>
          <w:color w:val="auto"/>
        </w:rPr>
        <w:t>In his capacity as</w:t>
      </w:r>
    </w:p>
    <w:p>
      <w:pPr>
        <w:ind w:left="320"/>
        <w:spacing w:after="0"/>
        <w:rPr>
          <w:sz w:val="20"/>
          <w:szCs w:val="20"/>
          <w:color w:val="auto"/>
        </w:rPr>
      </w:pPr>
      <w:r>
        <w:rPr>
          <w:rFonts w:ascii="Courier New" w:cs="Courier New" w:eastAsia="Courier New" w:hAnsi="Courier New"/>
          <w:sz w:val="18"/>
          <w:szCs w:val="18"/>
          <w:color w:val="auto"/>
        </w:rPr>
        <w:t>Vice Chairman</w:t>
      </w:r>
    </w:p>
    <w:p>
      <w:pPr>
        <w:ind w:left="320"/>
        <w:spacing w:after="0" w:line="238" w:lineRule="auto"/>
        <w:rPr>
          <w:sz w:val="20"/>
          <w:szCs w:val="20"/>
          <w:color w:val="auto"/>
        </w:rPr>
      </w:pPr>
      <w:r>
        <w:rPr>
          <w:rFonts w:ascii="Courier New" w:cs="Courier New" w:eastAsia="Courier New" w:hAnsi="Courier New"/>
          <w:sz w:val="18"/>
          <w:szCs w:val="18"/>
          <w:color w:val="auto"/>
        </w:rPr>
        <w:t>of Dresdner RCM Global</w:t>
      </w:r>
    </w:p>
    <w:p>
      <w:pPr>
        <w:ind w:left="320"/>
        <w:spacing w:after="0" w:line="238" w:lineRule="auto"/>
        <w:rPr>
          <w:sz w:val="20"/>
          <w:szCs w:val="20"/>
          <w:color w:val="auto"/>
        </w:rPr>
      </w:pPr>
      <w:r>
        <w:rPr>
          <w:rFonts w:ascii="Courier New" w:cs="Courier New" w:eastAsia="Courier New" w:hAnsi="Courier New"/>
          <w:sz w:val="18"/>
          <w:szCs w:val="18"/>
          <w:color w:val="auto"/>
        </w:rPr>
        <w:t>Investors LLC, Vice Chairman of</w:t>
      </w:r>
    </w:p>
    <w:p>
      <w:pPr>
        <w:ind w:left="320"/>
        <w:spacing w:after="0"/>
        <w:rPr>
          <w:sz w:val="20"/>
          <w:szCs w:val="20"/>
          <w:color w:val="auto"/>
        </w:rPr>
      </w:pPr>
      <w:r>
        <w:rPr>
          <w:rFonts w:ascii="Courier New" w:cs="Courier New" w:eastAsia="Courier New" w:hAnsi="Courier New"/>
          <w:sz w:val="18"/>
          <w:szCs w:val="18"/>
          <w:color w:val="auto"/>
        </w:rPr>
        <w:t>Dresdner RCM Global</w:t>
      </w:r>
    </w:p>
    <w:p>
      <w:pPr>
        <w:ind w:left="320"/>
        <w:spacing w:after="0" w:line="238" w:lineRule="auto"/>
        <w:rPr>
          <w:sz w:val="20"/>
          <w:szCs w:val="20"/>
          <w:color w:val="auto"/>
        </w:rPr>
      </w:pPr>
      <w:r>
        <w:rPr>
          <w:rFonts w:ascii="Courier New" w:cs="Courier New" w:eastAsia="Courier New" w:hAnsi="Courier New"/>
          <w:sz w:val="18"/>
          <w:szCs w:val="18"/>
          <w:color w:val="auto"/>
        </w:rPr>
        <w:t>Investors US Holdings LLC,</w:t>
      </w:r>
    </w:p>
    <w:p>
      <w:pPr>
        <w:ind w:left="320"/>
        <w:spacing w:after="0" w:line="238" w:lineRule="auto"/>
        <w:rPr>
          <w:sz w:val="20"/>
          <w:szCs w:val="20"/>
          <w:color w:val="auto"/>
        </w:rPr>
      </w:pPr>
      <w:r>
        <w:rPr>
          <w:rFonts w:ascii="Courier New" w:cs="Courier New" w:eastAsia="Courier New" w:hAnsi="Courier New"/>
          <w:sz w:val="18"/>
          <w:szCs w:val="18"/>
          <w:color w:val="auto"/>
        </w:rPr>
        <w:t>and as Attorney-In-Fact</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 Dresdner Bank AG</w:t>
      </w:r>
    </w:p>
    <w:p>
      <w:pPr>
        <w:sectPr>
          <w:pgSz w:w="11900" w:h="16838" w:orient="portrait"/>
          <w:cols w:equalWidth="0" w:num="1">
            <w:col w:w="10139"/>
          </w:cols>
          <w:pgMar w:left="320" w:top="69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Dresdner Bank AG, a bank incorporated under the Laws of the Federal Republic of Germany, having its principal office at Jurgen-Ponto-Platz 1, Frankfurt am Main, Germany hereby authorizes</w:t>
      </w:r>
    </w:p>
    <w:p>
      <w:pPr>
        <w:spacing w:after="0" w:line="6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William L. Price,</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Susan C. Gause,</w:t>
      </w:r>
    </w:p>
    <w:p>
      <w:pPr>
        <w:ind w:left="2860"/>
        <w:spacing w:after="0" w:line="238" w:lineRule="auto"/>
        <w:rPr>
          <w:sz w:val="20"/>
          <w:szCs w:val="20"/>
          <w:color w:val="auto"/>
        </w:rPr>
      </w:pPr>
      <w:r>
        <w:rPr>
          <w:rFonts w:ascii="Courier New" w:cs="Courier New" w:eastAsia="Courier New" w:hAnsi="Courier New"/>
          <w:sz w:val="18"/>
          <w:szCs w:val="18"/>
          <w:color w:val="auto"/>
        </w:rPr>
        <w:t>Kenneth B. Weeman, Jr., or</w:t>
      </w:r>
    </w:p>
    <w:p>
      <w:pPr>
        <w:ind w:left="3380"/>
        <w:spacing w:after="0"/>
        <w:rPr>
          <w:sz w:val="20"/>
          <w:szCs w:val="20"/>
          <w:color w:val="auto"/>
        </w:rPr>
      </w:pPr>
      <w:r>
        <w:rPr>
          <w:rFonts w:ascii="Courier New" w:cs="Courier New" w:eastAsia="Courier New" w:hAnsi="Courier New"/>
          <w:sz w:val="18"/>
          <w:szCs w:val="18"/>
          <w:color w:val="auto"/>
        </w:rPr>
        <w:t>Timothy B. Parker</w:t>
      </w:r>
    </w:p>
    <w:p>
      <w:pPr>
        <w:spacing w:after="0" w:line="169" w:lineRule="exact"/>
        <w:rPr>
          <w:sz w:val="20"/>
          <w:szCs w:val="20"/>
          <w:color w:val="auto"/>
        </w:rPr>
      </w:pPr>
    </w:p>
    <w:p>
      <w:pPr>
        <w:ind w:right="2019"/>
        <w:spacing w:after="0" w:line="281" w:lineRule="auto"/>
        <w:rPr>
          <w:sz w:val="20"/>
          <w:szCs w:val="20"/>
          <w:color w:val="auto"/>
        </w:rPr>
      </w:pPr>
      <w:r>
        <w:rPr>
          <w:rFonts w:ascii="Courier New" w:cs="Courier New" w:eastAsia="Courier New" w:hAnsi="Courier New"/>
          <w:sz w:val="16"/>
          <w:szCs w:val="16"/>
          <w:color w:val="auto"/>
        </w:rPr>
        <w:t>each of them individually as attorney-in-fact and agent, to represent, sign, and deliver on behalf of Dresdner Bank AG, Frankfurt am Main, Schedule 13D, Schedule 13G or Form 13F under the Securities Exchange Act of 1934, as applicable, and all such other documents and make such other declarations as the attorney-in-fact shall deem appropriate in connection with the filing of such schedules and documents with the U.S. Securities and Exchange Commission (the "SEC") or with any other necessary person or entity, and to complete such schedules or documents and to make such statements or do such acts as are necessary to effect such filing. This Power of Attorney includes the power to effect such filing on EDGAR, the SEC's Electronic Data Gathering, Analysis, and Retrieval system. This Power of Attorney is valid for any acts required to effect the above-mentioned filings and will remain valid until being revoked by Dresdner Bank AG in writing.</w:t>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Frankfurt am Main, January 29, 1999</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Dresdner Bank AG</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Alfred Schulze</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Alfred Schulze</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Senior Manager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Dr. Reinhard Preusche</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Dr. Reinhard Preusche</w:t>
      </w:r>
    </w:p>
    <w:p>
      <w:pPr>
        <w:spacing w:after="0"/>
        <w:rPr>
          <w:sz w:val="20"/>
          <w:szCs w:val="20"/>
          <w:color w:val="auto"/>
        </w:rPr>
      </w:pPr>
      <w:r>
        <w:rPr>
          <w:rFonts w:ascii="Courier New" w:cs="Courier New" w:eastAsia="Courier New" w:hAnsi="Courier New"/>
          <w:sz w:val="18"/>
          <w:szCs w:val="18"/>
          <w:color w:val="auto"/>
        </w:rPr>
        <w:t>Title: General Manager</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9"/>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4"/>
      <w:numFmt w:val="bullet"/>
      <w:start w:val="1"/>
    </w:lvl>
  </w:abstractNum>
  <w:abstractNum w:abstractNumId="9">
    <w:nsid w:val="109CF92E"/>
    <w:multiLevelType w:val="hybridMultilevel"/>
    <w:lvl w:ilvl="0">
      <w:lvlJc w:val="left"/>
      <w:lvlText w:val="9"/>
      <w:numFmt w:val="bullet"/>
      <w:start w:val="1"/>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3"/>
      <w:numFmt w:val="bullet"/>
      <w:start w:val="1"/>
    </w:lvl>
  </w:abstractNum>
  <w:abstractNum w:abstractNumId="13">
    <w:nsid w:val="41A7C4C9"/>
    <w:multiLevelType w:val="hybridMultilevel"/>
    <w:lvl w:ilvl="0">
      <w:lvlJc w:val="left"/>
      <w:lvlText w:val="4"/>
      <w:numFmt w:val="bullet"/>
      <w:start w:val="1"/>
    </w:lvl>
  </w:abstractNum>
  <w:abstractNum w:abstractNumId="14">
    <w:nsid w:val="6B68079A"/>
    <w:multiLevelType w:val="hybridMultilevel"/>
    <w:lvl w:ilvl="0">
      <w:lvlJc w:val="left"/>
      <w:lvlText w:val="9"/>
      <w:numFmt w:val="bullet"/>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2020-10-06T13:00:59Z</dcterms:created>
  <dcterms:modified xsi:type="dcterms:W3CDTF">2020-10-06T13:00:59Z</dcterms:modified>
</cp:coreProperties>
</file>