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ANNUAL REPORT PURSUANT TO SECTION 13 OR 15(d) OF</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2" w:lineRule="exact"/>
        <w:rPr>
          <w:sz w:val="24"/>
          <w:szCs w:val="24"/>
          <w:color w:val="auto"/>
        </w:rPr>
      </w:pPr>
    </w:p>
    <w:p>
      <w:pPr>
        <w:spacing w:after="0"/>
        <w:tabs>
          <w:tab w:leader="none" w:pos="4760" w:val="left"/>
        </w:tabs>
        <w:rPr>
          <w:sz w:val="20"/>
          <w:szCs w:val="20"/>
          <w:color w:val="auto"/>
        </w:rPr>
      </w:pPr>
      <w:r>
        <w:rPr>
          <w:rFonts w:ascii="Times New Roman" w:cs="Times New Roman" w:eastAsia="Times New Roman" w:hAnsi="Times New Roman"/>
          <w:sz w:val="18"/>
          <w:szCs w:val="18"/>
          <w:color w:val="auto"/>
        </w:rPr>
        <w:t>FOR THE FISCAL YEAR ENDED JANUARY 31, 2022</w:t>
      </w:r>
      <w:r>
        <w:rPr>
          <w:sz w:val="20"/>
          <w:szCs w:val="20"/>
          <w:color w:val="auto"/>
        </w:rPr>
        <w:tab/>
      </w:r>
      <w:r>
        <w:rPr>
          <w:rFonts w:ascii="Times New Roman" w:cs="Times New Roman" w:eastAsia="Times New Roman" w:hAnsi="Times New Roman"/>
          <w:sz w:val="18"/>
          <w:szCs w:val="18"/>
          <w:color w:val="auto"/>
        </w:rPr>
        <w:t>COMMISSION FILE NO.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66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REX AMERICAN RESOURCES CORPORATION</w:t>
            </w:r>
          </w:p>
        </w:tc>
        <w:tc>
          <w:tcPr>
            <w:tcW w:w="2800" w:type="dxa"/>
            <w:vAlign w:val="bottom"/>
          </w:tcPr>
          <w:p>
            <w:pPr>
              <w:spacing w:after="0"/>
              <w:rPr>
                <w:sz w:val="18"/>
                <w:szCs w:val="18"/>
                <w:color w:val="auto"/>
              </w:rPr>
            </w:pPr>
          </w:p>
        </w:tc>
      </w:tr>
      <w:tr>
        <w:trPr>
          <w:trHeight w:val="216"/>
        </w:trPr>
        <w:tc>
          <w:tcPr>
            <w:tcW w:w="66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00" w:type="dxa"/>
            <w:vAlign w:val="bottom"/>
          </w:tcPr>
          <w:p>
            <w:pPr>
              <w:spacing w:after="0"/>
              <w:rPr>
                <w:sz w:val="18"/>
                <w:szCs w:val="18"/>
                <w:color w:val="auto"/>
              </w:rPr>
            </w:pPr>
          </w:p>
        </w:tc>
      </w:tr>
      <w:tr>
        <w:trPr>
          <w:trHeight w:val="216"/>
        </w:trPr>
        <w:tc>
          <w:tcPr>
            <w:tcW w:w="6680" w:type="dxa"/>
            <w:vAlign w:val="bottom"/>
          </w:tcPr>
          <w:p>
            <w:pPr>
              <w:jc w:val="center"/>
              <w:ind w:right="3750"/>
              <w:spacing w:after="0"/>
              <w:rPr>
                <w:sz w:val="20"/>
                <w:szCs w:val="20"/>
                <w:color w:val="auto"/>
              </w:rPr>
            </w:pPr>
            <w:r>
              <w:rPr>
                <w:rFonts w:ascii="Times New Roman" w:cs="Times New Roman" w:eastAsia="Times New Roman" w:hAnsi="Times New Roman"/>
                <w:sz w:val="18"/>
                <w:szCs w:val="18"/>
                <w:color w:val="auto"/>
                <w:w w:val="98"/>
              </w:rPr>
              <w:t>Delaware</w:t>
            </w:r>
          </w:p>
        </w:tc>
        <w:tc>
          <w:tcPr>
            <w:tcW w:w="28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31-1095548</w:t>
            </w:r>
          </w:p>
        </w:tc>
      </w:tr>
      <w:tr>
        <w:trPr>
          <w:trHeight w:val="216"/>
        </w:trPr>
        <w:tc>
          <w:tcPr>
            <w:tcW w:w="6680" w:type="dxa"/>
            <w:vAlign w:val="bottom"/>
          </w:tcPr>
          <w:p>
            <w:pPr>
              <w:jc w:val="center"/>
              <w:ind w:right="3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6680" w:type="dxa"/>
            <w:vAlign w:val="bottom"/>
          </w:tcPr>
          <w:p>
            <w:pPr>
              <w:jc w:val="center"/>
              <w:ind w:right="3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00" w:type="dxa"/>
            <w:vAlign w:val="bottom"/>
          </w:tcPr>
          <w:p>
            <w:pPr>
              <w:spacing w:after="0"/>
              <w:rPr>
                <w:sz w:val="20"/>
                <w:szCs w:val="20"/>
                <w:color w:val="auto"/>
              </w:rPr>
            </w:pPr>
          </w:p>
        </w:tc>
      </w:tr>
      <w:tr>
        <w:trPr>
          <w:trHeight w:val="414"/>
        </w:trPr>
        <w:tc>
          <w:tcPr>
            <w:tcW w:w="6680" w:type="dxa"/>
            <w:vAlign w:val="bottom"/>
          </w:tcPr>
          <w:p>
            <w:pPr>
              <w:jc w:val="center"/>
              <w:ind w:right="3750"/>
              <w:spacing w:after="0"/>
              <w:rPr>
                <w:sz w:val="20"/>
                <w:szCs w:val="20"/>
                <w:color w:val="auto"/>
              </w:rPr>
            </w:pPr>
            <w:r>
              <w:rPr>
                <w:rFonts w:ascii="Times New Roman" w:cs="Times New Roman" w:eastAsia="Times New Roman" w:hAnsi="Times New Roman"/>
                <w:sz w:val="18"/>
                <w:szCs w:val="18"/>
                <w:color w:val="auto"/>
                <w:w w:val="99"/>
              </w:rPr>
              <w:t>7720 Paragon Road, Dayton, Ohio</w:t>
            </w:r>
          </w:p>
        </w:tc>
        <w:tc>
          <w:tcPr>
            <w:tcW w:w="28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45459</w:t>
            </w:r>
          </w:p>
        </w:tc>
      </w:tr>
      <w:tr>
        <w:trPr>
          <w:trHeight w:val="234"/>
        </w:trPr>
        <w:tc>
          <w:tcPr>
            <w:tcW w:w="6680" w:type="dxa"/>
            <w:vAlign w:val="bottom"/>
          </w:tcPr>
          <w:p>
            <w:pPr>
              <w:jc w:val="center"/>
              <w:ind w:right="37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w:t>
      </w:r>
      <w:r>
        <w:rPr>
          <w:rFonts w:ascii="Times New Roman" w:cs="Times New Roman" w:eastAsia="Times New Roman" w:hAnsi="Times New Roman"/>
          <w:sz w:val="18"/>
          <w:szCs w:val="18"/>
          <w:u w:val="single" w:color="auto"/>
          <w:color w:val="auto"/>
        </w:rPr>
        <w:t>one number, including area co</w:t>
      </w:r>
      <w:r>
        <w:rPr>
          <w:rFonts w:ascii="Times New Roman" w:cs="Times New Roman" w:eastAsia="Times New Roman" w:hAnsi="Times New Roman"/>
          <w:sz w:val="18"/>
          <w:szCs w:val="18"/>
          <w:color w:val="auto"/>
        </w:rPr>
        <w:t>de (937) 276-3931</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194"/>
        </w:trPr>
        <w:tc>
          <w:tcPr>
            <w:tcW w:w="1660" w:type="dxa"/>
            <w:vAlign w:val="bottom"/>
          </w:tcPr>
          <w:p>
            <w:pPr>
              <w:spacing w:after="0"/>
              <w:rPr>
                <w:sz w:val="16"/>
                <w:szCs w:val="16"/>
                <w:color w:val="auto"/>
              </w:rPr>
            </w:pPr>
          </w:p>
        </w:tc>
        <w:tc>
          <w:tcPr>
            <w:tcW w:w="3080" w:type="dxa"/>
            <w:vAlign w:val="bottom"/>
            <w:gridSpan w:val="2"/>
          </w:tcPr>
          <w:p>
            <w:pPr>
              <w:jc w:val="center"/>
              <w:ind w:right="1780"/>
              <w:spacing w:after="0" w:line="194"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Trading Symbol(s)</w:t>
            </w:r>
          </w:p>
        </w:tc>
        <w:tc>
          <w:tcPr>
            <w:tcW w:w="2940" w:type="dxa"/>
            <w:vAlign w:val="bottom"/>
            <w:gridSpan w:val="4"/>
          </w:tcPr>
          <w:p>
            <w:pPr>
              <w:jc w:val="center"/>
              <w:ind w:left="910"/>
              <w:spacing w:after="0" w:line="194" w:lineRule="exact"/>
              <w:rPr>
                <w:sz w:val="20"/>
                <w:szCs w:val="20"/>
                <w:color w:val="auto"/>
              </w:rPr>
            </w:pPr>
            <w:r>
              <w:rPr>
                <w:rFonts w:ascii="Times New Roman" w:cs="Times New Roman" w:eastAsia="Times New Roman" w:hAnsi="Times New Roman"/>
                <w:sz w:val="18"/>
                <w:szCs w:val="18"/>
                <w:color w:val="auto"/>
                <w:w w:val="99"/>
              </w:rPr>
              <w:t>on which registered</w:t>
            </w:r>
          </w:p>
        </w:tc>
      </w:tr>
      <w:tr>
        <w:trPr>
          <w:trHeight w:val="20"/>
        </w:trPr>
        <w:tc>
          <w:tcPr>
            <w:tcW w:w="1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53"/>
        </w:trPr>
        <w:tc>
          <w:tcPr>
            <w:tcW w:w="4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REX</w:t>
            </w:r>
          </w:p>
        </w:tc>
        <w:tc>
          <w:tcPr>
            <w:tcW w:w="2940" w:type="dxa"/>
            <w:vAlign w:val="bottom"/>
            <w:gridSpan w:val="4"/>
          </w:tcPr>
          <w:p>
            <w:pPr>
              <w:jc w:val="center"/>
              <w:ind w:left="9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52"/>
        </w:trPr>
        <w:tc>
          <w:tcPr>
            <w:tcW w:w="9160" w:type="dxa"/>
            <w:vAlign w:val="bottom"/>
            <w:gridSpan w:val="7"/>
          </w:tcPr>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p>
        </w:tc>
        <w:tc>
          <w:tcPr>
            <w:tcW w:w="86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2"/>
        </w:trPr>
        <w:tc>
          <w:tcPr>
            <w:tcW w:w="9160" w:type="dxa"/>
            <w:vAlign w:val="bottom"/>
            <w:gridSpan w:val="7"/>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860" w:type="dxa"/>
            <w:vAlign w:val="bottom"/>
            <w:gridSpan w:val="2"/>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7" w:lineRule="exact"/>
        <w:rPr>
          <w:sz w:val="24"/>
          <w:szCs w:val="24"/>
          <w:color w:val="auto"/>
        </w:rPr>
      </w:pPr>
    </w:p>
    <w:p>
      <w:pPr>
        <w:spacing w:after="0" w:line="207" w:lineRule="exact"/>
        <w:tabs>
          <w:tab w:leader="none" w:pos="2020" w:val="left"/>
          <w:tab w:leader="none" w:pos="3660" w:val="left"/>
          <w:tab w:leader="none" w:pos="5620" w:val="left"/>
          <w:tab w:leader="none" w:pos="80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close of business on July 31, 2021 the aggregate market value of the registrant’s outstanding Common Stock held by non-affiliates of the registrant (for purposes of this calculation, 716,823 shares beneficially owned by directors and executive officers of the registrant were treated as being held by affiliates of the registrant), was $432,166,213.</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5,920,351 shares of the registrant’s Common Stock outstanding as of April 5,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7"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Portions of REX American Resources Corporation’s definitive Proxy Statement for its Annual Meeting of Shareholders on June 16, 2022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10-K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and natural gas, commodity market risk, ethanol plants operating efficiently and according to forecasts and projections, logistical interruptions, changes in the international, national or regional economies, the impact of inflation, the ability to attract employees,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REX makes available free of charge on its Internet website its annual report on Form 10-K, quarterly reports on Form 10-Q, current reports on Form 8-K, and amendments to those reports as soon as reasonably practicable after such material is electronically filed with or furnished to the SEC. REX’s Internet website address is www.rexamerican.com. The contents of the Company’s website are not a part of this report.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“we”, “us”, “our”, “REX” or “the Company” refer to REX American Resources Corporation and its majority owned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references in this report to a particular fiscal year are to REX’s fiscal year ended January 31. For example, “fiscal year 2021” means the period February 1, 2021 to January 31, 2022. We refer to our fiscal year by reference to the year immediately preceding the January 31 fiscal year end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Background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REX was incorporated in Delaware in 1984 as a holding company. Our principal offices are located at 7720 Paragon Road, Dayton, Ohio 45459. Our telephone number is (937) 276-3931.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2006, we started investing in ethanol production facilities. We are currently invested in three ethanol production entities – One Earth Energy, LLC (“One Earth”), NuGen Energy, LLC (“NuGen”), and Big River Resources, LLC (“Big River”). We own a majority interest in One Earth and NuGen. We also own a majority interest in an entity that owned and, until November 18, 2021, operated a refined coal facility. As we have ceased operating the refined coal facility, we began classifying the financial results of the operating segment as discontinued operations. We now have one reportable segment, ethanol and by-products.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General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net income attributable to REX common shareholders of $52.4 million in fiscal 2021 compared to approximately $3.0 million in fiscal 2020. Our ethanol business bounced back strongly in fiscal 2021 particularly in the fourth quarter in comparison to fiscal 2020, which was impacted by the COVID-19 pandemic. The two largest drivers of ethanol profitability are corn and ethanol pricing, both of which experienced significant volatility within the year. Chicago Board of Trade corn prices per bushel ranged from a low of $5.10 in September 2021 to a high of $7.40 in April 2021. S&amp;P Global Platts ethanol pricing per gallon ranged from a low of $1.64 in February 2021 to a high of $3.80 in November 2021.</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form and structure of our ethanol investments are tailored to the specific needs and goals of each project and the local farmer group or investor with whom we partner. We generally participate in the management of our projects through our membership on the board of managers of the limited liability companies that own the plants. We provide management oversight and direction with respect to most aspects of plant operations for our consolidated ethanol companies. We have equity investments in three entities engaged in the production of ethanol as of January 31, 2022. The following table is a summary of our ethanol entity ownership interests at January 31, 2022:</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540" w:type="dxa"/>
            <w:vAlign w:val="bottom"/>
            <w:tcBorders>
              <w:top w:val="single" w:sz="8" w:color="auto"/>
              <w:left w:val="single" w:sz="8" w:color="auto"/>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REX’s Current</w:t>
            </w:r>
          </w:p>
        </w:tc>
      </w:tr>
      <w:tr>
        <w:trPr>
          <w:trHeight w:val="238"/>
        </w:trPr>
        <w:tc>
          <w:tcPr>
            <w:tcW w:w="4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22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Ownership Interest</w:t>
            </w:r>
          </w:p>
        </w:tc>
      </w:tr>
      <w:tr>
        <w:trPr>
          <w:trHeight w:val="209"/>
        </w:trPr>
        <w:tc>
          <w:tcPr>
            <w:tcW w:w="4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Earth Energy, LLC</w:t>
            </w:r>
          </w:p>
        </w:tc>
        <w:tc>
          <w:tcPr>
            <w:tcW w:w="2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75.8%</w:t>
            </w:r>
          </w:p>
        </w:tc>
      </w:tr>
      <w:tr>
        <w:trPr>
          <w:trHeight w:val="209"/>
        </w:trPr>
        <w:tc>
          <w:tcPr>
            <w:tcW w:w="4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NuGen Energy, LLC</w:t>
            </w:r>
          </w:p>
        </w:tc>
        <w:tc>
          <w:tcPr>
            <w:tcW w:w="2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99.7%</w:t>
            </w:r>
          </w:p>
        </w:tc>
      </w:tr>
      <w:tr>
        <w:trPr>
          <w:trHeight w:val="191"/>
        </w:trPr>
        <w:tc>
          <w:tcPr>
            <w:tcW w:w="45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Big River Resources, LLC:</w:t>
            </w:r>
          </w:p>
        </w:tc>
        <w:tc>
          <w:tcPr>
            <w:tcW w:w="2220" w:type="dxa"/>
            <w:vAlign w:val="bottom"/>
            <w:tcBorders>
              <w:right w:val="single" w:sz="8" w:color="auto"/>
            </w:tcBorders>
          </w:tcPr>
          <w:p>
            <w:pPr>
              <w:spacing w:after="0"/>
              <w:rPr>
                <w:sz w:val="16"/>
                <w:szCs w:val="16"/>
                <w:color w:val="auto"/>
              </w:rPr>
            </w:pPr>
          </w:p>
        </w:tc>
      </w:tr>
      <w:tr>
        <w:trPr>
          <w:trHeight w:val="216"/>
        </w:trPr>
        <w:tc>
          <w:tcPr>
            <w:tcW w:w="454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Resources W Burlington, LLC</w:t>
            </w:r>
          </w:p>
        </w:tc>
        <w:tc>
          <w:tcPr>
            <w:tcW w:w="2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54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Resources Galva, LLC</w:t>
            </w:r>
          </w:p>
        </w:tc>
        <w:tc>
          <w:tcPr>
            <w:tcW w:w="2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54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United Energy, LLC</w:t>
            </w:r>
          </w:p>
        </w:tc>
        <w:tc>
          <w:tcPr>
            <w:tcW w:w="2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4540" w:type="dxa"/>
            <w:vAlign w:val="bottom"/>
            <w:tcBorders>
              <w:left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Resources Boyceville, LLC</w:t>
            </w:r>
          </w:p>
        </w:tc>
        <w:tc>
          <w:tcPr>
            <w:tcW w:w="2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three entities own a total of six ethanol production facilities, which in aggregate shipped approximately 699 millions gallons of ethanol over the twelve-month period ended January 31, 2022. REX’s effective ownership of gallons shipped, for the twelve-month period ended January 31, 2022, by the ethanol production facilities in which we have ownership interests was approximately 282 million gallons.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ethanol operations are highly dependent on commodity prices, especially prices for corn, ethanol, distillers grains, non-food grade corn oil and natural gas. As a result of price volatility for these commodities, our operating results can fluctuate substantially. The price and availability of corn is subject to significant fluctuations depending upon several factors that affect commodity prices in general, including crop conditions, weather, federal policy and foreign trade. Because the market prices of ethanol and distillers grains are not always directly related to corn prices, at times ethanol and/or distillers grains prices may lag movements in corn prices. In an environment of higher corn prices or lower ethanol/distillers grains prices, the overall margin structure at the plants could be reduced. As a result, at times, we may operate our plants at negative or minimally positive operating margins.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ethanol plants to produce at least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t>We attempt to manage the risk related to the volatility of commodity prices by utilizing forward grain purchase, forward ethanol, distillers grains and non-food grade corn oil sale contracts, and commodity futures and swap agreements, as management deems appropriate. We attempt to match quantities of these sales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prices.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and swap contracts, in conjunction with certain of our grain procurement activities and commodity marketing activities.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2017, we purchased, through a 95.35% owned subsidiary, for approximately $12.0 million,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We began classifying this operation as discontinued operations in the third quarter of fiscal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 2013, we entered into a joint venture to file and defend patents for eSteam technology. The patented technology is an enhanced method of heavy oil recovery involving zero emissions downhole steam generation. To date, we have not successfully had a field operation nor demonstrated that the technology is commercially feasible. We own 60% and our partner owns 40% of the entity named Future Energy, LLC, an Ohio limited liability company. We have no current plans to operate this technology and are maintaining patents in limited countries.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seek and evaluate various investment opportunities including energy related, carbon sequestration, agricultural and other ventures we believe fit our investment criteria. We can make no assurances that we will be successful in our efforts to find such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Ethanol Industry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Ethanol is a renewable fuel produced by processing corn and other biomass through a fermentation process that creates combustible alcohol that can be used as a fuel additive to reduce vehicle emissions from gasoline, as an octane enhancer to improve the octane rating of gasoline with which it is blended and, to a lesser extent, as a gasoline substitute. The majority of ethanol produced in the United States is made from corn because of its wide availability and ease of convertibility from large amounts of carbohydrates into glucose, the key ingredient in the fermentation process that is used in producing alcohol. Ethanol production can also use feedstocks such as grain sorghum, switchgrass, wheat, barley, potatoes and sugarcane as carbohydrate sources. Most ethanol plants have been located near large corn production areas, such as Illinois, Indiana, Iowa, Minnesota, Nebraska, Ohio and South Dakota. Railway access and interstate access are vital for ethanol facilities due to the large amount of raw materials and finished goods required to be shipped to and from the facilities. An adequate supply of natural gas is key to maintaining optimal operating levels.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Renewable Fuels Association (“RFA”), the United States ethanol industry produced an estimated 15.0 billion gallons of ethanol in 2021. Although this is an increase of 1.2 billion gallons over the COVID-19 impacted 2020 volume, it is still below the estimated 15.8 billion gallons produced in 2019. Approximately 1.2 billion gallons were exported from the United States in 2021. According to the RFA, the United States ethanol industry consists of 208 plants in 25 states with an annual capacity of approximately 17.7 billion gallons of ethanol production.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Domestic demand for ethanol is highly dependent upon federal and state legislation and regulations. On December 19, 2007, the Energy Independence and Security Act of 2007 (the “Energy Act of 2007”) was enacted. The Energy Act of 2007 established new levels of renewable fuel mandates, including two different categories of renewable fuels: conventional biofuels and advanced biofuels. The federal government mandates the use of renewable fuels under Renewable Fuel Standard II (“RFS II”), established in October 2010. Corn-based ethanol is considered a conventional biofuel. There were mandated volumes established as part of the RFS II for conventional and advanced biofuels through the year 2022. After 2022, RFS volumes are to be determined by the Environmental Protection Agency (“EPA”) in coordination with the Secretaries of Energy and Agriculture. The mandated volumes for conventional biofuel were to reach 15.0 billion gallons in 2015 and maintain that level until 2022.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EPA has the authority to waive the mandates in whole or in part if one of two conditions are met: 1) there is inadequate domestic renewable fuel supply, or 2) implementation of the mandate requirement severely harms the economy or environment of a state, region, or the United States. In 2014, 2015 and 2016, the EPA took action to reduce the volumes for both conventional biofuels and advanced biofuels. The U.S. Federal District Court for the D.C. Circuit ruled on July 28, 2017 against the EPA related to its decision to lower the 2016 volume requirements. As a result, the Court vacated the EPA’s decision to reduce the total renewable fuel volume requirements by 500 million gallons for 2016 through its waiver authority.</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RFS II, a small refiner that processes less than 75,000 barrels of oil per day can petition the EPA for a waiver of their requirement to acquire and submit renewable identification numbers (“RINs”). The EPA, through consultation with the Department of Energy and the Department of Agriculture, can grant the refiner a full or partial waiver, or deny the waiver. The EPA issued 85 refinery exemptions for 2016-2018 compliance years, undercutting the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statutory renewable fuel volumes by a total of 4.0 billion gallons. In 2020, the U.S. Court of Appeals for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Circuit vacated decisions by the EPA to extend exemptions of renewable fuel obligations to three small refineries. The Court ruled the extensions should not have been granted because the three refineries were not already in possession of exemptions. In addition, the Court ruled the economic hardship should be determined by whether compliance with RFS II alone created the hardship, not compliance with RFS II amongst other factors. Two of the refiners appealed the decision to the U.S. Supreme Court. On June 25, 2021, the Supreme Court ruled in favor of small refiners and reversed the interpretation of “extension” of a waiver but not the economic hardship portion of the decision.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7, 2021, the EPA issued proposed volumes for 2021 and 2022 and reduced the previously finalized volumes for 2020 to account for challenges for that year including the COVID-19 pandemic. The proposed volumes for conventional biofuels were 13.32 billion gallons and 15.0 billion gallons for 2021 and 2022, respectively. The 2020 volumes were proposed at 12.5 billion gallons, down from the previously finalized 15.0 billion gallons. In addition, the EPA proposed denying 65 pending applications for small refinery exemptions (“SREs”) in response to the 2020 decision by the U.S. Court</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of Appeals for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Circuit. The EPA also proposed adding 250 million gallons of “supplemental obligation” to the 2022 proposed volumes and stated its intent to add another 250 million gallons to 2023 to address the remand of the 2016 waiver by the D.C Circuit. The EPA implemented a public notice and comment process on this announcement.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Ethanol Production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plants we have invested in are designed to use the dry milling method of producing ethanol. In the dry milling process, the entire corn kernel is first ground into flour, which is referred to as “meal,” and processed without separating out the various component parts of the grain. The meal is processed with enzymes, chemicals and water, and then placed in a high-temperature cooker. It is then transferred to fermenters where yeast is added and the conversion of sugar to ethanol begins. After fermentation, the resulting liquid is transferred to distillation columns where the ethanol is separated from the remaining “stillage” for fuel uses. The anhydrous ethanol is then blended with a denaturant, such as natural gasoline, to render it undrinkable and thus not subject to beverage alcohol tax. With the starch elements of the corn consumed in the above described process, the principal by-product produced by the dry milling process is dry distillers grains with solubles, or DDGS. DDGS is sold as a protein used in animal feed, which recovers a portion of the corn value not absorbed in ethanol production. Depending on market and operating conditions, we may also sell modified distillers grains, or wet distillers grains, by removing less liquid content compared to DDGS. We also generate revenues from the sale of non-food grade corn oil produced at our facilities. Non-food grade corn oil is sold to the animal feed market, as well as biodiesel and other chemical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Primary Uses of Ethanol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Blend component. </w:t>
      </w:r>
      <w:r>
        <w:rPr>
          <w:rFonts w:ascii="Times New Roman" w:cs="Times New Roman" w:eastAsia="Times New Roman" w:hAnsi="Times New Roman"/>
          <w:sz w:val="18"/>
          <w:szCs w:val="18"/>
          <w:color w:val="auto"/>
        </w:rPr>
        <w:t>Today, much of the ethanol blending in the U.S. is done to meet the RFS. Most regular gasoline is produced using blendstock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octane rating of 84, which is then increased to 87 (the minimum octane rating required in most states) by adding 10% ethanol according to the RFA. The industry is attempting to expand ethanol blending above the current 10% for most vehicles in use. The EPA has approved the use of 15% ethanol (“E-15”), which has an octane rating of 88, in gasoline for cars, SUV’s and light duty trucks made in 2001 and later. Previously, the EPA had not granted E-15 the same Reid vapor pressure (“RVP”) waiver as E-10 so it could only be sold from September 16 through May 31 for those vehicles in most markets. In May 2019, the EPA finalized regulatory changes to allow the same RVP waiver for E-15 for the summer months that it allows for E-10. However, in July 2021, the U.S. Court of Appeals for the D.C. Circuit overturned the EPA ruling and stated the EPA had exceeded its authority.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Clean air additive. </w:t>
      </w:r>
      <w:r>
        <w:rPr>
          <w:rFonts w:ascii="Times New Roman" w:cs="Times New Roman" w:eastAsia="Times New Roman" w:hAnsi="Times New Roman"/>
          <w:sz w:val="18"/>
          <w:szCs w:val="18"/>
          <w:color w:val="auto"/>
        </w:rPr>
        <w:t>Ethanol is employed by the refining industry as a fuel oxygenate, which when blended with gasoline, allows engines to combust fuel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completely than gasoline that has not been oxygenated and thus reduce emissions from motor vehicles. Ethanol contains 35% oxygen, which results in more complete combustion of the fuel in the engine cylinder. Oxygenated gasoline is used to help meet certain federal and air emission standards.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Octane enhancer. </w:t>
      </w:r>
      <w:r>
        <w:rPr>
          <w:rFonts w:ascii="Times New Roman" w:cs="Times New Roman" w:eastAsia="Times New Roman" w:hAnsi="Times New Roman"/>
          <w:sz w:val="18"/>
          <w:szCs w:val="18"/>
          <w:color w:val="auto"/>
        </w:rPr>
        <w:t>Ethanol increases the octane rating of gasoline with which it is blended. Octane is a measure of fuel performance. Ethanol is 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gasoline suppliers as an octane enhancer both for producing regular grade gasoline from lower octane blending stocks and for upgrading regular gasoline to premium grades.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United States ethanol industry is highly dependent upon federal and state legislation. See Item 1A. Risk Factors for a discussion of legislation affecting the U.S. ethanol industry.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Refined Coal Facility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10, 2017, we purchased, through a 95.35% owned subsidiary, the entire ownership interest of an entity that owned a refined coal facility. We began operating the refined coal facility immediately after the acquisition. Using licensed technology, our plant applied two separate chemicals to convert feedstock coal into refined coal, which was sold to the end user of the refined coal. The refined coal operating results were subsidized by federal production tax credits through November 18, 2021, subject to meeting qualified emissions reductions as governed by Section 45 of the IRC. We ceased operating the facility on November 18, 2021 and subsequently sold the facility. We began to report these results as discontinued operations in the third quarter of 2021.</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45 of the IRC was created by Congress to encourage the development and use of environmentally sound solutions to control harmful emissions during energy production and to facilitate and move the United States towards better compliance with global environmental energy standards. The American Jobs Creation Act of 2004 amended Section 45 of the IRC by adding provisions to incentivize the production of emission reducing refined coal. To qualify for tax credits under Section 45 of the IRC, a process must reduce coal emissions of nitrogen oxide by 20% and either sulfur dioxide or mercury by 40%.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our fiscal year end, our consolidated ethanol entities owned a combined 1,122 acres of land and two facilities that shipped a combined quantity of approximately 278 million gallons of ethanol in fiscal year 2021. We also own our corporate headquarters office building, consisting of approximately 7,500 square feet, located in Dayton, Ohio.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attraction, retention and development of employees is critical to our success. We accomplish these objectives through a variety of actions, including our competitive compensation policies, training initiatives and growth opportunities within our Company. At January 31, 2022, we had 124 employees at our two consolidated ethanol plants and at our corporate headquarters. None of our employees are represented by a labor union. We expect this employment level to remain relatively stable. We consider our relationship with our employees to be good.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took measures to protect the health and safety of our employees during the COVID-19 pandemic while continuing to meet the needs of our customers. We continue to monitor the impact of the COVID-19 pandemic on our business, including our employees, and take appropriate actions to mitigate the impact, including emphasizing CDC guidelines.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regularly scheduled safety meetings and require all employees to go through safety training. We evaluate employee safety incidents monthly and investigate such incidents promptly. In addition, we conduct periodic safety audits performed by an independent third party. A portion of our incentive compensation plan rewards employees for attaining certain safety goals.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we offer market competitive compensation and benefit programs for our employees. In addition to competitive base wages, all employees are eligible for an incentive compensation program, a Company matched 401(k) plan, healthcare benefits, and paid time off.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Service Marks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registered the service marks “REX” and “Farmer’s Energy” with the United States Patent and Trademark Office. We are not aware of any adverse claims concerning our service marks.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encourage you to carefully consider the risks described below and other information contained in this report when considering an investment decision in REX common stock. Any of the events discussed in the risk factors below may occur. If one or more of these events do occur, our results of operations, financial condition or cash flows could be materially adversely affected. In this instance, the trading price of REX stock could decline, and investors might lose all or part of their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Ethanol and By-Products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ethanol industry is changing rapidly which could result in unexpected developments that could negatively impact our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the RFA, the ethanol industry grew from approximately 1.5 billion gallons of domestic annual ethanol production in 1999 to a peak of approximately 16.1 billion gallons in 2018. In 2021 and 2020, the industry produced approximately 15.0 and 13.8 billion gallons, respectively, with the reduction from the peak year reflecting industry conditions. Thus, there have been significant changes in the supply and demand of ethanol over a relatively short period of time which could lead to difficulty in maintaining profitable operations at our ethanol plants.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financial returns on our ethanol investments are highly dependent on commodity prices, which are subject to significant volatility, uncertainty and regional supply shortages, so our results could fluctuate substantially.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returns on our ethanol investments are highly dependent on commodity prices, especially prices for corn, natural gas, ethanol, dried distillers grains, non-food grade corn oil and unleaded gasoline. As a result of the volatility of the prices for these items, our returns may fluctuate substantially and our investments could experience periods of declining prices for their products and increasing costs for their raw materials, which could result in operating losses at our ethanol plants.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returns on ethanol investments are highly sensitive to grain prices.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Corn is the principal raw material our ethanol plants use to produce ethanol and by-products. As a result, changes in the price of corn can significantly affect our businesses. Rising corn prices result in higher production costs of ethanol and by-products. Because ethanol competes with non-corn-based fuels, our ethanol plants may not be able to pass along increased grain costs to our customers. At certain levels, grain prices may make ethanol uneconomical to produce.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of corn is influenced by weather conditions and other factors affecting crop yields, transportation costs, farmer planting decisions, exports, foreign production, the value of the U.S. dollar, and general economic, market and regulatory factors. These factors include government policies and subsidies with respect to agriculture and international trade and global and local demand and supply. The significance and relative effect of these factors on the price of corn is difficult to predict. Any event that tends to negatively affect the production and/or supply of corn, such as adverse weather or crop disease, could increase corn prices and potentially harm the business of our ethanol plants, to include intermittent production slowdowns or stoppages.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Increasing domestic ethanol production could boost the demand for corn and result in increased corn prices. International demand for corn could also result in higher corn prices. Our ethanol plants may also have difficulty, from time to time, in physically sourcing corn on economic terms due to regional supply shortages, transportation issues, delays in farmer marketing decisions or unfavorable local pricing. Such a shortage or price impact could require our ethanol plants to suspend operations which would have a material adverse effect on our consolidated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spread between ethanol and corn prices can vary significantly.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margin at our ethanol plants depends principally on the spread between ethanol and corn prices. Fluctuations in the spread are likely to continue to occur. A sustained narrow or negative spread, whether as a result of sustained high or increased corn prices or sustained low or decreased ethanol prices, would adversely affect the results of operations at our ethanol plants.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strategies may be ineffective and may expose us to decreased profitability and 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an attempt to partially offset the impact of volatility of commodity prices, we enter into: i) forward contracts to sell a portion of our ethanol and distillers grains production and to purchase a portion of our corn and natural gas requirements and; ii) commodity futures and swap agreements. The financial impact of these risk management activities is dependent upon, among other items, the prices involved and our ability to receive or deliver the commodities involved. Risk management activities can result in financial loss when positions are purchased in a declining market or when positions are sold in an increasing market. In addition, we may not be able to match the appropriate quantity of corn contracts with quantities of ethanol, distillers grains and non-food grade corn oil contracts. Further, our results may be impacted by a mismatch of gains or losses associated with the positions during a reporting period when the physical commodity purchase or sale has not yet occurred. We vary the amount and type of risk management techniques we utilize, and we may choose not to engage in any risk management activities. Should we fail to properly manage the inherent volatility of commodity prices, our results of operations and financial condition may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natural gas is subject to market conditions that create uncertainty in the price and availability of the natural gas that our ethanol plants use in their manufacturing process.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ethanol plants rely upon third parties for their supply of natural gas, which is consumed as fuel in the production process. The prices for and availability of natural gas are subject to volatile market conditions. These market conditions often are affected by factors beyond the ethanol plants’ control, such as weather conditions, overall economic conditions, governmental regulation and foreign and domestic relations. Significant disruptions in the supply of natural gas could impair or completely prevent the ethanol plants’ ability to economically manufacture ethanol for their customers. Furthermore, increases in natural gas prices may adversely affect results of operations and financial position at our ethanol plants.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selling price of commodities may reduce profit margins at our ethanol plants.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Ethanol is marketed as a fuel additive to reduce vehicle emissions from gasoline, as an octane enhancer to improve the octane rating of gasoline with which it is blended and, to a lesser extent, as a gasoline substitute. As a result, ethanol prices are influenced by the supply and demand for gasoline, and our ethanol plants’ results of operations and financial position may be materially adversely affected if gasoline demand decreases or the price of gasoline declines making ethanol less economical.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Distillers grains compete with other protein based animal feed products. The price of distillers grains may decrease when the prices of competing feed products decrease. The prices of competing animal feed products are based in part on the prices of the commodities from which these products are made. Historically, sales prices for distillers grains have tracked along with the price of corn. However, there have been instances when the price increase for distillers grains has lagged increases in corn prices.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production of distillers grains has increased as a result of increases in dry mill ethanol production in the United States. This could lead to price declines in what we can sell our distillers grains for in the future. Such declines could have a material adverse effect on our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Increased ethanol production or decreases in demand for ethanol may result in excess production capacity in the ethanol industry, which may cause the price of ethanol, distillers grains and non-food grade corn oil to decrease.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RFA, domestic ethanol production capacity is approximately 17.7 billion gallons per year. On December 7, 2021, the EPA issued proposed RFS volumes for 2021 and 2022 and reducing the previously finalized volumes for 2020 to account for challenges for that year including the COVID-19 pandemic. The proposed volumes for conventional biofuels were 13.32 billion gallons and 15.0 billion gallons for 2021 and 2022, respectively. The 2020 volumes were proposed at 12.5 billion gallons, down from the previously finalized 15.0 billion gallons. Excess capacity in the ethanol industry could have an adverse effect on the results of our operations. In a manufacturing industry with excess capacity, producers have an incentive to manufacture additional products for so long as the price exceeds the marginal cost of production (i.e., the cost of producing only the next unit, without regard for interest, overhead or fixed costs). This incentive could result in the reduction of the market price of ethanol to a level that is inadequate to generate sufficient cash flow to cover costs.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Excess capacity may also result from decreases in the demand for ethanol, which could result from a number of factors, including, but not limited to, regulatory developments and reduced U.S. gasoline consumption. Reduced gasoline consumption could occur as a result of increased prices for gasoline or crude oil, which could cause businesses and consumers to reduce driving or acquire vehicles with more favorable gasoline mileage or acquire non-gasoline powered vehicles. In addition, decreased overall economic activity could also lead to reduced gasoline consumption.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ethanol production produces distillers grains and non-food grade corn oil as by-products, increased ethanol production will also lead to increased supplies of distillers grains and non-food grade corn oil. An increase in the supply of distillers grains and non-food grade corn oil, without corresponding increases in demand, could lead to lower prices or an inability to sell our ethanol plants’ distillers grains and non-food grade corn oil production. A decline in the price of distillers grains or non-food grade corn oil could have a material adverse effect on the results of our ethanol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price of ethanol and distillers grains may decline as a result of trade restrictions or duties on ethanol and distillers grains exports from the United States or from unfavorable foreign currency exchange rates.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United States were to withdraw from or materially modify certain international trade agreements, our business, financial condition and results of operations could be materially adversely affected. Ethanol and other products that we produce are sold into various other countries with trade agreements with the United States. If tariffs were raised on the foreign-sourced goods that lead to retaliatory actions, it could have material adverse effect on our business, financial condition and results of operations.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auto"/>
        </w:rPr>
        <w:t>The United States exported approximately 1.2 billion gallons of ethanol in 2021, down from approximately 1.3 and approximately 1.5 billion gallons in 2020 and 2019, respectively. If producers and exporters of ethanol are subject to trade restrictions, or additional duties are imposed on exports, it may make it uneconomical to export ethanol. Brazil, China and the European Union all have trade barriers or tariffs against fuel ethanol. In 2013, the European Union imposed a five year tariff of $83.33 per metric ton on U.S. fuel ethanol to discourage competition. Effective January 1, 2017, China indicated its intention to raise its 5% tariff on U.S. and Brazil fuel ethanol to 30%. On April 1, 2018, China raised their tariff rate to 45%, and later raised it to 70% in the U.S. and China trade war. On September 1, 2017, Brazil imposed a 20% tariff on U.S. fuel ethanol imports in excess of 150 million liters, or 39.6 million gallons per quarter. The tariff was extended several times but lapsed in December 2020 and a 20% tariff now applies to all U.S. ethanol exported to Brazil. This could result in an oversupply of ethanol in the United States, which could have a material adverse effect on the results of our ethanol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2021, approximately 11.6 million metric tons of distillers grains were exported, which represented approximately 36% of U.S. production. However, the export market may be jeopardized if foreign governments impose trade barriers or other measures to protect the foreign local markets. Exports to China were approximately 4% of U.S. global shipments in 2021 versus approximately 51% in 2015, due to punitive tariffs established beginning January 2017. If producers and exporters of distillers grains are subjected to trade barriers when selling distillers grains to foreign customers, there may be a reduction in the price of distillers grains in the United States. In addition, foreign currency exchange rate fluctuations could reduce the demand for United States exports of distillers grains. Declines in the price we receive for our distillers grains could lead to decreased revenues and may result in our inability to operate our ethanol plants profitably.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demand for ethanol is uncertain and changes in overall consumer demand for transportation fuel could affect demand.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limited markets for ethanol other than what is federally mandated. Increased consumer acceptance of E15 and E85 fuel is likely necessary in order for ethanol to achieve significant market share growth beyond federal mandate levels.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During the early months of 2020, a new strain of COVID-19 spread into the United States and other countries.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an effort to contain the spread of this virus, there were various government mandated restrictions, in addition to voluntary privately implemented restrictions, including limiting public gatherings, retail store closures, restrictions on employees working and the quarantining of people who may have been exposed to the virus. The above actions led to reduced demand for ethanol. Although most restrictions have been lifted, if in the future the virus continues to mutate, it could lead to prolonged production stoppages at our ethanol plants and could result in an adverse material impact on the results of operations and on our financial position. We idled our NuGen and One Earth ethanol plants for portions of fiscal year 2020, largely due to the impact of the pandemic.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partners to operate certain of our ethanol investments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investments currently represent both majority and minority equity positions. Day-to-day operating control of minority owned plants generally remains with the local investor group. We do not have the ability to directly modify the operations of these plants in response to changes in the business environment or in response to any deficiencies in local operations of the plants. In addition, local plant operators, who also represent the primary suppliers of corn and other crops to the plants, may have interests, such as the price and sourcing of corn and other crops, that may differ from our interest, which is based solely on the operating profit of the plant. The limitations on our ability to control day-to-day plant operations could adversely affect plant results of operations.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We may not successfully acquire or develop additional ethanol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growth of our ethanol business depends on our ability to identify and develop new ethanol investments. Our ethanol development strategy depends on referrals, and introductions, to new investment opportunities from industry participants, such as ethanol plant builders and owners, financial institutions, marketing agents and others. We must continue to maintain favorable relationships with these industry participants, and a material disruption in these sources of referrals would adversely affect our ability to expand our ethanol investments.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expansion strategy will depend on prevailing market conditions for the price of ethanol and the cost of corn and natural gas and the expectations of future market conditions. Additional financing may also be necessary to implement any expansion strategy, which may not be accessible or available on acceptable terms. In addition, failure to adequately manage the risks associated with additional ethanol investments could have a material adverse effect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ethanol plants may be adversely affected by technological advances and efforts to anticipate and employ such technological advances may prove unsuccessful.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development and implementation of new technologies may result in a significant reduction in the costs of ethanol production. For instance, any technological advances in the efficiency or cost to produce ethanol from inexpensive cellulosic sources such as corn stalk, wheat, oat or barley straw could have an adverse effect on our ethanol plants, because our plants are designed to produce ethanol from corn, which is, by comparison, a raw material with other high value uses. We cannot predict when, or if, new technologies may become available, the rate of acceptance of new technologies by competitors or the costs associated with new technologies. In addition, advances in the development of alternatives to ethanol could significantly reduce demand for or eliminate the need for ethanol.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advances in technology which require significant unanticipated capital expenditures to remain competitive or which reduce demand or prices for ethanol would have a material adverse effect on the results of our ethanol operations.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alternative fuels, additives and oxygenates are continually under development. Alternative fuel additives that can replace ethanol may be developed, which may decrease the demand for ethanol. It is also possible that technological advances in engine and exhaust system design and performance could reduce the use of oxygenates, which would lower the demand for ethanol. Consumer demand for gasoline may be reduced by transportation related technological advances such as electric and hybrid vehicles. Several automobile manufacturers have announced target dates into the 2030s for ceasing production of gasoline vehicles and shifting production to electric vehicles. In addition, countries such as Japan and the United Kingdom as well as the state of California have pledged to ban the sale of vehicles with internal combustion engines over time. The Biden administration, in its early stages, appears to have placed an increased emphasis on electric vehicles. Recent federal legislation seeks to address the ever-increasing demand for electric vehicle (EV) infrastructure. On November 15, 2021, the Infrastructure Investment and Jobs Act (IIJA) was signed into law. The IIJA specifically allocates $7.5 billion specifically for EV infrastructure programs and grants on a national level. Reduced demand for ethanol could cause our results of operations to be materially adversely affected.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U.S. ethanol industry is highly dependent upon a myriad of federal and state legislation and regulation and any changes in legislation or regulation could materially and adversely affect our results of operations and financial position.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renewable fuel standard program was authorized under the Energy Policy Act of 2005 and was expanded under the Energy Independence and Security Act of 2007 (EISA). EISA increased the amount of renewable fuel required to be blended into gasoline with RFS II and required a minimum usage of corn-derived renewable fuels of 12.0 billion gallons in 2010, increasing annually by 600 million gallons to 15.0 billion gallons in 2015 through 2022, with no specified volume subsequent to 2022. After 2022, RFS volumes are to be determined by the EPA in coordination with the Secretaries of Energy and Agriculture. The EPA has the authority to assign the mandated amounts of renewable fuels to be blended into transportation fuel to individual fuel blenders. RFS II has been a primary factor in the growth of ethanol usage. Over the past several years various pieces of legislation have been introduced to the U.S. Congress that were intended to reduce or eliminate ethanol blending requirements. To date, none of the bills have been successful but they are an indication of the continued effort to undermine the EISA.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EISA, the EPA has the authority to waive or modify the mandated RFS II requirements in whole or in part. In order to grant a waiver, the EPA administrator must determine in consultation with the Secretaries of Agriculture and Energy, that one of the following two conditions has been met: i) there is inadequate domestic renewable fuel supply or ii) implementation of the requirement would severely harm the economy or environment of a state, region or the country. In certain past years the EPA has taken action to reduce the mandated gallons called for under EISA for both conventional and advanced renewable fuels.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Obligated parties use RINs to show compliance with RFS-mandated volumes. RINs are attached to renewable fuels by producers and detached when the renewable fuel is blended with transportation fuel or traded in the open market. The market price of detached RINs affects the price of ethanol in certain markets and influences the purchasing decisions by obligated parties. As a result of fluctuations in RINs pricing, certain obligated parties have petitioned the EPA and filed court actions to change the point of obligation or to seek relief from their obligation. The EPA granted 85 total SREs for 2016 through 2018 totaling approximately 4.0 billion gallons. This action led to reduced values for RINs, and further action could decrease RIN values and ethanol pricing.</w:t>
      </w:r>
    </w:p>
    <w:p>
      <w:pPr>
        <w:spacing w:after="0" w:line="1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January 2020, the U.S Court of Appeals for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Circuit overturned the EPA’s granting of refinery exemptions to three refineries on two separate grounds. The Court ruled refineries are eligible for SREs only if such waivers are extensions of waivers granted in previous years. The refineries did not qualify for waivers in the year prior to the year the EPA granted them. The Court also stated the disproportionate economic hardship of SREs should be based solely on whether compliance with RFS II creates such hardship, not whether compliance and other issues create the hardship. Two of the refiners appealed the decision to the U.S. Supreme Court, and on January 25, 2021, the Supreme Court partially ruled in favor of the small refiners, but only as to the interpretation of “extension” of a waiver.</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December 7, 2021, the EPA issued proposed volumes for 2021 and 2022 and reduced the previously finalized volumes for 2020 to account for challenges for that year including the COVID-19 pandemic. The proposed volumes for conventional biofuels were 13.32 billion gallons and 15.0 billion gallons for 2021 and 2022, respectively. The 2020 volumes were proposed at 12.5 billion gallons, down from the previously finalized 15.0 billion gallons.</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 addition, the EPA proposed denying 65 pending applications for SREs in response to the 2020 decision by the U.S. Court of Appeals for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Circuit. The EPA also proposed adding 250 million gallons of “supplemental obligation” to the 2022 proposed volumes and stated its intent to add another 250 million gallons to 2023 to address the remand of the 2016 waiver by the D.C Circuit. The EPA implemented a public notice and comment process on this announcement.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Flexible fuel vehicles receive preferential treatment in meeting federally mandated corporate average fuel economy (“CAFE”) standards for automobiles manufactured by car makers. High blend ethanol fuels such as E-85 result in lower fuel efficiencies. Absent the CAFE preferences, car makers would not likely build flexible-fuel vehicles. Any change in CAFE preferences could reduce the growth of E-85 markets and result in lower ethanol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Unfavorable changes in legislation or regulations could materially and adversely affect our results of operations and financial position.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inability to generate or obtain RINs could adversely affect our operating results</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Virtually all of our ethanol is sold with RINs that are used by customers to comply with RFS II. If our production does not meet EPA requirements for RIN generation, as an efficient producer, in the future, we would have to purchase RINs in the open market or sell our ethanol at substantially lower prices to adjust for the absence of RINs. The price of RINs varies based on many factors and cannot be predicted. Failure to obtain sufficient RINs or reliance on invalid RINs could subject us to fines and penalties imposed by the EPA.</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Various studies have criticized the efficiency of ethanol, in general, and corn-based ethanol in particular, which could lead to the reduction or repeal of incentives and tariffs that promote the use and domestic production of ethanol or otherwise negatively impact public perception and acceptance of ethanol as an alternative fuel.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many trade groups, academics and governmental agencies have supported ethanol as a fuel additive that promotes a cleaner environment, others have criticized ethanol production as consuming considerably more energy and emitting more greenhouse gases than other biofuels and as potentially depleting water resources. Other studies have suggested that corn-based ethanol negatively impacts consumers by causing prices to increase for dairy, meat and other foodstuffs.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views gain acceptance, support for existing measures promoting use and domestic production of corn-based ethanol could decline, leading to reduction or repeal of these measures. These views could also negatively impact public perception of the ethanol industry and acceptance of ethanol as an alternative fuel.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support of cellulosic ethanol may result in reduced incentives to corn-derived ethanol producers.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American Recovery and Reinvestment Act of 2009 and EISA provide funding opportunities in support of cellulosic ethanol obtained from biomass sources such as switchgrass and poplar trees. These federal policies may suggest a long-term political preference for cellulosic processes using alternative feedstocks such as switchgrass, silage or wood chips. Cellulosic ethanol has a smaller carbon footprint than corn-derived ethanol and is unlikely to divert foodstuff from the market. Our plants are designed as single-feedstock facilities, located in corn production areas with limited alternative feedstock nearby, and would require significant additional investment to convert to the production of cellulosic ethanol. The adoption of cellulosic ethanol as the preferred form of ethanol could have a significant adverse effect on our ethanol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ethanol business is affected by environmental and other regulations which could impede or prohibit our ability to successfully operate our plants.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ethanol production facilities are subject to extensive air, water and other environmental regulations. We have had to obtain numerous permits to construct and operate our plants. Regulatory agencies could impose conditions or other restrictions in the permits that are detrimental, or which increase our costs. More stringent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federal or state environmental regulations could be adopted which could significantly increase our operating costs or require us to expend considerable resources.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ethanol plants emit various airborne pollutants as by-products of the ethanol production process, including carbon dioxide (a greenhouse gas). In 2007, the U.S. Supreme Court classified carbon dioxide as an air pollutant under the Clean Air Act in a case seeking to require the EPA to regulate carbon dioxide in vehicle emissions. In February 2010, the EPA released its final regulations on the Renewable Fuel Standard program. We believe our plants are grandfathered up to certain operating capacity, but recent plant expansion requires us to meet a 20% threshold reduction in greenhouse gas (GHG) emissions from a 2005 baseline measurement to produce ethanol eligible for the RFS II mandate. To further expand our plant capacity, we may be required to obtain additional permits, install advanced technology equipment, or reduce drying of certain amounts of distillers grains. We may also be required to install carbon dioxide mitigation equipment or take other steps in order to comply with future laws or regulations. Compliance with future laws or regulations with respect to emissions of carbon dioxide, or if we choose to expand capacity at certain of our plants, compliance with then-current regulations of carbon dioxide, could be costly and may prevent us from operating our plants as profitably, which may have a negative impact on our financial performance. We also face the risk of ethanol production above our grandfathered capacity not qualifying for RINs if the plants do not meet certain emission requirements.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California Air Resources Board (“CARB”) adopted a Low Carbon Fuel Standard (“LCFS”) requiring a 10% reduction in GHG emissions from transportation fuels. An Indirect Land Use Charge is included in this lifecycle GHG emission calculation. This standard could have an adverse impact on the market for corn-based ethanol in California if corn-based ethanol fails to achieve lifecycle GHG emission reductions and in other states if they adopt similar standards. This could have a negative impact on our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ethanol business may become subject to various environmental and health and safety and property damage claims and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 of our ethanol business exposes the business to the risk of environmental and health and safety claims and property damage claims, such as failure to comply with environmental regulations. These types of claims could also be made against our ethanol business based upon the acts or omissions of other persons. Serious claims could have a material negative impact on our results of operations, financial position and future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not diversified.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results depend heavily on our ability to operate our ethanol plants profitably. Our lack of diversification could have a material negative impact on our results of operations, financial position and future cash flows should our ethanol plants operate unprofitably.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commitments to produce and sell ethanol.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at times, sell our products with forward contracts. If we are unable to produce the products due to economic conditions, business interruption, or other factors, we may incur additional costs or have to obtain commodities at unfavorable prices to meet our contractual commitments. This could have a material adverse effect on our results of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We may have commitments to purchase commodities.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at times, purchase certain commodities with forward contracts without a corresponding quantity of ethanol sold via forward contracts at known prices. Should ethanol and by-product prices decline to levels that would lead to significant unprofitable results of operations, we may incur additional costs and/or losses to meet our contractual commitments. This could have a material adverse effect on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 from the sale of distillers grains depends upon its continued market acceptance as an animal feed.</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Distillers grains is a by-product from the fermentation of corn to produce ethanol. Antibiotics may be used during the fermentation process to control bacterial contamination; therefore, antibiotics may be present in small quantities in distillers grains marketed as animal feed. The U. S. Food and Drug Administration’s Center for Veterinary Medicine has expressed concern about potential animal and human health hazards from the use of distillers grains as an animal feed due to the possibility of antibiotic residues. If the public became concerned about the impact of distillers grains in the food supply or as an acceptable animal feed, the market for distillers grains could be negatively impacted, which would have a negative impact on our results of operations. We may not be able to obtain a suitable replacement for antibiotics, should this be required, which would also negatively impact the market for distillers grains.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estimated 36% of distillers grains produced in the United States were exported in 2021. The price of distillers grains has benefitted from the exports of the product. In recent years, certain countries have refused to import U.S. distillers grains for a variety of reasons. If export shipments are rejected or delayed, the market price for distillers grains would be negatively impacted, which would have a negative impact on our ethanol results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extract non-food grade corn oil immediately prior to the production of distillers grains. Several studies are attempting to determine whether non-food grade corn oil extraction may impact the nutritional value of the resulting distillers grains. If it is determined that non-food grade corn oil extraction adversely impacts the nutritional energy content of distillers grains, the value of the distillers grains we sell may be negatively impacted, which would have a negative impact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significant competition in the ethanol industry.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significant competition for new ethanol investment opportunities. Many of our competitors are larger and have greater financial resources and name recognition than we do. We must compete for investment opportunities based on our strategy of supporting and enhancing local development of ethanol plant opportunities. We may not be successful in competing for investment opportunities based on our strategy.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ethanol industry is primarily comprised of entities that engage exclusively in ethanol production and large integrated grain companies that produce ethanol along with their base grain business. Several large oil companies have entered the ethanol production market. If these companies increase their ethanol plant ownership or if other oil companies seek to engage in direct ethanol production, there would be less of a need to purchase ethanol from independent producers such as our ethanol plants. No assurance can be given that our ethanol plants will be able to compete successfully or that competition from larger companies with greater financial resources will not have a materially adverse impact on the results of our ethanol operations.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We may face competition from foreign producers.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of foreign competition in the ethanol industry. Brazil is presently the second largest producer of ethanol in the world. Brazil’s ethanol production is sugarcane based, and, depending on feedstock prices, may be cheaper to produce than corn-derived ethanol. Under the RFS, certain parties were obligated to meet an advanced biofuel standard. In recent years, sugarcane based ethanol imported from Brazil has been one of the most economical means for obligated parties to comply with this standard.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significant additional foreign ethanol production capacity is created, such facilities could create excess supplies of ethanol, which may result in lower prices of ethanol. In addition, foreign ethanol producers may be able to produce ethanol at costs lower than ours. These risks could have significant adverse effects on our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credit risk from our sales of ethanol and distillers grains to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inability of a customer to make payments to us for our accounts receivable may cause us to experience losses and may adversely impact our liquidity and our ability to make our payments when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hire and retain qualified personnel to operate our ethanol plants.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attract and retain competent personnel has a significant impact on operating efficiencies and plant profitability. Competition for key plant employees in the ethanol industry can be intense, and there has been an increased demand for workers in the U.S. We may not be able to attract and retain qualified employees. Failure to do so could have a negative impact on our financial results at individual plants.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plants depend on an uninterrupted supply of energy and water to operate. Unforeseen plant shutdowns could harm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plants require a significant and uninterrupted supply of natural gas, electricity and water to operate. We generally rely on third parties to provide these resources. If there is an interruption in the supply of energy or water for any reason, such as supply, delivery or mechanical problems and we are unable to secure an adequate alternative supply to sustain plant operations, we may be required to stop production. A production halt for an extended period of time could result in material losses.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information technology in our operations and financial reporting and any material failure, inadequacy, interruption or security breach of that technology could harm our ability to efficiently operate our business and report our financial results accurately and timely.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information technology systems across our operations, including for management of inventory, purchase orders, production, invoices, shipping, accounting and various other processes and transactions. Our ability to effectively manage our business, coordinate the production, distribution and sale of our products and ensure the timely and accurate recording and disclosure of financial information depends significantly on the reliability and capacity of these systems. The failure of these systems to operate effectively, problems with transitioning to upgraded or replacement systems, or a breach in security of these systems through a cyber-attack or otherwise could cause delays and/or interruptions in plant operations, product sales, reduced efficiency of our operations and delays in reporting our financial results. Significant capital investments could be required to remediate any such problem. Security breaches of employee information or other confidential or proprietary data could also adversely impact our reputation and could result in litigation against us or the imposition of penalties.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7" w:name="page18"/>
    <w:bookmarkEnd w:id="17"/>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We are exposed to potential business disruption from factors outside our control, including natural disasters, severe weather conditions, accidents, pandemic diseases, international disputes, and unforeseen operational failures any of which could negatively affect our transportation operations and could adversely affect our cash flows and operating results.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Potential business disruption in available transportation due to natural disasters, severe weather conditions, the outbreak of a pandemic disease, significant track damage resulting from a train derailment, strikes or other interruptions by our transportation providers could result in delays in procuring and supplying raw materials to our ethanol facilities, or transporting ethanol and distillers grains to our customers. Such business disruptions may result in our inability to meet customer demand or contract delivery requirements, as well as the potential loss of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Rail cars used to transport ethanol may need to be modified or replaced to meet proposed rail safety regulations.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leased rail cars we use to transport ethanol to market will need to be retrofitted or replaced as the Enhanced Tank Car Standards and Operation Controls for High-Hazard Flammable Trains adopted by the U.S. Department of Transportation (“DOT”) imposes an enhanced tank car standard known as the DOT specification 117 and establishes a schedule to retrofit or replace older tank cars that carry crude oil and ethanol. The rule also establishes braking standards intended to reduce the severity of accidents and new operational protocols. This could lead to increased rail car lease costs and delays in transportation of ethanol if rail cars are out of service for extended periods of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a capital intensive industry. Limitations on external financing could adversely affect our financial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need to incur additional financing to fund growth of our business or in times of increasing liquidity requirements (such as increases in raw material costs). Bankruptcy filings by several ethanol companies in past years and capital market volatility has reduced available capital for the ethanol industry. Any delays in obtaining additional financing, or our inability to do so, could have a material adverse impact on our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Refined Coal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refined coal production company qualified to earn tax credits under IRC Section 45 through November 18, 2021. Our ability to generate returns and avoid write-offs in connection with this investment is subject to various risks and uncertainties. These include, but are not limited to, the risks and uncertainties as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the tax credits under IRC Section 45.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claim tax credits under IRC Section 45 depends upon our refined coal operation satisfying certain conditions set forth in IRC Section 45. The IRS could ultimately determine that our refined coal facility and/or its operations did not satisfy the conditions set forth in IRC Section 45. If we were to lose these tax credits, it could have a material impact on our results of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Our refined coal operation and its by-products may result in environmental and product liability claims and environmental compliance costs.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construction and operation of refined coal operations are subject to Federal, state and local laws, regulations and potential liabilities arising under or relating to the protection or preservation of the environment, natural resources and human health and safety. Such laws and regulations generally require the operations and/or the utilities at which the operations are located to obtain and comply with various environmental registrations, licenses, permits, inspections and other approvals. Such laws and regulations also impose liability, without regard to fault or the legality of a party’s conduct, on certain entities that are considered to have contributed to, or are otherwise involved in, the release or threatened release of hazardous substances into the environment. Such hazardous substances could be released as a result of burning refined coal in a number of ways, including air emissions, wastewater, and by-products such as fly ash. One party may, under certain circumstances, be required to bear more than its share or the entire share of investigation and cleanup costs at a site if payments or participation cannot be obtained from other responsible parties. We may be exposed to the risk of becoming liable for environmental damage we may have had little, if any, involvement in creating. Such risk remains even after production ceases at an operation to the extent the environmental damage can be traced to the types of chemicals or compounds used or operations conducted in connection with the use of refined coal.</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assurances can be given that contractual arrangements and precautions taken to ensure assumption of these risks by facility owners or operators will result in that facility owner or operator accepting full responsibility for any environmental damage. It is also not uncommon for private claims by third parties alleging contamination to also include claims for personal injury, property damage, diminution of property or similar claims. Furthermore, many environmental, health and safety laws authorize citizen suits, permitting third parties to make claims for violations of laws or permits and force compliance. Our insurance may not cover all environmental risk and costs or may not provide sufficient coverage in the event of an environmental claim. If significant uninsured losses arise from environmental damage or product liability claims, or if the costs of environmental compliance increase for any reason, our results of operations and financial condition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will have to generate taxable income to utilize the Section 45 federal production tax credits.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do not generate sufficient taxable income to utilize the tax credits earned by our refined coal operation, we could incur write-offs of the related tax attributes which could adversely affect our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used patented technology.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operations, we paid a license fee for patented technology. If our third party operator is subject to patent infringement claims, we may incur legal fees to defend our position and be subject to additional costs and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eSteam investment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eSteam testing methods and results are not known.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specific testing methodologies or specifications developed for testing the viability of the eSteam technology. The actual eSteam testing process could result in injury to others, and property and other damages that could expose us to claims for damages from unrelated parties.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Our eSteam technology may be subject to patent challenges.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patents of the eSteam technology are challenged, we could be required to spend considerable time and resources defending our patents.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utilizing our eSteam technology may cause environmental damage.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testing and operating the eSteam technology, we may cause environmental damage, as we would be injecting water and other fluids into the ground to generate underground steam in order to extract oil. We could be subject to significant penalties and fines if we were to cause environmental damage.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REX and 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concentrations of cash deposits at financial institutions that exceed federal insurance limits.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have cash deposits that exceed federal insurance limits. Should the financial institutions we deposit our cash in experience insolvency or other financial difficulty, our access to cash deposits could be limited. In extreme cases, we could lose our cash deposits entirely. This would negatively impact our liquidity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realize the anticipated benefits of mergers, acquisitions, or other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seeking growth opportunities. Acquisitions and similar transactions involve many risks that could harm our business, which include:</w:t>
      </w:r>
    </w:p>
    <w:p>
      <w:pPr>
        <w:spacing w:after="0" w:line="27" w:lineRule="exact"/>
        <w:rPr>
          <w:sz w:val="20"/>
          <w:szCs w:val="20"/>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these transactions may not be fully realized, or take longer to realize than expected,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could result in operating losses or loss of investment,</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may involve incurring debt to complete these transactions, which could have a material adverse effect on our financial condition, and</w:t>
      </w:r>
    </w:p>
    <w:p>
      <w:pPr>
        <w:ind w:left="1300" w:hanging="320"/>
        <w:spacing w:after="0" w:line="26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may require us to invest a significant portion of our excess cash, which could have a material adverse effect on our financial condition.</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Rising focus on environmental, social and corporate governance matters from investors and regulators may increase our operating costs, bring down the value of our products and assets, and impact our ability to access capital markets.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climate change continues to receive significant attention from the public and the scientific community concerning the impacts from human activity, particularly the impact of greenhouse gas emissions, such as those from carbon dioxide and methane. The Biden administration’s focus on environmental issues has added pressure to take action domestically where there was already a heavier focus internationally. International, national, and local regulations are likely to increase in the coming years. Added requirements to reduce greenhouse gas emissions may increase our production costs. In addition, legislation promoting alternatives to combustion engine vehicles could reduce the demand for our products.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Climate change is also thought by some to be the cause for an increase in extreme weather events such as increased intensity of storms, rising sea levels, as well as heavy rains or droughts in areas historically less prone to those events. Any of these events can have a significant impact on our operations or quality of raw materials we purchase, resulting in increased costs. At this time, we are unable to determine the financial impact of any potential adverse weather events caused by climate change.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Incremental to legislative and regulatory pressure, institutional investors have continued to adopt environmental, social and governance guidelines (ESG). Some investors, including certain public and private fund management firms, pension funds, university endowments and family, have in recent years, begun adding stated policies to reduce or eliminate fossil fuel equities and encouraging additional consideration of ESG practices in a manner that could negatively impact our stock price. This may also result in a reduction of available capital funding for potential development projects, further impacting our future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state and local jurisdictions may challenge our tax return positions.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significant judgments, estimates and interpretation and application of complex tax laws in preparing the tax returns we file, and the positions contained therein. We believe that our tax return positions are fully supportable. However, certain positions may be successfully challenged by federal, state and local jurisdictions. We are currently undergoing a federal income examination for the years ended January 31, 2015 through 2020. This could result in material additional income tax payments we would have to make and higher income tax expense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2 is set forth in Item 1 of this report under “Ethanol Investments” and “Facilities”.</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certain information about each of our executive officers.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8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4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Stuart Rose</w:t>
            </w:r>
          </w:p>
        </w:tc>
        <w:tc>
          <w:tcPr>
            <w:tcW w:w="4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3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6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Zafar Rizvi</w:t>
            </w:r>
          </w:p>
        </w:tc>
        <w:tc>
          <w:tcPr>
            <w:tcW w:w="10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72</w:t>
            </w:r>
          </w:p>
        </w:tc>
        <w:tc>
          <w:tcPr>
            <w:tcW w:w="4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16"/>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Bruggeman</w:t>
            </w:r>
          </w:p>
        </w:tc>
        <w:tc>
          <w:tcPr>
            <w:tcW w:w="10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61</w:t>
            </w:r>
          </w:p>
        </w:tc>
        <w:tc>
          <w:tcPr>
            <w:tcW w:w="4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Vice President-Finance, Chief Financial Officer and Treasurer</w:t>
            </w:r>
          </w:p>
        </w:tc>
      </w:tr>
      <w:tr>
        <w:trPr>
          <w:trHeight w:val="234"/>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Edward Kress</w:t>
            </w:r>
          </w:p>
        </w:tc>
        <w:tc>
          <w:tcPr>
            <w:tcW w:w="10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72</w:t>
            </w:r>
          </w:p>
        </w:tc>
        <w:tc>
          <w:tcPr>
            <w:tcW w:w="4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rPr>
          <w:sz w:val="20"/>
          <w:szCs w:val="20"/>
          <w:color w:val="auto"/>
        </w:rPr>
      </w:pPr>
      <w:r>
        <w:rPr>
          <w:rFonts w:ascii="Times New Roman" w:cs="Times New Roman" w:eastAsia="Times New Roman" w:hAnsi="Times New Roman"/>
          <w:sz w:val="18"/>
          <w:szCs w:val="18"/>
          <w:color w:val="auto"/>
        </w:rPr>
        <w:t>*Also serves as a director.</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Stuart Rose </w:t>
      </w:r>
      <w:r>
        <w:rPr>
          <w:rFonts w:ascii="Times New Roman" w:cs="Times New Roman" w:eastAsia="Times New Roman" w:hAnsi="Times New Roman"/>
          <w:sz w:val="18"/>
          <w:szCs w:val="18"/>
          <w:color w:val="auto"/>
        </w:rPr>
        <w:t>was elected our Executive Chairman of the Board in 2015. Mr. Rose had served as our Chairman of the Board and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our incorporation in 1984 as a holding company. Prior to 1984, Mr. Rose was Chairman of the Board and Chief Executive Officer of Rex Radio and Television, Inc., which he founded in 1980 to acquire the stock of a corporation which operated four retail stores.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Zafar Rizvi </w:t>
      </w:r>
      <w:r>
        <w:rPr>
          <w:rFonts w:ascii="Times New Roman" w:cs="Times New Roman" w:eastAsia="Times New Roman" w:hAnsi="Times New Roman"/>
          <w:sz w:val="18"/>
          <w:szCs w:val="18"/>
          <w:color w:val="auto"/>
        </w:rPr>
        <w:t>was elected Chief Executive Officer in 2015. Mr. Rizvi has been our President and Chief Operating Officer since 2010, was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2006 to 2010. From 1991 to 2006, Mr. Rizvi was our Vice President – Loss Prevention.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Douglas Bruggeman </w:t>
      </w:r>
      <w:r>
        <w:rPr>
          <w:rFonts w:ascii="Times New Roman" w:cs="Times New Roman" w:eastAsia="Times New Roman" w:hAnsi="Times New Roman"/>
          <w:sz w:val="18"/>
          <w:szCs w:val="18"/>
          <w:color w:val="auto"/>
        </w:rPr>
        <w:t>has been our Vice President–Finance and Treasurer since 1989 and was elected Chief Financial Officer in 2003. From 1987 to 1989,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Bruggeman was our Manager of Corporate Accounting. Mr. Bruggeman was employed with the accounting firm of Ernst &amp; Young prior to joining us in 1986.</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Edward Kress </w:t>
      </w:r>
      <w:r>
        <w:rPr>
          <w:rFonts w:ascii="Times New Roman" w:cs="Times New Roman" w:eastAsia="Times New Roman" w:hAnsi="Times New Roman"/>
          <w:sz w:val="18"/>
          <w:szCs w:val="18"/>
          <w:color w:val="auto"/>
        </w:rPr>
        <w:t>has been our Secretary since 1984. Mr. Kress has been a partner of the law firm of Dinsmore &amp; Shohl LLP (formerly Chernesky, Heyman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Kress P.L.L.), our legal counsel, since 1988. Mr. Kress has practiced law in Dayton, Ohio since 1974.</w:t>
      </w:r>
    </w:p>
    <w:p>
      <w:pPr>
        <w:spacing w:after="0" w:line="15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REX.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5, 2022, there were 62 holders of record of our common stock, including shares held in nominee or street name by brokers.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August 31, 2021, our Board of Directors increased our share repurchase authorization by an additional 500,000 shares. At January 31, 2022, a total of 449,413 shares remained available to purchase under this authorization.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12 – Security Ownership of Certain Beneficial Owners and Management and Related Stockholder Matters for information regarding shares authorized for issuance under equity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Graph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yearly percentage change in the cumulative total shareholder return on our Common Stock against the cumulative total return of the S&amp;P 500 Stock Index and a peer group comprised of Alto Ingredients, Inc. and Green Plains, Inc. for the period commencing January 31, 2017 and ended January 31, 2022. The graph assumes an investment of $100 in our Common Stock and each index on January 31, 2017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125730</wp:posOffset>
            </wp:positionV>
            <wp:extent cx="6343650" cy="3223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4365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u w:val="single" w:color="auto"/>
          <w:color w:val="auto"/>
        </w:rPr>
        <w:t>[Removed and Reserved]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3" w:name="page24"/>
    <w:bookmarkEnd w:id="23"/>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an investor in ethanol production facilities beginning in 2006 and a refined coal production facility during the period from 2017 through November 2021. We currently have equity investments in three ethanol production entities, two of which are majority ownership interests. Our refined coal business ceased operations in November 2021 and the facility was subsequently sold. We have classified the refined coal business as discontinued operations. We may make additional alternative energy investments in the future and are currently working on a carbon sequestration project near our One Earth Energy location.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ethanol operations are highly dependent on commodity prices, especially prices for corn, ethanol, distillers grains, non-food grade corn oil and natural gas. As a result of price volatility for these commodities, our operating results can fluctuate substantially. The price and availability of corn is subject to significant fluctuations depending upon a number of factors that affect commodity prices in general, including crop conditions, weather, federal policy and foreign trade. Because the market price of ethanol is not always directly related to corn prices, at times ethanol prices may not follow movements in corn prices and, in an environment of higher corn prices or lower ethanol prices, reduce the overall margin structure at the plants. As a result, at times, we may operate our plants at negative or minimally positive operating margins.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ethanol plants to produce at least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attempt to manage the risk related to the volatility of commodity prices by utilizing forward grain and natural gas purchase contracts, forward ethanol, distillers grains and non-food grade corn oil sale contracts and commodity futures and swap agreements as management deems appropriate. We attempt to match quantities of these sales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and swaps, in conjunction with certain of our grain procurement and commodity marketing activities.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net income attributable to REX common shareholders of $52.4 million in fiscal 2021 compared to approximately $3.0 million in fiscal 2020. Our ethanol business bounced back strongly in fiscal 2021 particularly in the fourth quarter in comparison to fiscal 2020, which was impacted by the COVID-19 pandemic. The two largest drivers of ethanol profitability are corn and ethanol pricing, both of which experienced significant volatility within the year. Chicago Board of Trade corn prices per bushel ranged from a low of $5.10 in September 2021 to a high of $7.40 in April 2021. S&amp;P Global Platts ethanol pricing per gallon ranged from a low of $1.64 in February 2021 to a high of $3.80 in November 2021.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2017, we purchased, through a 95.35% owned subsidiary,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We began classifying this operation as discontinued operations in the third quarter of fiscal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working with the University of Illinois and is in the exploratory stage of a carbon sequestration project near the One Earth Energy ethanol plant. A test well has been drilled and three-dimensional seismic testing has been performed. We are working on simulation models to predict the movement of carbon dioxide injection into the subsurface, additional testing and completion of a class VI permit application. A front-end engineering design study has been completed for a carbon dioxide liquification facility for the One Earth Energy plant, and we plan to begin seeking bids once we have completed additional engineering work. At this time we do not know total cost to complete or the feasibility of the project.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 2013, we entered into a joint venture to file and defend patents for eSteam technology. The patented technology is an enhanced method of heavy oil recovery involving zero emissions downhole steam generation. To date, we have not successfully had a field operation nor demonstrated that the technology is commercially feasible. We own 60% and our partner owns 40% of the entity named Future Energy, LLC, an Ohio limited liability company. We have no current plans to operate this technology and are maintaining patents in limited countries.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seek and evaluate various investment opportunities including ethanol and/or energy related, carbon sequestration, agricultural or other ventures we believe fit our investment criteria. We can make no assurances that we will be successful in our efforts to find such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Ethanol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year 2006, we entered the ethanol industry by investing in several entities organized to construct and subsequently operate, ethanol producing plants. We are invested in three entities as of January 31, 2022, utilizing equity investments. The following table is a summary of our ethanol entity ownership interests at January 31, 2022:</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540" w:type="dxa"/>
            <w:vAlign w:val="bottom"/>
            <w:tcBorders>
              <w:top w:val="single" w:sz="8" w:color="auto"/>
              <w:left w:val="single" w:sz="8" w:color="auto"/>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REX’s Current</w:t>
            </w:r>
          </w:p>
        </w:tc>
      </w:tr>
      <w:tr>
        <w:trPr>
          <w:trHeight w:val="238"/>
        </w:trPr>
        <w:tc>
          <w:tcPr>
            <w:tcW w:w="4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22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Ownership Interest</w:t>
            </w:r>
          </w:p>
        </w:tc>
      </w:tr>
      <w:tr>
        <w:trPr>
          <w:trHeight w:val="209"/>
        </w:trPr>
        <w:tc>
          <w:tcPr>
            <w:tcW w:w="4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Earth Energy, LLC</w:t>
            </w:r>
          </w:p>
        </w:tc>
        <w:tc>
          <w:tcPr>
            <w:tcW w:w="2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75.8%</w:t>
            </w:r>
          </w:p>
        </w:tc>
      </w:tr>
      <w:tr>
        <w:trPr>
          <w:trHeight w:val="210"/>
        </w:trPr>
        <w:tc>
          <w:tcPr>
            <w:tcW w:w="4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NuGen Energy, LLC</w:t>
            </w:r>
          </w:p>
        </w:tc>
        <w:tc>
          <w:tcPr>
            <w:tcW w:w="2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99.7%</w:t>
            </w:r>
          </w:p>
        </w:tc>
      </w:tr>
      <w:tr>
        <w:trPr>
          <w:trHeight w:val="191"/>
        </w:trPr>
        <w:tc>
          <w:tcPr>
            <w:tcW w:w="45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Big River Resources, LLC:</w:t>
            </w:r>
          </w:p>
        </w:tc>
        <w:tc>
          <w:tcPr>
            <w:tcW w:w="2220" w:type="dxa"/>
            <w:vAlign w:val="bottom"/>
            <w:tcBorders>
              <w:right w:val="single" w:sz="8" w:color="auto"/>
            </w:tcBorders>
          </w:tcPr>
          <w:p>
            <w:pPr>
              <w:spacing w:after="0"/>
              <w:rPr>
                <w:sz w:val="16"/>
                <w:szCs w:val="16"/>
                <w:color w:val="auto"/>
              </w:rPr>
            </w:pPr>
          </w:p>
        </w:tc>
      </w:tr>
      <w:tr>
        <w:trPr>
          <w:trHeight w:val="216"/>
        </w:trPr>
        <w:tc>
          <w:tcPr>
            <w:tcW w:w="454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Resources W Burlington, LLC</w:t>
            </w:r>
          </w:p>
        </w:tc>
        <w:tc>
          <w:tcPr>
            <w:tcW w:w="2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54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Resources Galva, LLC</w:t>
            </w:r>
          </w:p>
        </w:tc>
        <w:tc>
          <w:tcPr>
            <w:tcW w:w="2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540" w:type="dxa"/>
            <w:vAlign w:val="bottom"/>
            <w:tcBorders>
              <w:left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United Energy, LLC</w:t>
            </w:r>
          </w:p>
        </w:tc>
        <w:tc>
          <w:tcPr>
            <w:tcW w:w="2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4540" w:type="dxa"/>
            <w:vAlign w:val="bottom"/>
            <w:tcBorders>
              <w:left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Big River Resources Boyceville, LLC</w:t>
            </w:r>
          </w:p>
        </w:tc>
        <w:tc>
          <w:tcPr>
            <w:tcW w:w="2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three entities own a total of six ethanol production facilities, which in aggregate shipped approximately 699 millions gallons of ethanol over the twelve-month period ended January 31, 2022. REX’s effective ownership of gallons shipped, for the twelve-month period ended January 31, 2022, by the ethanol production facilities in which we have ownership interests was approximately 282 million gallons.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Renewable Fuel Standard II (“RFS II”), established in October 2010, has been an important factor in the growth of ethanol usage in the United States. In recent years, there has been much uncertainty on the enforcement of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RFS II. When it was originally established, RFS II required the volume of “conventional” or corn derived ethanol to be blended with gasoline to increase each year until it reached 15.0 billion gallons in 2015 and was to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In addition, under RFS II, a small refiner that processes less than 75,000 barrels of oil per day can petition the EPA for a waiver of their requirement to submit renewable identification numbers (“RINs”). The EPA, through consultation with the Department of Energy and the Department of Agriculture, can grant the refiner a full or partial waiver, or deny the waiver. The EPA issued 85 refinery exemptions for 2016-2018 compliance years, undercutting the statutory renewable fuel volumes by a total of 4.0 billion gallons.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December 7, 2021, the EPA issued proposed volumes for 2021 and 2022 and reduced the previously finalized volumes for 2020 to account for challenges for that year including the COVID-19 pandemic. The proposed volumes for conventional biofuels were 13.32 billion gallons and 15.0 billion gallons for 2021 and 2022, respectively. The 2020 volumes were proposed at 12.5 billion gallons, down from the previously finalized 15.0 billion gallons.</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 addition, the EPA proposed denying 65 pending applications for SREs in response to the 2020 decision by the U.S. Court of Appeals for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Circuit. The EPA also proposed adding 250 million gallons of “supplemental obligation” to the 2022 proposed volumes and stated its intent to add another 250 million gallons to 2023 to address the remand of the 2016 waiver by the D.C Circuit. The EPA implemented a public notice and comment process on this announcement.</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Russian-Ukraine conflict, there is a concern that the corn supply will be adversely affected, with a potential impact on price and corn availability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these trends and uncertainties continue, our future operating results are likely to be negatively impacted.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results from operations (amounts in thousands):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5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774,802</w:t>
            </w:r>
          </w:p>
        </w:tc>
        <w:tc>
          <w:tcPr>
            <w:tcW w:w="3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372,664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677,242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353,131</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97,560</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19,533</w:t>
            </w: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520" w:type="dxa"/>
            <w:vAlign w:val="bottom"/>
            <w:vMerge w:val="continue"/>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4,212</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5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(19,031)</w:t>
            </w:r>
          </w:p>
        </w:tc>
        <w:tc>
          <w:tcPr>
            <w:tcW w:w="3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 (continuing operations)</w:t>
            </w:r>
          </w:p>
        </w:tc>
        <w:tc>
          <w:tcPr>
            <w:tcW w:w="4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520" w:type="dxa"/>
            <w:vAlign w:val="bottom"/>
            <w:vMerge w:val="continue"/>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1,880</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 (discontinued operations)</w:t>
            </w:r>
          </w:p>
        </w:tc>
        <w:tc>
          <w:tcPr>
            <w:tcW w:w="5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4,792</w:t>
            </w:r>
          </w:p>
        </w:tc>
        <w:tc>
          <w:tcPr>
            <w:tcW w:w="3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1,121</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E5FFFF"/>
              <w:bottom w:val="single" w:sz="8" w:color="E5FF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5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66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22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net sales and revenue by product group:</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w:t>
            </w:r>
          </w:p>
        </w:tc>
        <w:tc>
          <w:tcPr>
            <w:tcW w:w="10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613,597</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w w:val="95"/>
              </w:rPr>
              <w:t>284,191</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Dried distillers grains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Non-food grade corn oil</w:t>
            </w:r>
          </w:p>
        </w:tc>
        <w:tc>
          <w:tcPr>
            <w:tcW w:w="9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38,852</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15,066</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Modified distillers grains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9,104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Derivative financial instruments losses</w:t>
            </w:r>
          </w:p>
        </w:tc>
        <w:tc>
          <w:tcPr>
            <w:tcW w:w="9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w w:val="97"/>
              </w:rPr>
              <w:t>(12,109)</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(1,167)</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continuing operations</w:t>
            </w:r>
          </w:p>
        </w:tc>
        <w:tc>
          <w:tcPr>
            <w:tcW w:w="90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774,802</w:t>
            </w: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5"/>
              </w:rPr>
              <w:t>372,664</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6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Refined coal (discontinued operations) </w:t>
            </w:r>
            <w:r>
              <w:rPr>
                <w:rFonts w:ascii="Times New Roman" w:cs="Times New Roman" w:eastAsia="Times New Roman" w:hAnsi="Times New Roman"/>
                <w:sz w:val="29"/>
                <w:szCs w:val="29"/>
                <w:color w:val="auto"/>
                <w:vertAlign w:val="superscript"/>
              </w:rPr>
              <w:t>1</w:t>
            </w: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160" w:type="dxa"/>
            <w:vAlign w:val="bottom"/>
            <w:vMerge w:val="continue"/>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60" w:firstLine="8"/>
        <w:spacing w:after="0" w:line="195" w:lineRule="auto"/>
        <w:tabs>
          <w:tab w:leader="none" w:pos="11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Refined coal sales were recorded net of the cost of coal as the Company purchased the coal feedstock from the same customer to which the processed refined coal was sold.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selected operating data:</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5"/>
        </w:trPr>
        <w:tc>
          <w:tcPr>
            <w:tcW w:w="5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Fiscal Year</w:t>
            </w:r>
          </w:p>
        </w:tc>
      </w:tr>
      <w:tr>
        <w:trPr>
          <w:trHeight w:val="223"/>
        </w:trPr>
        <w:tc>
          <w:tcPr>
            <w:tcW w:w="5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5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gallon of ethanol (net of hedging)</w:t>
            </w:r>
          </w:p>
        </w:tc>
        <w:tc>
          <w:tcPr>
            <w:tcW w:w="15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Gallons of ethanol sold (in millions)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r>
      <w:tr>
        <w:trPr>
          <w:trHeight w:val="216"/>
        </w:trPr>
        <w:tc>
          <w:tcPr>
            <w:tcW w:w="5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ton of dried distillers grains</w:t>
            </w:r>
          </w:p>
        </w:tc>
        <w:tc>
          <w:tcPr>
            <w:tcW w:w="15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197.86</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144.73</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Tons of dried distillers grains sold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631,818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495,915</w:t>
            </w:r>
          </w:p>
        </w:tc>
      </w:tr>
      <w:tr>
        <w:trPr>
          <w:trHeight w:val="216"/>
        </w:trPr>
        <w:tc>
          <w:tcPr>
            <w:tcW w:w="5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pound of non-food grade corn oil</w:t>
            </w:r>
          </w:p>
        </w:tc>
        <w:tc>
          <w:tcPr>
            <w:tcW w:w="15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Pounds of non-food grade corn oil sold (in millions)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5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ton of modified distillers grains</w:t>
            </w:r>
          </w:p>
        </w:tc>
        <w:tc>
          <w:tcPr>
            <w:tcW w:w="15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64.80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Tons of modified distillers grains sold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106,864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40,521</w:t>
            </w:r>
          </w:p>
        </w:tc>
      </w:tr>
      <w:tr>
        <w:trPr>
          <w:trHeight w:val="216"/>
        </w:trPr>
        <w:tc>
          <w:tcPr>
            <w:tcW w:w="5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cost per bushel of grain</w:t>
            </w:r>
          </w:p>
        </w:tc>
        <w:tc>
          <w:tcPr>
            <w:tcW w:w="15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Average cost of natural gas (per MmBtu)</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2021 and 2020 (Consolidated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Revenue </w:t>
      </w:r>
      <w:r>
        <w:rPr>
          <w:rFonts w:ascii="Times New Roman" w:cs="Times New Roman" w:eastAsia="Times New Roman" w:hAnsi="Times New Roman"/>
          <w:sz w:val="18"/>
          <w:szCs w:val="18"/>
          <w:color w:val="auto"/>
        </w:rPr>
        <w:t>– Net sales and revenue in fiscal year 2021 increased approximately 108% compared to fiscal year 2020. Both of our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plants produced at or near capacity during fiscal year 2021. In addition, stronger commodity pricing in fiscal year 2021 contributed to the increase in sales between the two fiscal years.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Ethanol sales increased in fiscal year 2021 compared to fiscal year 2020 as the number of gallons increased 28% and the average selling price increased 70% over the same period. The increase in ethanol selling price resulted primarily from an increase in demand and an increase in commodity prices.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Dried distillers grains sales increased 74% in fiscal year 2021 compared to fiscal year 2020 as the number of tons sold increased 27% and the average selling price per ton increased 37%.</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Non-food grade corn oil sales increased 158% as the number of pounds sold increased 31% and the average selling price increased 92% in fiscal year 2021 over the prior fiscal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Modified distillers grains sales increased 247% in fiscal year 2021 compared to fiscal year 2020 as the number of tons sold increased 164% and the average selling price per ton increased 31%.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Losses on derivative financial instruments were approximately $12.1 million during fiscal year 2021, compared to $1.2 million in fiscal year 2020. The increase in losses on derivative financial instruments resulted primarily from an increase in volatility in the commodity markets during 2021.</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volume increases discussed above were primarily a result of operating near full capacity in the current year versus fiscal 2020, which was negatively impacted by lower demand due to the COVID-19 outbreak, lower ethanol pricing, an oversupply of oil and diminished local supplies of corn from a poor 2019 harvest caused by localized weather conditions. These factors resulted in idling both of our consolidated ethanol plants in March of 2020. In May of 2020, businesses and other activities slowly began to reopen, which led to an increase in demand for gasoline and ethanol, and in related prices. As a result, we resumed production at the One Earth ethanol plant in May of 2020 and at the NuGen ethanol plant in June of 2020. In addition, stronger commodity pricing during fiscal year 2021 contributed to the increase in sales between the two fiscal years.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Gross profit for fiscal year 2021 increased approximately $78.0 million, or 399%, over fiscal year 2020. Gross profit in fiscal year 2021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12.6% of net sales and revenue, versus approximately 5.2% of net sales and revenue in fiscal year 2020. The primary contributor to the increase in gross profit was the increased crush spread and improved pricing for distillers grain and corn oil. The crush spread for fiscal year 2021 was approximately $0.16 per gallon of ethanol sold compared to approximately $0.03 per gallon of ethanol sold during fiscal year 2020. Additionally, both of our consolidated ethanol plants were idled for portions of fiscal year 2020. Consequently, a return to operating at or near capacity during fiscal year 2021 contributed to the increased gross profit for fiscal year 2021 compared to fiscal year 2020. Given the inherent volatility in ethanol, distillers grains, non-food grade corn oil, grain and natural gas prices, we cannot predict the likelihood that the spread between ethanol, distillers grains, non-food grade corn oil and grain prices in future periods will be consistent with prices in historical periods.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Grain accounted for approximately 84% ($568.9 million) of our cost of sales during fiscal year 2021 compared to approximately 78% ($274.6 million) during fiscal year 2020. Natural gas accounted for approximately 4% ($29.4 million) of our cost of sales during fiscal year 2021 compared to approximately 5% ($17.7 million) during fiscal year 2020. Both the grain and natural gas dollar increases were primarily attributable to an increase in the cost per unit. Incrementally, the higher production levels incurred in fiscal year 2021 compared to fiscal year 2020 also contributed to the increase.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attempt to match quantities of ethanol, distillers grains and non-food grade corn oil sale contracts with an appropriate quantity of grain purchase contracts over a given period of time when we can obtain an adequate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durations of time. As a result of the relatively short period of time our fixed price contracts cover, we generally cannot predict the future movements in our realized crush spread for more than four months. We utilize derivative financial instruments, primarily exchange traded commodity future contracts and swaps, in conjunction with our grain procurement and commodity marketing activities.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(“SG&amp;A”) Expenses </w:t>
      </w:r>
      <w:r>
        <w:rPr>
          <w:rFonts w:ascii="Times New Roman" w:cs="Times New Roman" w:eastAsia="Times New Roman" w:hAnsi="Times New Roman"/>
          <w:sz w:val="18"/>
          <w:szCs w:val="18"/>
          <w:color w:val="auto"/>
        </w:rPr>
        <w:t>– SG&amp;A expenses for fiscal year 2021 were approximately $28.5 million (3.7% of net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an increase of approximately $10.9 million or 61% from approximately $17.6 million (4.7% of net sales and revenue) for fiscal year 2020. The increase was due, in part, to higher outbound freight expense, as more of our sales contracts provided for shipping to be paid by us in fiscal year 2021 compared to fiscal year 2020. In addition, the increase reflected higher incentive compensation expense associated with higher profitability levels in fiscal year 2021 compared to fiscal year 2020.</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 Income of Unconsolidated Ethanol Affiliates </w:t>
      </w:r>
      <w:r>
        <w:rPr>
          <w:rFonts w:ascii="Times New Roman" w:cs="Times New Roman" w:eastAsia="Times New Roman" w:hAnsi="Times New Roman"/>
          <w:sz w:val="18"/>
          <w:szCs w:val="18"/>
          <w:color w:val="auto"/>
        </w:rPr>
        <w:t>– During fiscal years 2021 and 2020, we recognized income of approximately $6.6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$0.5 million, respectively, from our equity investment in Big River Resources, LLC (“Big River”). Our investment in Big River, which has interests in four ethanol production plants, represents an effective ownership of approximately 365 million gallons of ethanol shipped in the trailing twelve months ended January 31, 2022. Big River’s 2020 financial results were impacted by reduced ethanol demand related to the COVID-19 pandemic.</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the operating experience of Big River to be generally consistent with the trends in crush spread margins described in the “Overview” section as Big River’s results are dependent on the same key drivers as our other ethanol investments (ethanol, corn, dried distillers grains and natural gas pricing).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Other Income </w:t>
      </w:r>
      <w:r>
        <w:rPr>
          <w:rFonts w:ascii="Times New Roman" w:cs="Times New Roman" w:eastAsia="Times New Roman" w:hAnsi="Times New Roman"/>
          <w:sz w:val="18"/>
          <w:szCs w:val="18"/>
          <w:color w:val="auto"/>
        </w:rPr>
        <w:t>– Interest and other income for fiscal year 2021 was approximately $0.1 million compared to approximately $1.8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2020. Interest income decreased as yields on our excess cash decreased in fiscal year 2021.</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Continuing Operations Before Income Taxes </w:t>
      </w:r>
      <w:r>
        <w:rPr>
          <w:rFonts w:ascii="Times New Roman" w:cs="Times New Roman" w:eastAsia="Times New Roman" w:hAnsi="Times New Roman"/>
          <w:sz w:val="18"/>
          <w:szCs w:val="18"/>
          <w:color w:val="auto"/>
        </w:rPr>
        <w:t>– As a result of the foregoing, income from continuing operations before income taxes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$75.8 million for fiscal year 2021 versus approximately $4.2 million for fiscal year 2020.</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(Benefit) for Income Taxes </w:t>
      </w:r>
      <w:r>
        <w:rPr>
          <w:rFonts w:ascii="Times New Roman" w:cs="Times New Roman" w:eastAsia="Times New Roman" w:hAnsi="Times New Roman"/>
          <w:sz w:val="18"/>
          <w:szCs w:val="18"/>
          <w:color w:val="auto"/>
        </w:rPr>
        <w:t>– Our effective tax rate was a provision of 25.1% and a benefit of 13.0% for fiscal years 2021 and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Our effective rate is impacted by the noncontrolling interests of the companies we consolidate, as we recognize 100% of their income or loss before income taxes and noncontrolling interests. However, we only provide an income tax provision or benefit for our portion of the subsidiaries’ income or loss. During fiscal years 2021 and 2020, our effective tax rate decreased 6.8% (approximately $5.2 million) and 47.7% (approximately $2.0 million), respectively, from the statutory rate, as a result of research and experimentation credits earned by our ethanol plants. The amount of these credits earned in future periods will vary depending on the level of qualifying research expenditures at our ethanol plants. The provision for uncertain tax positions increased our effective tax rate 10.9% (approximately $8.3 million) and 24.8% (approximately $1.0 million) in fiscal year 2021 and 2020, respectively, from the statutory rate.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from Continuing Operations </w:t>
      </w:r>
      <w:r>
        <w:rPr>
          <w:rFonts w:ascii="Times New Roman" w:cs="Times New Roman" w:eastAsia="Times New Roman" w:hAnsi="Times New Roman"/>
          <w:sz w:val="18"/>
          <w:szCs w:val="18"/>
          <w:color w:val="auto"/>
        </w:rPr>
        <w:t>– As a result of the foregoing, net income from continuing operations was approximately $56.8 million for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2021 versus approximately $4.8 million for fiscal year 2020.</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Noncontrolling Interests (continuing operations) </w:t>
      </w:r>
      <w:r>
        <w:rPr>
          <w:rFonts w:ascii="Times New Roman" w:cs="Times New Roman" w:eastAsia="Times New Roman" w:hAnsi="Times New Roman"/>
          <w:sz w:val="18"/>
          <w:szCs w:val="18"/>
          <w:color w:val="auto"/>
        </w:rPr>
        <w:t>– Income attributable to noncontrolling interests (continuing operations) was approximately $9.2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$2.9 million during fiscal years 2021 and 2020, respectively, and represents the other owners’ share of the income of NuGen and One Earth.</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REX Common Shareholders (continuing operations) </w:t>
      </w:r>
      <w:r>
        <w:rPr>
          <w:rFonts w:ascii="Times New Roman" w:cs="Times New Roman" w:eastAsia="Times New Roman" w:hAnsi="Times New Roman"/>
          <w:sz w:val="18"/>
          <w:szCs w:val="18"/>
          <w:color w:val="auto"/>
        </w:rPr>
        <w:t>– As a result of the foregoing, net income attributable to REX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(continuing operations) was approximately $47.6 million for fiscal year 2021 compared to $1.9 million for fiscal year 2020.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from discontinued operations include the consolidated financial results of our refined coal business and certain administrative expenses. We acquired the refined coal entity during the third quarter of fiscal year 2017. Our refined coal facility was eligible to earn Section 45 production tax credits. The Company ceased operation of its refined coal business as tax credits could no longer be earned on its operation beginning November 18, 2021. Beginning in the third quarter of fiscal year 2021, the results of the operation of the refined coal business have been recognized as discontinued operations. The refined coal business operated at a loss but generated tax credits that normally exceeded the operating loss.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refined coal entity sold one product, refined coal. We recorded sales in the refined coal segment net of the cost of coal as we purchased the coal feedstock from the customer to which refined coal is sold. Sales increased from approximately $182,000 in the prior year to approximately $400,000 in the current year. During fiscal year 2020, operating results were adversely affected by lower utility plant demand from our only customer. Throughout our ownership of the refined coal business, sales varied depending on fluctuations in demand from the site host utility, which generally changed based upon weather conditions in the geographic markets the utility served and competing fuel prices and supplies.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loss was approximately $8.2 million in fiscal year 2021, which was approximately $2.5 million higher compared to approximately $5.7 million of gross loss in fiscal year 2020. The increase in gross loss results primarily from higher refined coal production in fiscal year 2021 compared to fiscal year 2020.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benefit for income taxes was approximately $13.3 million and approximately $6.6 million during fiscal years 2021 and 2020, respectively. These amounts include the benefit of Section 45 production tax credits and a benefit related to operating loss before income taxes. The increase in the benefit for income taxes primarily results from higher production in fiscal year 2021 compared to fiscal year 2020.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related to noncontrolling interests was approximately $0.4 million and $0.3 million during fiscal years 2021 and 2020, respectively. This amount represents the other owner’s share of the pre-tax loss of refined coal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REX common shareholders from discontinued operations, net of tax, for fiscal year 2021 was approximately $4.8 million, an increase of $3.7 million from the net income attributable to REX common shareholders from discontinued operations, net of tax, of approximately $1.1 million for fiscal year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including results from both continuing and discontinued operations, net income attributable to REX common shareholders was approximately $52.4 million and approximately $3.0 million for fiscal years 2021 and 2020,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Comparison of Fiscal Years 2020 and 2019</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in our Annual Report on Form 10-K for the year ended January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primary sources of cash have been income from operations. Our primary uses of cash have been capital expenditures at our ethanol plants, stock repurchases and contributions to fund refined coal operating losses.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Outlook </w:t>
      </w:r>
      <w:r>
        <w:rPr>
          <w:rFonts w:ascii="Times New Roman" w:cs="Times New Roman" w:eastAsia="Times New Roman" w:hAnsi="Times New Roman"/>
          <w:sz w:val="18"/>
          <w:szCs w:val="18"/>
          <w:color w:val="auto"/>
        </w:rPr>
        <w:t>– Our cash and short-term investments balance of approximately $255.7 million at January 31, 2022 included approximately $212.8 million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One Earth and NuGen. We expect that One Earth and NuGen will use a majority of their cash for working capital needs, capital expenditures, general corporate purposes and dividend payments. We expect our equity method investee to limit the payment of dividends based upon working capital needs.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investigating various uses of our excess cash. We have a stock buyback program with an authorization level of an additional approximately 449,000 shares at January 31, 2022. We typically repurchase our common stock when our stock price is trading at prices we deem to be a discount to the underlying value of our net assets. We plan to seek and evaluate various investment opportunities including ethanol and/or energy related, carbon sequestration related, agricultural or other ventures we believe fit our investment criteria.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capital expenditures to be in the range of approximately $15 million to $20 million in fiscal year 2022 for various projects at our consolidated ethanol plants and our carbon sequestration project. However, actual capital expenditures could vary from this range for unexpected expenditures as our plants continue to age or potential projects materialize. We expect to fund these capital expenditures with available cash at our ethanol plant subsidiaries.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 Net cash provided by operating activities was approximately $91.7 million for fiscal year 2021 compared to approximately $8.6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fiscal year 2020. During fiscal year 2021, operating cash flow was provided by net income from continuing operations of approximately $56.8 million and adjustments of approximately $31.4 million, which consisted of depreciation, amortization of operating lease right-of-use assets, stock based compensation expense, income from equity method investments, interest income from investments, and the deferred income tax provision. Big River paid dividends to REX of approximately $5.5 million during fiscal year 2021. Accounts receivable increased approximately $6.1 million, primarily a result of the timing of products shipped and the receipt of customer payments at One Earth and NuGen. Inventory increased approximately $4.8 million, primarily a result of larger quantities of finished goods and higher per unit costs at January 31, 2022. Prepaid expenses and other assets decreased approximately $0.2 million, primarily a result of a slight change in fair values of forward purchase contracts. Accounts payable increased approximately $16.0 million, primarily a result of the timing of inventory receipts and vendor payments. Refundable income taxes increased $1.1 million as a result of the timing of estimated tax payments. Accrued expenses and other liabilities increased approximately $0.5 million, which was primarily a result of operating lease payments and higher incentive compensation in fiscal year 2021. Discontinued operations used cash of $6.7 million in fiscal year 2021.</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$8.6 million for fiscal year 2020. During fiscal year 2020, operating cash flow was provided by net income from continuing operations of approximately $4.8 million and adjustments of approximately $21.9 million, which consisted of depreciation, amortization of operating lease right-of-use assets, stock based compensation expense, income from equity method investments, interest income from investments, and the deferred income tax provision. Big River paid dividends to REX of approximately $3.5 million during fiscal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year 2020. Accounts receivable increased approximately $6.7 million, primarily a result of the timing of products shipped and the receipt of customer payments at One Earth and NuGen. Inventory increased approximately $2.3 million, primarily a result of larger quantities of finished goods and higher per unit costs at January 31, 2021. Prepaid expenses and other assets increased approximately $3.2 million, primarily a result of higher fair values of forward purchase contracts. Accounts payable decreased approximately $2.6 million, primarily a result of the timing of inventory receipts and vendor payments. Accrued expenses and other liabilities decreased approximately $3.5 million, which was primarily a result of operating lease payments and lower incentive compensation in fiscal year 2020. Discontinued operations used cash of $2.8 million in fiscal year 2021.</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Net cash provided by investing activities was approximately $5.3 million during fiscal year 2021 compared to net cash used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$20.8 million during fiscal year 2020. Capital expenditures in fiscal year 2021 totaled approximately $5.1 million, the majority of which were various projects at One Earth’s and NuGen’s ethanol plants. During fiscal year 2021, we used cash of approximately $88.9 million for purchases of short-term investments and received cash of approximately $99.3 million related to maturities of these investments.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approximately $20.8 million during fiscal year 2020. Capital expenditures in fiscal year 2020 totaled approximately $10.4 million, the majority of which were various projects at One Earth’s and NuGen’s ethanol plants. During fiscal year 2020, we used cash of approximately $96.2 million for purchases of short-term investments and received cash of approximately $86.3 million related to maturities of these investments as certain of these investments remained outstanding at January 31, 2021.</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 Net cash used in financing activities was approximately $11.1 million during fiscal year 2021 compared to approximately $22.4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fiscal year 2020. During fiscal year 2021, we purchased approximately 84,000 shares of our common stock for approximately $6.6 million in open market transactions. During fiscal year 2021, we used cash of approximately $4.8 million to purchase shares from and pay dividends to noncontrolling members of the entities that own One Earth’s and NuGen’s ethanol plants. During fiscal year 2021, we received approximately $0.3 million in capital contributions from the minority investor in the refined coal business which is now classified as discontinued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approximately $22.4 million during fiscal year 2020. During fiscal year 2020, we purchased approximately 315,000 shares of our common stock for approximately $19.6 million in open market transactions. During fiscal year 2020, we used cash of approximately $2.9 million to purchase shares from and pay dividends to noncontrolling members of the entities that own One Earth’s and NuGen’s ethanol plants. During fiscal year 2020, we received approximately $0.1 million in capital contributions from the minority investor in the refined coal business which is now classified as discontinued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forecasts, which are primarily based on estimates of plant production, prices of ethanol, corn, distillers grains, non-food grade corn oil and natural gas as well as other assumptions, management believes that cash flow from operating activities together with working capital will be sufficient to meet One Earth’s and NuGen’s respective liquidity needs. However, if a material adverse change in the financial position of One Earth or NuGen should occur, or if actual sales or expenses are substantially different than what has been forecasted (because of the COVID-19 pandemic or other factors), One Earth’s and NuGen’s liquidity, and ability to fund future operating and capital requirements could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2.8% of our net assets are restricted pursuant to the terms of various loan agreements of our equity method investee as of January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consolidated subsidiaries or the parent company has restricted net assets at January 31,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under which we are legally obligated to make future cash payments. These agreements include obligations related to purchasing inventory and leasing rail cars. Aggregate minimum lease payments under the operating lease agreements for future fiscal years as of January 31, 2022 totaled $11.7 million, with $5.0 million payable in the next twelve months. Refer to Note 7 – Leases included in the notes to consolidated financial statements for more information. As of January 31, 2022, we had contracted future purchases of grain, natural gas, natural gas pipeline and other contracts valued at approximately $107.0 million, with $103.1 payable in the next twelve months. Refer to Note 11 – Commitments included in the notes to consolidated financial statements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Fluctuations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directly affected by the supply and demand for ethanol. The demand for ethanol typically increases during the spring and summer months and during holiday travel.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 application of the following accounting policies, which are important to our financial position and results of operations, require significant assumptions, judgments and estimates on the part of management. We base our assumptions, judgments, and estimates on historical experience, current trends and other factors that management believes to be relevant at the time our consolidated financial statements are prepared. On a regular basis, management reviews the accounting policies, assumptions, estimates and judgments to ensure that our financial statements are presented in accordance with generally accepted accounting principles (GAAP). However, because future events and their effects cannot be determined with certainty, actual results could differ from our assumptions and estimates, and such differences could be material. Further, if different assumptions, judgments and estimates had been used, the results could have been different and such differences could be material. For a summary of all of our accounting policies, including the accounting policies discussed below, see Note 1 to the Consolidated Financial Statements.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believes that the following accounting policies are the most critical to aid in fully understanding and evaluating our reported financial results, and they require management’s most difficult, subjective or complex judgments, resulting from the need to make estimates about the effect of matters that are inherently uncertain.</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We recognize sales of ethanol, distillers grains and non-food grade corn oil when obligations under the terms of the respective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with customers are satisfied; this occurs with the transfer of control of products, generally upon shipment from the ethanol plant or upon loading of the rail car used to transport the products.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 We review our long-lived assets, consisting of property and equipment, equity method investments and operating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right-of-use assets, for impairment whenever events or changes in circumstances indicate the carrying amount of the asset may not be recoverable. We assess long-lived assets for impairment by first determining the forecasted, undiscounted cash flows the asset group is expected to generate. If this total is less than the carrying value of the asset, we will then determine the fair value of the asset group. An impairment loss would be recognized in the amount by which the carrying amount of the asset exceeded the fair value of the asset. Significant management judgement is required to determine the fair value of long-lived assets, which includes discounted cash flows. Such estimates could be significantly affected by future changes in market conditions. We recorded no impairment charges in fiscal years 2021, 2020, and 2019. During fiscal year 2020, we concluded the impact of the COVID-19 pandemic on our industry and our operating results was an indicator that impairment may exist related to certain of our long-lived assets. As a result, we performed a recoverability test for the One Earth and NuGen asset groups (the lowest level at which</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t>related cash flows can be identified) and determined that there was no impairment as the gross undiscounted future cash flows substantially exceeded the respective carrying values.</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Income taxes are recorded based on the current year amounts payable or refundable, as well as the consequences of events that give rise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tax assets and liabilities based on differences in how those events are treated for tax purposes, net of valuation allowances. We base our estimate of deferred tax assets and liabilities on current tax laws and rates and other expectations about future outcomes. Changes in existing regulatory tax laws and rates and future business results may affect the amount of deferred tax liabilities or the valuation of deferred tax assets over time. We have established valuation allowances for certain state net operating loss carryforwards. We assessed all available positive and negative evidence to determine whether we expect sufficient future taxable income will be generated to allow for the realization of existing federal deferred tax assets. We believe there is sufficient objectively verifiable income for management to conclude that it is more likely than not that the Company will utilize available federal deferred tax assets prior to their expiration. However, realization of these deferred tax assets is not certain. Changes in our current estimates for factors such as unanticipated market conditions and legislative developments could have a material effect on our ability to utilize deferred tax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related to recent accounting pronouncements, see Note 1 of the Notes to the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impact of market fluctuations associated with commodity prices as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a portion of our risk with respect to the volatility of commodity prices inherent in the ethanol industry by using forward purchase and sale contracts. At January 31, 2022, One Earth and NuGen combined had purchase commitments for approximately 19.3 million bushels of corn, the principal raw material for their ethanol plants. At January 31, 2022, One Earth and NuGen combined had purchase commitments for approximately 1.8 million MmBtu of natural gas. At January 31, 2022, One Earth and NuGen had combined sales commitments for approximately 47.7 million gallons of ethanol, 97,000 tons of distillers grains and 14.5 million pounds of non-food grade corn oil. Our exposures to market risk, which include the impact of our risk management activities, are based on the estimated effect on pre-tax income starting on January 31, 2022, are as follows (amounts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 Total</w:t>
            </w: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Decrease in Pre-tax</w:t>
            </w:r>
          </w:p>
        </w:tc>
      </w:tr>
      <w:tr>
        <w:trPr>
          <w:trHeight w:val="216"/>
        </w:trPr>
        <w:tc>
          <w:tcPr>
            <w:tcW w:w="9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Volume for the</w:t>
            </w: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From a 10%</w:t>
            </w:r>
          </w:p>
        </w:tc>
      </w:tr>
      <w:tr>
        <w:trPr>
          <w:trHeight w:val="198"/>
        </w:trPr>
        <w:tc>
          <w:tcPr>
            <w:tcW w:w="3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Commodity</w:t>
            </w:r>
          </w:p>
        </w:tc>
        <w:tc>
          <w:tcPr>
            <w:tcW w:w="1920" w:type="dxa"/>
            <w:vAlign w:val="bottom"/>
          </w:tcPr>
          <w:p>
            <w:pPr>
              <w:spacing w:after="0"/>
              <w:rPr>
                <w:sz w:val="17"/>
                <w:szCs w:val="17"/>
                <w:color w:val="auto"/>
              </w:rPr>
            </w:pPr>
          </w:p>
        </w:tc>
        <w:tc>
          <w:tcPr>
            <w:tcW w:w="1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Next 12 Months</w:t>
            </w:r>
          </w:p>
        </w:tc>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Unit of Measure</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Adverse Change in Price</w:t>
            </w:r>
          </w:p>
        </w:tc>
      </w:tr>
      <w:tr>
        <w:trPr>
          <w:trHeight w:val="237"/>
        </w:trPr>
        <w:tc>
          <w:tcPr>
            <w:tcW w:w="920" w:type="dxa"/>
            <w:vAlign w:val="bottom"/>
            <w:tcBorders>
              <w:top w:val="single" w:sz="8" w:color="auto"/>
            </w:tcBorders>
          </w:tcPr>
          <w:p>
            <w:pPr>
              <w:spacing w:after="0"/>
              <w:rPr>
                <w:sz w:val="20"/>
                <w:szCs w:val="20"/>
                <w:color w:val="auto"/>
              </w:rPr>
            </w:pPr>
          </w:p>
        </w:tc>
        <w:tc>
          <w:tcPr>
            <w:tcW w:w="2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6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w:t>
            </w:r>
          </w:p>
        </w:tc>
        <w:tc>
          <w:tcPr>
            <w:tcW w:w="3680" w:type="dxa"/>
            <w:vAlign w:val="bottom"/>
            <w:gridSpan w:val="3"/>
            <w:shd w:val="clear" w:color="auto" w:fill="E5FFFF"/>
          </w:tcPr>
          <w:p>
            <w:pPr>
              <w:jc w:val="right"/>
              <w:ind w:right="540"/>
              <w:spacing w:after="0"/>
              <w:rPr>
                <w:sz w:val="20"/>
                <w:szCs w:val="20"/>
                <w:color w:val="auto"/>
              </w:rPr>
            </w:pPr>
            <w:r>
              <w:rPr>
                <w:rFonts w:ascii="Times New Roman" w:cs="Times New Roman" w:eastAsia="Times New Roman" w:hAnsi="Times New Roman"/>
                <w:sz w:val="18"/>
                <w:szCs w:val="18"/>
                <w:color w:val="auto"/>
              </w:rPr>
              <w:t>280,000</w:t>
            </w:r>
          </w:p>
        </w:tc>
        <w:tc>
          <w:tcPr>
            <w:tcW w:w="19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Gallons</w:t>
            </w:r>
          </w:p>
        </w:tc>
        <w:tc>
          <w:tcPr>
            <w:tcW w:w="1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rPr>
              <w:t>$61,039</w:t>
            </w:r>
          </w:p>
        </w:tc>
        <w:tc>
          <w:tcPr>
            <w:tcW w:w="20" w:type="dxa"/>
            <w:vAlign w:val="bottom"/>
            <w:shd w:val="clear" w:color="auto" w:fill="E5FF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Corn</w:t>
            </w:r>
          </w:p>
        </w:tc>
        <w:tc>
          <w:tcPr>
            <w:tcW w:w="36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100,000</w:t>
            </w: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Bushels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$51,948</w:t>
            </w:r>
          </w:p>
        </w:tc>
        <w:tc>
          <w:tcPr>
            <w:tcW w:w="20" w:type="dxa"/>
            <w:vAlign w:val="bottom"/>
          </w:tcPr>
          <w:p>
            <w:pPr>
              <w:spacing w:after="0"/>
              <w:rPr>
                <w:sz w:val="18"/>
                <w:szCs w:val="18"/>
                <w:color w:val="auto"/>
              </w:rPr>
            </w:pPr>
          </w:p>
        </w:tc>
      </w:tr>
      <w:tr>
        <w:trPr>
          <w:trHeight w:val="216"/>
        </w:trPr>
        <w:tc>
          <w:tcPr>
            <w:tcW w:w="36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Distillers Grains</w:t>
            </w:r>
          </w:p>
        </w:tc>
        <w:tc>
          <w:tcPr>
            <w:tcW w:w="3680" w:type="dxa"/>
            <w:vAlign w:val="bottom"/>
            <w:gridSpan w:val="3"/>
            <w:shd w:val="clear" w:color="auto" w:fill="E5FFFF"/>
          </w:tcPr>
          <w:p>
            <w:pPr>
              <w:jc w:val="right"/>
              <w:ind w:right="540"/>
              <w:spacing w:after="0"/>
              <w:rPr>
                <w:sz w:val="20"/>
                <w:szCs w:val="20"/>
                <w:color w:val="auto"/>
              </w:rPr>
            </w:pPr>
            <w:r>
              <w:rPr>
                <w:rFonts w:ascii="Times New Roman" w:cs="Times New Roman" w:eastAsia="Times New Roman" w:hAnsi="Times New Roman"/>
                <w:sz w:val="18"/>
                <w:szCs w:val="18"/>
                <w:color w:val="auto"/>
              </w:rPr>
              <w:t>745</w:t>
            </w:r>
          </w:p>
        </w:tc>
        <w:tc>
          <w:tcPr>
            <w:tcW w:w="19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Tons</w:t>
            </w:r>
          </w:p>
        </w:tc>
        <w:tc>
          <w:tcPr>
            <w:tcW w:w="1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w w:val="99"/>
              </w:rPr>
              <w:t>$11,714</w:t>
            </w:r>
          </w:p>
        </w:tc>
        <w:tc>
          <w:tcPr>
            <w:tcW w:w="20" w:type="dxa"/>
            <w:vAlign w:val="bottom"/>
            <w:shd w:val="clear" w:color="auto" w:fill="E5FF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Non-food grade Corn Oil</w:t>
            </w:r>
          </w:p>
        </w:tc>
        <w:tc>
          <w:tcPr>
            <w:tcW w:w="36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79,000</w:t>
            </w: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Pounds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$ 3,981</w:t>
            </w:r>
          </w:p>
        </w:tc>
        <w:tc>
          <w:tcPr>
            <w:tcW w:w="20" w:type="dxa"/>
            <w:vAlign w:val="bottom"/>
          </w:tcPr>
          <w:p>
            <w:pPr>
              <w:spacing w:after="0"/>
              <w:rPr>
                <w:sz w:val="18"/>
                <w:szCs w:val="18"/>
                <w:color w:val="auto"/>
              </w:rPr>
            </w:pPr>
          </w:p>
        </w:tc>
      </w:tr>
      <w:tr>
        <w:trPr>
          <w:trHeight w:val="216"/>
        </w:trPr>
        <w:tc>
          <w:tcPr>
            <w:tcW w:w="36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Natural Gas</w:t>
            </w:r>
          </w:p>
        </w:tc>
        <w:tc>
          <w:tcPr>
            <w:tcW w:w="3680" w:type="dxa"/>
            <w:vAlign w:val="bottom"/>
            <w:gridSpan w:val="3"/>
            <w:shd w:val="clear" w:color="auto" w:fill="E5FFFF"/>
          </w:tcPr>
          <w:p>
            <w:pPr>
              <w:jc w:val="right"/>
              <w:ind w:right="540"/>
              <w:spacing w:after="0"/>
              <w:rPr>
                <w:sz w:val="20"/>
                <w:szCs w:val="20"/>
                <w:color w:val="auto"/>
              </w:rPr>
            </w:pPr>
            <w:r>
              <w:rPr>
                <w:rFonts w:ascii="Times New Roman" w:cs="Times New Roman" w:eastAsia="Times New Roman" w:hAnsi="Times New Roman"/>
                <w:sz w:val="18"/>
                <w:szCs w:val="18"/>
                <w:color w:val="auto"/>
              </w:rPr>
              <w:t>7,400</w:t>
            </w:r>
          </w:p>
        </w:tc>
        <w:tc>
          <w:tcPr>
            <w:tcW w:w="19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MmBtu</w:t>
            </w:r>
          </w:p>
        </w:tc>
        <w:tc>
          <w:tcPr>
            <w:tcW w:w="1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w w:val="99"/>
              </w:rPr>
              <w:t>$ 2,430</w:t>
            </w:r>
          </w:p>
        </w:tc>
        <w:tc>
          <w:tcPr>
            <w:tcW w:w="20" w:type="dxa"/>
            <w:vAlign w:val="bottom"/>
            <w:shd w:val="clear" w:color="auto" w:fill="E5FFFF"/>
          </w:tcPr>
          <w:p>
            <w:pPr>
              <w:spacing w:after="0"/>
              <w:rPr>
                <w:sz w:val="18"/>
                <w:szCs w:val="18"/>
                <w:color w:val="auto"/>
              </w:rPr>
            </w:pPr>
          </w:p>
        </w:tc>
      </w:tr>
      <w:tr>
        <w:trPr>
          <w:trHeight w:val="405"/>
        </w:trPr>
        <w:tc>
          <w:tcPr>
            <w:tcW w:w="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1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20" w:type="dxa"/>
            <w:vAlign w:val="bottom"/>
            <w:tcBorders>
              <w:bottom w:val="single" w:sz="8" w:color="C0C0C0"/>
            </w:tcBorders>
          </w:tcPr>
          <w:p>
            <w:pPr>
              <w:spacing w:after="0"/>
              <w:rPr>
                <w:sz w:val="21"/>
                <w:szCs w:val="21"/>
                <w:color w:val="auto"/>
              </w:rPr>
            </w:pPr>
          </w:p>
        </w:tc>
        <w:tc>
          <w:tcPr>
            <w:tcW w:w="2760" w:type="dxa"/>
            <w:vAlign w:val="bottom"/>
            <w:tcBorders>
              <w:bottom w:val="single" w:sz="8" w:color="C0C0C0"/>
            </w:tcBorders>
          </w:tcPr>
          <w:p>
            <w:pPr>
              <w:spacing w:after="0"/>
              <w:rPr>
                <w:sz w:val="21"/>
                <w:szCs w:val="21"/>
                <w:color w:val="auto"/>
              </w:rPr>
            </w:pPr>
          </w:p>
        </w:tc>
        <w:tc>
          <w:tcPr>
            <w:tcW w:w="1920" w:type="dxa"/>
            <w:vAlign w:val="bottom"/>
            <w:tcBorders>
              <w:bottom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54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720" w:type="dxa"/>
            <w:vAlign w:val="bottom"/>
            <w:tcBorders>
              <w:bottom w:val="single" w:sz="8" w:color="C0C0C0"/>
            </w:tcBorders>
          </w:tcPr>
          <w:p>
            <w:pPr>
              <w:spacing w:after="0"/>
              <w:rPr>
                <w:sz w:val="21"/>
                <w:szCs w:val="21"/>
                <w:color w:val="auto"/>
              </w:rPr>
            </w:pPr>
          </w:p>
        </w:tc>
        <w:tc>
          <w:tcPr>
            <w:tcW w:w="190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6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28" w:lineRule="exact"/>
        <w:rPr>
          <w:sz w:val="20"/>
          <w:szCs w:val="20"/>
          <w:color w:val="auto"/>
        </w:rPr>
      </w:pPr>
    </w:p>
    <w:p>
      <w:pPr>
        <w:ind w:right="4360"/>
        <w:spacing w:after="0" w:line="228" w:lineRule="auto"/>
        <w:rPr>
          <w:sz w:val="20"/>
          <w:szCs w:val="20"/>
          <w:color w:val="auto"/>
        </w:rPr>
      </w:pPr>
      <w:r>
        <w:rPr>
          <w:rFonts w:ascii="Times New Roman" w:cs="Times New Roman" w:eastAsia="Times New Roman" w:hAnsi="Times New Roman"/>
          <w:sz w:val="22"/>
          <w:szCs w:val="22"/>
          <w:b w:val="1"/>
          <w:bCs w:val="1"/>
          <w:color w:val="auto"/>
        </w:rPr>
        <w:t>REX AMERICAN RESOURCES CORPORATION AND SUBSIDIARIES 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5"/>
                <w:szCs w:val="15"/>
                <w:color w:val="auto"/>
              </w:rPr>
            </w:pPr>
          </w:p>
        </w:tc>
        <w:tc>
          <w:tcPr>
            <w:tcW w:w="17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55"/>
        </w:trPr>
        <w:tc>
          <w:tcPr>
            <w:tcW w:w="9460" w:type="dxa"/>
            <w:vAlign w:val="bottom"/>
            <w:vMerge w:val="continue"/>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460" w:type="dxa"/>
            <w:vAlign w:val="bottom"/>
            <w:tcBorders>
              <w:top w:val="single" w:sz="8" w:color="E5FFFF"/>
            </w:tcBorders>
            <w:shd w:val="clear" w:color="auto" w:fill="E5FFFF"/>
          </w:tcPr>
          <w:p>
            <w:pPr>
              <w:ind w:left="20"/>
              <w:spacing w:after="0" w:line="142" w:lineRule="exact"/>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Borders>
              <w:top w:val="single" w:sz="8" w:color="auto"/>
            </w:tcBorders>
            <w:shd w:val="clear" w:color="auto" w:fill="E5FFFF"/>
          </w:tcPr>
          <w:p>
            <w:pPr>
              <w:spacing w:after="0"/>
              <w:rPr>
                <w:sz w:val="12"/>
                <w:szCs w:val="12"/>
                <w:color w:val="auto"/>
              </w:rPr>
            </w:pPr>
          </w:p>
        </w:tc>
        <w:tc>
          <w:tcPr>
            <w:tcW w:w="600" w:type="dxa"/>
            <w:vAlign w:val="bottom"/>
            <w:tcBorders>
              <w:top w:val="single" w:sz="8" w:color="auto"/>
            </w:tcBorders>
            <w:shd w:val="clear" w:color="auto" w:fill="E5FFFF"/>
          </w:tcPr>
          <w:p>
            <w:pPr>
              <w:spacing w:after="0"/>
              <w:rPr>
                <w:sz w:val="12"/>
                <w:szCs w:val="12"/>
                <w:color w:val="auto"/>
              </w:rPr>
            </w:pPr>
          </w:p>
        </w:tc>
        <w:tc>
          <w:tcPr>
            <w:tcW w:w="3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auto"/>
            </w:tcBorders>
            <w:shd w:val="clear" w:color="auto" w:fill="E5FFFF"/>
          </w:tcPr>
          <w:p>
            <w:pPr>
              <w:spacing w:after="0"/>
              <w:rPr>
                <w:sz w:val="12"/>
                <w:szCs w:val="12"/>
                <w:color w:val="auto"/>
              </w:rPr>
            </w:pPr>
          </w:p>
        </w:tc>
        <w:tc>
          <w:tcPr>
            <w:tcW w:w="600" w:type="dxa"/>
            <w:vAlign w:val="bottom"/>
            <w:tcBorders>
              <w:top w:val="single" w:sz="8" w:color="auto"/>
            </w:tcBorders>
            <w:shd w:val="clear" w:color="auto" w:fill="E5FFFF"/>
          </w:tcPr>
          <w:p>
            <w:pPr>
              <w:spacing w:after="0"/>
              <w:rPr>
                <w:sz w:val="12"/>
                <w:szCs w:val="12"/>
                <w:color w:val="auto"/>
              </w:rPr>
            </w:pP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229,846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144,501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25,877</w:t>
            </w:r>
          </w:p>
        </w:tc>
        <w:tc>
          <w:tcPr>
            <w:tcW w:w="8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36,194</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2,222</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25,821</w:t>
            </w:r>
          </w:p>
        </w:tc>
        <w:tc>
          <w:tcPr>
            <w:tcW w:w="8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19,713</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42,225</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37,426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6,677</w:t>
            </w:r>
          </w:p>
        </w:tc>
        <w:tc>
          <w:tcPr>
            <w:tcW w:w="8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6,020</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expenses and other</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12,499</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12,751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 held for sale</w:t>
            </w: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6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345,167</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258,750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and equipment - net</w:t>
            </w: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137,554</w:t>
            </w:r>
          </w:p>
        </w:tc>
        <w:tc>
          <w:tcPr>
            <w:tcW w:w="8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150,861</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11,221</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12,678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25,853</w:t>
            </w:r>
          </w:p>
        </w:tc>
        <w:tc>
          <w:tcPr>
            <w:tcW w:w="8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25,275</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 method investments</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30,566</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29,456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2,325</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550,361</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479,345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 – trade (includes $0.5 million and $0.7 million with related parties at January 31, 2022 and 2021, respectively)</w:t>
            </w:r>
          </w:p>
        </w:tc>
        <w:tc>
          <w:tcPr>
            <w:tcW w:w="8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32,266</w:t>
            </w:r>
          </w:p>
        </w:tc>
        <w:tc>
          <w:tcPr>
            <w:tcW w:w="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16,573</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4,600</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13,617</w:t>
            </w:r>
          </w:p>
        </w:tc>
        <w:tc>
          <w:tcPr>
            <w:tcW w:w="8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8,754</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 held for sale (includes $0.1 million with related parties at January 31, 2021)</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60" w:type="dxa"/>
            <w:vAlign w:val="bottom"/>
            <w:tcBorders>
              <w:top w:val="single" w:sz="8" w:color="E5FFFF"/>
            </w:tcBorders>
            <w:shd w:val="clear" w:color="auto" w:fill="E5FFFF"/>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tcBorders>
              <w:top w:val="single" w:sz="8" w:color="auto"/>
              <w:bottom w:val="single" w:sz="8" w:color="auto"/>
            </w:tcBorders>
            <w:shd w:val="clear" w:color="auto" w:fill="E5FFFF"/>
          </w:tcPr>
          <w:p>
            <w:pPr>
              <w:spacing w:after="0"/>
              <w:rPr>
                <w:sz w:val="12"/>
                <w:szCs w:val="12"/>
                <w:color w:val="auto"/>
              </w:rPr>
            </w:pPr>
          </w:p>
        </w:tc>
        <w:tc>
          <w:tcPr>
            <w:tcW w:w="6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50,483</w:t>
            </w:r>
          </w:p>
        </w:tc>
        <w:tc>
          <w:tcPr>
            <w:tcW w:w="3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auto"/>
              <w:bottom w:val="single" w:sz="8" w:color="auto"/>
            </w:tcBorders>
            <w:shd w:val="clear" w:color="auto" w:fill="E5FFFF"/>
          </w:tcPr>
          <w:p>
            <w:pPr>
              <w:spacing w:after="0"/>
              <w:rPr>
                <w:sz w:val="12"/>
                <w:szCs w:val="12"/>
                <w:color w:val="auto"/>
              </w:rPr>
            </w:pPr>
          </w:p>
        </w:tc>
        <w:tc>
          <w:tcPr>
            <w:tcW w:w="6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30,737</w:t>
            </w: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LONG-TERM LIABILITIES: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3,132</w:t>
            </w:r>
          </w:p>
        </w:tc>
        <w:tc>
          <w:tcPr>
            <w:tcW w:w="8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3,713</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6,390</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7,439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2,794</w:t>
            </w:r>
          </w:p>
        </w:tc>
        <w:tc>
          <w:tcPr>
            <w:tcW w:w="8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60" w:type="dxa"/>
            <w:vAlign w:val="bottom"/>
            <w:tcBorders>
              <w:bottom w:val="single" w:sz="8" w:color="E5FFFF"/>
            </w:tcBorders>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long-term liabilities</w:t>
            </w: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12,316</w:t>
            </w:r>
          </w:p>
        </w:tc>
        <w:tc>
          <w:tcPr>
            <w:tcW w:w="320" w:type="dxa"/>
            <w:vAlign w:val="bottom"/>
            <w:tcBorders>
              <w:bottom w:val="single" w:sz="8" w:color="E5FF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11,425</w:t>
            </w:r>
          </w:p>
        </w:tc>
        <w:tc>
          <w:tcPr>
            <w:tcW w:w="20" w:type="dxa"/>
            <w:vAlign w:val="bottom"/>
            <w:tcBorders>
              <w:bottom w:val="single" w:sz="8" w:color="E5FFFF"/>
            </w:tcBorders>
          </w:tcPr>
          <w:p>
            <w:pPr>
              <w:spacing w:after="0"/>
              <w:rPr>
                <w:sz w:val="12"/>
                <w:szCs w:val="12"/>
                <w:color w:val="auto"/>
              </w:rPr>
            </w:pPr>
          </w:p>
        </w:tc>
        <w:tc>
          <w:tcPr>
            <w:tcW w:w="80" w:type="dxa"/>
            <w:vAlign w:val="bottom"/>
            <w:tcBorders>
              <w:bottom w:val="single" w:sz="8" w:color="E5FF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60" w:type="dxa"/>
            <w:vAlign w:val="bottom"/>
            <w:shd w:val="clear" w:color="auto" w:fill="E5FF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13) EQUITY:</w:t>
            </w: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REX shareholders’ equity: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45,000 shares authorized, 29,853 shares issued at par</w:t>
            </w: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Paid in capital</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149,334</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149,110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642,350</w:t>
            </w:r>
          </w:p>
        </w:tc>
        <w:tc>
          <w:tcPr>
            <w:tcW w:w="8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589,986</w:t>
            </w: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Treasury stock, 23,933 and 23,861 shares, respectively</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(361,191)</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(354,612)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60" w:type="dxa"/>
            <w:vAlign w:val="bottom"/>
            <w:tcBorders>
              <w:top w:val="single" w:sz="8" w:color="E5FFFF"/>
            </w:tcBorders>
            <w:shd w:val="clear" w:color="auto" w:fill="E5FF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REX shareholders’ equity</w:t>
            </w:r>
          </w:p>
        </w:tc>
        <w:tc>
          <w:tcPr>
            <w:tcW w:w="80" w:type="dxa"/>
            <w:vAlign w:val="bottom"/>
            <w:tcBorders>
              <w:top w:val="single" w:sz="8" w:color="auto"/>
            </w:tcBorders>
            <w:shd w:val="clear" w:color="auto" w:fill="E5FFFF"/>
          </w:tcPr>
          <w:p>
            <w:pPr>
              <w:spacing w:after="0"/>
              <w:rPr>
                <w:sz w:val="12"/>
                <w:szCs w:val="12"/>
                <w:color w:val="auto"/>
              </w:rPr>
            </w:pPr>
          </w:p>
        </w:tc>
        <w:tc>
          <w:tcPr>
            <w:tcW w:w="60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430,792</w:t>
            </w:r>
          </w:p>
        </w:tc>
        <w:tc>
          <w:tcPr>
            <w:tcW w:w="3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auto"/>
            </w:tcBorders>
            <w:shd w:val="clear" w:color="auto" w:fill="E5FFFF"/>
          </w:tcPr>
          <w:p>
            <w:pPr>
              <w:spacing w:after="0"/>
              <w:rPr>
                <w:sz w:val="12"/>
                <w:szCs w:val="12"/>
                <w:color w:val="auto"/>
              </w:rPr>
            </w:pPr>
          </w:p>
        </w:tc>
        <w:tc>
          <w:tcPr>
            <w:tcW w:w="60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384,783</w:t>
            </w: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56,770</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52,400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60" w:type="dxa"/>
            <w:vAlign w:val="bottom"/>
            <w:tcBorders>
              <w:top w:val="single" w:sz="8" w:color="E5FFFF"/>
            </w:tcBorders>
            <w:shd w:val="clear" w:color="auto" w:fill="E5FFFF"/>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80" w:type="dxa"/>
            <w:vAlign w:val="bottom"/>
            <w:tcBorders>
              <w:top w:val="single" w:sz="8" w:color="auto"/>
              <w:bottom w:val="single" w:sz="8" w:color="auto"/>
            </w:tcBorders>
            <w:shd w:val="clear" w:color="auto" w:fill="E5FFFF"/>
          </w:tcPr>
          <w:p>
            <w:pPr>
              <w:spacing w:after="0"/>
              <w:rPr>
                <w:sz w:val="12"/>
                <w:szCs w:val="12"/>
                <w:color w:val="auto"/>
              </w:rPr>
            </w:pPr>
          </w:p>
        </w:tc>
        <w:tc>
          <w:tcPr>
            <w:tcW w:w="6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487,562</w:t>
            </w:r>
          </w:p>
        </w:tc>
        <w:tc>
          <w:tcPr>
            <w:tcW w:w="3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auto"/>
              <w:bottom w:val="single" w:sz="8" w:color="auto"/>
            </w:tcBorders>
            <w:shd w:val="clear" w:color="auto" w:fill="E5FFFF"/>
          </w:tcPr>
          <w:p>
            <w:pPr>
              <w:spacing w:after="0"/>
              <w:rPr>
                <w:sz w:val="12"/>
                <w:szCs w:val="12"/>
                <w:color w:val="auto"/>
              </w:rPr>
            </w:pPr>
          </w:p>
        </w:tc>
        <w:tc>
          <w:tcPr>
            <w:tcW w:w="6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437,183</w:t>
            </w: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LIABILITIES AND EQUITY</w:t>
            </w: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550,361</w:t>
            </w:r>
          </w:p>
        </w:tc>
        <w:tc>
          <w:tcPr>
            <w:tcW w:w="3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479,345</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Years Ended January 31,</w:t>
            </w:r>
          </w:p>
        </w:tc>
      </w:tr>
      <w:tr>
        <w:trPr>
          <w:trHeight w:val="223"/>
        </w:trPr>
        <w:tc>
          <w:tcPr>
            <w:tcW w:w="8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09"/>
        </w:trPr>
        <w:tc>
          <w:tcPr>
            <w:tcW w:w="8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774,802</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372,664</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417,700</w:t>
            </w:r>
          </w:p>
        </w:tc>
      </w:tr>
      <w:tr>
        <w:trPr>
          <w:trHeight w:val="198"/>
        </w:trPr>
        <w:tc>
          <w:tcPr>
            <w:tcW w:w="8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$90.2 million, $54.8 million and $171.5 million with related parties for the years ended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31, 2022, 2021 and 2020, respectively)</w:t>
            </w: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677,242</w:t>
            </w:r>
          </w:p>
        </w:tc>
        <w:tc>
          <w:tcPr>
            <w:tcW w:w="12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353,131</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397,298</w:t>
            </w:r>
          </w:p>
        </w:tc>
      </w:tr>
      <w:tr>
        <w:trPr>
          <w:trHeight w:val="209"/>
        </w:trPr>
        <w:tc>
          <w:tcPr>
            <w:tcW w:w="8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97,560</w:t>
            </w:r>
          </w:p>
        </w:tc>
        <w:tc>
          <w:tcPr>
            <w:tcW w:w="12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19,533</w:t>
            </w: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20,402</w:t>
            </w:r>
          </w:p>
        </w:tc>
      </w:tr>
      <w:tr>
        <w:trPr>
          <w:trHeight w:val="432"/>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(28,476)</w:t>
            </w:r>
          </w:p>
        </w:tc>
        <w:tc>
          <w:tcPr>
            <w:tcW w:w="12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(17,639)</w:t>
            </w: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(19,532)</w:t>
            </w:r>
          </w:p>
        </w:tc>
      </w:tr>
      <w:tr>
        <w:trPr>
          <w:trHeight w:val="216"/>
        </w:trPr>
        <w:tc>
          <w:tcPr>
            <w:tcW w:w="8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6,624</w:t>
            </w:r>
          </w:p>
        </w:tc>
        <w:tc>
          <w:tcPr>
            <w:tcW w:w="12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1,392</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4,212</w:t>
            </w:r>
          </w:p>
        </w:tc>
      </w:tr>
      <w:tr>
        <w:trPr>
          <w:trHeight w:val="209"/>
        </w:trPr>
        <w:tc>
          <w:tcPr>
            <w:tcW w:w="8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75,838</w:t>
            </w:r>
          </w:p>
        </w:tc>
        <w:tc>
          <w:tcPr>
            <w:tcW w:w="12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6,474</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(19,031)</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1,985</w:t>
            </w:r>
          </w:p>
        </w:tc>
      </w:tr>
      <w:tr>
        <w:trPr>
          <w:trHeight w:val="209"/>
        </w:trPr>
        <w:tc>
          <w:tcPr>
            <w:tcW w:w="8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56,807</w:t>
            </w:r>
          </w:p>
        </w:tc>
        <w:tc>
          <w:tcPr>
            <w:tcW w:w="12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8,459</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 (continuing operations)</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(9,235)</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(4,557)</w:t>
            </w:r>
          </w:p>
        </w:tc>
      </w:tr>
      <w:tr>
        <w:trPr>
          <w:trHeight w:val="210"/>
        </w:trPr>
        <w:tc>
          <w:tcPr>
            <w:tcW w:w="83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 (continuing operations)</w:t>
            </w:r>
          </w:p>
        </w:tc>
        <w:tc>
          <w:tcPr>
            <w:tcW w:w="100" w:type="dxa"/>
            <w:vAlign w:val="bottom"/>
            <w:tcBorders>
              <w:top w:val="single" w:sz="8" w:color="auto"/>
            </w:tcBorders>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47,572</w:t>
            </w:r>
          </w:p>
        </w:tc>
        <w:tc>
          <w:tcPr>
            <w:tcW w:w="3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3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Borders>
              <w:top w:val="single" w:sz="8" w:color="E5FFFF"/>
            </w:tcBorders>
            <w:shd w:val="clear" w:color="auto" w:fill="E5FFFF"/>
          </w:tcPr>
          <w:p>
            <w:pPr>
              <w:spacing w:after="0"/>
              <w:rPr>
                <w:sz w:val="18"/>
                <w:szCs w:val="18"/>
                <w:color w:val="auto"/>
              </w:rPr>
            </w:pPr>
          </w:p>
        </w:tc>
      </w:tr>
      <w:tr>
        <w:trPr>
          <w:trHeight w:val="41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 (includes expense of $0.3 million, $(0.2) million, and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$(0.7) million with related parties for the years ended January 31, 2022, 2021 and 2020, respectively.</w:t>
            </w: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4,395</w:t>
            </w:r>
          </w:p>
        </w:tc>
        <w:tc>
          <w:tcPr>
            <w:tcW w:w="12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3,185</w:t>
            </w:r>
          </w:p>
        </w:tc>
      </w:tr>
      <w:tr>
        <w:trPr>
          <w:trHeight w:val="216"/>
        </w:trPr>
        <w:tc>
          <w:tcPr>
            <w:tcW w:w="8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 (discontinued operations)</w:t>
            </w:r>
          </w:p>
        </w:tc>
        <w:tc>
          <w:tcPr>
            <w:tcW w:w="10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1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 (discontinued operations)</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18"/>
                <w:szCs w:val="18"/>
                <w:color w:val="auto"/>
              </w:rPr>
            </w:pPr>
          </w:p>
        </w:tc>
      </w:tr>
      <w:tr>
        <w:trPr>
          <w:trHeight w:val="209"/>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52,364</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7,427</w:t>
            </w:r>
          </w:p>
        </w:tc>
      </w:tr>
      <w:tr>
        <w:trPr>
          <w:trHeight w:val="20"/>
        </w:trPr>
        <w:tc>
          <w:tcPr>
            <w:tcW w:w="83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r>
        <w:trPr>
          <w:trHeight w:val="41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5,982</w:t>
            </w:r>
          </w:p>
        </w:tc>
        <w:tc>
          <w:tcPr>
            <w:tcW w:w="12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6,318</w:t>
            </w:r>
          </w:p>
        </w:tc>
      </w:tr>
      <w:tr>
        <w:trPr>
          <w:trHeight w:val="20"/>
        </w:trPr>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and diluted net income per share from continuing operations attributable to REX common shareholders</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share from discontinued operations attributable to REX common shareholders</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0.56</w:t>
            </w:r>
          </w:p>
        </w:tc>
      </w:tr>
      <w:tr>
        <w:trPr>
          <w:trHeight w:val="210"/>
        </w:trPr>
        <w:tc>
          <w:tcPr>
            <w:tcW w:w="830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and diluted net income per share attributable to REX common shareholders</w:t>
            </w: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u w:val="single" w:color="auto"/>
                <w:color w:val="auto"/>
              </w:rPr>
              <w:t>75</w:t>
            </w:r>
          </w:p>
        </w:tc>
        <w:tc>
          <w:tcPr>
            <w:tcW w:w="3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49</w:t>
            </w:r>
          </w:p>
        </w:tc>
        <w:tc>
          <w:tcPr>
            <w:tcW w:w="32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18</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JANUARY 31, 2022, 2021 AND 2020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color w:val="auto"/>
              </w:rPr>
              <w:t>REX Shareholders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3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Common Shares</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4"/>
                <w:szCs w:val="14"/>
                <w:color w:val="auto"/>
              </w:rPr>
              <w:t>Treasury</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Paid-in</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23"/>
                <w:szCs w:val="2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Noncontrolling</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Issued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320" w:type="dxa"/>
            <w:vAlign w:val="bottom"/>
          </w:tcPr>
          <w:p>
            <w:pPr>
              <w:spacing w:after="0"/>
              <w:rPr>
                <w:sz w:val="13"/>
                <w:szCs w:val="13"/>
                <w:color w:val="auto"/>
              </w:rPr>
            </w:pPr>
          </w:p>
        </w:tc>
        <w:tc>
          <w:tcPr>
            <w:tcW w:w="720" w:type="dxa"/>
            <w:vAlign w:val="bottom"/>
            <w:tcBorders>
              <w:top w:val="single" w:sz="8" w:color="auto"/>
            </w:tcBorders>
            <w:gridSpan w:val="3"/>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color w:val="auto"/>
              </w:rPr>
              <w:t>Capital</w:t>
            </w:r>
          </w:p>
        </w:tc>
        <w:tc>
          <w:tcPr>
            <w:tcW w:w="7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auto"/>
              </w:rPr>
              <w:t>Interest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2019</w:t>
            </w:r>
          </w:p>
        </w:tc>
        <w:tc>
          <w:tcPr>
            <w:tcW w:w="86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320" w:type="dxa"/>
            <w:vAlign w:val="bottom"/>
            <w:gridSpan w:val="2"/>
            <w:shd w:val="clear" w:color="auto" w:fill="E5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72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23,580</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(335,193)</w:t>
            </w:r>
          </w:p>
        </w:tc>
        <w:tc>
          <w:tcPr>
            <w:tcW w:w="2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148,273</w:t>
            </w:r>
          </w:p>
        </w:tc>
        <w:tc>
          <w:tcPr>
            <w:tcW w:w="7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$ 579,558</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52,334</w:t>
            </w:r>
          </w:p>
        </w:tc>
        <w:tc>
          <w:tcPr>
            <w:tcW w:w="280" w:type="dxa"/>
            <w:vAlign w:val="bottom"/>
            <w:gridSpan w:val="2"/>
            <w:shd w:val="clear" w:color="auto" w:fill="E5FF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445,271</w:t>
            </w:r>
          </w:p>
        </w:tc>
        <w:tc>
          <w:tcPr>
            <w:tcW w:w="0" w:type="dxa"/>
            <w:vAlign w:val="bottom"/>
          </w:tcPr>
          <w:p>
            <w:pPr>
              <w:spacing w:after="0"/>
              <w:rPr>
                <w:sz w:val="1"/>
                <w:szCs w:val="1"/>
                <w:color w:val="auto"/>
              </w:rPr>
            </w:pPr>
          </w:p>
        </w:tc>
      </w:tr>
      <w:tr>
        <w:trPr>
          <w:trHeight w:val="314"/>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7,427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11,644</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4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contributions</w:t>
            </w:r>
          </w:p>
        </w:tc>
        <w:tc>
          <w:tcPr>
            <w:tcW w:w="5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314"/>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(4,264)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(4,264)</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740" w:type="dxa"/>
            <w:vAlign w:val="bottom"/>
            <w:gridSpan w:val="2"/>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 based compensation</w:t>
            </w:r>
          </w:p>
        </w:tc>
        <w:tc>
          <w:tcPr>
            <w:tcW w:w="54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3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74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7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expense</w:t>
            </w:r>
          </w:p>
        </w:tc>
        <w:tc>
          <w:tcPr>
            <w:tcW w:w="86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56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(19)</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90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516</w:t>
            </w:r>
          </w:p>
        </w:tc>
        <w:tc>
          <w:tcPr>
            <w:tcW w:w="7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9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6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643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January 31, 2020</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29,853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299</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23,561</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(335,066)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148,789</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586,985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52,599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453,606</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4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7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3,001</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2,617</w:t>
            </w:r>
          </w:p>
        </w:tc>
        <w:tc>
          <w:tcPr>
            <w:tcW w:w="1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5,618</w:t>
            </w:r>
          </w:p>
        </w:tc>
        <w:tc>
          <w:tcPr>
            <w:tcW w:w="0" w:type="dxa"/>
            <w:vAlign w:val="bottom"/>
          </w:tcPr>
          <w:p>
            <w:pPr>
              <w:spacing w:after="0"/>
              <w:rPr>
                <w:sz w:val="1"/>
                <w:szCs w:val="1"/>
                <w:color w:val="auto"/>
              </w:rPr>
            </w:pPr>
          </w:p>
        </w:tc>
      </w:tr>
      <w:tr>
        <w:trPr>
          <w:trHeight w:val="314"/>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contributions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4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5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72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(19,629)</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(19,629)</w:t>
            </w:r>
          </w:p>
        </w:tc>
        <w:tc>
          <w:tcPr>
            <w:tcW w:w="0" w:type="dxa"/>
            <w:vAlign w:val="bottom"/>
          </w:tcPr>
          <w:p>
            <w:pPr>
              <w:spacing w:after="0"/>
              <w:rPr>
                <w:sz w:val="1"/>
                <w:szCs w:val="1"/>
                <w:color w:val="auto"/>
              </w:rPr>
            </w:pPr>
          </w:p>
        </w:tc>
      </w:tr>
      <w:tr>
        <w:trPr>
          <w:trHeight w:val="314"/>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(2,928)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(2,928)</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740" w:type="dxa"/>
            <w:vAlign w:val="bottom"/>
            <w:gridSpan w:val="2"/>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 based compensation</w:t>
            </w:r>
          </w:p>
        </w:tc>
        <w:tc>
          <w:tcPr>
            <w:tcW w:w="54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3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74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7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expense</w:t>
            </w:r>
          </w:p>
        </w:tc>
        <w:tc>
          <w:tcPr>
            <w:tcW w:w="86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56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(15)</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90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321</w:t>
            </w:r>
          </w:p>
        </w:tc>
        <w:tc>
          <w:tcPr>
            <w:tcW w:w="7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9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6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January 31, 2021</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29,853</w:t>
            </w:r>
          </w:p>
        </w:tc>
        <w:tc>
          <w:tcPr>
            <w:tcW w:w="3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299</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23,861</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(354,612)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149,110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589,986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52,400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437,183</w:t>
            </w: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4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74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52,364</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8,838</w:t>
            </w:r>
          </w:p>
        </w:tc>
        <w:tc>
          <w:tcPr>
            <w:tcW w:w="1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61,202</w:t>
            </w:r>
          </w:p>
        </w:tc>
        <w:tc>
          <w:tcPr>
            <w:tcW w:w="0" w:type="dxa"/>
            <w:vAlign w:val="bottom"/>
          </w:tcPr>
          <w:p>
            <w:pPr>
              <w:spacing w:after="0"/>
              <w:rPr>
                <w:sz w:val="1"/>
                <w:szCs w:val="1"/>
                <w:color w:val="auto"/>
              </w:rPr>
            </w:pPr>
          </w:p>
        </w:tc>
      </w:tr>
      <w:tr>
        <w:trPr>
          <w:trHeight w:val="314"/>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contributions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4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5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72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(6,627)</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6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(6,627)</w:t>
            </w:r>
          </w:p>
        </w:tc>
        <w:tc>
          <w:tcPr>
            <w:tcW w:w="0" w:type="dxa"/>
            <w:vAlign w:val="bottom"/>
          </w:tcPr>
          <w:p>
            <w:pPr>
              <w:spacing w:after="0"/>
              <w:rPr>
                <w:sz w:val="1"/>
                <w:szCs w:val="1"/>
                <w:color w:val="auto"/>
              </w:rPr>
            </w:pPr>
          </w:p>
        </w:tc>
      </w:tr>
      <w:tr>
        <w:trPr>
          <w:trHeight w:val="314"/>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(4,772)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(4,772)</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740" w:type="dxa"/>
            <w:vAlign w:val="bottom"/>
            <w:gridSpan w:val="2"/>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 based compensation</w:t>
            </w:r>
          </w:p>
        </w:tc>
        <w:tc>
          <w:tcPr>
            <w:tcW w:w="54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30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74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7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4"/>
                <w:szCs w:val="14"/>
                <w:color w:val="auto"/>
              </w:rPr>
              <w:t>expense</w:t>
            </w:r>
          </w:p>
        </w:tc>
        <w:tc>
          <w:tcPr>
            <w:tcW w:w="86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56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90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224</w:t>
            </w:r>
          </w:p>
        </w:tc>
        <w:tc>
          <w:tcPr>
            <w:tcW w:w="7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9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6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at January 31, 2022</w:t>
            </w: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740" w:type="dxa"/>
            <w:vAlign w:val="bottom"/>
            <w:gridSpan w:val="2"/>
            <w:vMerge w:val="continue"/>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29,853</w:t>
            </w:r>
          </w:p>
        </w:tc>
        <w:tc>
          <w:tcPr>
            <w:tcW w:w="3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299</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23,933</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(361,191)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149,334</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$ 642,350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56,770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487,562</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7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70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88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7060" w:type="dxa"/>
            <w:vAlign w:val="bottom"/>
            <w:tcBorders>
              <w:top w:val="single" w:sz="8" w:color="E5FFFF"/>
            </w:tcBorders>
            <w:shd w:val="clear" w:color="auto" w:fill="E5FF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38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auto"/>
            </w:tcBorders>
            <w:shd w:val="clear" w:color="auto" w:fill="E5FFFF"/>
          </w:tcPr>
          <w:p>
            <w:pPr>
              <w:spacing w:after="0"/>
              <w:rPr>
                <w:sz w:val="12"/>
                <w:szCs w:val="12"/>
                <w:color w:val="auto"/>
              </w:rPr>
            </w:pPr>
          </w:p>
        </w:tc>
        <w:tc>
          <w:tcPr>
            <w:tcW w:w="560" w:type="dxa"/>
            <w:vAlign w:val="bottom"/>
            <w:tcBorders>
              <w:top w:val="single" w:sz="8" w:color="auto"/>
            </w:tcBorders>
            <w:shd w:val="clear" w:color="auto" w:fill="E5FFFF"/>
          </w:tcPr>
          <w:p>
            <w:pPr>
              <w:spacing w:after="0"/>
              <w:rPr>
                <w:sz w:val="12"/>
                <w:szCs w:val="12"/>
                <w:color w:val="auto"/>
              </w:rPr>
            </w:pPr>
          </w:p>
        </w:tc>
        <w:tc>
          <w:tcPr>
            <w:tcW w:w="34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spacing w:after="0"/>
              <w:rPr>
                <w:sz w:val="12"/>
                <w:szCs w:val="12"/>
                <w:color w:val="auto"/>
              </w:rPr>
            </w:pPr>
          </w:p>
        </w:tc>
        <w:tc>
          <w:tcPr>
            <w:tcW w:w="540" w:type="dxa"/>
            <w:vAlign w:val="bottom"/>
            <w:tcBorders>
              <w:top w:val="single" w:sz="8" w:color="auto"/>
            </w:tcBorders>
            <w:shd w:val="clear" w:color="auto" w:fill="E5FFFF"/>
          </w:tcPr>
          <w:p>
            <w:pPr>
              <w:spacing w:after="0"/>
              <w:rPr>
                <w:sz w:val="12"/>
                <w:szCs w:val="12"/>
                <w:color w:val="auto"/>
              </w:rPr>
            </w:pPr>
          </w:p>
        </w:tc>
        <w:tc>
          <w:tcPr>
            <w:tcW w:w="340" w:type="dxa"/>
            <w:vAlign w:val="bottom"/>
            <w:tcBorders>
              <w:top w:val="single" w:sz="8" w:color="E5FFFF"/>
            </w:tcBorders>
            <w:shd w:val="clear" w:color="auto" w:fill="E5FFFF"/>
          </w:tcPr>
          <w:p>
            <w:pPr>
              <w:spacing w:after="0"/>
              <w:rPr>
                <w:sz w:val="12"/>
                <w:szCs w:val="12"/>
                <w:color w:val="auto"/>
              </w:rPr>
            </w:pPr>
          </w:p>
        </w:tc>
        <w:tc>
          <w:tcPr>
            <w:tcW w:w="2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auto"/>
            </w:tcBorders>
            <w:shd w:val="clear" w:color="auto" w:fill="E5FFFF"/>
          </w:tcPr>
          <w:p>
            <w:pPr>
              <w:spacing w:after="0"/>
              <w:rPr>
                <w:sz w:val="12"/>
                <w:szCs w:val="12"/>
                <w:color w:val="auto"/>
              </w:rPr>
            </w:pPr>
          </w:p>
        </w:tc>
        <w:tc>
          <w:tcPr>
            <w:tcW w:w="540" w:type="dxa"/>
            <w:vAlign w:val="bottom"/>
            <w:tcBorders>
              <w:top w:val="single" w:sz="8" w:color="auto"/>
            </w:tcBorders>
            <w:shd w:val="clear" w:color="auto" w:fill="E5FFFF"/>
          </w:tcPr>
          <w:p>
            <w:pPr>
              <w:spacing w:after="0"/>
              <w:rPr>
                <w:sz w:val="12"/>
                <w:szCs w:val="12"/>
                <w:color w:val="auto"/>
              </w:rPr>
            </w:pP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r>
      <w:tr>
        <w:trPr>
          <w:trHeight w:val="148"/>
        </w:trPr>
        <w:tc>
          <w:tcPr>
            <w:tcW w:w="7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61,202</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5,618</w:t>
            </w: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11,644</w:t>
            </w:r>
          </w:p>
        </w:tc>
        <w:tc>
          <w:tcPr>
            <w:tcW w:w="80" w:type="dxa"/>
            <w:vAlign w:val="bottom"/>
          </w:tcPr>
          <w:p>
            <w:pPr>
              <w:spacing w:after="0"/>
              <w:rPr>
                <w:sz w:val="12"/>
                <w:szCs w:val="12"/>
                <w:color w:val="auto"/>
              </w:rPr>
            </w:pPr>
          </w:p>
        </w:tc>
      </w:tr>
      <w:tr>
        <w:trPr>
          <w:trHeight w:val="162"/>
        </w:trPr>
        <w:tc>
          <w:tcPr>
            <w:tcW w:w="706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Net income from discontinued operations, net of tax</w:t>
            </w:r>
          </w:p>
        </w:tc>
        <w:tc>
          <w:tcPr>
            <w:tcW w:w="138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0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4,395</w:t>
            </w:r>
          </w:p>
        </w:tc>
        <w:tc>
          <w:tcPr>
            <w:tcW w:w="120" w:type="dxa"/>
            <w:vAlign w:val="bottom"/>
            <w:shd w:val="clear" w:color="auto" w:fill="E5FFFF"/>
          </w:tcPr>
          <w:p>
            <w:pPr>
              <w:spacing w:after="0"/>
              <w:rPr>
                <w:sz w:val="14"/>
                <w:szCs w:val="14"/>
                <w:color w:val="auto"/>
              </w:rPr>
            </w:pPr>
          </w:p>
        </w:tc>
        <w:tc>
          <w:tcPr>
            <w:tcW w:w="8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860</w:t>
            </w:r>
          </w:p>
        </w:tc>
        <w:tc>
          <w:tcPr>
            <w:tcW w:w="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5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3,185</w:t>
            </w:r>
          </w:p>
        </w:tc>
        <w:tc>
          <w:tcPr>
            <w:tcW w:w="80" w:type="dxa"/>
            <w:vAlign w:val="bottom"/>
            <w:shd w:val="clear" w:color="auto" w:fill="E5FFFF"/>
          </w:tcPr>
          <w:p>
            <w:pPr>
              <w:spacing w:after="0"/>
              <w:rPr>
                <w:sz w:val="14"/>
                <w:szCs w:val="14"/>
                <w:color w:val="auto"/>
              </w:rPr>
            </w:pPr>
          </w:p>
        </w:tc>
      </w:tr>
      <w:tr>
        <w:trPr>
          <w:trHeight w:val="142"/>
        </w:trPr>
        <w:tc>
          <w:tcPr>
            <w:tcW w:w="7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 from continuing operations</w:t>
            </w:r>
          </w:p>
        </w:tc>
        <w:tc>
          <w:tcPr>
            <w:tcW w:w="1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56,807</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4,758</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8,459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70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3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6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r>
      <w:tr>
        <w:trPr>
          <w:trHeight w:val="148"/>
        </w:trPr>
        <w:tc>
          <w:tcPr>
            <w:tcW w:w="7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18,031</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18,116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20,217</w:t>
            </w:r>
          </w:p>
        </w:tc>
        <w:tc>
          <w:tcPr>
            <w:tcW w:w="80" w:type="dxa"/>
            <w:vAlign w:val="bottom"/>
          </w:tcPr>
          <w:p>
            <w:pPr>
              <w:spacing w:after="0"/>
              <w:rPr>
                <w:sz w:val="12"/>
                <w:szCs w:val="12"/>
                <w:color w:val="auto"/>
              </w:rPr>
            </w:pPr>
          </w:p>
        </w:tc>
      </w:tr>
      <w:tr>
        <w:trPr>
          <w:trHeight w:val="149"/>
        </w:trPr>
        <w:tc>
          <w:tcPr>
            <w:tcW w:w="70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13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5,560</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5,358</w:t>
            </w:r>
          </w:p>
        </w:tc>
        <w:tc>
          <w:tcPr>
            <w:tcW w:w="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6,304</w:t>
            </w:r>
          </w:p>
        </w:tc>
        <w:tc>
          <w:tcPr>
            <w:tcW w:w="80" w:type="dxa"/>
            <w:vAlign w:val="bottom"/>
            <w:shd w:val="clear" w:color="auto" w:fill="E5FFFF"/>
          </w:tcPr>
          <w:p>
            <w:pPr>
              <w:spacing w:after="0"/>
              <w:rPr>
                <w:sz w:val="12"/>
                <w:szCs w:val="12"/>
                <w:color w:val="auto"/>
              </w:rPr>
            </w:pPr>
          </w:p>
        </w:tc>
      </w:tr>
      <w:tr>
        <w:trPr>
          <w:trHeight w:val="148"/>
        </w:trPr>
        <w:tc>
          <w:tcPr>
            <w:tcW w:w="7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 expense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1,753</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80" w:type="dxa"/>
            <w:vAlign w:val="bottom"/>
          </w:tcPr>
          <w:p>
            <w:pPr>
              <w:spacing w:after="0"/>
              <w:rPr>
                <w:sz w:val="12"/>
                <w:szCs w:val="12"/>
                <w:color w:val="auto"/>
              </w:rPr>
            </w:pPr>
          </w:p>
        </w:tc>
      </w:tr>
      <w:tr>
        <w:trPr>
          <w:trHeight w:val="148"/>
        </w:trPr>
        <w:tc>
          <w:tcPr>
            <w:tcW w:w="70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Income from equity method investments</w:t>
            </w:r>
          </w:p>
        </w:tc>
        <w:tc>
          <w:tcPr>
            <w:tcW w:w="13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(6,624)</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(1,392)</w:t>
            </w:r>
          </w:p>
        </w:tc>
        <w:tc>
          <w:tcPr>
            <w:tcW w:w="80" w:type="dxa"/>
            <w:vAlign w:val="bottom"/>
            <w:shd w:val="clear" w:color="auto" w:fill="E5FFFF"/>
          </w:tcPr>
          <w:p>
            <w:pPr>
              <w:spacing w:after="0"/>
              <w:rPr>
                <w:sz w:val="12"/>
                <w:szCs w:val="12"/>
                <w:color w:val="auto"/>
              </w:rPr>
            </w:pPr>
          </w:p>
        </w:tc>
      </w:tr>
      <w:tr>
        <w:trPr>
          <w:trHeight w:val="148"/>
        </w:trPr>
        <w:tc>
          <w:tcPr>
            <w:tcW w:w="7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received from equity method investments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5,514</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3,508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1,003</w:t>
            </w:r>
          </w:p>
        </w:tc>
        <w:tc>
          <w:tcPr>
            <w:tcW w:w="80" w:type="dxa"/>
            <w:vAlign w:val="bottom"/>
          </w:tcPr>
          <w:p>
            <w:pPr>
              <w:spacing w:after="0"/>
              <w:rPr>
                <w:sz w:val="12"/>
                <w:szCs w:val="12"/>
                <w:color w:val="auto"/>
              </w:rPr>
            </w:pPr>
          </w:p>
        </w:tc>
      </w:tr>
      <w:tr>
        <w:trPr>
          <w:trHeight w:val="148"/>
        </w:trPr>
        <w:tc>
          <w:tcPr>
            <w:tcW w:w="70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Interest income from investments</w:t>
            </w:r>
          </w:p>
        </w:tc>
        <w:tc>
          <w:tcPr>
            <w:tcW w:w="13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E5FFFF"/>
          </w:tcPr>
          <w:p>
            <w:pPr>
              <w:spacing w:after="0"/>
              <w:rPr>
                <w:sz w:val="12"/>
                <w:szCs w:val="12"/>
                <w:color w:val="auto"/>
              </w:rPr>
            </w:pPr>
          </w:p>
        </w:tc>
      </w:tr>
      <w:tr>
        <w:trPr>
          <w:trHeight w:val="149"/>
        </w:trPr>
        <w:tc>
          <w:tcPr>
            <w:tcW w:w="7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(gain) on disposal of real estate and property and equipment</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r>
      <w:tr>
        <w:trPr>
          <w:trHeight w:val="148"/>
        </w:trPr>
        <w:tc>
          <w:tcPr>
            <w:tcW w:w="70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w:t>
            </w:r>
          </w:p>
        </w:tc>
        <w:tc>
          <w:tcPr>
            <w:tcW w:w="13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12,730</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80" w:type="dxa"/>
            <w:vAlign w:val="bottom"/>
            <w:shd w:val="clear" w:color="auto" w:fill="E5FFFF"/>
          </w:tcPr>
          <w:p>
            <w:pPr>
              <w:spacing w:after="0"/>
              <w:rPr>
                <w:sz w:val="12"/>
                <w:szCs w:val="12"/>
                <w:color w:val="auto"/>
              </w:rPr>
            </w:pPr>
          </w:p>
        </w:tc>
      </w:tr>
      <w:tr>
        <w:trPr>
          <w:trHeight w:val="148"/>
        </w:trPr>
        <w:tc>
          <w:tcPr>
            <w:tcW w:w="7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7060" w:type="dxa"/>
            <w:vAlign w:val="bottom"/>
            <w:shd w:val="clear" w:color="auto" w:fill="E5FF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3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(6,108)</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(6,744)</w:t>
            </w:r>
          </w:p>
        </w:tc>
        <w:tc>
          <w:tcPr>
            <w:tcW w:w="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(1,591)</w:t>
            </w:r>
          </w:p>
        </w:tc>
        <w:tc>
          <w:tcPr>
            <w:tcW w:w="80" w:type="dxa"/>
            <w:vAlign w:val="bottom"/>
            <w:shd w:val="clear" w:color="auto" w:fill="E5FFFF"/>
          </w:tcPr>
          <w:p>
            <w:pPr>
              <w:spacing w:after="0"/>
              <w:rPr>
                <w:sz w:val="12"/>
                <w:szCs w:val="12"/>
                <w:color w:val="auto"/>
              </w:rPr>
            </w:pPr>
          </w:p>
        </w:tc>
      </w:tr>
      <w:tr>
        <w:trPr>
          <w:trHeight w:val="148"/>
        </w:trPr>
        <w:tc>
          <w:tcPr>
            <w:tcW w:w="70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(4,799)</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(2,307)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(17,135)</w:t>
            </w:r>
          </w:p>
        </w:tc>
        <w:tc>
          <w:tcPr>
            <w:tcW w:w="80" w:type="dxa"/>
            <w:vAlign w:val="bottom"/>
          </w:tcPr>
          <w:p>
            <w:pPr>
              <w:spacing w:after="0"/>
              <w:rPr>
                <w:sz w:val="12"/>
                <w:szCs w:val="12"/>
                <w:color w:val="auto"/>
              </w:rPr>
            </w:pPr>
          </w:p>
        </w:tc>
      </w:tr>
      <w:tr>
        <w:trPr>
          <w:trHeight w:val="149"/>
        </w:trPr>
        <w:tc>
          <w:tcPr>
            <w:tcW w:w="7060" w:type="dxa"/>
            <w:vAlign w:val="bottom"/>
            <w:shd w:val="clear" w:color="auto" w:fill="E5FF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3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(3,243)</w:t>
            </w:r>
          </w:p>
        </w:tc>
        <w:tc>
          <w:tcPr>
            <w:tcW w:w="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80" w:type="dxa"/>
            <w:vAlign w:val="bottom"/>
            <w:shd w:val="clear" w:color="auto" w:fill="E5FFFF"/>
          </w:tcPr>
          <w:p>
            <w:pPr>
              <w:spacing w:after="0"/>
              <w:rPr>
                <w:sz w:val="12"/>
                <w:szCs w:val="12"/>
                <w:color w:val="auto"/>
              </w:rPr>
            </w:pPr>
          </w:p>
        </w:tc>
      </w:tr>
      <w:tr>
        <w:trPr>
          <w:trHeight w:val="148"/>
        </w:trPr>
        <w:tc>
          <w:tcPr>
            <w:tcW w:w="70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Income taxes refundable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80" w:type="dxa"/>
            <w:vAlign w:val="bottom"/>
          </w:tcPr>
          <w:p>
            <w:pPr>
              <w:spacing w:after="0"/>
              <w:rPr>
                <w:sz w:val="12"/>
                <w:szCs w:val="12"/>
                <w:color w:val="auto"/>
              </w:rPr>
            </w:pPr>
          </w:p>
        </w:tc>
      </w:tr>
      <w:tr>
        <w:trPr>
          <w:trHeight w:val="148"/>
        </w:trPr>
        <w:tc>
          <w:tcPr>
            <w:tcW w:w="7060" w:type="dxa"/>
            <w:vAlign w:val="bottom"/>
            <w:shd w:val="clear" w:color="auto" w:fill="E5FF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payable-trade</w:t>
            </w:r>
          </w:p>
        </w:tc>
        <w:tc>
          <w:tcPr>
            <w:tcW w:w="13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16,005</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(2,618)</w:t>
            </w:r>
          </w:p>
        </w:tc>
        <w:tc>
          <w:tcPr>
            <w:tcW w:w="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12,284</w:t>
            </w:r>
          </w:p>
        </w:tc>
        <w:tc>
          <w:tcPr>
            <w:tcW w:w="80" w:type="dxa"/>
            <w:vAlign w:val="bottom"/>
            <w:shd w:val="clear" w:color="auto" w:fill="E5FFFF"/>
          </w:tcPr>
          <w:p>
            <w:pPr>
              <w:spacing w:after="0"/>
              <w:rPr>
                <w:sz w:val="12"/>
                <w:szCs w:val="12"/>
                <w:color w:val="auto"/>
              </w:rPr>
            </w:pPr>
          </w:p>
        </w:tc>
      </w:tr>
      <w:tr>
        <w:trPr>
          <w:trHeight w:val="162"/>
        </w:trPr>
        <w:tc>
          <w:tcPr>
            <w:tcW w:w="7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(3,523)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(11,995)</w:t>
            </w:r>
          </w:p>
        </w:tc>
        <w:tc>
          <w:tcPr>
            <w:tcW w:w="80" w:type="dxa"/>
            <w:vAlign w:val="bottom"/>
          </w:tcPr>
          <w:p>
            <w:pPr>
              <w:spacing w:after="0"/>
              <w:rPr>
                <w:sz w:val="14"/>
                <w:szCs w:val="14"/>
                <w:color w:val="auto"/>
              </w:rPr>
            </w:pPr>
          </w:p>
        </w:tc>
      </w:tr>
      <w:tr>
        <w:trPr>
          <w:trHeight w:val="142"/>
        </w:trPr>
        <w:tc>
          <w:tcPr>
            <w:tcW w:w="7060" w:type="dxa"/>
            <w:vAlign w:val="bottom"/>
            <w:tcBorders>
              <w:top w:val="single" w:sz="8" w:color="E5FFFF"/>
            </w:tcBorders>
            <w:shd w:val="clear" w:color="auto" w:fill="E5FFFF"/>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 from continuing operations</w:t>
            </w:r>
          </w:p>
        </w:tc>
        <w:tc>
          <w:tcPr>
            <w:tcW w:w="138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auto"/>
            </w:tcBorders>
            <w:shd w:val="clear" w:color="auto" w:fill="E5FFFF"/>
          </w:tcPr>
          <w:p>
            <w:pPr>
              <w:spacing w:after="0"/>
              <w:rPr>
                <w:sz w:val="12"/>
                <w:szCs w:val="12"/>
                <w:color w:val="auto"/>
              </w:rPr>
            </w:pPr>
          </w:p>
        </w:tc>
        <w:tc>
          <w:tcPr>
            <w:tcW w:w="56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98,427</w:t>
            </w:r>
          </w:p>
        </w:tc>
        <w:tc>
          <w:tcPr>
            <w:tcW w:w="34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spacing w:after="0"/>
              <w:rPr>
                <w:sz w:val="12"/>
                <w:szCs w:val="12"/>
                <w:color w:val="auto"/>
              </w:rPr>
            </w:pPr>
          </w:p>
        </w:tc>
        <w:tc>
          <w:tcPr>
            <w:tcW w:w="54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11,409</w:t>
            </w:r>
          </w:p>
        </w:tc>
        <w:tc>
          <w:tcPr>
            <w:tcW w:w="340" w:type="dxa"/>
            <w:vAlign w:val="bottom"/>
            <w:tcBorders>
              <w:top w:val="single" w:sz="8" w:color="E5FFFF"/>
            </w:tcBorders>
            <w:shd w:val="clear" w:color="auto" w:fill="E5FFFF"/>
          </w:tcPr>
          <w:p>
            <w:pPr>
              <w:spacing w:after="0"/>
              <w:rPr>
                <w:sz w:val="12"/>
                <w:szCs w:val="12"/>
                <w:color w:val="auto"/>
              </w:rPr>
            </w:pPr>
          </w:p>
        </w:tc>
        <w:tc>
          <w:tcPr>
            <w:tcW w:w="2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auto"/>
            </w:tcBorders>
            <w:shd w:val="clear" w:color="auto" w:fill="E5FFFF"/>
          </w:tcPr>
          <w:p>
            <w:pPr>
              <w:spacing w:after="0"/>
              <w:rPr>
                <w:sz w:val="12"/>
                <w:szCs w:val="12"/>
                <w:color w:val="auto"/>
              </w:rPr>
            </w:pPr>
          </w:p>
        </w:tc>
        <w:tc>
          <w:tcPr>
            <w:tcW w:w="54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17,275</w:t>
            </w: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r>
      <w:tr>
        <w:trPr>
          <w:trHeight w:val="162"/>
        </w:trPr>
        <w:tc>
          <w:tcPr>
            <w:tcW w:w="7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used in operating activities from discontinued operations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(6,716)</w:t>
            </w: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(2,786)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(6,932)</w:t>
            </w:r>
          </w:p>
        </w:tc>
        <w:tc>
          <w:tcPr>
            <w:tcW w:w="80" w:type="dxa"/>
            <w:vAlign w:val="bottom"/>
          </w:tcPr>
          <w:p>
            <w:pPr>
              <w:spacing w:after="0"/>
              <w:rPr>
                <w:sz w:val="14"/>
                <w:szCs w:val="14"/>
                <w:color w:val="auto"/>
              </w:rPr>
            </w:pPr>
          </w:p>
        </w:tc>
      </w:tr>
      <w:tr>
        <w:trPr>
          <w:trHeight w:val="142"/>
        </w:trPr>
        <w:tc>
          <w:tcPr>
            <w:tcW w:w="7060" w:type="dxa"/>
            <w:vAlign w:val="bottom"/>
            <w:tcBorders>
              <w:top w:val="single" w:sz="8" w:color="E5FFFF"/>
            </w:tcBorders>
            <w:shd w:val="clear" w:color="auto" w:fill="E5FFFF"/>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38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auto"/>
              <w:bottom w:val="single" w:sz="8" w:color="auto"/>
            </w:tcBorders>
            <w:shd w:val="clear" w:color="auto" w:fill="E5FFFF"/>
          </w:tcPr>
          <w:p>
            <w:pPr>
              <w:spacing w:after="0"/>
              <w:rPr>
                <w:sz w:val="12"/>
                <w:szCs w:val="12"/>
                <w:color w:val="auto"/>
              </w:rPr>
            </w:pPr>
          </w:p>
        </w:tc>
        <w:tc>
          <w:tcPr>
            <w:tcW w:w="5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91,711</w:t>
            </w:r>
          </w:p>
        </w:tc>
        <w:tc>
          <w:tcPr>
            <w:tcW w:w="34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bottom w:val="single" w:sz="8" w:color="auto"/>
            </w:tcBorders>
            <w:shd w:val="clear" w:color="auto" w:fill="E5FFFF"/>
          </w:tcPr>
          <w:p>
            <w:pPr>
              <w:spacing w:after="0"/>
              <w:rPr>
                <w:sz w:val="12"/>
                <w:szCs w:val="12"/>
                <w:color w:val="auto"/>
              </w:rPr>
            </w:pPr>
          </w:p>
        </w:tc>
        <w:tc>
          <w:tcPr>
            <w:tcW w:w="5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8,623</w:t>
            </w:r>
          </w:p>
        </w:tc>
        <w:tc>
          <w:tcPr>
            <w:tcW w:w="340" w:type="dxa"/>
            <w:vAlign w:val="bottom"/>
            <w:tcBorders>
              <w:top w:val="single" w:sz="8" w:color="E5FFFF"/>
            </w:tcBorders>
            <w:shd w:val="clear" w:color="auto" w:fill="E5FFFF"/>
          </w:tcPr>
          <w:p>
            <w:pPr>
              <w:spacing w:after="0"/>
              <w:rPr>
                <w:sz w:val="12"/>
                <w:szCs w:val="12"/>
                <w:color w:val="auto"/>
              </w:rPr>
            </w:pPr>
          </w:p>
        </w:tc>
        <w:tc>
          <w:tcPr>
            <w:tcW w:w="2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auto"/>
              <w:bottom w:val="single" w:sz="8" w:color="auto"/>
            </w:tcBorders>
            <w:shd w:val="clear" w:color="auto" w:fill="E5FFFF"/>
          </w:tcPr>
          <w:p>
            <w:pPr>
              <w:spacing w:after="0"/>
              <w:rPr>
                <w:sz w:val="12"/>
                <w:szCs w:val="12"/>
                <w:color w:val="auto"/>
              </w:rPr>
            </w:pPr>
          </w:p>
        </w:tc>
        <w:tc>
          <w:tcPr>
            <w:tcW w:w="5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10,343</w:t>
            </w: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r>
      <w:tr>
        <w:trPr>
          <w:trHeight w:val="142"/>
        </w:trPr>
        <w:tc>
          <w:tcPr>
            <w:tcW w:w="7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70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3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(5,126)</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(10,412)</w:t>
            </w:r>
          </w:p>
        </w:tc>
        <w:tc>
          <w:tcPr>
            <w:tcW w:w="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(3,776)</w:t>
            </w:r>
          </w:p>
        </w:tc>
        <w:tc>
          <w:tcPr>
            <w:tcW w:w="80" w:type="dxa"/>
            <w:vAlign w:val="bottom"/>
            <w:shd w:val="clear" w:color="auto" w:fill="E5FFFF"/>
          </w:tcPr>
          <w:p>
            <w:pPr>
              <w:spacing w:after="0"/>
              <w:rPr>
                <w:sz w:val="12"/>
                <w:szCs w:val="12"/>
                <w:color w:val="auto"/>
              </w:rPr>
            </w:pPr>
          </w:p>
        </w:tc>
      </w:tr>
      <w:tr>
        <w:trPr>
          <w:trHeight w:val="148"/>
        </w:trPr>
        <w:tc>
          <w:tcPr>
            <w:tcW w:w="7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short-term investments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(88,949)</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(96,233)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(26,025)</w:t>
            </w:r>
          </w:p>
        </w:tc>
        <w:tc>
          <w:tcPr>
            <w:tcW w:w="80" w:type="dxa"/>
            <w:vAlign w:val="bottom"/>
          </w:tcPr>
          <w:p>
            <w:pPr>
              <w:spacing w:after="0"/>
              <w:rPr>
                <w:sz w:val="12"/>
                <w:szCs w:val="12"/>
                <w:color w:val="auto"/>
              </w:rPr>
            </w:pPr>
          </w:p>
        </w:tc>
      </w:tr>
      <w:tr>
        <w:trPr>
          <w:trHeight w:val="148"/>
        </w:trPr>
        <w:tc>
          <w:tcPr>
            <w:tcW w:w="70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Sales of short-term investments</w:t>
            </w:r>
          </w:p>
        </w:tc>
        <w:tc>
          <w:tcPr>
            <w:tcW w:w="13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99,309</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86,328</w:t>
            </w:r>
          </w:p>
        </w:tc>
        <w:tc>
          <w:tcPr>
            <w:tcW w:w="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80" w:type="dxa"/>
            <w:vAlign w:val="bottom"/>
            <w:shd w:val="clear" w:color="auto" w:fill="E5FFFF"/>
          </w:tcPr>
          <w:p>
            <w:pPr>
              <w:spacing w:after="0"/>
              <w:rPr>
                <w:sz w:val="12"/>
                <w:szCs w:val="12"/>
                <w:color w:val="auto"/>
              </w:rPr>
            </w:pPr>
          </w:p>
        </w:tc>
      </w:tr>
      <w:tr>
        <w:trPr>
          <w:trHeight w:val="149"/>
        </w:trPr>
        <w:tc>
          <w:tcPr>
            <w:tcW w:w="7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real estate and property and equipment</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r>
      <w:tr>
        <w:trPr>
          <w:trHeight w:val="148"/>
        </w:trPr>
        <w:tc>
          <w:tcPr>
            <w:tcW w:w="70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Repayment of note receivable</w:t>
            </w:r>
          </w:p>
        </w:tc>
        <w:tc>
          <w:tcPr>
            <w:tcW w:w="13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80" w:type="dxa"/>
            <w:vAlign w:val="bottom"/>
            <w:shd w:val="clear" w:color="auto" w:fill="E5FFFF"/>
          </w:tcPr>
          <w:p>
            <w:pPr>
              <w:spacing w:after="0"/>
              <w:rPr>
                <w:sz w:val="12"/>
                <w:szCs w:val="12"/>
                <w:color w:val="auto"/>
              </w:rPr>
            </w:pPr>
          </w:p>
        </w:tc>
      </w:tr>
      <w:tr>
        <w:trPr>
          <w:trHeight w:val="162"/>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r>
      <w:tr>
        <w:trPr>
          <w:trHeight w:val="142"/>
        </w:trPr>
        <w:tc>
          <w:tcPr>
            <w:tcW w:w="7060" w:type="dxa"/>
            <w:vAlign w:val="bottom"/>
            <w:tcBorders>
              <w:top w:val="single" w:sz="8" w:color="E5FFFF"/>
            </w:tcBorders>
            <w:shd w:val="clear" w:color="auto" w:fill="E5FFFF"/>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38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auto"/>
              <w:bottom w:val="single" w:sz="8" w:color="auto"/>
            </w:tcBorders>
            <w:shd w:val="clear" w:color="auto" w:fill="E5FFFF"/>
          </w:tcPr>
          <w:p>
            <w:pPr>
              <w:spacing w:after="0"/>
              <w:rPr>
                <w:sz w:val="12"/>
                <w:szCs w:val="12"/>
                <w:color w:val="auto"/>
              </w:rPr>
            </w:pPr>
          </w:p>
        </w:tc>
        <w:tc>
          <w:tcPr>
            <w:tcW w:w="5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5,294</w:t>
            </w:r>
          </w:p>
        </w:tc>
        <w:tc>
          <w:tcPr>
            <w:tcW w:w="34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bottom w:val="single" w:sz="8" w:color="auto"/>
            </w:tcBorders>
            <w:shd w:val="clear" w:color="auto" w:fill="E5FFFF"/>
          </w:tcPr>
          <w:p>
            <w:pPr>
              <w:spacing w:after="0"/>
              <w:rPr>
                <w:sz w:val="12"/>
                <w:szCs w:val="12"/>
                <w:color w:val="auto"/>
              </w:rPr>
            </w:pPr>
          </w:p>
        </w:tc>
        <w:tc>
          <w:tcPr>
            <w:tcW w:w="5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(20,791)</w:t>
            </w:r>
          </w:p>
        </w:tc>
        <w:tc>
          <w:tcPr>
            <w:tcW w:w="340" w:type="dxa"/>
            <w:vAlign w:val="bottom"/>
            <w:tcBorders>
              <w:top w:val="single" w:sz="8" w:color="E5FFFF"/>
            </w:tcBorders>
            <w:shd w:val="clear" w:color="auto" w:fill="E5FFFF"/>
          </w:tcPr>
          <w:p>
            <w:pPr>
              <w:spacing w:after="0"/>
              <w:rPr>
                <w:sz w:val="12"/>
                <w:szCs w:val="12"/>
                <w:color w:val="auto"/>
              </w:rPr>
            </w:pPr>
          </w:p>
        </w:tc>
        <w:tc>
          <w:tcPr>
            <w:tcW w:w="2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auto"/>
              <w:bottom w:val="single" w:sz="8" w:color="auto"/>
            </w:tcBorders>
            <w:shd w:val="clear" w:color="auto" w:fill="E5FFFF"/>
          </w:tcPr>
          <w:p>
            <w:pPr>
              <w:spacing w:after="0"/>
              <w:rPr>
                <w:sz w:val="12"/>
                <w:szCs w:val="12"/>
                <w:color w:val="auto"/>
              </w:rPr>
            </w:pPr>
          </w:p>
        </w:tc>
        <w:tc>
          <w:tcPr>
            <w:tcW w:w="5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(14,432)</w:t>
            </w: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r>
      <w:tr>
        <w:trPr>
          <w:trHeight w:val="142"/>
        </w:trPr>
        <w:tc>
          <w:tcPr>
            <w:tcW w:w="7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70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13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(6,627)</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(19,629)</w:t>
            </w:r>
          </w:p>
        </w:tc>
        <w:tc>
          <w:tcPr>
            <w:tcW w:w="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5FFFF"/>
          </w:tcPr>
          <w:p>
            <w:pPr>
              <w:spacing w:after="0"/>
              <w:rPr>
                <w:sz w:val="12"/>
                <w:szCs w:val="12"/>
                <w:color w:val="auto"/>
              </w:rPr>
            </w:pPr>
          </w:p>
        </w:tc>
      </w:tr>
      <w:tr>
        <w:trPr>
          <w:trHeight w:val="162"/>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Payments to noncontrolling interests holders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(4,772)</w:t>
            </w: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(2,928)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(4,264)</w:t>
            </w:r>
          </w:p>
        </w:tc>
        <w:tc>
          <w:tcPr>
            <w:tcW w:w="80" w:type="dxa"/>
            <w:vAlign w:val="bottom"/>
          </w:tcPr>
          <w:p>
            <w:pPr>
              <w:spacing w:after="0"/>
              <w:rPr>
                <w:sz w:val="14"/>
                <w:szCs w:val="14"/>
                <w:color w:val="auto"/>
              </w:rPr>
            </w:pPr>
          </w:p>
        </w:tc>
      </w:tr>
      <w:tr>
        <w:trPr>
          <w:trHeight w:val="142"/>
        </w:trPr>
        <w:tc>
          <w:tcPr>
            <w:tcW w:w="7060" w:type="dxa"/>
            <w:vAlign w:val="bottom"/>
            <w:tcBorders>
              <w:top w:val="single" w:sz="8" w:color="E5FFFF"/>
            </w:tcBorders>
            <w:shd w:val="clear" w:color="auto" w:fill="E5FFFF"/>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 from continuing operations</w:t>
            </w:r>
          </w:p>
        </w:tc>
        <w:tc>
          <w:tcPr>
            <w:tcW w:w="138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auto"/>
            </w:tcBorders>
            <w:shd w:val="clear" w:color="auto" w:fill="E5FFFF"/>
          </w:tcPr>
          <w:p>
            <w:pPr>
              <w:spacing w:after="0"/>
              <w:rPr>
                <w:sz w:val="12"/>
                <w:szCs w:val="12"/>
                <w:color w:val="auto"/>
              </w:rPr>
            </w:pPr>
          </w:p>
        </w:tc>
        <w:tc>
          <w:tcPr>
            <w:tcW w:w="56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(11,399)</w:t>
            </w:r>
          </w:p>
        </w:tc>
        <w:tc>
          <w:tcPr>
            <w:tcW w:w="34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spacing w:after="0"/>
              <w:rPr>
                <w:sz w:val="12"/>
                <w:szCs w:val="12"/>
                <w:color w:val="auto"/>
              </w:rPr>
            </w:pPr>
          </w:p>
        </w:tc>
        <w:tc>
          <w:tcPr>
            <w:tcW w:w="54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(22,557)</w:t>
            </w:r>
          </w:p>
        </w:tc>
        <w:tc>
          <w:tcPr>
            <w:tcW w:w="340" w:type="dxa"/>
            <w:vAlign w:val="bottom"/>
            <w:tcBorders>
              <w:top w:val="single" w:sz="8" w:color="E5FFFF"/>
            </w:tcBorders>
            <w:shd w:val="clear" w:color="auto" w:fill="E5FFFF"/>
          </w:tcPr>
          <w:p>
            <w:pPr>
              <w:spacing w:after="0"/>
              <w:rPr>
                <w:sz w:val="12"/>
                <w:szCs w:val="12"/>
                <w:color w:val="auto"/>
              </w:rPr>
            </w:pPr>
          </w:p>
        </w:tc>
        <w:tc>
          <w:tcPr>
            <w:tcW w:w="2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auto"/>
            </w:tcBorders>
            <w:shd w:val="clear" w:color="auto" w:fill="E5FFFF"/>
          </w:tcPr>
          <w:p>
            <w:pPr>
              <w:spacing w:after="0"/>
              <w:rPr>
                <w:sz w:val="12"/>
                <w:szCs w:val="12"/>
                <w:color w:val="auto"/>
              </w:rPr>
            </w:pPr>
          </w:p>
        </w:tc>
        <w:tc>
          <w:tcPr>
            <w:tcW w:w="54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(4,264)</w:t>
            </w: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r>
      <w:tr>
        <w:trPr>
          <w:trHeight w:val="162"/>
        </w:trPr>
        <w:tc>
          <w:tcPr>
            <w:tcW w:w="7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provided by financing activities from discontinued operations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4"/>
                <w:szCs w:val="14"/>
                <w:color w:val="auto"/>
              </w:rPr>
            </w:pPr>
          </w:p>
        </w:tc>
      </w:tr>
      <w:tr>
        <w:trPr>
          <w:trHeight w:val="142"/>
        </w:trPr>
        <w:tc>
          <w:tcPr>
            <w:tcW w:w="7060" w:type="dxa"/>
            <w:vAlign w:val="bottom"/>
            <w:tcBorders>
              <w:top w:val="single" w:sz="8" w:color="E5FFFF"/>
            </w:tcBorders>
            <w:shd w:val="clear" w:color="auto" w:fill="E5FFFF"/>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38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auto"/>
            </w:tcBorders>
            <w:shd w:val="clear" w:color="auto" w:fill="E5FFFF"/>
          </w:tcPr>
          <w:p>
            <w:pPr>
              <w:spacing w:after="0"/>
              <w:rPr>
                <w:sz w:val="12"/>
                <w:szCs w:val="12"/>
                <w:color w:val="auto"/>
              </w:rPr>
            </w:pPr>
          </w:p>
        </w:tc>
        <w:tc>
          <w:tcPr>
            <w:tcW w:w="56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(11,095)</w:t>
            </w:r>
          </w:p>
        </w:tc>
        <w:tc>
          <w:tcPr>
            <w:tcW w:w="34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tcBorders>
            <w:shd w:val="clear" w:color="auto" w:fill="E5FFFF"/>
          </w:tcPr>
          <w:p>
            <w:pPr>
              <w:spacing w:after="0"/>
              <w:rPr>
                <w:sz w:val="12"/>
                <w:szCs w:val="12"/>
                <w:color w:val="auto"/>
              </w:rPr>
            </w:pPr>
          </w:p>
        </w:tc>
        <w:tc>
          <w:tcPr>
            <w:tcW w:w="54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(22,445)</w:t>
            </w:r>
          </w:p>
        </w:tc>
        <w:tc>
          <w:tcPr>
            <w:tcW w:w="340" w:type="dxa"/>
            <w:vAlign w:val="bottom"/>
            <w:tcBorders>
              <w:top w:val="single" w:sz="8" w:color="E5FFFF"/>
            </w:tcBorders>
            <w:shd w:val="clear" w:color="auto" w:fill="E5FFFF"/>
          </w:tcPr>
          <w:p>
            <w:pPr>
              <w:spacing w:after="0"/>
              <w:rPr>
                <w:sz w:val="12"/>
                <w:szCs w:val="12"/>
                <w:color w:val="auto"/>
              </w:rPr>
            </w:pPr>
          </w:p>
        </w:tc>
        <w:tc>
          <w:tcPr>
            <w:tcW w:w="2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auto"/>
            </w:tcBorders>
            <w:shd w:val="clear" w:color="auto" w:fill="E5FFFF"/>
          </w:tcPr>
          <w:p>
            <w:pPr>
              <w:spacing w:after="0"/>
              <w:rPr>
                <w:sz w:val="12"/>
                <w:szCs w:val="12"/>
                <w:color w:val="auto"/>
              </w:rPr>
            </w:pPr>
          </w:p>
        </w:tc>
        <w:tc>
          <w:tcPr>
            <w:tcW w:w="540" w:type="dxa"/>
            <w:vAlign w:val="bottom"/>
            <w:tcBorders>
              <w:top w:val="single" w:sz="8" w:color="auto"/>
            </w:tcBorders>
            <w:shd w:val="clear" w:color="auto" w:fill="E5FF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(3,952)</w:t>
            </w: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r>
      <w:tr>
        <w:trPr>
          <w:trHeight w:val="149"/>
        </w:trPr>
        <w:tc>
          <w:tcPr>
            <w:tcW w:w="7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85,910</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(34,613)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(8,041)</w:t>
            </w:r>
          </w:p>
        </w:tc>
        <w:tc>
          <w:tcPr>
            <w:tcW w:w="80" w:type="dxa"/>
            <w:vAlign w:val="bottom"/>
          </w:tcPr>
          <w:p>
            <w:pPr>
              <w:spacing w:after="0"/>
              <w:rPr>
                <w:sz w:val="12"/>
                <w:szCs w:val="12"/>
                <w:color w:val="auto"/>
              </w:rPr>
            </w:pPr>
          </w:p>
        </w:tc>
      </w:tr>
      <w:tr>
        <w:trPr>
          <w:trHeight w:val="162"/>
        </w:trPr>
        <w:tc>
          <w:tcPr>
            <w:tcW w:w="706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CASH-Beginning of year</w:t>
            </w:r>
          </w:p>
        </w:tc>
        <w:tc>
          <w:tcPr>
            <w:tcW w:w="138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0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146,158</w:t>
            </w:r>
          </w:p>
        </w:tc>
        <w:tc>
          <w:tcPr>
            <w:tcW w:w="120" w:type="dxa"/>
            <w:vAlign w:val="bottom"/>
            <w:shd w:val="clear" w:color="auto" w:fill="E5FFFF"/>
          </w:tcPr>
          <w:p>
            <w:pPr>
              <w:spacing w:after="0"/>
              <w:rPr>
                <w:sz w:val="14"/>
                <w:szCs w:val="14"/>
                <w:color w:val="auto"/>
              </w:rPr>
            </w:pPr>
          </w:p>
        </w:tc>
        <w:tc>
          <w:tcPr>
            <w:tcW w:w="8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180,771</w:t>
            </w:r>
          </w:p>
        </w:tc>
        <w:tc>
          <w:tcPr>
            <w:tcW w:w="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5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188,812</w:t>
            </w:r>
          </w:p>
        </w:tc>
        <w:tc>
          <w:tcPr>
            <w:tcW w:w="80" w:type="dxa"/>
            <w:vAlign w:val="bottom"/>
            <w:shd w:val="clear" w:color="auto" w:fill="E5FFFF"/>
          </w:tcPr>
          <w:p>
            <w:pPr>
              <w:spacing w:after="0"/>
              <w:rPr>
                <w:sz w:val="14"/>
                <w:szCs w:val="14"/>
                <w:color w:val="auto"/>
              </w:rPr>
            </w:pPr>
          </w:p>
        </w:tc>
      </w:tr>
      <w:tr>
        <w:trPr>
          <w:trHeight w:val="156"/>
        </w:trPr>
        <w:tc>
          <w:tcPr>
            <w:tcW w:w="70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CASH-End of year</w:t>
            </w:r>
          </w:p>
        </w:tc>
        <w:tc>
          <w:tcPr>
            <w:tcW w:w="13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232,068</w:t>
            </w:r>
          </w:p>
        </w:tc>
        <w:tc>
          <w:tcPr>
            <w:tcW w:w="3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146,158</w:t>
            </w:r>
          </w:p>
        </w:tc>
        <w:tc>
          <w:tcPr>
            <w:tcW w:w="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180,771</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7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Continued on the following page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39" w:name="page40"/>
    <w:bookmarkEnd w:id="39"/>
    <w:p>
      <w:pPr>
        <w:ind w:right="4360"/>
        <w:spacing w:after="0" w:line="246" w:lineRule="auto"/>
        <w:rPr>
          <w:sz w:val="20"/>
          <w:szCs w:val="20"/>
          <w:color w:val="auto"/>
        </w:rPr>
      </w:pPr>
      <w:r>
        <w:rPr>
          <w:rFonts w:ascii="Times New Roman" w:cs="Times New Roman" w:eastAsia="Times New Roman" w:hAnsi="Times New Roman"/>
          <w:sz w:val="22"/>
          <w:szCs w:val="22"/>
          <w:b w:val="1"/>
          <w:bCs w:val="1"/>
          <w:color w:val="auto"/>
        </w:rPr>
        <w:t>REX AMERICAN RESOURCES CORPORATION AND SUBSIDIARIES CONSOLIDATED STATEMENTS OF CASH FLOWS (Amounts in Thousands)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Non cash financing activities-Equity awards issued</w:t>
            </w:r>
          </w:p>
        </w:tc>
        <w:tc>
          <w:tcPr>
            <w:tcW w:w="2180" w:type="dxa"/>
            <w:vAlign w:val="bottom"/>
            <w:gridSpan w:val="2"/>
            <w:shd w:val="clear" w:color="auto" w:fill="E5FF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241</w:t>
            </w:r>
          </w:p>
        </w:tc>
        <w:tc>
          <w:tcPr>
            <w:tcW w:w="300" w:type="dxa"/>
            <w:vAlign w:val="bottom"/>
            <w:gridSpan w:val="2"/>
            <w:shd w:val="clear" w:color="auto" w:fill="E5FF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487</w:t>
            </w:r>
          </w:p>
        </w:tc>
      </w:tr>
      <w:tr>
        <w:trPr>
          <w:trHeight w:val="148"/>
        </w:trPr>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 cash financing activities-Equity awards accrued</w:t>
            </w:r>
          </w:p>
        </w:tc>
        <w:tc>
          <w:tcPr>
            <w:tcW w:w="21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1,580</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w:t>
            </w:r>
          </w:p>
        </w:tc>
      </w:tr>
      <w:tr>
        <w:trPr>
          <w:trHeight w:val="149"/>
        </w:trPr>
        <w:tc>
          <w:tcPr>
            <w:tcW w:w="64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 cash investing activities-Accrued capital expenditures</w:t>
            </w:r>
          </w:p>
        </w:tc>
        <w:tc>
          <w:tcPr>
            <w:tcW w:w="2180" w:type="dxa"/>
            <w:vAlign w:val="bottom"/>
            <w:gridSpan w:val="2"/>
            <w:shd w:val="clear" w:color="auto" w:fill="E5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300" w:type="dxa"/>
            <w:vAlign w:val="bottom"/>
            <w:gridSpan w:val="2"/>
            <w:shd w:val="clear" w:color="auto" w:fill="E5FF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w:t>
            </w:r>
          </w:p>
        </w:tc>
      </w:tr>
      <w:tr>
        <w:trPr>
          <w:trHeight w:val="148"/>
        </w:trPr>
        <w:tc>
          <w:tcPr>
            <w:tcW w:w="6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Initial right-of-use assets and liabilities recorded upon adoption of ASC 842</w:t>
            </w:r>
          </w:p>
        </w:tc>
        <w:tc>
          <w:tcPr>
            <w:tcW w:w="21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20,918</w:t>
            </w:r>
          </w:p>
        </w:tc>
      </w:tr>
      <w:tr>
        <w:trPr>
          <w:trHeight w:val="148"/>
        </w:trPr>
        <w:tc>
          <w:tcPr>
            <w:tcW w:w="64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acquired and liabilities incurred upon lease execution</w:t>
            </w:r>
          </w:p>
        </w:tc>
        <w:tc>
          <w:tcPr>
            <w:tcW w:w="2180" w:type="dxa"/>
            <w:vAlign w:val="bottom"/>
            <w:gridSpan w:val="2"/>
            <w:shd w:val="clear" w:color="auto" w:fill="E5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4,103</w:t>
            </w:r>
          </w:p>
        </w:tc>
        <w:tc>
          <w:tcPr>
            <w:tcW w:w="1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1,863</w:t>
            </w:r>
          </w:p>
        </w:tc>
        <w:tc>
          <w:tcPr>
            <w:tcW w:w="300" w:type="dxa"/>
            <w:vAlign w:val="bottom"/>
            <w:gridSpan w:val="2"/>
            <w:shd w:val="clear" w:color="auto" w:fill="E5FF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432</w:t>
            </w:r>
          </w:p>
        </w:tc>
      </w:tr>
      <w:tr>
        <w:trPr>
          <w:trHeight w:val="297"/>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Reconciliation of total cash, cash equivalents and restricted cash:</w:t>
            </w: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64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180" w:type="dxa"/>
            <w:vAlign w:val="bottom"/>
            <w:gridSpan w:val="2"/>
            <w:shd w:val="clear" w:color="auto" w:fill="E5F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229,846</w:t>
            </w:r>
          </w:p>
        </w:tc>
        <w:tc>
          <w:tcPr>
            <w:tcW w:w="1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144,501</w:t>
            </w:r>
          </w:p>
        </w:tc>
        <w:tc>
          <w:tcPr>
            <w:tcW w:w="300" w:type="dxa"/>
            <w:vAlign w:val="bottom"/>
            <w:gridSpan w:val="2"/>
            <w:shd w:val="clear" w:color="auto" w:fill="E5FF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179,658</w:t>
            </w:r>
          </w:p>
        </w:tc>
      </w:tr>
      <w:tr>
        <w:trPr>
          <w:trHeight w:val="162"/>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2,222</w:t>
            </w: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1,657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1,113</w:t>
            </w:r>
          </w:p>
        </w:tc>
      </w:tr>
      <w:tr>
        <w:trPr>
          <w:trHeight w:val="155"/>
        </w:trPr>
        <w:tc>
          <w:tcPr>
            <w:tcW w:w="6420" w:type="dxa"/>
            <w:vAlign w:val="bottom"/>
            <w:tcBorders>
              <w:top w:val="single" w:sz="8" w:color="E5FFFF"/>
              <w:bottom w:val="single" w:sz="8" w:color="E5FFFF"/>
            </w:tcBorders>
            <w:shd w:val="clear" w:color="auto" w:fill="E5FFFF"/>
          </w:tcPr>
          <w:p>
            <w:pPr>
              <w:spacing w:after="0" w:line="155"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020" w:type="dxa"/>
            <w:vAlign w:val="bottom"/>
            <w:tcBorders>
              <w:top w:val="single" w:sz="8" w:color="E5FFFF"/>
              <w:bottom w:val="single" w:sz="8" w:color="E5FFFF"/>
            </w:tcBorders>
            <w:shd w:val="clear" w:color="auto" w:fill="E5FFFF"/>
          </w:tcPr>
          <w:p>
            <w:pPr>
              <w:spacing w:after="0"/>
              <w:rPr>
                <w:sz w:val="13"/>
                <w:szCs w:val="13"/>
                <w:color w:val="auto"/>
              </w:rPr>
            </w:pPr>
          </w:p>
        </w:tc>
        <w:tc>
          <w:tcPr>
            <w:tcW w:w="160" w:type="dxa"/>
            <w:vAlign w:val="bottom"/>
            <w:tcBorders>
              <w:top w:val="single" w:sz="8" w:color="auto"/>
              <w:bottom w:val="single" w:sz="8" w:color="auto"/>
            </w:tcBorders>
            <w:shd w:val="clear" w:color="auto" w:fill="E5FF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232,068</w:t>
            </w:r>
          </w:p>
        </w:tc>
        <w:tc>
          <w:tcPr>
            <w:tcW w:w="340" w:type="dxa"/>
            <w:vAlign w:val="bottom"/>
            <w:tcBorders>
              <w:top w:val="single" w:sz="8" w:color="E5FFFF"/>
              <w:bottom w:val="single" w:sz="8" w:color="E5FFFF"/>
            </w:tcBorders>
            <w:shd w:val="clear" w:color="auto" w:fill="E5FFFF"/>
          </w:tcPr>
          <w:p>
            <w:pPr>
              <w:spacing w:after="0"/>
              <w:rPr>
                <w:sz w:val="13"/>
                <w:szCs w:val="13"/>
                <w:color w:val="auto"/>
              </w:rPr>
            </w:pPr>
          </w:p>
        </w:tc>
        <w:tc>
          <w:tcPr>
            <w:tcW w:w="14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146,158</w:t>
            </w:r>
          </w:p>
        </w:tc>
        <w:tc>
          <w:tcPr>
            <w:tcW w:w="160" w:type="dxa"/>
            <w:vAlign w:val="bottom"/>
            <w:tcBorders>
              <w:top w:val="single" w:sz="8" w:color="E5FFFF"/>
              <w:bottom w:val="single" w:sz="8" w:color="E5FFFF"/>
            </w:tcBorders>
            <w:shd w:val="clear" w:color="auto" w:fill="E5FFFF"/>
          </w:tcPr>
          <w:p>
            <w:pPr>
              <w:spacing w:after="0"/>
              <w:rPr>
                <w:sz w:val="13"/>
                <w:szCs w:val="13"/>
                <w:color w:val="auto"/>
              </w:rPr>
            </w:pPr>
          </w:p>
        </w:tc>
        <w:tc>
          <w:tcPr>
            <w:tcW w:w="180" w:type="dxa"/>
            <w:vAlign w:val="bottom"/>
            <w:tcBorders>
              <w:top w:val="single" w:sz="8" w:color="E5FFFF"/>
              <w:bottom w:val="single" w:sz="8" w:color="E5FFFF"/>
            </w:tcBorders>
            <w:shd w:val="clear" w:color="auto" w:fill="E5FFFF"/>
          </w:tcPr>
          <w:p>
            <w:pPr>
              <w:spacing w:after="0"/>
              <w:rPr>
                <w:sz w:val="13"/>
                <w:szCs w:val="13"/>
                <w:color w:val="auto"/>
              </w:rPr>
            </w:pPr>
          </w:p>
        </w:tc>
        <w:tc>
          <w:tcPr>
            <w:tcW w:w="12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180,771</w:t>
            </w:r>
          </w:p>
        </w:tc>
        <w:tc>
          <w:tcPr>
            <w:tcW w:w="100" w:type="dxa"/>
            <w:vAlign w:val="bottom"/>
            <w:tcBorders>
              <w:top w:val="single" w:sz="8" w:color="E5FFFF"/>
              <w:bottom w:val="single" w:sz="8" w:color="E5FFFF"/>
            </w:tcBorders>
            <w:shd w:val="clear" w:color="auto" w:fill="E5FFFF"/>
          </w:tcPr>
          <w:p>
            <w:pPr>
              <w:spacing w:after="0"/>
              <w:rPr>
                <w:sz w:val="13"/>
                <w:szCs w:val="13"/>
                <w:color w:val="auto"/>
              </w:rPr>
            </w:pPr>
          </w:p>
        </w:tc>
      </w:tr>
      <w:tr>
        <w:trPr>
          <w:trHeight w:val="20"/>
        </w:trPr>
        <w:tc>
          <w:tcPr>
            <w:tcW w:w="6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40" w:name="page41"/>
    <w:bookmarkEnd w:id="40"/>
    <w:p>
      <w:pPr>
        <w:ind w:right="5500"/>
        <w:spacing w:after="0" w:line="317" w:lineRule="auto"/>
        <w:rPr>
          <w:sz w:val="20"/>
          <w:szCs w:val="20"/>
          <w:color w:val="auto"/>
        </w:rPr>
      </w:pPr>
      <w:r>
        <w:rPr>
          <w:rFonts w:ascii="Times New Roman" w:cs="Times New Roman" w:eastAsia="Times New Roman" w:hAnsi="Times New Roman"/>
          <w:sz w:val="17"/>
          <w:szCs w:val="17"/>
          <w:b w:val="1"/>
          <w:bCs w:val="1"/>
          <w:color w:val="auto"/>
        </w:rPr>
        <w:t>REX AMERICAN RESOURCES CORPORATION AND SUBSIDIARIES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1"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jc w:val="both"/>
        <w:ind w:left="4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Principles of Consolidation – </w:t>
      </w:r>
      <w:r>
        <w:rPr>
          <w:rFonts w:ascii="Times New Roman" w:cs="Times New Roman" w:eastAsia="Times New Roman" w:hAnsi="Times New Roman"/>
          <w:sz w:val="18"/>
          <w:szCs w:val="18"/>
          <w:color w:val="auto"/>
        </w:rPr>
        <w:t>The accompanying financial statements consolidate the operating results and financial position of REX American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Resources Corporation and its wholly-owned and majority owned subsidiaries (the “Company” or “REX”). All intercompany balances and transactions have been eliminated. As of January 31, 2022, the Company owns interests in three operating entities – two are consolidated and one is accounted for using the equity method of accounting. The results of One Earth are included on a delayed basis of one month lag as One Earth has a fiscal year end of December 31. The other consolidated entity has the same fiscal year end as the parent company.</w:t>
      </w:r>
    </w:p>
    <w:p>
      <w:pPr>
        <w:spacing w:after="0" w:line="179" w:lineRule="exact"/>
        <w:rPr>
          <w:rFonts w:ascii="Times New Roman" w:cs="Times New Roman" w:eastAsia="Times New Roman" w:hAnsi="Times New Roman"/>
          <w:sz w:val="18"/>
          <w:szCs w:val="18"/>
          <w:b w:val="1"/>
          <w:bCs w:val="1"/>
          <w:color w:val="auto"/>
        </w:rPr>
      </w:pPr>
    </w:p>
    <w:p>
      <w:pPr>
        <w:jc w:val="both"/>
        <w:ind w:lef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Fiscal Year – </w:t>
      </w:r>
      <w:r>
        <w:rPr>
          <w:rFonts w:ascii="Times New Roman" w:cs="Times New Roman" w:eastAsia="Times New Roman" w:hAnsi="Times New Roman"/>
          <w:sz w:val="18"/>
          <w:szCs w:val="18"/>
          <w:color w:val="auto"/>
        </w:rPr>
        <w:t>All references in these consolidated financial statements to a particular fiscal year are to the Company’s fiscal year ended January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example, “fiscal year 2021” means the period February 1, 2021 to January 31, 2022. The Company refers to its fiscal year by reference to the year immediately preceding the January 31 fiscal year end date.</w:t>
      </w:r>
    </w:p>
    <w:p>
      <w:pPr>
        <w:spacing w:after="0" w:line="170" w:lineRule="exact"/>
        <w:rPr>
          <w:rFonts w:ascii="Times New Roman" w:cs="Times New Roman" w:eastAsia="Times New Roman" w:hAnsi="Times New Roman"/>
          <w:sz w:val="18"/>
          <w:szCs w:val="18"/>
          <w:b w:val="1"/>
          <w:bCs w:val="1"/>
          <w:color w:val="auto"/>
        </w:rPr>
      </w:pPr>
    </w:p>
    <w:p>
      <w:pPr>
        <w:jc w:val="both"/>
        <w:ind w:lef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Segments </w:t>
      </w:r>
      <w:r>
        <w:rPr>
          <w:rFonts w:ascii="Times New Roman" w:cs="Times New Roman" w:eastAsia="Times New Roman" w:hAnsi="Times New Roman"/>
          <w:sz w:val="18"/>
          <w:szCs w:val="18"/>
          <w:color w:val="auto"/>
        </w:rPr>
        <w:t>– Beginning in the third quarter of 2021, the Company has one reportable segment, ethanol and by-products. Within the ethanol and by-products segment, the Company has equity investments in three ethanol limited liability companies, two of which are majority ownership interests. Prior period amounts have been reclassified to conform to current segment reporting.</w:t>
      </w:r>
    </w:p>
    <w:p>
      <w:pPr>
        <w:spacing w:after="0" w:line="174"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applying the criteria set forth in ASC 280, the Company determined that based on the nature of the products and production process and the expected financial results, the Company’s operations at its ethanol plants are aggregated into one reporting segment.</w:t>
      </w:r>
    </w:p>
    <w:p>
      <w:pPr>
        <w:spacing w:after="0" w:line="157" w:lineRule="exact"/>
        <w:rPr>
          <w:rFonts w:ascii="Times New Roman" w:cs="Times New Roman" w:eastAsia="Times New Roman" w:hAnsi="Times New Roman"/>
          <w:sz w:val="18"/>
          <w:szCs w:val="18"/>
          <w:b w:val="1"/>
          <w:bCs w:val="1"/>
          <w:color w:val="auto"/>
        </w:rPr>
      </w:pPr>
    </w:p>
    <w:p>
      <w:pPr>
        <w:jc w:val="both"/>
        <w:ind w:left="4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Use of Estimates – </w:t>
      </w:r>
      <w:r>
        <w:rPr>
          <w:rFonts w:ascii="Times New Roman" w:cs="Times New Roman" w:eastAsia="Times New Roman" w:hAnsi="Times New Roman"/>
          <w:sz w:val="18"/>
          <w:szCs w:val="18"/>
          <w:color w:val="auto"/>
        </w:rPr>
        <w:t>The preparation of consolidated financial statements in conformity with accounting principles generally accepted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76" w:lineRule="exact"/>
        <w:rPr>
          <w:rFonts w:ascii="Times New Roman" w:cs="Times New Roman" w:eastAsia="Times New Roman" w:hAnsi="Times New Roman"/>
          <w:sz w:val="18"/>
          <w:szCs w:val="18"/>
          <w:b w:val="1"/>
          <w:bCs w:val="1"/>
          <w:color w:val="auto"/>
        </w:rPr>
      </w:pPr>
    </w:p>
    <w:p>
      <w:pPr>
        <w:ind w:left="4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Cash Equivalents – </w:t>
      </w:r>
      <w:r>
        <w:rPr>
          <w:rFonts w:ascii="Times New Roman" w:cs="Times New Roman" w:eastAsia="Times New Roman" w:hAnsi="Times New Roman"/>
          <w:sz w:val="18"/>
          <w:szCs w:val="18"/>
          <w:color w:val="auto"/>
        </w:rPr>
        <w:t>Cash equivalents are principally short-term investments with original maturities of three months or less. The carrying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equivalents approximates fair value.</w:t>
      </w:r>
    </w:p>
    <w:p>
      <w:pPr>
        <w:spacing w:after="0" w:line="154" w:lineRule="exact"/>
        <w:rPr>
          <w:rFonts w:ascii="Times New Roman" w:cs="Times New Roman" w:eastAsia="Times New Roman" w:hAnsi="Times New Roman"/>
          <w:sz w:val="18"/>
          <w:szCs w:val="18"/>
          <w:b w:val="1"/>
          <w:bCs w:val="1"/>
          <w:color w:val="auto"/>
        </w:rPr>
      </w:pPr>
    </w:p>
    <w:p>
      <w:pPr>
        <w:jc w:val="both"/>
        <w:ind w:left="4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Concentrations of Risk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Company maintains cash and cash equivalents in accounts with financial institutions which exceed federally insured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limits. The Company has not experienced any losses in such accounts. The Company does not believe there is significant credit risk related to its cash and cash equivalents. Nine (fiscal year 2021), seven (fiscal year 2020) and eight (fiscal year 2019) customers accounted for approximately 85%, 89% and 85% of the Company’s net sales and revenue during fiscal years 2021, 2020 and 2019, respectively. At January 31, 2022 and 2021, these customers represented approximately 83% and 54%, respectively, of the Company’s accounts receivable balance.</w:t>
      </w:r>
    </w:p>
    <w:p>
      <w:pPr>
        <w:spacing w:after="0" w:line="179" w:lineRule="exact"/>
        <w:rPr>
          <w:rFonts w:ascii="Times New Roman" w:cs="Times New Roman" w:eastAsia="Times New Roman" w:hAnsi="Times New Roman"/>
          <w:sz w:val="18"/>
          <w:szCs w:val="18"/>
          <w:b w:val="1"/>
          <w:bCs w:val="1"/>
          <w:color w:val="auto"/>
        </w:rPr>
      </w:pPr>
    </w:p>
    <w:p>
      <w:pPr>
        <w:jc w:val="both"/>
        <w:ind w:left="4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 Inventories are carried at the lower of cost or net realizable value. Cost for all inventories is determined using the first-in, first-out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by-products and refined coal. Inventory is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41" w:name="page42"/>
    <w:bookmarkEnd w:id="41"/>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permanently written down for instances when cost exceeds estimated net realizable value; such write-downs are based primarily upon commodity prices as the market value of inventory is often dependent upon changes in commodity prices. The company recorded approximately $0.5 million and approximately $1.0 million of inventory write-downs in cost of sales at January 31, 2022 and January 31, 2021, respectively. Fluctuations in the write-down of inventory generally relate to the levels and composition of such inventory at a given point in time and commodity prices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components of inventory are as follows (amounts 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 and other finished goods</w:t>
            </w:r>
          </w:p>
        </w:tc>
        <w:tc>
          <w:tcPr>
            <w:tcW w:w="15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Grain and other raw materials</w:t>
            </w:r>
          </w:p>
        </w:tc>
        <w:tc>
          <w:tcPr>
            <w:tcW w:w="136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23,594</w:t>
            </w:r>
          </w:p>
        </w:tc>
        <w:tc>
          <w:tcPr>
            <w:tcW w:w="20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42,225</w:t>
            </w:r>
          </w:p>
        </w:tc>
        <w:tc>
          <w:tcPr>
            <w:tcW w:w="200" w:type="dxa"/>
            <w:vAlign w:val="bottom"/>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 </w:t>
      </w:r>
      <w:r>
        <w:rPr>
          <w:rFonts w:ascii="Times New Roman" w:cs="Times New Roman" w:eastAsia="Times New Roman" w:hAnsi="Times New Roman"/>
          <w:sz w:val="18"/>
          <w:szCs w:val="18"/>
          <w:color w:val="auto"/>
        </w:rPr>
        <w:t>Property and equipment is recorded at cost or the fair value on the date of acquisition (for property and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in a business combination). Depreciation is computed using the straight-line method. Estimated useful lives are 15 to 40 years for buildings and improvements, and 3 to 20 years for fixtures and equipment. The components of property and equipment are as follows (amounts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5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120" w:type="dxa"/>
            <w:vAlign w:val="bottom"/>
            <w:shd w:val="clear" w:color="auto" w:fill="E5FFFF"/>
          </w:tcPr>
          <w:p>
            <w:pPr>
              <w:spacing w:after="0"/>
              <w:rPr>
                <w:sz w:val="18"/>
                <w:szCs w:val="18"/>
                <w:color w:val="auto"/>
              </w:rPr>
            </w:pPr>
          </w:p>
        </w:tc>
        <w:tc>
          <w:tcPr>
            <w:tcW w:w="2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1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296,243</w:t>
            </w:r>
          </w:p>
        </w:tc>
        <w:tc>
          <w:tcPr>
            <w:tcW w:w="1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293,762</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348,704</w:t>
            </w:r>
          </w:p>
        </w:tc>
        <w:tc>
          <w:tcPr>
            <w:tcW w:w="1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344,919</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(211,150)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(194,058)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137,554</w:t>
            </w:r>
          </w:p>
        </w:tc>
        <w:tc>
          <w:tcPr>
            <w:tcW w:w="120" w:type="dxa"/>
            <w:vAlign w:val="bottom"/>
            <w:shd w:val="clear" w:color="auto" w:fill="E5FFFF"/>
          </w:tcPr>
          <w:p>
            <w:pPr>
              <w:spacing w:after="0"/>
              <w:rPr>
                <w:sz w:val="21"/>
                <w:szCs w:val="21"/>
                <w:color w:val="auto"/>
              </w:rPr>
            </w:pPr>
          </w:p>
        </w:tc>
        <w:tc>
          <w:tcPr>
            <w:tcW w:w="2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150,861</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E5FFFF"/>
            </w:tcBorders>
          </w:tcPr>
          <w:p>
            <w:pPr>
              <w:spacing w:after="0" w:line="20" w:lineRule="exact"/>
              <w:rPr>
                <w:sz w:val="1"/>
                <w:szCs w:val="1"/>
                <w:color w:val="auto"/>
              </w:rPr>
            </w:pPr>
          </w:p>
        </w:tc>
        <w:tc>
          <w:tcPr>
            <w:tcW w:w="13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In accordance with ASC 360-05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the carrying value of long-lived assets is assessed for recoverability by management when changes in circumstances indicate that the carrying amount may not be recoverable.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assets, consisting of property and equipment, equity method investments and operating lease right-of-use assets, for impairment whenever events or changes in circumstances indicate the carrying amount of the asset may not be recoverable. The Company assesses long-lived assets for impairment by first determining the forecasted, undiscounted cash flows the asset group is expected to generate. If this total is less than the carrying value of the asset, the Company will then determine the fair value of the asset group. An impairment loss would be recognized in the amount by which the carrying amount of the asset exceeded the fair value of the asset. Significant management judgement is required to determine the fair value of long-lived assets, which includes discounted cash</w:t>
      </w:r>
    </w:p>
    <w:p>
      <w:pPr>
        <w:spacing w:after="0" w:line="16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405"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flows. Such estimates could be significantly affected by future changes in market conditions. The Company recorded no impairment charges in fiscal years 2021, 2020 and 2019. During fiscal year 2020, the Company concluded the impact of the COVID-19 pandemic on the ethanol industry and the Company’s operating results was an indicator that impairment may exist related to certain of its long-lived assets. As a result, the Company performed a recoverability test and determined that there was no impairment.</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expense was approximately $18.0 million, $18.1 million and $20.2 million in fiscal years 2021, 2020 and 2019, respectively.</w:t>
      </w:r>
    </w:p>
    <w:p>
      <w:pPr>
        <w:spacing w:after="0" w:line="221"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 </w:t>
      </w:r>
      <w:r>
        <w:rPr>
          <w:rFonts w:ascii="Times New Roman" w:cs="Times New Roman" w:eastAsia="Times New Roman" w:hAnsi="Times New Roman"/>
          <w:sz w:val="18"/>
          <w:szCs w:val="18"/>
          <w:color w:val="auto"/>
        </w:rPr>
        <w:t>The method of accounting applied to long-term investments, whether consolidated, equity or cost, involves an evaluation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limited liability companies in which it may have a less than 20% ownership interest, using the equity method of accounting when the factors discussed in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using the equity method of accounting and includes the results of Big River on a delayed basis of one month as it has a fiscal year end of December 31.</w:t>
      </w:r>
    </w:p>
    <w:p>
      <w:pPr>
        <w:spacing w:after="0" w:line="192" w:lineRule="exact"/>
        <w:rPr>
          <w:sz w:val="20"/>
          <w:szCs w:val="20"/>
          <w:color w:val="auto"/>
        </w:rPr>
      </w:pPr>
    </w:p>
    <w:p>
      <w:pPr>
        <w:ind w:left="20" w:right="200"/>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its investments for impairment due to declines in market value considered to be other than temporary. Such impairment evaluations include, in addition to persistent, declining market prices,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180" w:lineRule="exact"/>
        <w:rPr>
          <w:sz w:val="20"/>
          <w:szCs w:val="20"/>
          <w:color w:val="auto"/>
        </w:rPr>
      </w:pPr>
    </w:p>
    <w:p>
      <w:pPr>
        <w:ind w:left="20" w:right="440"/>
        <w:spacing w:after="0" w:line="282" w:lineRule="auto"/>
        <w:rPr>
          <w:sz w:val="20"/>
          <w:szCs w:val="20"/>
          <w:color w:val="auto"/>
        </w:rPr>
      </w:pPr>
      <w:r>
        <w:rPr>
          <w:rFonts w:ascii="Times New Roman" w:cs="Times New Roman" w:eastAsia="Times New Roman" w:hAnsi="Times New Roman"/>
          <w:sz w:val="18"/>
          <w:szCs w:val="18"/>
          <w:color w:val="auto"/>
        </w:rPr>
        <w:t>Short-term investments, consisting of U.S. government obligations and certificates of deposit, are considered held-to-maturity, and therefore are carried at amortized historical cost.</w:t>
      </w:r>
    </w:p>
    <w:p>
      <w:pPr>
        <w:spacing w:after="0" w:line="158"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The Company recognizes sales of ethanol, distillers grains and non-food grade corn oil when obligations under the terms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respective contracts with customers are satisfied; this occurs with the transfer of control of products, generally upon shipment from the ethanol plant or upon loading of the rail car used to transport the products.</w:t>
      </w:r>
    </w:p>
    <w:p>
      <w:pPr>
        <w:spacing w:after="0" w:line="171"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w:t>
      </w:r>
      <w:r>
        <w:rPr>
          <w:rFonts w:ascii="Times New Roman" w:cs="Times New Roman" w:eastAsia="Times New Roman" w:hAnsi="Times New Roman"/>
          <w:sz w:val="18"/>
          <w:szCs w:val="18"/>
          <w:color w:val="auto"/>
        </w:rPr>
        <w:t>Cost of sales includes depreciation, costs of raw materials, inbound freight charges, purchasing and receiving costs, inspection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distribution expenses, warehousing costs, plant management, certain compensation costs and general facility overhead charges.</w:t>
      </w:r>
    </w:p>
    <w:p>
      <w:pPr>
        <w:spacing w:after="0" w:line="155"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SG&amp;A Expenses – </w:t>
      </w:r>
      <w:r>
        <w:rPr>
          <w:rFonts w:ascii="Times New Roman" w:cs="Times New Roman" w:eastAsia="Times New Roman" w:hAnsi="Times New Roman"/>
          <w:sz w:val="18"/>
          <w:szCs w:val="18"/>
          <w:color w:val="auto"/>
        </w:rPr>
        <w:t>The Company includes non-production related costs such as professional fees, outbound freight charges, selling charges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payroll in SG&amp;A expenses. Outbound freight charges were approximately $7,321,000, $3,482,000, and $4,086,000 in fiscal years 2021, 2020 and 2019, respectively.</w:t>
      </w:r>
    </w:p>
    <w:p>
      <w:pPr>
        <w:spacing w:after="0" w:line="171"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 Certain of the forward grain purchase and ethanol, distillers grains and non-food grade corn oil sale contracts are accounted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under the “normal purchases and normal sales” scope exemption of ASC 815, because these arrangements are for purchases of grain that will be delivered in quantities expected to be used and sales of ethanol, distillers grains and non-food grade corn oil that will</w:t>
      </w:r>
    </w:p>
    <w:p>
      <w:pPr>
        <w:spacing w:after="0" w:line="14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405" w:right="339" w:bottom="1440" w:gutter="0" w:footer="0" w:header="0"/>
        </w:sectPr>
      </w:pPr>
    </w:p>
    <w:bookmarkStart w:id="43" w:name="page44"/>
    <w:bookmarkEnd w:id="43"/>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be produced in quantities expected to be sold by us over a reasonable period of time in the normal course of business. During fiscal years 2021, 2020 and 2019 there were no material settlements of forward contracts that were recorded at fair value. The Company recorded an asset of approximately $1.0 million and $2.1 million at January 31, 2022 and 2021, respectively, associated with contracts not accounted for under the “normal purchases and normal sales” scope exemption of ASC 815.</w:t>
      </w:r>
    </w:p>
    <w:p>
      <w:pPr>
        <w:spacing w:after="0" w:line="180"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 Company uses derivative financial instruments (exchange-traded futures contracts and swaps) to manage a portion of the risk associated with changes in commodity prices, primarily related to corn and ethanol.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85"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Compensation </w:t>
      </w:r>
      <w:r>
        <w:rPr>
          <w:rFonts w:ascii="Times New Roman" w:cs="Times New Roman" w:eastAsia="Times New Roman" w:hAnsi="Times New Roman"/>
          <w:sz w:val="18"/>
          <w:szCs w:val="18"/>
          <w:color w:val="auto"/>
        </w:rPr>
        <w:t>– The Company has a stock-based compensation plan, approved by its shareholders, which reserves a total of 550,000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The Company measures share-based compensation grants at fair value on the grant date, adjusted for estimated forfeitures. The Company records noncash compensation expense related to equity and liability awards in its consolidated financial statements over the requisite service period on a straight-line basis. See Note 10 for a further discussion of restricted stock.</w:t>
      </w:r>
    </w:p>
    <w:p>
      <w:pPr>
        <w:spacing w:after="0" w:line="182"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The Company provides for deferred tax liabilities and assets for the future tax consequences attributable to differences between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 carrying amounts of existing assets and liabilities and their respective tax bases and operating loss and tax credit carryforwards. The Company provides for a valuation allowance if, based on the weight of available positive and negative evidence, it is more likely than not that some or all of the deferred tax assets will not be realized. The Company’s annual effective tax rate includes the impact of research and experimentation credits.</w:t>
      </w:r>
    </w:p>
    <w:p>
      <w:pPr>
        <w:spacing w:after="0" w:line="179"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w:t>
      </w:r>
      <w:r>
        <w:rPr>
          <w:rFonts w:ascii="Times New Roman" w:cs="Times New Roman" w:eastAsia="Times New Roman" w:hAnsi="Times New Roman"/>
          <w:sz w:val="18"/>
          <w:szCs w:val="18"/>
          <w:color w:val="auto"/>
        </w:rPr>
        <w:t>– The Company has no components of other comprehensive income, and therefore, comprehensive income equals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 </w:t>
      </w:r>
      <w:r>
        <w:rPr>
          <w:rFonts w:ascii="Times New Roman" w:cs="Times New Roman" w:eastAsia="Times New Roman" w:hAnsi="Times New Roman"/>
          <w:sz w:val="18"/>
          <w:szCs w:val="18"/>
          <w:color w:val="auto"/>
        </w:rPr>
        <w:t>In December 2019, the Financial Accounting Standards Board (“FASB”) issued Accounting Standards Update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(“ASU”) 2019-12, “Income Taxes (Topic 740): Simplifying the Accounting for Income Taxes”, which simplifies the accounting for income taxes by removing certain exceptions to the general principles in Topic 740. The Company adopted this update effective February 1, 2021. The adoption of this update did not impact the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increases the transparency of government assistance received by businesses by expanding the disclosure requirements. The Company will be required to adopt this update for the fiscal year ending January 31, 2023. The Company has not completed its analysis of adopting this guidance and has not determined the effect of this standard on its consolidated financial statements and related disclosures.</w:t>
      </w:r>
    </w:p>
    <w:p>
      <w:pPr>
        <w:spacing w:after="0" w:line="15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405" w:right="339" w:bottom="1440" w:gutter="0" w:footer="0" w:header="0"/>
        </w:sectPr>
      </w:pPr>
    </w:p>
    <w:bookmarkStart w:id="44" w:name="page45"/>
    <w:bookmarkEnd w:id="44"/>
    <w:p>
      <w:pPr>
        <w:ind w:left="420" w:hanging="412"/>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 AND REVENUE</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179" w:lineRule="exact"/>
        <w:rPr>
          <w:rFonts w:ascii="Times New Roman" w:cs="Times New Roman" w:eastAsia="Times New Roman" w:hAnsi="Times New Roman"/>
          <w:sz w:val="18"/>
          <w:szCs w:val="18"/>
          <w:b w:val="1"/>
          <w:bCs w:val="1"/>
          <w:color w:val="auto"/>
        </w:rPr>
      </w:pPr>
    </w:p>
    <w:p>
      <w:pPr>
        <w:jc w:val="both"/>
        <w:ind w:left="4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sales contracts in which payment is due from a customer prior to transferring product to the customer. Thus, the Company does not record unearned revenue.</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60" w:type="dxa"/>
            <w:vAlign w:val="bottom"/>
            <w:gridSpan w:val="3"/>
            <w:shd w:val="clear" w:color="auto" w:fill="E5FF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Sales of products, continuing operations:</w:t>
            </w:r>
          </w:p>
        </w:tc>
        <w:tc>
          <w:tcPr>
            <w:tcW w:w="20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Ethanol</w:t>
            </w:r>
          </w:p>
        </w:tc>
        <w:tc>
          <w:tcPr>
            <w:tcW w:w="2160" w:type="dxa"/>
            <w:vAlign w:val="bottom"/>
            <w:tcBorders>
              <w:top w:val="single" w:sz="8" w:color="E5FFFF"/>
            </w:tcBorders>
            <w:gridSpan w:val="2"/>
          </w:tcPr>
          <w:p>
            <w:pPr>
              <w:spacing w:after="0"/>
              <w:rPr>
                <w:sz w:val="24"/>
                <w:szCs w:val="24"/>
                <w:color w:val="auto"/>
              </w:rPr>
            </w:pPr>
          </w:p>
        </w:tc>
        <w:tc>
          <w:tcPr>
            <w:tcW w:w="210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E5FFFF"/>
            </w:tcBorders>
          </w:tcPr>
          <w:p>
            <w:pPr>
              <w:jc w:val="right"/>
              <w:spacing w:after="0"/>
              <w:rPr>
                <w:sz w:val="20"/>
                <w:szCs w:val="20"/>
                <w:color w:val="auto"/>
              </w:rPr>
            </w:pPr>
            <w:r>
              <w:rPr>
                <w:rFonts w:ascii="Times New Roman" w:cs="Times New Roman" w:eastAsia="Times New Roman" w:hAnsi="Times New Roman"/>
                <w:sz w:val="18"/>
                <w:szCs w:val="18"/>
                <w:color w:val="auto"/>
                <w:w w:val="99"/>
              </w:rPr>
              <w:t>613,597</w:t>
            </w:r>
          </w:p>
        </w:tc>
        <w:tc>
          <w:tcPr>
            <w:tcW w:w="120" w:type="dxa"/>
            <w:vAlign w:val="bottom"/>
            <w:tcBorders>
              <w:top w:val="single" w:sz="8" w:color="E5FFFF"/>
            </w:tcBorders>
          </w:tcPr>
          <w:p>
            <w:pPr>
              <w:spacing w:after="0"/>
              <w:rPr>
                <w:sz w:val="24"/>
                <w:szCs w:val="24"/>
                <w:color w:val="auto"/>
              </w:rPr>
            </w:pPr>
          </w:p>
        </w:tc>
        <w:tc>
          <w:tcPr>
            <w:tcW w:w="28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E5FFFF"/>
            </w:tcBorders>
          </w:tcPr>
          <w:p>
            <w:pPr>
              <w:jc w:val="right"/>
              <w:spacing w:after="0"/>
              <w:rPr>
                <w:sz w:val="20"/>
                <w:szCs w:val="20"/>
                <w:color w:val="auto"/>
              </w:rPr>
            </w:pPr>
            <w:r>
              <w:rPr>
                <w:rFonts w:ascii="Times New Roman" w:cs="Times New Roman" w:eastAsia="Times New Roman" w:hAnsi="Times New Roman"/>
                <w:sz w:val="18"/>
                <w:szCs w:val="18"/>
                <w:color w:val="auto"/>
              </w:rPr>
              <w:t>284,191</w:t>
            </w:r>
          </w:p>
        </w:tc>
        <w:tc>
          <w:tcPr>
            <w:tcW w:w="300" w:type="dxa"/>
            <w:vAlign w:val="bottom"/>
            <w:tcBorders>
              <w:top w:val="single" w:sz="8" w:color="E5FFFF"/>
            </w:tcBorders>
          </w:tcPr>
          <w:p>
            <w:pPr>
              <w:spacing w:after="0"/>
              <w:rPr>
                <w:sz w:val="24"/>
                <w:szCs w:val="24"/>
                <w:color w:val="auto"/>
              </w:rPr>
            </w:pPr>
          </w:p>
        </w:tc>
        <w:tc>
          <w:tcPr>
            <w:tcW w:w="8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E5FFFF"/>
            </w:tcBorders>
          </w:tcPr>
          <w:p>
            <w:pPr>
              <w:jc w:val="right"/>
              <w:spacing w:after="0"/>
              <w:rPr>
                <w:sz w:val="20"/>
                <w:szCs w:val="20"/>
                <w:color w:val="auto"/>
              </w:rPr>
            </w:pPr>
            <w:r>
              <w:rPr>
                <w:rFonts w:ascii="Times New Roman" w:cs="Times New Roman" w:eastAsia="Times New Roman" w:hAnsi="Times New Roman"/>
                <w:sz w:val="18"/>
                <w:szCs w:val="18"/>
                <w:color w:val="auto"/>
                <w:w w:val="99"/>
              </w:rPr>
              <w:t>321,434</w:t>
            </w:r>
          </w:p>
        </w:tc>
        <w:tc>
          <w:tcPr>
            <w:tcW w:w="100" w:type="dxa"/>
            <w:vAlign w:val="bottom"/>
            <w:tcBorders>
              <w:top w:val="single" w:sz="8" w:color="E5FF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8"/>
                <w:szCs w:val="18"/>
                <w:color w:val="auto"/>
              </w:rPr>
              <w:t>Dried distillers grains</w:t>
            </w:r>
          </w:p>
        </w:tc>
        <w:tc>
          <w:tcPr>
            <w:tcW w:w="20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9"/>
              </w:rPr>
              <w:t>125,009</w:t>
            </w: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71,774</w:t>
            </w: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71,755</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Non-food grade corn oil</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8"/>
                <w:szCs w:val="18"/>
                <w:color w:val="auto"/>
              </w:rPr>
              <w:t>Modified distillers grains</w:t>
            </w:r>
          </w:p>
        </w:tc>
        <w:tc>
          <w:tcPr>
            <w:tcW w:w="20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financial instruments losses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3"/>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spacing w:after="0"/>
              <w:rPr>
                <w:sz w:val="19"/>
                <w:szCs w:val="19"/>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spacing w:after="0"/>
              <w:rPr>
                <w:sz w:val="19"/>
                <w:szCs w:val="19"/>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60" w:type="dxa"/>
            <w:vAlign w:val="bottom"/>
            <w:tcBorders>
              <w:bottom w:val="single" w:sz="8" w:color="auto"/>
            </w:tcBorders>
            <w:shd w:val="clear" w:color="auto" w:fill="E5FFFF"/>
          </w:tcPr>
          <w:p>
            <w:pPr>
              <w:spacing w:after="0"/>
              <w:rPr>
                <w:sz w:val="19"/>
                <w:szCs w:val="19"/>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0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774,802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417,700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60" w:type="dxa"/>
            <w:vAlign w:val="bottom"/>
            <w:gridSpan w:val="3"/>
            <w:shd w:val="clear" w:color="auto" w:fill="E5FF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Sales of products, discontinued operations:</w:t>
            </w:r>
          </w:p>
        </w:tc>
        <w:tc>
          <w:tcPr>
            <w:tcW w:w="20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3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Refined coal</w:t>
            </w:r>
            <w:r>
              <w:rPr>
                <w:rFonts w:ascii="Times New Roman" w:cs="Times New Roman" w:eastAsia="Times New Roman" w:hAnsi="Times New Roman"/>
                <w:sz w:val="29"/>
                <w:szCs w:val="29"/>
                <w:color w:val="auto"/>
                <w:vertAlign w:val="superscript"/>
              </w:rPr>
              <w:t>1</w:t>
            </w:r>
          </w:p>
        </w:tc>
        <w:tc>
          <w:tcPr>
            <w:tcW w:w="2000" w:type="dxa"/>
            <w:vAlign w:val="bottom"/>
            <w:tcBorders>
              <w:top w:val="single" w:sz="8" w:color="E5FFFF"/>
            </w:tcBorders>
          </w:tcPr>
          <w:p>
            <w:pPr>
              <w:spacing w:after="0"/>
              <w:rPr>
                <w:sz w:val="24"/>
                <w:szCs w:val="24"/>
                <w:color w:val="auto"/>
              </w:rPr>
            </w:pPr>
          </w:p>
        </w:tc>
        <w:tc>
          <w:tcPr>
            <w:tcW w:w="210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E5FFFF"/>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top w:val="single" w:sz="8" w:color="E5FFFF"/>
            </w:tcBorders>
          </w:tcPr>
          <w:p>
            <w:pPr>
              <w:spacing w:after="0"/>
              <w:rPr>
                <w:sz w:val="24"/>
                <w:szCs w:val="24"/>
                <w:color w:val="auto"/>
              </w:rPr>
            </w:pPr>
          </w:p>
        </w:tc>
        <w:tc>
          <w:tcPr>
            <w:tcW w:w="28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E5FFFF"/>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tcBorders>
              <w:top w:val="single" w:sz="8" w:color="E5FFFF"/>
            </w:tcBorders>
          </w:tcPr>
          <w:p>
            <w:pPr>
              <w:spacing w:after="0"/>
              <w:rPr>
                <w:sz w:val="24"/>
                <w:szCs w:val="24"/>
                <w:color w:val="auto"/>
              </w:rPr>
            </w:pPr>
          </w:p>
        </w:tc>
        <w:tc>
          <w:tcPr>
            <w:tcW w:w="8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E5FFFF"/>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top w:val="single" w:sz="8" w:color="E5FF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hanging="174"/>
        <w:spacing w:after="0" w:line="195" w:lineRule="auto"/>
        <w:tabs>
          <w:tab w:leader="none" w:pos="600" w:val="left"/>
        </w:tabs>
        <w:numPr>
          <w:ilvl w:val="1"/>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Refined coal sales were recorded net of the cost of coal as the Company purchased the coal feedstock from the customer to which the processed refined coal was sold.</w:t>
      </w:r>
    </w:p>
    <w:p>
      <w:pPr>
        <w:spacing w:after="0" w:line="195" w:lineRule="exact"/>
        <w:rPr>
          <w:rFonts w:ascii="Times New Roman" w:cs="Times New Roman" w:eastAsia="Times New Roman" w:hAnsi="Times New Roman"/>
          <w:sz w:val="30"/>
          <w:szCs w:val="30"/>
          <w:color w:val="auto"/>
          <w:vertAlign w:val="superscript"/>
        </w:rPr>
      </w:pPr>
    </w:p>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5"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Equity Method Investment in Big River</w:t>
      </w:r>
    </w:p>
    <w:p>
      <w:pPr>
        <w:spacing w:after="0" w:line="22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Company’s equity method investment in Big River is accounted for under ASC 323. The following table summarizes the investment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3520" w:type="dxa"/>
            <w:vAlign w:val="bottom"/>
          </w:tcPr>
          <w:p>
            <w:pPr>
              <w:spacing w:after="0"/>
              <w:rPr>
                <w:sz w:val="19"/>
                <w:szCs w:val="19"/>
                <w:color w:val="auto"/>
              </w:rPr>
            </w:pPr>
          </w:p>
        </w:tc>
      </w:tr>
      <w:tr>
        <w:trPr>
          <w:trHeight w:val="238"/>
        </w:trPr>
        <w:tc>
          <w:tcPr>
            <w:tcW w:w="37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520" w:type="dxa"/>
            <w:vAlign w:val="bottom"/>
          </w:tcPr>
          <w:p>
            <w:pPr>
              <w:spacing w:after="0"/>
              <w:rPr>
                <w:sz w:val="20"/>
                <w:szCs w:val="20"/>
                <w:color w:val="auto"/>
              </w:rPr>
            </w:pPr>
          </w:p>
        </w:tc>
      </w:tr>
      <w:tr>
        <w:trPr>
          <w:trHeight w:val="453"/>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Carrying amount</w:t>
            </w:r>
          </w:p>
        </w:tc>
        <w:tc>
          <w:tcPr>
            <w:tcW w:w="19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30,566</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29,456</w:t>
            </w:r>
          </w:p>
        </w:tc>
        <w:tc>
          <w:tcPr>
            <w:tcW w:w="3520" w:type="dxa"/>
            <w:vAlign w:val="bottom"/>
          </w:tcPr>
          <w:p>
            <w:pPr>
              <w:spacing w:after="0"/>
              <w:rPr>
                <w:sz w:val="24"/>
                <w:szCs w:val="24"/>
                <w:color w:val="auto"/>
              </w:rPr>
            </w:pPr>
          </w:p>
        </w:tc>
      </w:tr>
      <w:tr>
        <w:trPr>
          <w:trHeight w:val="20"/>
        </w:trPr>
        <w:tc>
          <w:tcPr>
            <w:tcW w:w="3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13"/>
        </w:trPr>
        <w:tc>
          <w:tcPr>
            <w:tcW w:w="3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Ownership percentage</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520" w:type="dxa"/>
            <w:vAlign w:val="bottom"/>
          </w:tcPr>
          <w:p>
            <w:pPr>
              <w:spacing w:after="0"/>
              <w:rPr>
                <w:sz w:val="24"/>
                <w:szCs w:val="24"/>
                <w:color w:val="auto"/>
              </w:rPr>
            </w:pPr>
          </w:p>
        </w:tc>
      </w:tr>
      <w:tr>
        <w:trPr>
          <w:trHeight w:val="405"/>
        </w:trPr>
        <w:tc>
          <w:tcPr>
            <w:tcW w:w="3780" w:type="dxa"/>
            <w:vAlign w:val="bottom"/>
          </w:tcPr>
          <w:p>
            <w:pPr>
              <w:spacing w:after="0"/>
              <w:rPr>
                <w:sz w:val="24"/>
                <w:szCs w:val="24"/>
                <w:color w:val="auto"/>
              </w:rPr>
            </w:pPr>
          </w:p>
        </w:tc>
        <w:tc>
          <w:tcPr>
            <w:tcW w:w="19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50"/>
        </w:trPr>
        <w:tc>
          <w:tcPr>
            <w:tcW w:w="3780" w:type="dxa"/>
            <w:vAlign w:val="bottom"/>
            <w:tcBorders>
              <w:bottom w:val="single" w:sz="8" w:color="C0C0C0"/>
            </w:tcBorders>
          </w:tcPr>
          <w:p>
            <w:pPr>
              <w:spacing w:after="0"/>
              <w:rPr>
                <w:sz w:val="21"/>
                <w:szCs w:val="21"/>
                <w:color w:val="auto"/>
              </w:rPr>
            </w:pPr>
          </w:p>
        </w:tc>
        <w:tc>
          <w:tcPr>
            <w:tcW w:w="174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72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760" w:type="dxa"/>
            <w:vAlign w:val="bottom"/>
            <w:tcBorders>
              <w:bottom w:val="single" w:sz="8" w:color="C0C0C0"/>
            </w:tcBorders>
          </w:tcPr>
          <w:p>
            <w:pPr>
              <w:spacing w:after="0"/>
              <w:rPr>
                <w:sz w:val="21"/>
                <w:szCs w:val="21"/>
                <w:color w:val="auto"/>
              </w:rPr>
            </w:pPr>
          </w:p>
        </w:tc>
        <w:tc>
          <w:tcPr>
            <w:tcW w:w="35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1"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invested approximately $20.0 million in Big River which is a holding company for several entities. Big River, through its various entities (both wholly and partially owned), operates four ethanol manufacturing facilities, that combined shipped approximately 421.0 million gallons of ethanol in the twelve months ended January 31, 2022. The Company recorded income of approximately $6.6 million, $0.5 million and $1.4 million as its share of earnings from Big River during fiscal years 2021, 2020 and 2019, respectively. The Company received dividends of approximately $5.5 million, $3.5 million and $1.0 million from Big River during fiscal years 2021, 2020 and 2019, respectively. At January 31, 2022, the carrying value of the investment in Big River is approximately $30.6 million; the amount of underlying equity in the net assets of Big River is approximately $29.8 million. Summarized financial information for the Company’s equity method investee as of and for its fiscal year end is presented in the following tables (amounts in thousands):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60" w:type="dxa"/>
            <w:vAlign w:val="bottom"/>
            <w:gridSpan w:val="2"/>
            <w:shd w:val="clear" w:color="auto" w:fill="E5FF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310,411</w:t>
            </w:r>
          </w:p>
        </w:tc>
        <w:tc>
          <w:tcPr>
            <w:tcW w:w="440" w:type="dxa"/>
            <w:vAlign w:val="bottom"/>
            <w:gridSpan w:val="2"/>
            <w:shd w:val="clear" w:color="auto" w:fill="E5FF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172,742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Non current assets</w:t>
            </w:r>
          </w:p>
        </w:tc>
        <w:tc>
          <w:tcPr>
            <w:tcW w:w="246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146,384</w:t>
            </w:r>
          </w:p>
        </w:tc>
        <w:tc>
          <w:tcPr>
            <w:tcW w:w="260" w:type="dxa"/>
            <w:vAlign w:val="bottom"/>
            <w:tcBorders>
              <w:bottom w:val="single" w:sz="8" w:color="E5FF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178,221</w:t>
            </w:r>
          </w:p>
        </w:tc>
        <w:tc>
          <w:tcPr>
            <w:tcW w:w="8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60" w:type="dxa"/>
            <w:vAlign w:val="bottom"/>
            <w:tcBorders>
              <w:bottom w:val="single" w:sz="8" w:color="E5FFFF"/>
            </w:tcBorders>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456,795</w:t>
            </w:r>
          </w:p>
        </w:tc>
        <w:tc>
          <w:tcPr>
            <w:tcW w:w="260" w:type="dxa"/>
            <w:vAlign w:val="bottom"/>
            <w:tcBorders>
              <w:bottom w:val="single" w:sz="8" w:color="E5FFFF"/>
            </w:tcBorders>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350,963</w:t>
            </w:r>
          </w:p>
        </w:tc>
        <w:tc>
          <w:tcPr>
            <w:tcW w:w="8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gridSpan w:val="2"/>
            <w:vMerge w:val="continue"/>
          </w:tcPr>
          <w:p>
            <w:pPr>
              <w:spacing w:after="0"/>
              <w:rPr>
                <w:sz w:val="17"/>
                <w:szCs w:val="17"/>
                <w:color w:val="auto"/>
              </w:rPr>
            </w:pPr>
          </w:p>
        </w:tc>
        <w:tc>
          <w:tcPr>
            <w:tcW w:w="2460" w:type="dxa"/>
            <w:vAlign w:val="bottom"/>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131,317</w:t>
            </w:r>
          </w:p>
        </w:tc>
        <w:tc>
          <w:tcPr>
            <w:tcW w:w="260" w:type="dxa"/>
            <w:vAlign w:val="bottom"/>
            <w:vMerge w:val="continue"/>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69,259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6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spacing w:after="0"/>
              <w:rPr>
                <w:sz w:val="19"/>
                <w:szCs w:val="19"/>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60" w:type="dxa"/>
            <w:vAlign w:val="bottom"/>
            <w:tcBorders>
              <w:bottom w:val="single" w:sz="8" w:color="E5FFFF"/>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131,317</w:t>
            </w:r>
          </w:p>
        </w:tc>
        <w:tc>
          <w:tcPr>
            <w:tcW w:w="260" w:type="dxa"/>
            <w:vAlign w:val="bottom"/>
            <w:tcBorders>
              <w:bottom w:val="single" w:sz="8" w:color="E5FFFF"/>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72,091</w:t>
            </w:r>
          </w:p>
        </w:tc>
        <w:tc>
          <w:tcPr>
            <w:tcW w:w="8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Noncontrolling interests</w:t>
            </w:r>
          </w:p>
        </w:tc>
        <w:tc>
          <w:tcPr>
            <w:tcW w:w="246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36,786</w:t>
            </w:r>
          </w:p>
        </w:tc>
        <w:tc>
          <w:tcPr>
            <w:tcW w:w="26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30,116</w:t>
            </w: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21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1,332,555</w:t>
            </w:r>
          </w:p>
        </w:tc>
        <w:tc>
          <w:tcPr>
            <w:tcW w:w="5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736,225</w:t>
            </w:r>
          </w:p>
        </w:tc>
        <w:tc>
          <w:tcPr>
            <w:tcW w:w="54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823,718</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85,401</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1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64,243</w:t>
            </w:r>
          </w:p>
        </w:tc>
        <w:tc>
          <w:tcPr>
            <w:tcW w:w="5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54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64,243</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Big River has debt agreements that limit and restrict amounts the entity can pay in the form of dividends or advances to owners. The restricted net assets of Big River at January 31, 2022 are approximately $116.2 million; the Company’s proportionate share of restricted net assets of Big River is approximately $12.0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January 31, 2022, the Company owned certificates of deposit (classified as short-term investments) that had an amortized cost, or carrying value, of approximately $25.9 million. The contractual maturity of these investments was less than one year. The yield to maturity rate was approximately 0.1%. Unrealized gains or losses were insignificant.</w:t>
      </w:r>
    </w:p>
    <w:p>
      <w:pPr>
        <w:spacing w:after="0" w:line="14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405" w:right="339" w:bottom="1440" w:gutter="0" w:footer="0" w:header="0"/>
        </w:sectPr>
      </w:pPr>
    </w:p>
    <w:bookmarkStart w:id="46" w:name="page47"/>
    <w:bookmarkEnd w:id="46"/>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At January 31, 2021, the Company owned certificates of deposit that had an amortized cost, or carrying value, of approximately $36.2 million. The contractual maturity of these investments was less than one year. The yield to maturity rate was approximately 0.2%. Unrealized gains or losses were insignificant.</w:t>
      </w:r>
    </w:p>
    <w:p>
      <w:pPr>
        <w:spacing w:after="0" w:line="172"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rFonts w:ascii="Times New Roman" w:cs="Times New Roman" w:eastAsia="Times New Roman" w:hAnsi="Times New Roman"/>
          <w:sz w:val="18"/>
          <w:szCs w:val="18"/>
          <w:b w:val="1"/>
          <w:bCs w:val="1"/>
          <w:color w:val="auto"/>
        </w:rPr>
      </w:pPr>
    </w:p>
    <w:p>
      <w:pPr>
        <w:jc w:val="both"/>
        <w:ind w:left="44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5"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financial instruments at fair value.</w:t>
      </w:r>
    </w:p>
    <w:p>
      <w:pPr>
        <w:spacing w:after="0" w:line="180" w:lineRule="exact"/>
        <w:rPr>
          <w:sz w:val="20"/>
          <w:szCs w:val="20"/>
          <w:color w:val="auto"/>
        </w:rPr>
      </w:pPr>
    </w:p>
    <w:p>
      <w:pPr>
        <w:jc w:val="both"/>
        <w:ind w:left="440" w:firstLine="180"/>
        <w:spacing w:after="0" w:line="266" w:lineRule="auto"/>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 Level 1 assets and liabilities include debt and equity securities and derivative contracts that are traded in an active exchange market, as well as certain U.S. Treasury securities that are highly liquid and are actively traded in over-the-counter markets.</w:t>
      </w:r>
    </w:p>
    <w:p>
      <w:pPr>
        <w:spacing w:after="0" w:line="176" w:lineRule="exact"/>
        <w:rPr>
          <w:sz w:val="20"/>
          <w:szCs w:val="20"/>
          <w:color w:val="auto"/>
        </w:rPr>
      </w:pPr>
    </w:p>
    <w:p>
      <w:pPr>
        <w:jc w:val="both"/>
        <w:ind w:left="440" w:firstLine="180"/>
        <w:spacing w:after="0" w:line="261"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derivative contracts whose value is determined using a pricing model with inputs that are observable in the market or can be derived principally or corroborated by observable market data.</w:t>
      </w:r>
    </w:p>
    <w:p>
      <w:pPr>
        <w:spacing w:after="0" w:line="180" w:lineRule="exact"/>
        <w:rPr>
          <w:sz w:val="20"/>
          <w:szCs w:val="20"/>
          <w:color w:val="auto"/>
        </w:rPr>
      </w:pPr>
    </w:p>
    <w:p>
      <w:pPr>
        <w:jc w:val="both"/>
        <w:ind w:left="440" w:firstLine="180"/>
        <w:spacing w:after="0" w:line="261"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Level 3 assets and liabilities include financial instruments whose value is determined using pricing models, discounted cash flow methods, or similar techniques, as well as instruments for which the determination of fair value requires significant management judgment or estimation. Unobservable inputs are developed based on the best information available, which may include the Company’s own data.</w:t>
      </w:r>
    </w:p>
    <w:p>
      <w:pPr>
        <w:spacing w:after="0" w:line="180"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 The fair values of property and equipment are determined by using various models that discount future expected cash flows.</w:t>
      </w:r>
    </w:p>
    <w:p>
      <w:pPr>
        <w:spacing w:after="0" w:line="192"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To ensure the prudent application of estimates and management judgment in determining the fair value of derivative assets and liabilities and property and equipment, various processes and controls have been adopted, which include: (i) model validation that requires a review and approval for pricing, financial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7" w:name="page48"/>
    <w:bookmarkEnd w:id="47"/>
    <w:p>
      <w:pPr>
        <w:jc w:val="both"/>
        <w:ind w:left="5"/>
        <w:spacing w:after="0" w:line="266" w:lineRule="auto"/>
        <w:rPr>
          <w:sz w:val="20"/>
          <w:szCs w:val="20"/>
          <w:color w:val="auto"/>
        </w:rPr>
      </w:pPr>
      <w:r>
        <w:rPr>
          <w:rFonts w:ascii="Times New Roman" w:cs="Times New Roman" w:eastAsia="Times New Roman" w:hAnsi="Times New Roman"/>
          <w:sz w:val="18"/>
          <w:szCs w:val="18"/>
          <w:color w:val="auto"/>
        </w:rPr>
        <w:t>statement fair value determination and risk quantification; and (ii) periodic review and substantiation of profit and loss reporting for all derivative instruments. Financial assets and liabilities measured at fair value at January 31, 2022 on a recurring basis are summarized below (amounts in thousands):</w:t>
      </w:r>
    </w:p>
    <w:p>
      <w:pPr>
        <w:spacing w:after="0" w:line="172"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Forward purchase contracts asset (1)</w:t>
            </w:r>
          </w:p>
        </w:tc>
        <w:tc>
          <w:tcPr>
            <w:tcW w:w="2300" w:type="dxa"/>
            <w:vAlign w:val="bottom"/>
            <w:gridSpan w:val="2"/>
            <w:shd w:val="clear" w:color="auto" w:fill="E5FF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Investment in cooperative (2)</w:t>
            </w:r>
          </w:p>
        </w:tc>
        <w:tc>
          <w:tcPr>
            <w:tcW w:w="1480" w:type="dxa"/>
            <w:vAlign w:val="bottom"/>
            <w:tcBorders>
              <w:bottom w:val="single" w:sz="8" w:color="E5FF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0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shd w:val="clear" w:color="auto" w:fill="E5FFFF"/>
          </w:tcPr>
          <w:p>
            <w:pPr>
              <w:spacing w:after="0"/>
              <w:rPr>
                <w:sz w:val="21"/>
                <w:szCs w:val="21"/>
                <w:color w:val="auto"/>
              </w:rPr>
            </w:pPr>
          </w:p>
        </w:tc>
        <w:tc>
          <w:tcPr>
            <w:tcW w:w="820" w:type="dxa"/>
            <w:vAlign w:val="bottom"/>
            <w:shd w:val="clear" w:color="auto" w:fill="E5FF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E5FFFF"/>
            </w:tcBorders>
          </w:tcPr>
          <w:p>
            <w:pPr>
              <w:spacing w:after="0" w:line="20" w:lineRule="exact"/>
              <w:rPr>
                <w:sz w:val="1"/>
                <w:szCs w:val="1"/>
                <w:color w:val="auto"/>
              </w:rPr>
            </w:pPr>
          </w:p>
        </w:tc>
        <w:tc>
          <w:tcPr>
            <w:tcW w:w="148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futures (3)</w:t>
            </w:r>
          </w:p>
        </w:tc>
        <w:tc>
          <w:tcPr>
            <w:tcW w:w="23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at January 31, 2021 on a recurring basis are summarized below (amounts in thousands):</w:t>
      </w:r>
    </w:p>
    <w:p>
      <w:pPr>
        <w:spacing w:after="0" w:line="221"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Forward purchase contracts asset (1)</w:t>
            </w:r>
          </w:p>
        </w:tc>
        <w:tc>
          <w:tcPr>
            <w:tcW w:w="2260" w:type="dxa"/>
            <w:vAlign w:val="bottom"/>
            <w:gridSpan w:val="2"/>
            <w:shd w:val="clear" w:color="auto" w:fill="E5FF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Investment in cooperative (2)</w:t>
            </w:r>
          </w:p>
        </w:tc>
        <w:tc>
          <w:tcPr>
            <w:tcW w:w="1440" w:type="dxa"/>
            <w:vAlign w:val="bottom"/>
            <w:tcBorders>
              <w:bottom w:val="single" w:sz="8" w:color="E5FF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0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40" w:type="dxa"/>
            <w:vAlign w:val="bottom"/>
            <w:shd w:val="clear" w:color="auto" w:fill="E5FFFF"/>
          </w:tcPr>
          <w:p>
            <w:pPr>
              <w:spacing w:after="0"/>
              <w:rPr>
                <w:sz w:val="21"/>
                <w:szCs w:val="21"/>
                <w:color w:val="auto"/>
              </w:rPr>
            </w:pPr>
          </w:p>
        </w:tc>
        <w:tc>
          <w:tcPr>
            <w:tcW w:w="820" w:type="dxa"/>
            <w:vAlign w:val="bottom"/>
            <w:shd w:val="clear" w:color="auto" w:fill="E5FF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E5FFFF"/>
            </w:tcBorders>
          </w:tcPr>
          <w:p>
            <w:pPr>
              <w:spacing w:after="0" w:line="20" w:lineRule="exact"/>
              <w:rPr>
                <w:sz w:val="1"/>
                <w:szCs w:val="1"/>
                <w:color w:val="auto"/>
              </w:rPr>
            </w:pPr>
          </w:p>
        </w:tc>
        <w:tc>
          <w:tcPr>
            <w:tcW w:w="144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futures (3)</w:t>
            </w:r>
          </w:p>
        </w:tc>
        <w:tc>
          <w:tcPr>
            <w:tcW w:w="22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5" w:hanging="305"/>
        <w:spacing w:after="0"/>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forward purchase contracts asset is included in “Prepaid expenses and other” on the accompanying Consolidated Balance Sheets.</w:t>
      </w:r>
    </w:p>
    <w:p>
      <w:pPr>
        <w:spacing w:after="0" w:line="225" w:lineRule="exact"/>
        <w:rPr>
          <w:rFonts w:ascii="Times New Roman" w:cs="Times New Roman" w:eastAsia="Times New Roman" w:hAnsi="Times New Roman"/>
          <w:sz w:val="18"/>
          <w:szCs w:val="18"/>
          <w:color w:val="auto"/>
        </w:rPr>
      </w:pPr>
    </w:p>
    <w:p>
      <w:pPr>
        <w:ind w:left="305" w:hanging="305"/>
        <w:spacing w:after="0"/>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cooperative is included in “Other assets” on the accompanying Consolidated Balance Sheets.</w:t>
      </w:r>
    </w:p>
    <w:p>
      <w:pPr>
        <w:spacing w:after="0" w:line="225" w:lineRule="exact"/>
        <w:rPr>
          <w:rFonts w:ascii="Times New Roman" w:cs="Times New Roman" w:eastAsia="Times New Roman" w:hAnsi="Times New Roman"/>
          <w:sz w:val="18"/>
          <w:szCs w:val="18"/>
          <w:color w:val="auto"/>
        </w:rPr>
      </w:pPr>
    </w:p>
    <w:p>
      <w:pPr>
        <w:ind w:left="305" w:right="480" w:hanging="305"/>
        <w:spacing w:after="0" w:line="282"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futures liability is included in “Accrued expenses and other current liabilities” on the accompanying Consolidated Balance Sheets.</w:t>
      </w:r>
    </w:p>
    <w:p>
      <w:pPr>
        <w:spacing w:after="0" w:line="162" w:lineRule="exact"/>
        <w:rPr>
          <w:sz w:val="20"/>
          <w:szCs w:val="20"/>
          <w:color w:val="auto"/>
        </w:rPr>
      </w:pPr>
    </w:p>
    <w:p>
      <w:pPr>
        <w:jc w:val="both"/>
        <w:ind w:left="5"/>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 The changes in the balances of the investment in cooperative represent the change in the fair value.</w:t>
      </w:r>
    </w:p>
    <w:p>
      <w:pPr>
        <w:spacing w:after="0" w:line="18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No other financial instruments were elected to be measured at fair value in accordance with ASC 470-20-25-21.</w:t>
      </w:r>
    </w:p>
    <w:p>
      <w:pPr>
        <w:spacing w:after="0" w:line="2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There were no assets measured at fair value at January 31, 2022 and 2021 on a non-recurring basis.</w:t>
      </w:r>
    </w:p>
    <w:p>
      <w:pPr>
        <w:spacing w:after="0" w:line="198"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154305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5"/>
          </w:cols>
          <w:pgMar w:left="755" w:top="405" w:right="339" w:bottom="1440" w:gutter="0" w:footer="0" w:header="0"/>
        </w:sectPr>
      </w:pPr>
    </w:p>
    <w:bookmarkStart w:id="48" w:name="page49"/>
    <w:bookmarkEnd w:id="48"/>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229"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other noncurrent assets are as follows (amounts in thousands):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2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24,914</w:t>
            </w:r>
          </w:p>
        </w:tc>
        <w:tc>
          <w:tcPr>
            <w:tcW w:w="4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24,390</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40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25,275</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E5FFFF"/>
            </w:tcBorders>
          </w:tcPr>
          <w:p>
            <w:pPr>
              <w:spacing w:after="0" w:line="20" w:lineRule="exact"/>
              <w:rPr>
                <w:sz w:val="1"/>
                <w:szCs w:val="1"/>
                <w:color w:val="auto"/>
              </w:rPr>
            </w:pPr>
          </w:p>
        </w:tc>
        <w:tc>
          <w:tcPr>
            <w:tcW w:w="20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accrued expenses and other current liabilities at January 31, 2022 and 2021 are as follows (amounts in thousands):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Accrued payroll and related items</w:t>
            </w:r>
          </w:p>
        </w:tc>
        <w:tc>
          <w:tcPr>
            <w:tcW w:w="14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Accrued utility charges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Accrued transportation related items</w:t>
            </w:r>
          </w:p>
        </w:tc>
        <w:tc>
          <w:tcPr>
            <w:tcW w:w="1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Commodity futures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Accrued real estate taxes</w:t>
            </w:r>
          </w:p>
        </w:tc>
        <w:tc>
          <w:tcPr>
            <w:tcW w:w="1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200" w:type="dxa"/>
            <w:vAlign w:val="bottom"/>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rFonts w:ascii="Times New Roman" w:cs="Times New Roman" w:eastAsia="Times New Roman" w:hAnsi="Times New Roman"/>
          <w:sz w:val="18"/>
          <w:szCs w:val="18"/>
          <w:b w:val="1"/>
          <w:bCs w:val="1"/>
          <w:color w:val="auto"/>
        </w:rPr>
      </w:pPr>
    </w:p>
    <w:p>
      <w:pPr>
        <w:jc w:val="both"/>
        <w:ind w:left="44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used the optional transition method in adopting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(“ASC 842”), which resulted in applying ASC 842 at the date of adoption (February 1, 2019). Thus, comparative information has not been restated and continues to be reported under accounting standards in effect for those periods.</w:t>
      </w:r>
    </w:p>
    <w:p>
      <w:pPr>
        <w:spacing w:after="0" w:line="175" w:lineRule="exact"/>
        <w:rPr>
          <w:rFonts w:ascii="Times New Roman" w:cs="Times New Roman" w:eastAsia="Times New Roman" w:hAnsi="Times New Roman"/>
          <w:sz w:val="18"/>
          <w:szCs w:val="18"/>
          <w:b w:val="1"/>
          <w:bCs w:val="1"/>
          <w:color w:val="auto"/>
        </w:rPr>
      </w:pPr>
    </w:p>
    <w:p>
      <w:pPr>
        <w:jc w:val="both"/>
        <w:ind w:lef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842 provides for three practical expedients, which the Company elected as a package. Pursuant to this package, the Company did not reassess: i) whether any expired or existing contracts are or contain leases; ii) the lease classification for any expired or existing leases that were previously classified as operating leases; or iii) the initial direct costs for any existing leases.</w:t>
      </w:r>
    </w:p>
    <w:p>
      <w:pPr>
        <w:spacing w:after="0" w:line="176" w:lineRule="exact"/>
        <w:rPr>
          <w:sz w:val="20"/>
          <w:szCs w:val="20"/>
          <w:color w:val="auto"/>
        </w:rPr>
      </w:pPr>
    </w:p>
    <w:p>
      <w:pPr>
        <w:jc w:val="both"/>
        <w:ind w:left="440" w:right="20"/>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 available pursuant to ASC 842, for lessees to include both lease and non-lease components as a single component and account for it as a lease. In general, certain maintenance costs are the responsibility of the Company under its railcar leases. These maintenance costs are a non-lease component which the Company elected to combine with rental payments and account for the total amount as operating lease expense.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At January 31, 2022, the Company has lease agreements, as lessee, for railcars. All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fiscal years 2021 and 2020, the components of lease expense, classified as SG&amp;A expenses on the Consolidated Statement of Operations are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2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3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06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6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6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060" w:type="dxa"/>
            <w:vAlign w:val="bottom"/>
            <w:tcBorders>
              <w:bottom w:val="single" w:sz="8" w:color="E5FFFF"/>
            </w:tcBorders>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60" w:type="dxa"/>
            <w:vAlign w:val="bottom"/>
            <w:tcBorders>
              <w:bottom w:val="single" w:sz="8" w:color="E5FFFF"/>
            </w:tcBorders>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6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future minimum rentals on such leases at January 31, 2022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Years Ended January 31,</w:t>
            </w:r>
          </w:p>
        </w:tc>
        <w:tc>
          <w:tcPr>
            <w:tcW w:w="20" w:type="dxa"/>
            <w:vAlign w:val="bottom"/>
          </w:tcPr>
          <w:p>
            <w:pPr>
              <w:spacing w:after="0"/>
              <w:rPr>
                <w:sz w:val="18"/>
                <w:szCs w:val="18"/>
                <w:color w:val="auto"/>
              </w:rPr>
            </w:pPr>
          </w:p>
        </w:tc>
        <w:tc>
          <w:tcPr>
            <w:tcW w:w="14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0" w:type="dxa"/>
            <w:vAlign w:val="bottom"/>
          </w:tcPr>
          <w:p>
            <w:pPr>
              <w:spacing w:after="0"/>
              <w:rPr>
                <w:sz w:val="1"/>
                <w:szCs w:val="1"/>
                <w:color w:val="auto"/>
              </w:rPr>
            </w:pPr>
          </w:p>
        </w:tc>
      </w:tr>
      <w:tr>
        <w:trPr>
          <w:trHeight w:val="184"/>
        </w:trPr>
        <w:tc>
          <w:tcPr>
            <w:tcW w:w="42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600"/>
              <w:spacing w:after="0" w:line="164" w:lineRule="exact"/>
              <w:rPr>
                <w:sz w:val="20"/>
                <w:szCs w:val="20"/>
                <w:color w:val="auto"/>
              </w:rPr>
            </w:pPr>
            <w:r>
              <w:rPr>
                <w:rFonts w:ascii="Times New Roman" w:cs="Times New Roman" w:eastAsia="Times New Roman" w:hAnsi="Times New Roman"/>
                <w:sz w:val="18"/>
                <w:szCs w:val="18"/>
                <w:b w:val="1"/>
                <w:bCs w:val="1"/>
                <w:color w:val="auto"/>
              </w:rPr>
              <w:t>Rentals</w:t>
            </w: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2023</w:t>
            </w:r>
          </w:p>
        </w:tc>
        <w:tc>
          <w:tcPr>
            <w:tcW w:w="2280" w:type="dxa"/>
            <w:vAlign w:val="bottom"/>
            <w:shd w:val="clear" w:color="auto" w:fill="E5FFFF"/>
          </w:tcPr>
          <w:p>
            <w:pPr>
              <w:spacing w:after="0"/>
              <w:rPr>
                <w:sz w:val="18"/>
                <w:szCs w:val="18"/>
                <w:color w:val="auto"/>
              </w:rPr>
            </w:pPr>
          </w:p>
        </w:tc>
        <w:tc>
          <w:tcPr>
            <w:tcW w:w="1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6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6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2027</w:t>
            </w:r>
          </w:p>
        </w:tc>
        <w:tc>
          <w:tcPr>
            <w:tcW w:w="228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spacing w:after="0"/>
              <w:rPr>
                <w:sz w:val="19"/>
                <w:szCs w:val="19"/>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0" w:type="dxa"/>
            <w:vAlign w:val="bottom"/>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spacing w:after="0"/>
              <w:rPr>
                <w:sz w:val="19"/>
                <w:szCs w:val="19"/>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6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-1165225</wp:posOffset>
            </wp:positionV>
            <wp:extent cx="34290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0" cy="137160"/>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-890905</wp:posOffset>
            </wp:positionV>
            <wp:extent cx="34290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0" cy="137160"/>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-616585</wp:posOffset>
            </wp:positionV>
            <wp:extent cx="34290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0" cy="145415"/>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-325120</wp:posOffset>
            </wp:positionV>
            <wp:extent cx="34290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0" cy="145415"/>
                    </a:xfrm>
                    <a:prstGeom prst="rect">
                      <a:avLst/>
                    </a:prstGeom>
                    <a:noFill/>
                  </pic:spPr>
                </pic:pic>
              </a:graphicData>
            </a:graphic>
          </wp:anchor>
        </w:drawing>
      </w:r>
    </w:p>
    <w:p>
      <w:pPr>
        <w:spacing w:after="0" w:line="17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At January 31, 2022, the weighted average remaining lease term is 2.5 years and the weighted average discount rate is 4.85% for the above leases.</w:t>
      </w:r>
    </w:p>
    <w:p>
      <w:pPr>
        <w:spacing w:after="0" w:line="21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154305</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405" w:right="33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t>The following table is a summary of future minimum rentals on such leases at January 31, 2021 (amounts in thousands):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4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Years Ended January 31,</w:t>
            </w:r>
          </w:p>
        </w:tc>
        <w:tc>
          <w:tcPr>
            <w:tcW w:w="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0" w:type="dxa"/>
            <w:vAlign w:val="bottom"/>
          </w:tcPr>
          <w:p>
            <w:pPr>
              <w:spacing w:after="0"/>
              <w:rPr>
                <w:sz w:val="1"/>
                <w:szCs w:val="1"/>
                <w:color w:val="auto"/>
              </w:rPr>
            </w:pPr>
          </w:p>
        </w:tc>
      </w:tr>
      <w:tr>
        <w:trPr>
          <w:trHeight w:val="184"/>
        </w:trPr>
        <w:tc>
          <w:tcPr>
            <w:tcW w:w="4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8"/>
                <w:szCs w:val="18"/>
                <w:b w:val="1"/>
                <w:bCs w:val="1"/>
                <w:color w:val="auto"/>
              </w:rPr>
              <w:t>Rentals</w:t>
            </w: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2022</w:t>
            </w:r>
          </w:p>
        </w:tc>
        <w:tc>
          <w:tcPr>
            <w:tcW w:w="2840" w:type="dxa"/>
            <w:vAlign w:val="bottom"/>
            <w:shd w:val="clear" w:color="auto" w:fill="E5FFFF"/>
          </w:tcPr>
          <w:p>
            <w:pPr>
              <w:spacing w:after="0"/>
              <w:rPr>
                <w:sz w:val="18"/>
                <w:szCs w:val="18"/>
                <w:color w:val="auto"/>
              </w:rPr>
            </w:pPr>
          </w:p>
        </w:tc>
        <w:tc>
          <w:tcPr>
            <w:tcW w:w="1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2024</w:t>
            </w:r>
          </w:p>
        </w:tc>
        <w:tc>
          <w:tcPr>
            <w:tcW w:w="28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2026</w:t>
            </w:r>
          </w:p>
        </w:tc>
        <w:tc>
          <w:tcPr>
            <w:tcW w:w="284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spacing w:after="0"/>
              <w:rPr>
                <w:sz w:val="19"/>
                <w:szCs w:val="19"/>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0" w:type="dxa"/>
            <w:vAlign w:val="bottom"/>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spacing w:after="0"/>
              <w:rPr>
                <w:sz w:val="19"/>
                <w:szCs w:val="19"/>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January 31, 2021, the weighted average remaining lease term is 3.0 years, and the weighted average discount rate is 5.26% for the above leases.</w:t>
      </w:r>
    </w:p>
    <w:p>
      <w:pPr>
        <w:spacing w:after="0" w:line="221"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fiscal years 2021 and 2020, the Company purchased approximately 84,000 shares and approximately 315,000 shares of its common stock for approximately $6.6 million and approximately $19.6 million, respectively. During fiscal year 2019, the Company did not purchase any of its common stock. At January 31, 2022, the Company had prior authorization by its Board of Directors to purchase, in open market transactions, an additional approximately 449,000 shares of its common stock. Information regarding the Company’s common stock is as follows (amounts in thousands):</w:t>
      </w:r>
    </w:p>
    <w:p>
      <w:pPr>
        <w:spacing w:after="0" w:line="187"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19685</wp:posOffset>
            </wp:positionV>
            <wp:extent cx="1028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6" w:lineRule="exact"/>
        <w:rPr>
          <w:sz w:val="20"/>
          <w:szCs w:val="20"/>
          <w:color w:val="auto"/>
        </w:rPr>
      </w:pPr>
    </w:p>
    <w:p>
      <w:pPr>
        <w:ind w:left="4560"/>
        <w:spacing w:after="0"/>
        <w:tabs>
          <w:tab w:leader="none" w:pos="54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19685</wp:posOffset>
            </wp:positionV>
            <wp:extent cx="1028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4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7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Authorized shares</w:t>
            </w:r>
          </w:p>
        </w:tc>
        <w:tc>
          <w:tcPr>
            <w:tcW w:w="2100" w:type="dxa"/>
            <w:vAlign w:val="bottom"/>
            <w:shd w:val="clear" w:color="auto" w:fill="E5FFFF"/>
          </w:tcPr>
          <w:p>
            <w:pPr>
              <w:jc w:val="right"/>
              <w:ind w:right="110"/>
              <w:spacing w:after="0"/>
              <w:rPr>
                <w:sz w:val="20"/>
                <w:szCs w:val="20"/>
                <w:color w:val="auto"/>
              </w:rPr>
            </w:pPr>
            <w:r>
              <w:rPr>
                <w:rFonts w:ascii="Times New Roman" w:cs="Times New Roman" w:eastAsia="Times New Roman" w:hAnsi="Times New Roman"/>
                <w:sz w:val="18"/>
                <w:szCs w:val="18"/>
                <w:color w:val="auto"/>
              </w:rPr>
              <w:t>45,000</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Issued shares</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29,853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29,853</w:t>
            </w:r>
          </w:p>
        </w:tc>
      </w:tr>
      <w:tr>
        <w:trPr>
          <w:trHeight w:val="216"/>
        </w:trPr>
        <w:tc>
          <w:tcPr>
            <w:tcW w:w="27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Outstanding shares</w:t>
            </w:r>
          </w:p>
        </w:tc>
        <w:tc>
          <w:tcPr>
            <w:tcW w:w="2100" w:type="dxa"/>
            <w:vAlign w:val="bottom"/>
            <w:shd w:val="clear" w:color="auto" w:fill="E5FFFF"/>
          </w:tcPr>
          <w:p>
            <w:pPr>
              <w:jc w:val="right"/>
              <w:ind w:right="110"/>
              <w:spacing w:after="0"/>
              <w:rPr>
                <w:sz w:val="20"/>
                <w:szCs w:val="20"/>
                <w:color w:val="auto"/>
              </w:rPr>
            </w:pPr>
            <w:r>
              <w:rPr>
                <w:rFonts w:ascii="Times New Roman" w:cs="Times New Roman" w:eastAsia="Times New Roman" w:hAnsi="Times New Roman"/>
                <w:sz w:val="18"/>
                <w:szCs w:val="18"/>
                <w:color w:val="auto"/>
              </w:rPr>
              <w:t>5,920</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5,992</w:t>
            </w:r>
          </w:p>
        </w:tc>
      </w:tr>
    </w:tbl>
    <w:p>
      <w:pPr>
        <w:spacing w:after="0" w:line="194"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t>The following table provides information about the fair values of the Company’s derivative financial instruments and the line items on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Consolidated Balance Sheets in which the fair values are reflected (in thousands):</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r>
      <w:tr>
        <w:trPr>
          <w:trHeight w:val="216"/>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740" w:type="dxa"/>
            <w:vAlign w:val="bottom"/>
          </w:tcPr>
          <w:p>
            <w:pPr>
              <w:spacing w:after="0"/>
              <w:rPr>
                <w:sz w:val="18"/>
                <w:szCs w:val="18"/>
                <w:color w:val="auto"/>
              </w:rPr>
            </w:pPr>
          </w:p>
        </w:tc>
      </w:tr>
      <w:tr>
        <w:trPr>
          <w:trHeight w:val="229"/>
        </w:trPr>
        <w:tc>
          <w:tcPr>
            <w:tcW w:w="3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40" w:type="dxa"/>
            <w:vAlign w:val="bottom"/>
          </w:tcPr>
          <w:p>
            <w:pPr>
              <w:spacing w:after="0"/>
              <w:rPr>
                <w:sz w:val="19"/>
                <w:szCs w:val="19"/>
                <w:color w:val="auto"/>
              </w:rPr>
            </w:pPr>
          </w:p>
        </w:tc>
      </w:tr>
      <w:tr>
        <w:trPr>
          <w:trHeight w:val="238"/>
        </w:trPr>
        <w:tc>
          <w:tcPr>
            <w:tcW w:w="3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40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Commodity futures (1)</w:t>
            </w:r>
          </w:p>
        </w:tc>
        <w:tc>
          <w:tcPr>
            <w:tcW w:w="19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contracts (2)</w:t>
            </w:r>
          </w:p>
        </w:tc>
        <w:tc>
          <w:tcPr>
            <w:tcW w:w="19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760" w:right="80" w:hanging="325"/>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futures assets are included in prepaid expenses and other. Commodity futures liabilities are included in accrued expenses and other current liabilities. These contracts are short/sell positions for approximately 7.4 million bushels and 6.9 million bushels of corn at January 31, 2022 and 2021, respectively.</w:t>
      </w:r>
    </w:p>
    <w:p>
      <w:pPr>
        <w:spacing w:after="0" w:line="175" w:lineRule="exact"/>
        <w:rPr>
          <w:rFonts w:ascii="Times New Roman" w:cs="Times New Roman" w:eastAsia="Times New Roman" w:hAnsi="Times New Roman"/>
          <w:sz w:val="18"/>
          <w:szCs w:val="18"/>
          <w:color w:val="auto"/>
        </w:rPr>
      </w:pPr>
    </w:p>
    <w:p>
      <w:pPr>
        <w:jc w:val="both"/>
        <w:ind w:left="760" w:right="80" w:hanging="325"/>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purchase contracts assets are included in prepaid expenses and other. Forward purchase contracts liabilities are included in accrued expenses and other current liabilities. These contracts are for purchases of approximately 19.2 million bushels and 6.4 million bushels of corn at January 31, 2022 and 2021, respectively.</w:t>
      </w:r>
    </w:p>
    <w:p>
      <w:pPr>
        <w:spacing w:after="0" w:line="176"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As of January 31, 2022, and 2021, all of the derivative financial instruments held by the Company were subject to enforceable master netting arrangements with the counterparty. The Company’s accounting policy is to offset positions owed or owing with the same counterparty. As of January 31, 2022, and 2021 the gross positions of the enforceable master netting agreements are not significantly different from the net positions presented in the table above. Depending on the amount of unrealized gains and losses on derivative contracts held by the Company, the counterparty may require collateral to secure the Company’s derivative contract positions. As of January 31, 2022, and 2021, the Company was required to maintain collateral with the counterparty in the amount of approximately $2,222,000 and $1,657,000, respectively, to secure the Company’s derivative liability position, which has been recorded on the balance sheet as restricted cash. See Note 4 which contains fair value information related to derivative financial instruments.</w:t>
      </w:r>
    </w:p>
    <w:p>
      <w:pPr>
        <w:spacing w:after="0" w:line="192" w:lineRule="exact"/>
        <w:rPr>
          <w:sz w:val="20"/>
          <w:szCs w:val="20"/>
          <w:color w:val="auto"/>
        </w:rPr>
      </w:pPr>
    </w:p>
    <w:p>
      <w:pPr>
        <w:ind w:left="440" w:right="700"/>
        <w:spacing w:after="0" w:line="282" w:lineRule="auto"/>
        <w:rPr>
          <w:sz w:val="20"/>
          <w:szCs w:val="20"/>
          <w:color w:val="auto"/>
        </w:rPr>
      </w:pPr>
      <w:r>
        <w:rPr>
          <w:rFonts w:ascii="Times New Roman" w:cs="Times New Roman" w:eastAsia="Times New Roman" w:hAnsi="Times New Roman"/>
          <w:sz w:val="18"/>
          <w:szCs w:val="18"/>
          <w:color w:val="auto"/>
        </w:rPr>
        <w:t>The Company recognized gains (losses) (included in cost of sales) on corn and natural gas derivative financial instruments of approximately $(3,427,000), $(5,552,000), and $2,201,000 in fiscal years 2021, 2020 and 2019, respectively.</w:t>
      </w:r>
    </w:p>
    <w:p>
      <w:pPr>
        <w:spacing w:after="0" w:line="162" w:lineRule="exact"/>
        <w:rPr>
          <w:sz w:val="20"/>
          <w:szCs w:val="20"/>
          <w:color w:val="auto"/>
        </w:rPr>
      </w:pPr>
    </w:p>
    <w:p>
      <w:pPr>
        <w:jc w:val="both"/>
        <w:ind w:left="440" w:right="320"/>
        <w:spacing w:after="0" w:line="266" w:lineRule="auto"/>
        <w:rPr>
          <w:sz w:val="20"/>
          <w:szCs w:val="20"/>
          <w:color w:val="auto"/>
        </w:rPr>
      </w:pPr>
      <w:r>
        <w:rPr>
          <w:rFonts w:ascii="Times New Roman" w:cs="Times New Roman" w:eastAsia="Times New Roman" w:hAnsi="Times New Roman"/>
          <w:sz w:val="18"/>
          <w:szCs w:val="18"/>
          <w:color w:val="auto"/>
        </w:rPr>
        <w:t>The Company recognized losses (included in net sales and revenue) on ethanol derivative financial instruments of $12,109,000 and $1,167,000 in fiscal years 2021 and 2020, respectively. There were no derivative financial instruments gains or losses included in net sales and revenue in fiscal year 2019.</w:t>
      </w:r>
    </w:p>
    <w:p>
      <w:pPr>
        <w:spacing w:after="0" w:line="172"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The Company measures share-based compensation grants at fair value on the grant date, adjusted for estimated forfeitures. The Company records noncash compensation expense related to liability and equity awards in its consolidated financial statements over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2" w:name="page53"/>
    <w:bookmarkEnd w:id="52"/>
    <w:p>
      <w:pPr>
        <w:jc w:val="both"/>
        <w:ind w:left="440"/>
        <w:spacing w:after="0" w:line="269" w:lineRule="auto"/>
        <w:rPr>
          <w:sz w:val="20"/>
          <w:szCs w:val="20"/>
          <w:color w:val="auto"/>
        </w:rPr>
      </w:pPr>
      <w:r>
        <w:rPr>
          <w:rFonts w:ascii="Times New Roman" w:cs="Times New Roman" w:eastAsia="Times New Roman" w:hAnsi="Times New Roman"/>
          <w:sz w:val="18"/>
          <w:szCs w:val="18"/>
          <w:color w:val="auto"/>
        </w:rPr>
        <w:t>the requisite service period on a straight-line basis. 471,027 shares remain available for issuance under the Plan at January 31, 2022. As a component of their compensation, restricted stock has been granted to directors at the market price of REX common stock on the date of the grant. In addition, one third of executives’ incentive compensation is payable by an award of restricted stock based on the then market price of REX common stock. The Company’s board of directors has determined that the grant date will be June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or the next business day, for all grants of restricted stock.</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January 31, 2022 and 2021, unrecognized compensation cost related to nonvested restricted stock was approximately $97,000 and $272,000.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non-vested restricted stock award activity for fiscal years 2021,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6"/>
                <w:szCs w:val="16"/>
                <w:color w:val="auto"/>
              </w:rPr>
            </w:pP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Remaining Vesting</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w:t>
            </w:r>
          </w:p>
        </w:tc>
        <w:tc>
          <w:tcPr>
            <w:tcW w:w="176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14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Vesting Term</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4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2021</w:t>
            </w:r>
          </w:p>
        </w:tc>
        <w:tc>
          <w:tcPr>
            <w:tcW w:w="9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19,705</w:t>
            </w:r>
          </w:p>
        </w:tc>
        <w:tc>
          <w:tcPr>
            <w:tcW w:w="420" w:type="dxa"/>
            <w:vAlign w:val="bottom"/>
            <w:gridSpan w:val="2"/>
            <w:shd w:val="clear" w:color="auto" w:fill="E5FF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300" w:type="dxa"/>
            <w:vAlign w:val="bottom"/>
            <w:shd w:val="clear" w:color="auto" w:fill="E5FFFF"/>
          </w:tcPr>
          <w:p>
            <w:pPr>
              <w:spacing w:after="0"/>
              <w:rPr>
                <w:sz w:val="18"/>
                <w:szCs w:val="18"/>
                <w:color w:val="auto"/>
              </w:rPr>
            </w:pPr>
          </w:p>
        </w:tc>
        <w:tc>
          <w:tcPr>
            <w:tcW w:w="16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E5FF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46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 w:type="dxa"/>
            <w:vAlign w:val="bottom"/>
            <w:vMerge w:val="restart"/>
          </w:tcPr>
          <w:p>
            <w:pPr>
              <w:spacing w:after="0"/>
              <w:rPr>
                <w:sz w:val="19"/>
                <w:szCs w:val="19"/>
                <w:color w:val="auto"/>
              </w:rPr>
            </w:pPr>
          </w:p>
        </w:tc>
        <w:tc>
          <w:tcPr>
            <w:tcW w:w="4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0" w:type="dxa"/>
            <w:vAlign w:val="bottom"/>
            <w:vMerge w:val="continue"/>
          </w:tcPr>
          <w:p>
            <w:pPr>
              <w:spacing w:after="0"/>
              <w:rPr>
                <w:sz w:val="22"/>
                <w:szCs w:val="22"/>
                <w:color w:val="auto"/>
              </w:rPr>
            </w:pPr>
          </w:p>
        </w:tc>
        <w:tc>
          <w:tcPr>
            <w:tcW w:w="4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2022</w:t>
            </w:r>
          </w:p>
        </w:tc>
        <w:tc>
          <w:tcPr>
            <w:tcW w:w="9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420" w:type="dxa"/>
            <w:vAlign w:val="bottom"/>
            <w:gridSpan w:val="2"/>
            <w:shd w:val="clear" w:color="auto" w:fill="E5FF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300" w:type="dxa"/>
            <w:vAlign w:val="bottom"/>
            <w:shd w:val="clear" w:color="auto" w:fill="E5FFFF"/>
          </w:tcPr>
          <w:p>
            <w:pPr>
              <w:spacing w:after="0"/>
              <w:rPr>
                <w:sz w:val="22"/>
                <w:szCs w:val="22"/>
                <w:color w:val="auto"/>
              </w:rPr>
            </w:pPr>
          </w:p>
        </w:tc>
        <w:tc>
          <w:tcPr>
            <w:tcW w:w="16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E5FFFF"/>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5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4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6"/>
                <w:szCs w:val="16"/>
                <w:color w:val="auto"/>
              </w:rPr>
            </w:pPr>
          </w:p>
        </w:tc>
        <w:tc>
          <w:tcPr>
            <w:tcW w:w="14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Average Remaining</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76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Vesting Term</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4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2020</w:t>
            </w:r>
          </w:p>
        </w:tc>
        <w:tc>
          <w:tcPr>
            <w:tcW w:w="9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28,576</w:t>
            </w:r>
          </w:p>
        </w:tc>
        <w:tc>
          <w:tcPr>
            <w:tcW w:w="420" w:type="dxa"/>
            <w:vAlign w:val="bottom"/>
            <w:gridSpan w:val="2"/>
            <w:shd w:val="clear" w:color="auto" w:fill="E5FF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300" w:type="dxa"/>
            <w:vAlign w:val="bottom"/>
            <w:shd w:val="clear" w:color="auto" w:fill="E5FFFF"/>
          </w:tcPr>
          <w:p>
            <w:pPr>
              <w:spacing w:after="0"/>
              <w:rPr>
                <w:sz w:val="18"/>
                <w:szCs w:val="18"/>
                <w:color w:val="auto"/>
              </w:rPr>
            </w:pPr>
          </w:p>
        </w:tc>
        <w:tc>
          <w:tcPr>
            <w:tcW w:w="16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E5FF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2021</w:t>
            </w:r>
          </w:p>
        </w:tc>
        <w:tc>
          <w:tcPr>
            <w:tcW w:w="9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19,705</w:t>
            </w:r>
          </w:p>
        </w:tc>
        <w:tc>
          <w:tcPr>
            <w:tcW w:w="420" w:type="dxa"/>
            <w:vAlign w:val="bottom"/>
            <w:gridSpan w:val="2"/>
            <w:shd w:val="clear" w:color="auto" w:fill="E5FF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300" w:type="dxa"/>
            <w:vAlign w:val="bottom"/>
            <w:shd w:val="clear" w:color="auto" w:fill="E5FFFF"/>
          </w:tcPr>
          <w:p>
            <w:pPr>
              <w:spacing w:after="0"/>
              <w:rPr>
                <w:sz w:val="21"/>
                <w:szCs w:val="21"/>
                <w:color w:val="auto"/>
              </w:rPr>
            </w:pPr>
          </w:p>
        </w:tc>
        <w:tc>
          <w:tcPr>
            <w:tcW w:w="16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E5FFFF"/>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5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4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456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04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46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8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53" w:name="page54"/>
    <w:bookmarkEnd w:id="53"/>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6"/>
                <w:szCs w:val="16"/>
                <w:color w:val="auto"/>
              </w:rPr>
            </w:pPr>
          </w:p>
        </w:tc>
        <w:tc>
          <w:tcPr>
            <w:tcW w:w="15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7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Average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72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1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Vesting Term</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2019</w:t>
            </w:r>
          </w:p>
        </w:tc>
        <w:tc>
          <w:tcPr>
            <w:tcW w:w="9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38,036</w:t>
            </w:r>
          </w:p>
        </w:tc>
        <w:tc>
          <w:tcPr>
            <w:tcW w:w="5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8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5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18,902</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2020</w:t>
            </w:r>
          </w:p>
        </w:tc>
        <w:tc>
          <w:tcPr>
            <w:tcW w:w="9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28,576</w:t>
            </w:r>
          </w:p>
        </w:tc>
        <w:tc>
          <w:tcPr>
            <w:tcW w:w="5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8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E5FF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5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above tables include 5,714, 14,777, and 24,219 non-vested shares at January 31, 2022, 2021, and 2020, respectively, which are included in the number of weighted average shares outstanding used to determine basic and diluted earnings per share attributable to REX common shareholders. Such shares are treated, for accounting purposes, as being fully vested at the grant date as they were granted to officers who were retirement eligible at the time of grant.</w:t>
      </w:r>
    </w:p>
    <w:p>
      <w:pPr>
        <w:spacing w:after="0" w:line="176"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9"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January 31, 2022, One Earth and NuGen had combined forward purchase contracts for approximately 19.3 million bushels of corn, the principal raw material for their ethanol plants and they had combined forward purchase contracts for approximately 1.8 MmBtu of natural gas.</w:t>
      </w:r>
    </w:p>
    <w:p>
      <w:pPr>
        <w:spacing w:after="0" w:line="161"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January 31, 2022, One Earth and NuGen had combined sales commitments for approximately 47.7 million gallons of ethanol, 97,000 tons of distillers grains and 14.5 million pounds of non-food grade corn oil.</w:t>
      </w:r>
    </w:p>
    <w:p>
      <w:pPr>
        <w:spacing w:after="0" w:line="161"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Earth has entered into an agreement with an unrelated party for the use of a portion of that party’s natural gas pipeline. The term of the original agreement was 10 years, and the amount was $4,380,000, which was paid over 120 equal monthly installments of $36,500 beginning in February 2009. A new 15-year agreement, with monthly payments of $29,250 was effective February 1, 2019. One Earth paid approximately $351,000 in fiscal years 2021 and 2020, and approximately $358,000 in fiscal year 2019 pursuant to the agreement.</w:t>
      </w:r>
    </w:p>
    <w:p>
      <w:pPr>
        <w:spacing w:after="0" w:line="179" w:lineRule="exact"/>
        <w:rPr>
          <w:rFonts w:ascii="Times New Roman" w:cs="Times New Roman" w:eastAsia="Times New Roman" w:hAnsi="Times New Roman"/>
          <w:sz w:val="18"/>
          <w:szCs w:val="18"/>
          <w:b w:val="1"/>
          <w:bCs w:val="1"/>
          <w:color w:val="auto"/>
        </w:rPr>
      </w:pPr>
    </w:p>
    <w:p>
      <w:pPr>
        <w:jc w:val="both"/>
        <w:ind w:left="4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Earth and NuGen each have a contract with an unrelated party (“Distillers Grains Marketers”) for distillers grains marketing services. Under the terms of the contracts, the Distillers Grains Marketers will purchase all of One Earth’s and NuGen’s distillers grains production during the term of the contracts. The contracts call for One Earth and NuGen to pay a fee per ton of distillers grains sold for the Distillers Grains Marketers’ services. The terms of the agreements are for one year and renew automatically for additional one-year terms, unless either party sends notice to the other party of its intent to terminate the agreement at least 90 days prior to the expiration of the then current term of the agreement. One Earth and NuGen combined incurred fees of approximately $1,190,000, $841,000, and $936,000 in fiscal years 2021, 2020 and 2019, respectively, for these marketing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4" w:name="page55"/>
    <w:bookmarkEnd w:id="54"/>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refined coal entity had various agreements (site license, operating agreements, etc.) containing payment terms based upon production of refined coal under which the Company was required to pay various fees. These fees totaled approximately $5,404,000, $2,500,000, and $4,231,000 in fiscal years 2021, 2020, and 2019, respectively.</w:t>
      </w:r>
    </w:p>
    <w:p>
      <w:pPr>
        <w:spacing w:after="0" w:line="172"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fiscal years 2021, 2020, and 2019 consist of the following (amounts in thousands):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Federal:</w:t>
            </w:r>
          </w:p>
        </w:tc>
        <w:tc>
          <w:tcPr>
            <w:tcW w:w="15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2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15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2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9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5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15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12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0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9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19,031</w:t>
            </w:r>
          </w:p>
        </w:tc>
        <w:tc>
          <w:tcPr>
            <w:tcW w:w="240" w:type="dxa"/>
            <w:vAlign w:val="bottom"/>
            <w:shd w:val="clear" w:color="auto" w:fill="E5FFFF"/>
          </w:tcPr>
          <w:p>
            <w:pPr>
              <w:spacing w:after="0"/>
              <w:rPr>
                <w:sz w:val="21"/>
                <w:szCs w:val="21"/>
                <w:color w:val="auto"/>
              </w:rPr>
            </w:pPr>
          </w:p>
        </w:tc>
        <w:tc>
          <w:tcPr>
            <w:tcW w:w="3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(546)</w:t>
            </w:r>
          </w:p>
        </w:tc>
        <w:tc>
          <w:tcPr>
            <w:tcW w:w="3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E5FFFF"/>
            </w:tcBorders>
          </w:tcPr>
          <w:p>
            <w:pPr>
              <w:spacing w:after="0" w:line="20" w:lineRule="exact"/>
              <w:rPr>
                <w:sz w:val="1"/>
                <w:szCs w:val="1"/>
                <w:color w:val="auto"/>
              </w:rPr>
            </w:pPr>
          </w:p>
        </w:tc>
        <w:tc>
          <w:tcPr>
            <w:tcW w:w="15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tax effects of significant temporary differences representing deferred tax assets and liabilities are as follows (amounts in thousands):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18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business credit carryforward</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39,199</w:t>
            </w:r>
          </w:p>
        </w:tc>
        <w:tc>
          <w:tcPr>
            <w:tcW w:w="2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8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net operating loss carryforward</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Other items</w:t>
            </w:r>
          </w:p>
        </w:tc>
        <w:tc>
          <w:tcPr>
            <w:tcW w:w="18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Valuation allowance</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405" w:right="339" w:bottom="1440" w:gutter="0" w:footer="0" w:header="0"/>
        </w:sectPr>
      </w:pPr>
    </w:p>
    <w:p>
      <w:pPr>
        <w:ind w:left="4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-119380</wp:posOffset>
            </wp:positionV>
            <wp:extent cx="563181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31815" cy="14605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563181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31815" cy="137160"/>
                    </a:xfrm>
                    <a:prstGeom prst="rect">
                      <a:avLst/>
                    </a:prstGeom>
                    <a:noFill/>
                  </pic:spPr>
                </pic:pic>
              </a:graphicData>
            </a:graphic>
          </wp:anchor>
        </w:drawing>
      </w:r>
    </w:p>
    <w:p>
      <w:pPr>
        <w:spacing w:after="0" w:line="7" w:lineRule="exact"/>
        <w:rPr>
          <w:sz w:val="20"/>
          <w:szCs w:val="20"/>
          <w:color w:val="auto"/>
        </w:rPr>
      </w:pPr>
    </w:p>
    <w:p>
      <w:pPr>
        <w:ind w:left="620" w:right="2220"/>
        <w:spacing w:after="0" w:line="260" w:lineRule="auto"/>
        <w:rPr>
          <w:sz w:val="20"/>
          <w:szCs w:val="20"/>
          <w:color w:val="auto"/>
        </w:rPr>
      </w:pPr>
      <w:r>
        <w:rPr>
          <w:rFonts w:ascii="Times New Roman" w:cs="Times New Roman" w:eastAsia="Times New Roman" w:hAnsi="Times New Roman"/>
          <w:sz w:val="18"/>
          <w:szCs w:val="18"/>
          <w:color w:val="auto"/>
        </w:rPr>
        <w:t>Basis in pass through entities, including depreciation Other</w:t>
      </w:r>
    </w:p>
    <w:p>
      <w:pPr>
        <w:spacing w:after="0" w:line="20" w:lineRule="exact"/>
        <w:rPr>
          <w:sz w:val="20"/>
          <w:szCs w:val="20"/>
          <w:color w:val="auto"/>
        </w:rPr>
      </w:pPr>
      <w:r>
        <w:rPr>
          <w:sz w:val="20"/>
          <w:szCs w:val="20"/>
          <w:color w:val="auto"/>
        </w:rPr>
        <w:br w:type="column"/>
      </w:r>
    </w:p>
    <w:p>
      <w:pPr>
        <w:ind w:left="60"/>
        <w:spacing w:after="0"/>
        <w:tabs>
          <w:tab w:leader="none" w:pos="1340" w:val="left"/>
        </w:tabs>
        <w:rPr>
          <w:sz w:val="20"/>
          <w:szCs w:val="20"/>
          <w:color w:val="auto"/>
        </w:rPr>
      </w:pPr>
      <w:r>
        <w:rPr>
          <w:rFonts w:ascii="Times New Roman" w:cs="Times New Roman" w:eastAsia="Times New Roman" w:hAnsi="Times New Roman"/>
          <w:sz w:val="18"/>
          <w:szCs w:val="18"/>
          <w:color w:val="auto"/>
        </w:rPr>
        <w:t>40,117</w:t>
      </w:r>
      <w:r>
        <w:rPr>
          <w:sz w:val="20"/>
          <w:szCs w:val="20"/>
          <w:color w:val="auto"/>
        </w:rPr>
        <w:tab/>
      </w:r>
      <w:r>
        <w:rPr>
          <w:rFonts w:ascii="Times New Roman" w:cs="Times New Roman" w:eastAsia="Times New Roman" w:hAnsi="Times New Roman"/>
          <w:sz w:val="18"/>
          <w:szCs w:val="18"/>
          <w:color w:val="auto"/>
        </w:rPr>
        <w:t>40,912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17145</wp:posOffset>
            </wp:positionV>
            <wp:extent cx="1465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(17,995)</w:t>
      </w:r>
      <w:r>
        <w:rPr>
          <w:sz w:val="20"/>
          <w:szCs w:val="20"/>
          <w:color w:val="auto"/>
        </w:rPr>
        <w:tab/>
      </w:r>
      <w:r>
        <w:rPr>
          <w:rFonts w:ascii="Times New Roman" w:cs="Times New Roman" w:eastAsia="Times New Roman" w:hAnsi="Times New Roman"/>
          <w:sz w:val="18"/>
          <w:szCs w:val="18"/>
          <w:color w:val="auto"/>
        </w:rPr>
        <w:t>(20,076)</w:t>
      </w:r>
    </w:p>
    <w:p>
      <w:pPr>
        <w:spacing w:after="0" w:line="27" w:lineRule="exact"/>
        <w:rPr>
          <w:sz w:val="20"/>
          <w:szCs w:val="20"/>
          <w:color w:val="auto"/>
        </w:rPr>
      </w:pPr>
    </w:p>
    <w:p>
      <w:pPr>
        <w:jc w:val="right"/>
        <w:ind w:right="1960"/>
        <w:spacing w:after="0"/>
        <w:tabs>
          <w:tab w:leader="none" w:pos="360" w:val="left"/>
        </w:tabs>
        <w:rPr>
          <w:sz w:val="20"/>
          <w:szCs w:val="20"/>
          <w:color w:val="auto"/>
        </w:rPr>
      </w:pPr>
      <w:r>
        <w:rPr>
          <w:rFonts w:ascii="Times New Roman" w:cs="Times New Roman" w:eastAsia="Times New Roman" w:hAnsi="Times New Roman"/>
          <w:sz w:val="18"/>
          <w:szCs w:val="18"/>
          <w:color w:val="auto"/>
        </w:rPr>
        <w:t>(340)</w:t>
      </w:r>
      <w:r>
        <w:rPr>
          <w:sz w:val="20"/>
          <w:szCs w:val="20"/>
          <w:color w:val="auto"/>
        </w:rPr>
        <w:tab/>
      </w: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14605</wp:posOffset>
            </wp:positionV>
            <wp:extent cx="1465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640" w:space="720"/>
            <w:col w:w="3880"/>
          </w:cols>
          <w:pgMar w:left="320" w:top="405" w:right="33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3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316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94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(18,335)</w:t>
            </w:r>
          </w:p>
        </w:tc>
        <w:tc>
          <w:tcPr>
            <w:tcW w:w="1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8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(20,235)</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3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20,677</w:t>
            </w: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160" w:type="dxa"/>
            <w:vAlign w:val="bottom"/>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3320" w:type="dxa"/>
            <w:vAlign w:val="bottom"/>
            <w:tcBorders>
              <w:bottom w:val="single" w:sz="8" w:color="C0C0C0"/>
            </w:tcBorders>
          </w:tcPr>
          <w:p>
            <w:pPr>
              <w:spacing w:after="0"/>
              <w:rPr>
                <w:sz w:val="21"/>
                <w:szCs w:val="21"/>
                <w:color w:val="auto"/>
              </w:rPr>
            </w:pPr>
          </w:p>
        </w:tc>
        <w:tc>
          <w:tcPr>
            <w:tcW w:w="316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7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7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9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type w:val="continuous"/>
        </w:sectPr>
      </w:pPr>
    </w:p>
    <w:bookmarkStart w:id="55" w:name="page56"/>
    <w:bookmarkEnd w:id="55"/>
    <w:p>
      <w:pPr>
        <w:jc w:val="both"/>
        <w:ind w:left="20"/>
        <w:spacing w:after="0" w:line="312" w:lineRule="auto"/>
        <w:rPr>
          <w:sz w:val="20"/>
          <w:szCs w:val="20"/>
          <w:color w:val="auto"/>
        </w:rPr>
      </w:pPr>
      <w:r>
        <w:rPr>
          <w:rFonts w:ascii="Times New Roman" w:cs="Times New Roman" w:eastAsia="Times New Roman" w:hAnsi="Times New Roman"/>
          <w:sz w:val="17"/>
          <w:szCs w:val="17"/>
          <w:color w:val="auto"/>
        </w:rPr>
        <w:t>The Company has a general business credit carryforward of approximately $39.2 million and approximately $40.6 million at January 31, 2022 and 2021, respectively. The Company can carry these credits forward for up to twenty years. The carryforward period begins to expire in fiscal year 2038.</w:t>
      </w:r>
    </w:p>
    <w:p>
      <w:pPr>
        <w:spacing w:after="0" w:line="140" w:lineRule="exact"/>
        <w:rPr>
          <w:sz w:val="20"/>
          <w:szCs w:val="20"/>
          <w:color w:val="auto"/>
        </w:rPr>
      </w:pPr>
    </w:p>
    <w:p>
      <w:pPr>
        <w:jc w:val="both"/>
        <w:ind w:left="20" w:right="300"/>
        <w:spacing w:after="0" w:line="266" w:lineRule="auto"/>
        <w:rPr>
          <w:sz w:val="20"/>
          <w:szCs w:val="20"/>
          <w:color w:val="auto"/>
        </w:rPr>
      </w:pPr>
      <w:r>
        <w:rPr>
          <w:rFonts w:ascii="Times New Roman" w:cs="Times New Roman" w:eastAsia="Times New Roman" w:hAnsi="Times New Roman"/>
          <w:sz w:val="18"/>
          <w:szCs w:val="18"/>
          <w:color w:val="auto"/>
        </w:rPr>
        <w:t>The Company has a valuation allowance of approximately $213,000 and $232,000 at January 31, 2022 and 2021, respectively, related to state net operating loss carryforwards. The Company decreased the valuation allowance by $19,000 in fiscal year 2021. These adjustments to the valuation allowance are a result of estimates of realizing certain future state tax benefits.</w:t>
      </w:r>
    </w:p>
    <w:p>
      <w:pPr>
        <w:spacing w:after="0" w:line="176"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The Company assessed all available positive and negative evidence to determine whether it expects sufficient future taxable income will be generated to allow for the realization of existing federal deferred tax assets. The company ceased operation of its refined coal business on November 18, 2021. There is sufficient objectively verifiable income for management to conclude that it is more likely than not that the Company will utilize available federal deferred tax assets prior to their expiration.</w:t>
      </w:r>
    </w:p>
    <w:p>
      <w:pPr>
        <w:spacing w:after="0" w:line="180" w:lineRule="exact"/>
        <w:rPr>
          <w:sz w:val="20"/>
          <w:szCs w:val="20"/>
          <w:color w:val="auto"/>
        </w:rPr>
      </w:pPr>
    </w:p>
    <w:p>
      <w:pPr>
        <w:ind w:left="20" w:right="40"/>
        <w:spacing w:after="0" w:line="266" w:lineRule="auto"/>
        <w:rPr>
          <w:sz w:val="20"/>
          <w:szCs w:val="20"/>
          <w:color w:val="auto"/>
        </w:rPr>
      </w:pPr>
      <w:r>
        <w:rPr>
          <w:rFonts w:ascii="Times New Roman" w:cs="Times New Roman" w:eastAsia="Times New Roman" w:hAnsi="Times New Roman"/>
          <w:sz w:val="18"/>
          <w:szCs w:val="18"/>
          <w:color w:val="auto"/>
        </w:rPr>
        <w:t>Through its refined coal operation, the Company earned production tax credits pursuant to IRC Section 45. The credits can be used to reduce future income tax liabilities for up to 20 years. These credits increased the income tax benefit from discontinued operations by approximately $11.3 million, $5.2 million, and $9.0 million during fiscal years 2021, 2020, and 2019, respectively.</w:t>
      </w:r>
    </w:p>
    <w:p>
      <w:pPr>
        <w:spacing w:after="0" w:line="17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During fiscal years 2021, 2020, and 2019, the Company recognized an income tax benefit (provision) for federal and state research and experimentation credits (net of uncertain tax position expense) of approximately $(3.0) million, $0.9 million, and $0.4 million, respectively. The credits can be used to reduce future income tax liabilities for up to 20 years.</w:t>
      </w:r>
    </w:p>
    <w:p>
      <w:pPr>
        <w:spacing w:after="0" w:line="17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 paid income taxes of approximately $7,239,000, $1,274,000, and $565,000 in fiscal years 2021, 2020, and 2019, respectively. The Company received refunds of income taxes of approximately $655,000 and $11,000 in fiscal years 2020 and 2019, respectively. The Company did not receive any refunds in fiscal year 2021.</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the federal statutory tax and the Company’s income tax (benefit) expense for fiscal years 2021, 2020, and 2019 are as follows (amounts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13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15,926</w:t>
            </w:r>
          </w:p>
        </w:tc>
        <w:tc>
          <w:tcPr>
            <w:tcW w:w="200" w:type="dxa"/>
            <w:vAlign w:val="bottom"/>
            <w:shd w:val="clear" w:color="auto" w:fill="E5FFFF"/>
          </w:tcPr>
          <w:p>
            <w:pPr>
              <w:spacing w:after="0"/>
              <w:rPr>
                <w:sz w:val="18"/>
                <w:szCs w:val="18"/>
                <w:color w:val="auto"/>
              </w:rPr>
            </w:pPr>
          </w:p>
        </w:tc>
        <w:tc>
          <w:tcPr>
            <w:tcW w:w="3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0" w:type="dxa"/>
            <w:vAlign w:val="bottom"/>
            <w:shd w:val="clear" w:color="auto" w:fill="E5FFFF"/>
          </w:tcPr>
          <w:p>
            <w:pPr>
              <w:spacing w:after="0"/>
              <w:rPr>
                <w:sz w:val="18"/>
                <w:szCs w:val="18"/>
                <w:color w:val="auto"/>
              </w:rPr>
            </w:pPr>
          </w:p>
        </w:tc>
        <w:tc>
          <w:tcPr>
            <w:tcW w:w="3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Research and experimentation credits</w:t>
            </w:r>
          </w:p>
        </w:tc>
        <w:tc>
          <w:tcPr>
            <w:tcW w:w="1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(5,184)</w:t>
            </w: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(2,008)</w:t>
            </w: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(2,231)</w:t>
            </w: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19,031</w:t>
            </w:r>
          </w:p>
        </w:tc>
        <w:tc>
          <w:tcPr>
            <w:tcW w:w="200" w:type="dxa"/>
            <w:vAlign w:val="bottom"/>
            <w:shd w:val="clear" w:color="auto" w:fill="E5FFFF"/>
          </w:tcPr>
          <w:p>
            <w:pPr>
              <w:spacing w:after="0"/>
              <w:rPr>
                <w:sz w:val="21"/>
                <w:szCs w:val="21"/>
                <w:color w:val="auto"/>
              </w:rPr>
            </w:pPr>
          </w:p>
        </w:tc>
        <w:tc>
          <w:tcPr>
            <w:tcW w:w="3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(546)</w:t>
            </w:r>
          </w:p>
        </w:tc>
        <w:tc>
          <w:tcPr>
            <w:tcW w:w="3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 files a U.S. federal income tax return and income tax returns in various states. In general, the Company is no longer subject to U.S. federal, state or local income tax examinations by tax authorities for fiscal years ended January 31, 2014 and prior. The Company is currently undergoing a federal income tax examination for the years ended January 31, 2015 through January 31, 2020.</w:t>
      </w:r>
    </w:p>
    <w:p>
      <w:pPr>
        <w:spacing w:after="0" w:line="14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405" w:right="339" w:bottom="1440" w:gutter="0" w:footer="0" w:header="0"/>
        </w:sectPr>
      </w:pPr>
    </w:p>
    <w:bookmarkStart w:id="56" w:name="page57"/>
    <w:bookmarkEnd w:id="56"/>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applies the provisions of ASC 740-10-25-5 for uncertain tax positions. As of January 31, 2022, total unrecognized tax benefits were approximately $16,741,000, and accrued penalties and interest were approximately $40,000. If the Company were to prevail on all unrecognized tax benefits recorded, the provision for income taxes would be reduced by approximately $16,662,000. In addition, the impact of penalties and interest would also benefit the effective tax rate. Interest and penalties associated with unrecognized tax benefits are recorded within income tax expense.</w:t>
      </w:r>
    </w:p>
    <w:p>
      <w:pPr>
        <w:spacing w:after="0" w:line="180"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pacing w:after="0" w:line="179"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118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Changes for tax positions for prior years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Changes for tax positions for current year</w:t>
            </w:r>
          </w:p>
        </w:tc>
        <w:tc>
          <w:tcPr>
            <w:tcW w:w="1040" w:type="dxa"/>
            <w:vAlign w:val="bottom"/>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spacing w:after="0"/>
              <w:rPr>
                <w:sz w:val="19"/>
                <w:szCs w:val="19"/>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80" w:type="dxa"/>
            <w:vAlign w:val="bottom"/>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tab/>
        <w:t>CONTINGENCIES</w:t>
      </w:r>
    </w:p>
    <w:p>
      <w:pPr>
        <w:spacing w:after="0" w:line="229"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actions arising in the normal course of business. After taking into consideration legal counsels’ evaluation of such actions, management is of the opinion that their outcome will not have a material effect on the Company’s consolidated financial statements. There were no liabilities recorded at January 31, 2022 or 2021 as the Company did not believe that there was a probable and reasonably estimable loss associated with any legal contingencies.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7" w:name="page58"/>
    <w:bookmarkEnd w:id="57"/>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18, 2021, the Company ceased operation of its refined coal business as tax credits could no longer be earned on its operation. Beginning in the third quarter of fiscal year 2021, the results of the operations of the refined coal business have been recognized as discontinued operations. Below is a table reflecting certain items of the Consolidated Condensed Statement of Operations that were reclassified as discontinued operations for fiscal years 2021, 2020 and 2019 (amounts in thousands):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00" w:type="dxa"/>
            <w:vAlign w:val="bottom"/>
            <w:shd w:val="clear" w:color="auto" w:fill="E5FFFF"/>
          </w:tcPr>
          <w:p>
            <w:pPr>
              <w:spacing w:after="0" w:line="256" w:lineRule="exact"/>
              <w:rPr>
                <w:sz w:val="20"/>
                <w:szCs w:val="20"/>
                <w:color w:val="auto"/>
              </w:rPr>
            </w:pPr>
            <w:r>
              <w:rPr>
                <w:rFonts w:ascii="Times New Roman" w:cs="Times New Roman" w:eastAsia="Times New Roman" w:hAnsi="Times New Roman"/>
                <w:sz w:val="18"/>
                <w:szCs w:val="18"/>
                <w:color w:val="auto"/>
              </w:rPr>
              <w:t>Net sales and revenue</w:t>
            </w:r>
            <w:r>
              <w:rPr>
                <w:rFonts w:ascii="Times New Roman" w:cs="Times New Roman" w:eastAsia="Times New Roman" w:hAnsi="Times New Roman"/>
                <w:sz w:val="29"/>
                <w:szCs w:val="29"/>
                <w:color w:val="auto"/>
                <w:vertAlign w:val="superscript"/>
              </w:rPr>
              <w:t>1</w:t>
            </w:r>
          </w:p>
        </w:tc>
        <w:tc>
          <w:tcPr>
            <w:tcW w:w="1140" w:type="dxa"/>
            <w:vAlign w:val="bottom"/>
            <w:gridSpan w:val="2"/>
            <w:shd w:val="clear" w:color="auto" w:fill="E5FF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E5FFFF"/>
          </w:tcPr>
          <w:p>
            <w:pPr>
              <w:spacing w:after="0"/>
              <w:rPr>
                <w:sz w:val="22"/>
                <w:szCs w:val="22"/>
                <w:color w:val="auto"/>
              </w:rPr>
            </w:pPr>
          </w:p>
        </w:tc>
        <w:tc>
          <w:tcPr>
            <w:tcW w:w="38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E5FFFF"/>
          </w:tcPr>
          <w:p>
            <w:pPr>
              <w:spacing w:after="0"/>
              <w:rPr>
                <w:sz w:val="22"/>
                <w:szCs w:val="22"/>
                <w:color w:val="auto"/>
              </w:rPr>
            </w:pPr>
          </w:p>
        </w:tc>
        <w:tc>
          <w:tcPr>
            <w:tcW w:w="38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2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240" w:type="dxa"/>
            <w:vAlign w:val="bottom"/>
            <w:tcBorders>
              <w:bottom w:val="single" w:sz="8" w:color="E5FFFF"/>
            </w:tcBorders>
          </w:tcPr>
          <w:p>
            <w:pPr>
              <w:spacing w:after="0"/>
              <w:rPr>
                <w:sz w:val="19"/>
                <w:szCs w:val="19"/>
                <w:color w:val="auto"/>
              </w:rPr>
            </w:pPr>
          </w:p>
        </w:tc>
        <w:tc>
          <w:tcPr>
            <w:tcW w:w="16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220" w:type="dxa"/>
            <w:vAlign w:val="bottom"/>
            <w:tcBorders>
              <w:bottom w:val="single" w:sz="8" w:color="E5FFFF"/>
            </w:tcBorders>
          </w:tcPr>
          <w:p>
            <w:pPr>
              <w:spacing w:after="0"/>
              <w:rPr>
                <w:sz w:val="19"/>
                <w:szCs w:val="19"/>
                <w:color w:val="auto"/>
              </w:rPr>
            </w:pPr>
          </w:p>
        </w:tc>
        <w:tc>
          <w:tcPr>
            <w:tcW w:w="16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0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9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8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24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8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22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8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92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240" w:type="dxa"/>
            <w:vAlign w:val="bottom"/>
            <w:tcBorders>
              <w:bottom w:val="single" w:sz="8" w:color="E5FFFF"/>
            </w:tcBorders>
          </w:tcPr>
          <w:p>
            <w:pPr>
              <w:spacing w:after="0"/>
              <w:rPr>
                <w:sz w:val="19"/>
                <w:szCs w:val="19"/>
                <w:color w:val="auto"/>
              </w:rPr>
            </w:pPr>
          </w:p>
        </w:tc>
        <w:tc>
          <w:tcPr>
            <w:tcW w:w="16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220" w:type="dxa"/>
            <w:vAlign w:val="bottom"/>
            <w:tcBorders>
              <w:bottom w:val="single" w:sz="8" w:color="E5FFFF"/>
            </w:tcBorders>
          </w:tcPr>
          <w:p>
            <w:pPr>
              <w:spacing w:after="0"/>
              <w:rPr>
                <w:sz w:val="19"/>
                <w:szCs w:val="19"/>
                <w:color w:val="auto"/>
              </w:rPr>
            </w:pPr>
          </w:p>
        </w:tc>
        <w:tc>
          <w:tcPr>
            <w:tcW w:w="16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9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Borders>
              <w:bottom w:val="single" w:sz="8" w:color="E5FFFF"/>
            </w:tcBorders>
          </w:tcPr>
          <w:p>
            <w:pPr>
              <w:spacing w:after="0" w:line="270" w:lineRule="exact"/>
              <w:rPr>
                <w:sz w:val="20"/>
                <w:szCs w:val="20"/>
                <w:color w:val="auto"/>
              </w:rPr>
            </w:pPr>
            <w:r>
              <w:rPr>
                <w:rFonts w:ascii="Times New Roman" w:cs="Times New Roman" w:eastAsia="Times New Roman" w:hAnsi="Times New Roman"/>
                <w:sz w:val="18"/>
                <w:szCs w:val="18"/>
                <w:color w:val="auto"/>
              </w:rPr>
              <w:t>Net loss attributable to noncontrolling interests</w:t>
            </w:r>
            <w:r>
              <w:rPr>
                <w:rFonts w:ascii="Times New Roman" w:cs="Times New Roman" w:eastAsia="Times New Roman" w:hAnsi="Times New Roman"/>
                <w:sz w:val="29"/>
                <w:szCs w:val="29"/>
                <w:color w:val="auto"/>
                <w:vertAlign w:val="superscript"/>
              </w:rPr>
              <w:t>2</w:t>
            </w:r>
          </w:p>
        </w:tc>
        <w:tc>
          <w:tcPr>
            <w:tcW w:w="920" w:type="dxa"/>
            <w:vAlign w:val="bottom"/>
            <w:tcBorders>
              <w:bottom w:val="single" w:sz="8" w:color="E5FF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Borders>
              <w:bottom w:val="single" w:sz="8" w:color="E5FFFF"/>
            </w:tcBorders>
          </w:tcPr>
          <w:p>
            <w:pPr>
              <w:spacing w:after="0"/>
              <w:rPr>
                <w:sz w:val="23"/>
                <w:szCs w:val="23"/>
                <w:color w:val="auto"/>
              </w:rPr>
            </w:pPr>
          </w:p>
        </w:tc>
        <w:tc>
          <w:tcPr>
            <w:tcW w:w="160" w:type="dxa"/>
            <w:vAlign w:val="bottom"/>
            <w:tcBorders>
              <w:bottom w:val="single" w:sz="8" w:color="E5FF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bottom w:val="single" w:sz="8" w:color="E5FFFF"/>
            </w:tcBorders>
          </w:tcPr>
          <w:p>
            <w:pPr>
              <w:spacing w:after="0"/>
              <w:rPr>
                <w:sz w:val="23"/>
                <w:szCs w:val="23"/>
                <w:color w:val="auto"/>
              </w:rPr>
            </w:pPr>
          </w:p>
        </w:tc>
        <w:tc>
          <w:tcPr>
            <w:tcW w:w="160" w:type="dxa"/>
            <w:vAlign w:val="bottom"/>
            <w:tcBorders>
              <w:bottom w:val="single" w:sz="8" w:color="E5FF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E5FF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92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4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2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right="360" w:hanging="7"/>
        <w:spacing w:after="0" w:line="195" w:lineRule="auto"/>
        <w:tabs>
          <w:tab w:leader="none" w:pos="532"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Refined coal sales were recorded net of the cost of coal as the Company purchased the coal feedstock from the customer to which the processed refined coal was sold.</w:t>
      </w:r>
    </w:p>
    <w:p>
      <w:pPr>
        <w:spacing w:after="0" w:line="240" w:lineRule="exact"/>
        <w:rPr>
          <w:sz w:val="20"/>
          <w:szCs w:val="20"/>
          <w:color w:val="auto"/>
        </w:rPr>
      </w:pPr>
    </w:p>
    <w:p>
      <w:pPr>
        <w:ind w:left="420" w:right="300" w:hanging="7"/>
        <w:spacing w:after="0" w:line="195" w:lineRule="auto"/>
        <w:tabs>
          <w:tab w:leader="none" w:pos="532"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loss attributable to noncontrolling interest represents the minority investor’s share of the loss before income taxes as noncontrolling interests does not include any gain from the refined coal tax credits.</w:t>
      </w:r>
    </w:p>
    <w:p>
      <w:pPr>
        <w:spacing w:after="0" w:line="200"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As of January 31, 2022, there were no amounts on the balance sheet reclassified to discontinued operations. Below is a table reflecting certain items of the Consolidated Condensed Balance Sheets that were reclassified as discontinued operations as of January 31, 2021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46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4280" w:type="dxa"/>
            <w:vAlign w:val="bottom"/>
            <w:tcBorders>
              <w:bottom w:val="single" w:sz="8" w:color="E5FFFF"/>
            </w:tcBorders>
          </w:tcPr>
          <w:p>
            <w:pPr>
              <w:spacing w:after="0"/>
              <w:rPr>
                <w:sz w:val="20"/>
                <w:szCs w:val="20"/>
                <w:color w:val="auto"/>
              </w:rPr>
            </w:pPr>
          </w:p>
        </w:tc>
        <w:tc>
          <w:tcPr>
            <w:tcW w:w="1480" w:type="dxa"/>
            <w:vAlign w:val="bottom"/>
            <w:tcBorders>
              <w:bottom w:val="single" w:sz="8" w:color="E5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14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00" w:type="dxa"/>
            <w:vAlign w:val="bottom"/>
            <w:tcBorders>
              <w:right w:val="single" w:sz="8" w:color="E5FFFF"/>
            </w:tcBorders>
            <w:shd w:val="clear" w:color="auto" w:fill="E5FFFF"/>
          </w:tcPr>
          <w:p>
            <w:pPr>
              <w:spacing w:after="0"/>
              <w:rPr>
                <w:sz w:val="18"/>
                <w:szCs w:val="18"/>
                <w:color w:val="auto"/>
              </w:rPr>
            </w:pP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60" w:type="dxa"/>
            <w:vAlign w:val="bottom"/>
            <w:gridSpan w:val="2"/>
            <w:shd w:val="clear" w:color="auto" w:fill="E5FF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280" w:type="dxa"/>
            <w:vAlign w:val="bottom"/>
            <w:tcBorders>
              <w:bottom w:val="single" w:sz="8" w:color="E5FFFF"/>
            </w:tcBorders>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80" w:type="dxa"/>
            <w:vAlign w:val="bottom"/>
            <w:tcBorders>
              <w:bottom w:val="single" w:sz="8" w:color="E5FF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80" w:type="dxa"/>
            <w:vAlign w:val="bottom"/>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00" w:type="dxa"/>
            <w:vAlign w:val="bottom"/>
            <w:tcBorders>
              <w:right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280" w:type="dxa"/>
            <w:vAlign w:val="bottom"/>
            <w:tcBorders>
              <w:bottom w:val="single" w:sz="8" w:color="E5FFFF"/>
            </w:tcBorders>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tcBorders>
              <w:bottom w:val="single" w:sz="8" w:color="E5FF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80" w:type="dxa"/>
            <w:vAlign w:val="bottom"/>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Liabilities: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00" w:type="dxa"/>
            <w:vAlign w:val="bottom"/>
            <w:tcBorders>
              <w:right w:val="single" w:sz="8" w:color="E5FFFF"/>
            </w:tcBorders>
            <w:shd w:val="clear" w:color="auto" w:fill="E5FFFF"/>
          </w:tcPr>
          <w:p>
            <w:pPr>
              <w:spacing w:after="0"/>
              <w:rPr>
                <w:sz w:val="18"/>
                <w:szCs w:val="18"/>
                <w:color w:val="auto"/>
              </w:rPr>
            </w:pP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80" w:type="dxa"/>
            <w:vAlign w:val="bottom"/>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spacing w:after="0"/>
              <w:rPr>
                <w:sz w:val="19"/>
                <w:szCs w:val="19"/>
                <w:color w:val="auto"/>
              </w:rPr>
            </w:pPr>
          </w:p>
        </w:tc>
        <w:tc>
          <w:tcPr>
            <w:tcW w:w="80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28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8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80" w:type="dxa"/>
            <w:vAlign w:val="bottom"/>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8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assets included in discontinued operations</w:t>
            </w:r>
          </w:p>
        </w:tc>
        <w:tc>
          <w:tcPr>
            <w:tcW w:w="16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428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40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58" w:name="page59"/>
    <w:bookmarkEnd w:id="58"/>
    <w:p>
      <w:pPr>
        <w:ind w:left="420" w:hanging="412"/>
        <w:spacing w:after="0"/>
        <w:tabs>
          <w:tab w:leader="none" w:pos="4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UNAUDITED INFORMATION</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set forth the Company’s net sales and revenue, gross profit, net income and net income per share (basic and diluted) for each quarter during the last two fiscal years. In the opinion of management, all adjustments (consisting of normal recurring accruals) considered necessary for a fair presentation have been included.</w:t>
      </w:r>
    </w:p>
    <w:p>
      <w:pPr>
        <w:spacing w:after="0" w:line="18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rPr>
              <w:t>Quarters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July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October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3"/>
              <w:spacing w:after="0" w:line="147" w:lineRule="exact"/>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3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164,042</w:t>
            </w:r>
          </w:p>
        </w:tc>
        <w:tc>
          <w:tcPr>
            <w:tcW w:w="200" w:type="dxa"/>
            <w:vAlign w:val="bottom"/>
            <w:shd w:val="clear" w:color="auto" w:fill="E5FFFF"/>
          </w:tcPr>
          <w:p>
            <w:pPr>
              <w:spacing w:after="0"/>
              <w:rPr>
                <w:sz w:val="18"/>
                <w:szCs w:val="18"/>
                <w:color w:val="auto"/>
              </w:rPr>
            </w:pPr>
          </w:p>
        </w:tc>
        <w:tc>
          <w:tcPr>
            <w:tcW w:w="4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195,678</w:t>
            </w:r>
          </w:p>
        </w:tc>
        <w:tc>
          <w:tcPr>
            <w:tcW w:w="240" w:type="dxa"/>
            <w:vAlign w:val="bottom"/>
            <w:shd w:val="clear" w:color="auto" w:fill="E5FFFF"/>
          </w:tcPr>
          <w:p>
            <w:pPr>
              <w:spacing w:after="0"/>
              <w:rPr>
                <w:sz w:val="18"/>
                <w:szCs w:val="18"/>
                <w:color w:val="auto"/>
              </w:rPr>
            </w:pPr>
          </w:p>
        </w:tc>
        <w:tc>
          <w:tcPr>
            <w:tcW w:w="3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203,066</w:t>
            </w:r>
          </w:p>
        </w:tc>
        <w:tc>
          <w:tcPr>
            <w:tcW w:w="240" w:type="dxa"/>
            <w:vAlign w:val="bottom"/>
            <w:shd w:val="clear" w:color="auto" w:fill="E5FFFF"/>
          </w:tcPr>
          <w:p>
            <w:pPr>
              <w:spacing w:after="0"/>
              <w:rPr>
                <w:sz w:val="18"/>
                <w:szCs w:val="18"/>
                <w:color w:val="auto"/>
              </w:rPr>
            </w:pPr>
          </w:p>
        </w:tc>
        <w:tc>
          <w:tcPr>
            <w:tcW w:w="3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212,016</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(loss) income per share attributable to</w:t>
            </w: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REX common shareholders (continuing operations) (a)</w:t>
            </w:r>
          </w:p>
        </w:tc>
        <w:tc>
          <w:tcPr>
            <w:tcW w:w="1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(loss) income per share attributable to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REX common shareholders (discontinued operations) (a)</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(loss) income per share attributable to</w:t>
            </w: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REX common shareholders (a)</w:t>
            </w:r>
          </w:p>
        </w:tc>
        <w:tc>
          <w:tcPr>
            <w:tcW w:w="3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E5FFFF"/>
          </w:tcPr>
          <w:p>
            <w:pPr>
              <w:spacing w:after="0"/>
              <w:rPr>
                <w:sz w:val="20"/>
                <w:szCs w:val="20"/>
                <w:color w:val="auto"/>
              </w:rPr>
            </w:pPr>
          </w:p>
        </w:tc>
        <w:tc>
          <w:tcPr>
            <w:tcW w:w="4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E5FFFF"/>
          </w:tcPr>
          <w:p>
            <w:pPr>
              <w:spacing w:after="0"/>
              <w:rPr>
                <w:sz w:val="20"/>
                <w:szCs w:val="20"/>
                <w:color w:val="auto"/>
              </w:rPr>
            </w:pPr>
          </w:p>
        </w:tc>
        <w:tc>
          <w:tcPr>
            <w:tcW w:w="3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shd w:val="clear" w:color="auto" w:fill="E5FFFF"/>
          </w:tcPr>
          <w:p>
            <w:pPr>
              <w:spacing w:after="0"/>
              <w:rPr>
                <w:sz w:val="20"/>
                <w:szCs w:val="20"/>
                <w:color w:val="auto"/>
              </w:rPr>
            </w:pPr>
          </w:p>
        </w:tc>
        <w:tc>
          <w:tcPr>
            <w:tcW w:w="3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rPr>
              <w:t>Quarters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July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October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3"/>
              <w:spacing w:after="0" w:line="147" w:lineRule="exact"/>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3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83,235</w:t>
            </w:r>
          </w:p>
        </w:tc>
        <w:tc>
          <w:tcPr>
            <w:tcW w:w="200" w:type="dxa"/>
            <w:vAlign w:val="bottom"/>
            <w:shd w:val="clear" w:color="auto" w:fill="E5FFFF"/>
          </w:tcPr>
          <w:p>
            <w:pPr>
              <w:spacing w:after="0"/>
              <w:rPr>
                <w:sz w:val="18"/>
                <w:szCs w:val="18"/>
                <w:color w:val="auto"/>
              </w:rPr>
            </w:pPr>
          </w:p>
        </w:tc>
        <w:tc>
          <w:tcPr>
            <w:tcW w:w="4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39,242</w:t>
            </w:r>
          </w:p>
        </w:tc>
        <w:tc>
          <w:tcPr>
            <w:tcW w:w="240" w:type="dxa"/>
            <w:vAlign w:val="bottom"/>
            <w:shd w:val="clear" w:color="auto" w:fill="E5FFFF"/>
          </w:tcPr>
          <w:p>
            <w:pPr>
              <w:spacing w:after="0"/>
              <w:rPr>
                <w:sz w:val="18"/>
                <w:szCs w:val="18"/>
                <w:color w:val="auto"/>
              </w:rPr>
            </w:pPr>
          </w:p>
        </w:tc>
        <w:tc>
          <w:tcPr>
            <w:tcW w:w="3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124,217</w:t>
            </w:r>
          </w:p>
        </w:tc>
        <w:tc>
          <w:tcPr>
            <w:tcW w:w="240" w:type="dxa"/>
            <w:vAlign w:val="bottom"/>
            <w:shd w:val="clear" w:color="auto" w:fill="E5FFFF"/>
          </w:tcPr>
          <w:p>
            <w:pPr>
              <w:spacing w:after="0"/>
              <w:rPr>
                <w:sz w:val="18"/>
                <w:szCs w:val="18"/>
                <w:color w:val="auto"/>
              </w:rPr>
            </w:pPr>
          </w:p>
        </w:tc>
        <w:tc>
          <w:tcPr>
            <w:tcW w:w="3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125,970</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(8,578)</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(2,867)</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REX common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 (continuing operations)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REX common</w:t>
            </w: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shareholders (discontinued operations)</w:t>
            </w:r>
          </w:p>
        </w:tc>
        <w:tc>
          <w:tcPr>
            <w:tcW w:w="1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3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REX common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(loss) income per share attributable to</w:t>
            </w: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REX common shareholders (continuing operations) (a)</w:t>
            </w:r>
          </w:p>
        </w:tc>
        <w:tc>
          <w:tcPr>
            <w:tcW w:w="1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2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2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(loss) income per share attributable to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REX common shareholders (discontinued operations) (a)</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(loss) income per share attributable to</w:t>
            </w: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REX common shareholders (a)</w:t>
            </w:r>
          </w:p>
        </w:tc>
        <w:tc>
          <w:tcPr>
            <w:tcW w:w="3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(0.28)</w:t>
            </w:r>
          </w:p>
        </w:tc>
        <w:tc>
          <w:tcPr>
            <w:tcW w:w="3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E5FFFF"/>
          </w:tcPr>
          <w:p>
            <w:pPr>
              <w:spacing w:after="0"/>
              <w:rPr>
                <w:sz w:val="20"/>
                <w:szCs w:val="20"/>
                <w:color w:val="auto"/>
              </w:rPr>
            </w:pPr>
          </w:p>
        </w:tc>
        <w:tc>
          <w:tcPr>
            <w:tcW w:w="3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60" w:hanging="33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of the quarterly net income per share amounts do not equal the annual net income per share amounts due to the impact of varying amounts of shares outstanding during the year.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9" w:name="page60"/>
    <w:bookmarkEnd w:id="59"/>
    <w:p>
      <w:pPr>
        <w:ind w:left="420" w:hanging="412"/>
        <w:spacing w:after="0"/>
        <w:tabs>
          <w:tab w:leader="none" w:pos="4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years 2021, 2020, and 2019, One Earth and NuGen, combined, purchased approximately $90.2 million, $54.8 million, and $171.5 million, respectively, of corn and other supplies from minority equity investors. The Company had amounts payable to related parties of approximately $0.5 million and $0.7 million at January 31, 2022 and 2021, respectively.</w:t>
      </w:r>
    </w:p>
    <w:p>
      <w:pPr>
        <w:spacing w:after="0" w:line="175"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years 2021, 2020, and 2019, the Company recognized (reduced) commission expense of approximately $0.3 million, $(0.2) million, and $(0.7) million, respectively, payable to the minority investor in the refined coal entity. The commission expense is associated with the refined coal business. The Company did not have accrued liabilities related to commission expense as of January 31, 2022 and had accrued liabilities related to the commission expense of approximately $0.1 million at January 31, 2021.</w:t>
      </w:r>
    </w:p>
    <w:p>
      <w:pPr>
        <w:spacing w:after="0" w:line="179"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years 2021 and 2020, the Company received approximately $0.3 million and approximately $0.1 million, respectively, in capital contributions from the minority investor in the refined coal entity.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REX American Resources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REX American Resources Corporation and subsidiaries (the “Company”) as of January 31, 2022 and 2021, the related consolidated statements of operations, shareholders’ equity, and cash flows, for each of the three years in the period ended January 31, 2022, and the related notes and the schedule listed in the Index at Item 15 (collectively referred to as the “financial statements”). In our opinion, the financial statements present fairly, in all material respects, the financial position of the Company as of January 31, 2022 and 2021, and the results of its operations and its cash flows for each of the three years in the period ended January 31, 2022, in conformity with accounting principles generally accepted in the United States of America.</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January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April 6, 2022, expressed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Valuation Allowance — Refer to Notes 1 and 12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provides for deferred tax liabilities and assets for the future tax consequences attributable to differences between the financial statement carrying amounts of existing assets and liabilities and their respective tax bases and operating loss and tax credit carryforwards. The Company provides for a valuation allowance if, based on the weight of available positive and negative evidence, it is more likely than not that some or all of the deferred tax assets will not be realized.</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a general business credit carryforward of approximately $39.1 million at January 31, 2022. The Company can carry these credits forward for up to twenty years and the carryforward period begins to expire in fiscal year 2038. The Company assessed all available positive and negative evidence to determine whether it expects sufficient future taxable income will be generated to allow for the realization of existing federal deferred tax assets. For the three-year period ended January 31, 2022, the Company has cumulative pre-tax book income on a comprehensive basis, including the impact of an operation that has historically produced pre-tax book losses, but after tax net income. This entity ceased operations in fiscal year 2021. The Company expects to realize the federal deferred tax assets prior to their expiration based on their projection of future taxable income based on objectively verifiable historical results.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identified management’s assertion that the federal deferred income tax assets are more likely than not going to be realized as a critical audit matter due to the significance of management’s judgments and the inherent uncertainty in forecasting financial results, coupled with the specialized tax knowledge that is necessary to accurately schedule future taxable income and deductions. A high degree of auditor judgment and the involvement of our tax specialists was required when performing audit procedures to evaluate management’s assertion.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audit procedures, with the assistance of income tax specialists, to evaluate management’s assertion that the unreserved federal deferred tax assets are more likely than not realizable included the following:</w:t>
      </w:r>
    </w:p>
    <w:p>
      <w:pPr>
        <w:spacing w:after="0" w:line="162" w:lineRule="exact"/>
        <w:rPr>
          <w:sz w:val="20"/>
          <w:szCs w:val="20"/>
          <w:color w:val="auto"/>
        </w:rPr>
      </w:pPr>
    </w:p>
    <w:p>
      <w:pPr>
        <w:ind w:left="660" w:right="3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Company’s controls over income taxes, including those over the evaluation of a valuation allowance and the projections of future taxable income.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projections of future taxable income by:</w:t>
      </w:r>
    </w:p>
    <w:p>
      <w:pPr>
        <w:spacing w:after="0" w:line="22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ability to accurately project future reversals of temporary differences including the use of tax planning strategies by comparing these projections to historical results, evaluation of current tax laws, and our understanding of anticipated future events.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reasonableness of management’s determination of the Company’s objectively verifiable income by:</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that applicable amounts agree to historical results.</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normalization for appropriate one-time items.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assessment that it is more likely than not that sufficient taxable income will be generated in the future to utilize the federal deferred tax assets.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the Company’s valuation allowance analysis.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2" w:name="page63"/>
    <w:bookmarkEnd w:id="62"/>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projections of future taxable income were consistent with evidence obtained in other areas of the audit.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sufficiency of the Company’s disclosures related to the realizability of deferred income tax assets and valuation allowances in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and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Dayton,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1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405" w:right="599" w:bottom="1440" w:gutter="0" w:footer="0" w:header="0"/>
        </w:sectPr>
      </w:pPr>
    </w:p>
    <w:bookmarkStart w:id="63" w:name="page64"/>
    <w:bookmarkEnd w:id="63"/>
    <w:p>
      <w:pPr>
        <w:spacing w:after="0"/>
        <w:rPr>
          <w:sz w:val="20"/>
          <w:szCs w:val="20"/>
          <w:color w:val="auto"/>
        </w:rPr>
      </w:pPr>
      <w:r>
        <w:rPr>
          <w:rFonts w:ascii="Arial" w:cs="Arial" w:eastAsia="Arial" w:hAnsi="Arial"/>
          <w:sz w:val="25"/>
          <w:szCs w:val="25"/>
          <w:b w:val="1"/>
          <w:bCs w:val="1"/>
          <w:color w:val="auto"/>
        </w:rPr>
        <w:t>REX AMERICAN RESOURCES CORPORATION AND SUBSIDIARIES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JANUARY 31, 2022, 2021 AND 2020</w:t>
      </w:r>
    </w:p>
    <w:p>
      <w:pPr>
        <w:spacing w:after="0"/>
        <w:rPr>
          <w:sz w:val="20"/>
          <w:szCs w:val="20"/>
          <w:color w:val="auto"/>
        </w:rPr>
      </w:pPr>
      <w:r>
        <w:rPr>
          <w:rFonts w:ascii="Arial" w:cs="Arial" w:eastAsia="Arial" w:hAnsi="Arial"/>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8"/>
              </w:rPr>
              <w:t>Balance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w w:val="98"/>
              </w:rPr>
              <w:t>Additions</w:t>
            </w:r>
          </w:p>
        </w:tc>
        <w:tc>
          <w:tcPr>
            <w:tcW w:w="6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9"/>
              </w:rPr>
              <w:t>Deductions</w:t>
            </w:r>
          </w:p>
        </w:tc>
        <w:tc>
          <w:tcPr>
            <w:tcW w:w="180" w:type="dxa"/>
            <w:vAlign w:val="bottom"/>
          </w:tcPr>
          <w:p>
            <w:pPr>
              <w:spacing w:after="0"/>
              <w:rPr>
                <w:sz w:val="17"/>
                <w:szCs w:val="17"/>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8"/>
              </w:rPr>
              <w:t>Balance</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gridSpan w:val="2"/>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4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Charged to</w:t>
            </w: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Charges for</w:t>
            </w:r>
          </w:p>
        </w:tc>
        <w:tc>
          <w:tcPr>
            <w:tcW w:w="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Beginning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Cost and</w:t>
            </w:r>
          </w:p>
        </w:tc>
        <w:tc>
          <w:tcPr>
            <w:tcW w:w="1880" w:type="dxa"/>
            <w:vAlign w:val="bottom"/>
            <w:gridSpan w:val="5"/>
          </w:tcPr>
          <w:p>
            <w:pPr>
              <w:jc w:val="center"/>
              <w:ind w:right="420"/>
              <w:spacing w:after="0" w:line="202" w:lineRule="exact"/>
              <w:rPr>
                <w:sz w:val="20"/>
                <w:szCs w:val="20"/>
                <w:color w:val="auto"/>
              </w:rPr>
            </w:pPr>
            <w:r>
              <w:rPr>
                <w:rFonts w:ascii="Arial" w:cs="Arial" w:eastAsia="Arial" w:hAnsi="Arial"/>
                <w:sz w:val="18"/>
                <w:szCs w:val="18"/>
                <w:b w:val="1"/>
                <w:bCs w:val="1"/>
                <w:color w:val="auto"/>
                <w:w w:val="99"/>
              </w:rPr>
              <w:t>Which Reserves</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End</w:t>
            </w:r>
          </w:p>
        </w:tc>
        <w:tc>
          <w:tcPr>
            <w:tcW w:w="0" w:type="dxa"/>
            <w:vAlign w:val="bottom"/>
          </w:tcPr>
          <w:p>
            <w:pPr>
              <w:spacing w:after="0"/>
              <w:rPr>
                <w:sz w:val="1"/>
                <w:szCs w:val="1"/>
                <w:color w:val="auto"/>
              </w:rPr>
            </w:pPr>
          </w:p>
        </w:tc>
      </w:tr>
      <w:tr>
        <w:trPr>
          <w:trHeight w:val="247"/>
        </w:trPr>
        <w:tc>
          <w:tcPr>
            <w:tcW w:w="4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of Year</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4"/>
          </w:tcPr>
          <w:p>
            <w:pPr>
              <w:ind w:left="80"/>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21"/>
                <w:szCs w:val="21"/>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8"/>
              </w:rPr>
              <w:t>Were Created</w:t>
            </w:r>
          </w:p>
        </w:tc>
        <w:tc>
          <w:tcPr>
            <w:tcW w:w="18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of Year</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5FFFF"/>
          </w:tcPr>
          <w:p>
            <w:pPr>
              <w:jc w:val="right"/>
              <w:ind w:right="417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5FFFF"/>
          </w:tcPr>
          <w:p>
            <w:pPr>
              <w:jc w:val="right"/>
              <w:ind w:right="417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5FFFF"/>
          </w:tcPr>
          <w:p>
            <w:pPr>
              <w:jc w:val="right"/>
              <w:ind w:right="417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and Chief Financial Officer, the effectiveness of our disclosure controls and procedures (as defined in Rules 13a–15(e) and 15d–15(e) under the Securities Exchange Act of 1934) as of the end of the period covered by this report. Based on that evaluation, our Chief Executive Officer and Chief Financial Officer concluded that our disclosure controls and procedures are effective at the reasonable assurance level to ensure that information required to be disclosed by us in the reports that we file or submit under the Securities Exchange Act of 1934 is recorded, processed, summarized and reported within the time periods specified in the Securities and Exchange Commission’s rules and forms. Our officers concluded that our disclosure controls and procedures are also effective at the reasonable assurance level to ensure that information required to be disclosed in the reports that we file or submit under the Exchange Act is accumulated and communicated to our management, including our Chief Executive Officer and Chief Financial Officer, to allow timely decisions regarding required disclosure.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Material Changes to Internal Control Over Financial Reporting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9"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ind w:left="660" w:right="80"/>
        <w:spacing w:after="0" w:line="28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Exchange Act Rule 13a-15(f). Our internal control over financial reporting is designed to provide reasonable assurance regarding the reliability of financial reporting and the preparation of financial statements in accordance with accounting principles generally accepted in the United States of America.</w:t>
      </w:r>
    </w:p>
    <w:p>
      <w:pPr>
        <w:spacing w:after="0" w:line="158"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deemed to be effective can provide only reasonable assurance with respect to financial statement preparation and presentation.</w:t>
      </w:r>
    </w:p>
    <w:p>
      <w:pPr>
        <w:spacing w:after="0" w:line="162"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assessed the effectiveness of our internal control over financial reporting as of January 31, 2022 based on the Internal Control-Integrated Framework (2013) issued by the Committee of Sponsoring Organizations of the Treadway Commission (“COSO”). Based upon this assessment, our management concluded that our internal control over financial reporting was effective as of January 31, 2022 based on those criteria.</w:t>
      </w:r>
    </w:p>
    <w:p>
      <w:pPr>
        <w:spacing w:after="0" w:line="180" w:lineRule="exact"/>
        <w:rPr>
          <w:sz w:val="20"/>
          <w:szCs w:val="20"/>
          <w:color w:val="auto"/>
        </w:rPr>
      </w:pPr>
    </w:p>
    <w:p>
      <w:pPr>
        <w:ind w:left="660" w:right="82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January 31, 2022 has been audited by Deloitte &amp; Touche LLP, an independent registered public accounting firm, as stated in their report which is included herein.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 ZAFAR A. RIZVI</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140" w:type="dxa"/>
            <w:vAlign w:val="bottom"/>
          </w:tcPr>
          <w:p>
            <w:pPr>
              <w:spacing w:after="0"/>
              <w:rPr>
                <w:sz w:val="19"/>
                <w:szCs w:val="19"/>
                <w:color w:val="auto"/>
              </w:rPr>
            </w:pPr>
          </w:p>
        </w:tc>
      </w:tr>
      <w:tr>
        <w:trPr>
          <w:trHeight w:val="234"/>
        </w:trPr>
        <w:tc>
          <w:tcPr>
            <w:tcW w:w="3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Zafar A. Rizvi</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6, 2022</w:t>
            </w:r>
          </w:p>
        </w:tc>
      </w:tr>
      <w:tr>
        <w:trPr>
          <w:trHeight w:val="427"/>
        </w:trPr>
        <w:tc>
          <w:tcPr>
            <w:tcW w:w="3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 DOUGLAS L. BRUGGEMAN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Vice President-Finance, Chief Financial Officer and Treasurer</w:t>
            </w:r>
          </w:p>
        </w:tc>
        <w:tc>
          <w:tcPr>
            <w:tcW w:w="2140" w:type="dxa"/>
            <w:vAlign w:val="bottom"/>
          </w:tcPr>
          <w:p>
            <w:pPr>
              <w:spacing w:after="0"/>
              <w:rPr>
                <w:sz w:val="24"/>
                <w:szCs w:val="24"/>
                <w:color w:val="auto"/>
              </w:rPr>
            </w:pPr>
          </w:p>
        </w:tc>
      </w:tr>
      <w:tr>
        <w:trPr>
          <w:trHeight w:val="234"/>
        </w:trPr>
        <w:tc>
          <w:tcPr>
            <w:tcW w:w="3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Douglas L. Bruggeman</w:t>
            </w: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6, 2022</w:t>
            </w:r>
          </w:p>
        </w:tc>
      </w:tr>
      <w:tr>
        <w:trPr>
          <w:trHeight w:val="405"/>
        </w:trPr>
        <w:tc>
          <w:tcPr>
            <w:tcW w:w="3720" w:type="dxa"/>
            <w:vAlign w:val="bottom"/>
          </w:tcPr>
          <w:p>
            <w:pPr>
              <w:spacing w:after="0"/>
              <w:rPr>
                <w:sz w:val="24"/>
                <w:szCs w:val="24"/>
                <w:color w:val="auto"/>
              </w:rPr>
            </w:pPr>
          </w:p>
        </w:tc>
        <w:tc>
          <w:tcPr>
            <w:tcW w:w="5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65</w:t>
            </w:r>
          </w:p>
        </w:tc>
        <w:tc>
          <w:tcPr>
            <w:tcW w:w="2140" w:type="dxa"/>
            <w:vAlign w:val="bottom"/>
          </w:tcPr>
          <w:p>
            <w:pPr>
              <w:spacing w:after="0"/>
              <w:rPr>
                <w:sz w:val="24"/>
                <w:szCs w:val="24"/>
                <w:color w:val="auto"/>
              </w:rPr>
            </w:pPr>
          </w:p>
        </w:tc>
      </w:tr>
      <w:tr>
        <w:trPr>
          <w:trHeight w:val="250"/>
        </w:trPr>
        <w:tc>
          <w:tcPr>
            <w:tcW w:w="3720" w:type="dxa"/>
            <w:vAlign w:val="bottom"/>
            <w:tcBorders>
              <w:bottom w:val="single" w:sz="8" w:color="C0C0C0"/>
            </w:tcBorders>
          </w:tcPr>
          <w:p>
            <w:pPr>
              <w:spacing w:after="0"/>
              <w:rPr>
                <w:sz w:val="21"/>
                <w:szCs w:val="21"/>
                <w:color w:val="auto"/>
              </w:rPr>
            </w:pPr>
          </w:p>
        </w:tc>
        <w:tc>
          <w:tcPr>
            <w:tcW w:w="5380" w:type="dxa"/>
            <w:vAlign w:val="bottom"/>
            <w:tcBorders>
              <w:bottom w:val="single" w:sz="8" w:color="C0C0C0"/>
            </w:tcBorders>
          </w:tcPr>
          <w:p>
            <w:pPr>
              <w:spacing w:after="0"/>
              <w:rPr>
                <w:sz w:val="21"/>
                <w:szCs w:val="21"/>
                <w:color w:val="auto"/>
              </w:rPr>
            </w:pPr>
          </w:p>
        </w:tc>
        <w:tc>
          <w:tcPr>
            <w:tcW w:w="21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REX American Resources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REX American Resources Corporation and subsidiaries (the “Company”) as of January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January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January 31, 2022, of the Company and our report dated April 6, 2022,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66" w:name="page67"/>
    <w:bookmarkEnd w:id="66"/>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and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Dayton,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2022</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05" w:right="419" w:bottom="1440" w:gutter="0" w:footer="0" w:header="0"/>
        </w:sectPr>
      </w:pPr>
    </w:p>
    <w:bookmarkStart w:id="67" w:name="page68"/>
    <w:bookmarkEnd w:id="67"/>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u w:val="single" w:color="auto"/>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u w:val="single" w:color="auto"/>
          <w:color w:val="auto"/>
        </w:rPr>
        <w:t>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is incorporated herein by reference to the Proxy Statement for our Annual Meeting of Shareholders on June 16, 2022, except for certain information concerning our executive officers which is set forth in Part I of this report.</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u w:val="single" w:color="auto"/>
          <w:color w:val="auto"/>
        </w:rPr>
        <w:t>Executive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set forth in the Proxy Statement for our Annual Meeting of Shareholders on June 16, 2022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is set forth in the Proxy Statement for our Annual Meeting of Shareholders on June 16, 2022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u w:val="single" w:color="auto"/>
          <w:color w:val="auto"/>
        </w:rPr>
        <w:t>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set forth in the Proxy Statement for our Annual Meeting of Shareholders on June 16, 2022 and is incorporated herein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u w:val="single" w:color="auto"/>
          <w:color w:val="auto"/>
        </w:rPr>
        <w:t>Principal Accountant Fees and Services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set forth in the Proxy Statement for our Annual Meeting of Shareholders on June 16, 2022 and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and Financial Statement Schedules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REX American Resources Corporation and subsidiaries are filed as a part of this report at Item 8 hereof.</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Balance Sheets as of January 31, 2022 and 2021</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January 31, 2022, 2021 and 2020</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January 31, 2022, 2021 and 2020</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January 31, 2022, 2021 and 2020</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8" w:name="page69"/>
    <w:bookmarkEnd w:id="68"/>
    <w:p>
      <w:pPr>
        <w:ind w:left="5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No. 34)</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(a)(2)(i) </w:t>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financial statement schedules are filed as a part of this report at Item 8 hereof.</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Schedule II -Valuation and Qualifying Accounts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included in the consolidated financial statements or notes thereto.</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u w:val="single" w:color="auto"/>
          <w:color w:val="auto"/>
        </w:rPr>
        <w:t>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ind w:left="500"/>
        <w:spacing w:after="0"/>
        <w:tabs>
          <w:tab w:leader="none" w:pos="1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3(a)</w:t>
      </w:r>
      <w:r>
        <w:rPr>
          <w:sz w:val="20"/>
          <w:szCs w:val="20"/>
          <w:color w:val="auto"/>
        </w:rPr>
        <w:tab/>
      </w:r>
      <w:hyperlink r:id="rId89">
        <w:r>
          <w:rPr>
            <w:rFonts w:ascii="Times New Roman" w:cs="Times New Roman" w:eastAsia="Times New Roman" w:hAnsi="Times New Roman"/>
            <w:sz w:val="17"/>
            <w:szCs w:val="17"/>
            <w:u w:val="single" w:color="auto"/>
            <w:color w:val="0000EE"/>
          </w:rPr>
          <w:t>Certificate of Incorporation, as amended (incorporated by reference to Exhibit 3(a) to Form 10-Q for quarter ended July 31, 2010, File No.</w:t>
        </w:r>
      </w:hyperlink>
    </w:p>
    <w:p>
      <w:pPr>
        <w:spacing w:after="0" w:line="39"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001-09097)</w:t>
        </w:r>
      </w:hyperlink>
    </w:p>
    <w:p>
      <w:pPr>
        <w:spacing w:after="0" w:line="207" w:lineRule="exact"/>
        <w:rPr>
          <w:sz w:val="20"/>
          <w:szCs w:val="20"/>
          <w:color w:val="auto"/>
        </w:rPr>
      </w:pPr>
    </w:p>
    <w:p>
      <w:pPr>
        <w:ind w:left="500"/>
        <w:spacing w:after="0"/>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3(b)</w:t>
      </w:r>
      <w:r>
        <w:rPr>
          <w:sz w:val="20"/>
          <w:szCs w:val="20"/>
          <w:color w:val="auto"/>
        </w:rPr>
        <w:tab/>
      </w:r>
      <w:hyperlink r:id="rId90">
        <w:r>
          <w:rPr>
            <w:rFonts w:ascii="Times New Roman" w:cs="Times New Roman" w:eastAsia="Times New Roman" w:hAnsi="Times New Roman"/>
            <w:sz w:val="18"/>
            <w:szCs w:val="18"/>
            <w:u w:val="single" w:color="auto"/>
            <w:color w:val="0000EE"/>
          </w:rPr>
          <w:t>By-Laws, as amended (incorporated by reference to Exhibit 3(a) to Form 8-K filed June 8, 2015, File No. 001-09097)</w:t>
        </w:r>
      </w:hyperlink>
    </w:p>
    <w:p>
      <w:pPr>
        <w:spacing w:after="0" w:line="225" w:lineRule="exact"/>
        <w:rPr>
          <w:sz w:val="20"/>
          <w:szCs w:val="20"/>
          <w:color w:val="auto"/>
        </w:rPr>
      </w:pPr>
    </w:p>
    <w:p>
      <w:pPr>
        <w:ind w:left="1260" w:right="20" w:hanging="759"/>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4(a)</w:t>
      </w:r>
      <w:r>
        <w:rPr>
          <w:sz w:val="20"/>
          <w:szCs w:val="20"/>
          <w:color w:val="auto"/>
        </w:rPr>
        <w:tab/>
      </w:r>
      <w:hyperlink r:id="rId91">
        <w:r>
          <w:rPr>
            <w:rFonts w:ascii="Times New Roman" w:cs="Times New Roman" w:eastAsia="Times New Roman" w:hAnsi="Times New Roman"/>
            <w:sz w:val="18"/>
            <w:szCs w:val="18"/>
            <w:u w:val="single" w:color="auto"/>
            <w:color w:val="0000EE"/>
          </w:rPr>
          <w:t>Description of Securities Registered Under Section 12 of the Exchange Act (incorporated by reference to Exhibit 4(a) to Form 10-K filed</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April 1, 2020, File No. 001-09097)</w:t>
        </w:r>
      </w:hyperlink>
    </w:p>
    <w:p>
      <w:pPr>
        <w:spacing w:after="0" w:line="162" w:lineRule="exact"/>
        <w:rPr>
          <w:sz w:val="20"/>
          <w:szCs w:val="20"/>
          <w:color w:val="auto"/>
        </w:rPr>
      </w:pPr>
    </w:p>
    <w:p>
      <w:pPr>
        <w:ind w:left="1260" w:hanging="759"/>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10(a)*</w:t>
      </w:r>
      <w:r>
        <w:rPr>
          <w:sz w:val="20"/>
          <w:szCs w:val="20"/>
          <w:color w:val="auto"/>
        </w:rPr>
        <w:tab/>
      </w:r>
      <w:hyperlink r:id="rId92">
        <w:r>
          <w:rPr>
            <w:rFonts w:ascii="Times New Roman" w:cs="Times New Roman" w:eastAsia="Times New Roman" w:hAnsi="Times New Roman"/>
            <w:sz w:val="18"/>
            <w:szCs w:val="18"/>
            <w:u w:val="single" w:color="auto"/>
            <w:color w:val="0000EE"/>
          </w:rPr>
          <w:t>Employment Agreement dated June 2, 2015 between Rex Radio and Television, Inc. and Stuart A. Rose (incorporated by reference to</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Exhibit 10(a) to Form 8-K filed June 8, 2015, File No. 001-09097)</w:t>
        </w:r>
      </w:hyperlink>
    </w:p>
    <w:p>
      <w:pPr>
        <w:spacing w:after="0" w:line="162" w:lineRule="exact"/>
        <w:rPr>
          <w:sz w:val="20"/>
          <w:szCs w:val="20"/>
          <w:color w:val="auto"/>
        </w:rPr>
      </w:pPr>
    </w:p>
    <w:p>
      <w:pPr>
        <w:ind w:left="1260" w:hanging="759"/>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10(b)*</w:t>
      </w:r>
      <w:r>
        <w:rPr>
          <w:sz w:val="20"/>
          <w:szCs w:val="20"/>
          <w:color w:val="auto"/>
        </w:rPr>
        <w:tab/>
      </w:r>
      <w:hyperlink r:id="rId93">
        <w:r>
          <w:rPr>
            <w:rFonts w:ascii="Times New Roman" w:cs="Times New Roman" w:eastAsia="Times New Roman" w:hAnsi="Times New Roman"/>
            <w:sz w:val="18"/>
            <w:szCs w:val="18"/>
            <w:u w:val="single" w:color="auto"/>
            <w:color w:val="0000EE"/>
          </w:rPr>
          <w:t>Employment Agreement dated June 2, 2015 between Rex Radio and Television, Inc. and Zafar Rizvi (incorporated by reference to Exhibit</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10(b) to Form 8-K filed June 8, 2015, File No. 001-09097)</w:t>
        </w:r>
      </w:hyperlink>
    </w:p>
    <w:p>
      <w:pPr>
        <w:spacing w:after="0" w:line="162" w:lineRule="exact"/>
        <w:rPr>
          <w:sz w:val="20"/>
          <w:szCs w:val="20"/>
          <w:color w:val="auto"/>
        </w:rPr>
      </w:pPr>
    </w:p>
    <w:p>
      <w:pPr>
        <w:ind w:left="1260" w:right="20" w:hanging="759"/>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10(c)*</w:t>
      </w:r>
      <w:r>
        <w:rPr>
          <w:sz w:val="20"/>
          <w:szCs w:val="20"/>
          <w:color w:val="auto"/>
        </w:rPr>
        <w:tab/>
      </w:r>
      <w:hyperlink r:id="rId94">
        <w:r>
          <w:rPr>
            <w:rFonts w:ascii="Times New Roman" w:cs="Times New Roman" w:eastAsia="Times New Roman" w:hAnsi="Times New Roman"/>
            <w:sz w:val="18"/>
            <w:szCs w:val="18"/>
            <w:u w:val="single" w:color="auto"/>
            <w:color w:val="0000EE"/>
          </w:rPr>
          <w:t>Employment Agreement dated June 2, 2015 between Rex Radio and Television, Inc. and Douglas L. Bruggeman (incorporated by</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reference to Exhibit 10(c) to Form 8-K filed June 8, 2015, File No. 001-09097)</w:t>
        </w:r>
      </w:hyperlink>
    </w:p>
    <w:p>
      <w:pPr>
        <w:spacing w:after="0" w:line="162" w:lineRule="exact"/>
        <w:rPr>
          <w:sz w:val="20"/>
          <w:szCs w:val="20"/>
          <w:color w:val="auto"/>
        </w:rPr>
      </w:pPr>
    </w:p>
    <w:p>
      <w:pPr>
        <w:ind w:left="500"/>
        <w:spacing w:after="0"/>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10(d)*</w:t>
      </w:r>
      <w:r>
        <w:rPr>
          <w:sz w:val="20"/>
          <w:szCs w:val="20"/>
          <w:color w:val="auto"/>
        </w:rPr>
        <w:tab/>
      </w:r>
      <w:hyperlink r:id="rId95">
        <w:r>
          <w:rPr>
            <w:rFonts w:ascii="Times New Roman" w:cs="Times New Roman" w:eastAsia="Times New Roman" w:hAnsi="Times New Roman"/>
            <w:sz w:val="18"/>
            <w:szCs w:val="18"/>
            <w:u w:val="single" w:color="auto"/>
            <w:color w:val="0000EE"/>
          </w:rPr>
          <w:t>2015 Incentive Plan (incorporated by reference to Exhibit 10(d) to Form 8-K filed June 8, 2015, File No. 001-09097)</w:t>
        </w:r>
      </w:hyperlink>
    </w:p>
    <w:p>
      <w:pPr>
        <w:spacing w:after="0" w:line="225" w:lineRule="exact"/>
        <w:rPr>
          <w:sz w:val="20"/>
          <w:szCs w:val="20"/>
          <w:color w:val="auto"/>
        </w:rPr>
      </w:pPr>
    </w:p>
    <w:p>
      <w:pPr>
        <w:ind w:left="1260" w:hanging="759"/>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10(e)*</w:t>
      </w:r>
      <w:r>
        <w:rPr>
          <w:sz w:val="20"/>
          <w:szCs w:val="20"/>
          <w:color w:val="auto"/>
        </w:rPr>
        <w:tab/>
      </w:r>
      <w:hyperlink r:id="rId96">
        <w:r>
          <w:rPr>
            <w:rFonts w:ascii="Times New Roman" w:cs="Times New Roman" w:eastAsia="Times New Roman" w:hAnsi="Times New Roman"/>
            <w:sz w:val="18"/>
            <w:szCs w:val="18"/>
            <w:u w:val="single" w:color="auto"/>
            <w:color w:val="0000EE"/>
          </w:rPr>
          <w:t>Form of Restricted Stock Award Agreement under 2015 Incentive Plan (incorporated by reference to Exhibit 10(e) to Form 8-K filed June</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8, 2015, File No. 001-09097)</w:t>
        </w:r>
      </w:hyperlink>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9" w:name="page70"/>
    <w:bookmarkEnd w:id="69"/>
    <w:p>
      <w:pPr>
        <w:ind w:left="1260" w:hanging="759"/>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10(f)*</w:t>
      </w:r>
      <w:r>
        <w:rPr>
          <w:sz w:val="20"/>
          <w:szCs w:val="20"/>
          <w:color w:val="auto"/>
        </w:rPr>
        <w:tab/>
      </w:r>
      <w:hyperlink r:id="rId98">
        <w:r>
          <w:rPr>
            <w:rFonts w:ascii="Times New Roman" w:cs="Times New Roman" w:eastAsia="Times New Roman" w:hAnsi="Times New Roman"/>
            <w:sz w:val="18"/>
            <w:szCs w:val="18"/>
            <w:u w:val="single" w:color="auto"/>
            <w:color w:val="0000EE"/>
          </w:rPr>
          <w:t>First Amendment to Employment Agreement dated June 2, 2015 between Rex Radio and Television, Inc. and Stuart A. Rose</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(incorporated by reference to Exhibit 10(a) to Form 10-Q for quarter ended July 31, 2017, File No. 001-09097)</w:t>
        </w:r>
      </w:hyperlink>
    </w:p>
    <w:p>
      <w:pPr>
        <w:spacing w:after="0" w:line="162" w:lineRule="exact"/>
        <w:rPr>
          <w:sz w:val="20"/>
          <w:szCs w:val="20"/>
          <w:color w:val="auto"/>
        </w:rPr>
      </w:pPr>
    </w:p>
    <w:p>
      <w:pPr>
        <w:ind w:left="1260" w:hanging="759"/>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10(g)*</w:t>
      </w:r>
      <w:r>
        <w:rPr>
          <w:sz w:val="20"/>
          <w:szCs w:val="20"/>
          <w:color w:val="auto"/>
        </w:rPr>
        <w:tab/>
      </w:r>
      <w:hyperlink r:id="rId99">
        <w:r>
          <w:rPr>
            <w:rFonts w:ascii="Times New Roman" w:cs="Times New Roman" w:eastAsia="Times New Roman" w:hAnsi="Times New Roman"/>
            <w:sz w:val="18"/>
            <w:szCs w:val="18"/>
            <w:u w:val="single" w:color="auto"/>
            <w:color w:val="0000EE"/>
          </w:rPr>
          <w:t>First Amendment to Employment Agreement dated June 2, 2015 between Rex Radio and Television, Inc. and Zafar Rizvi (incorporated</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by reference to Exhibit 10(b) to Form 10-Q for quarter ended July 31, 2017, File No. 001-09097)</w:t>
        </w:r>
      </w:hyperlink>
    </w:p>
    <w:p>
      <w:pPr>
        <w:spacing w:after="0" w:line="162" w:lineRule="exact"/>
        <w:rPr>
          <w:sz w:val="20"/>
          <w:szCs w:val="20"/>
          <w:color w:val="auto"/>
        </w:rPr>
      </w:pPr>
    </w:p>
    <w:p>
      <w:pPr>
        <w:ind w:left="1260" w:hanging="759"/>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10(h)*</w:t>
      </w:r>
      <w:r>
        <w:rPr>
          <w:sz w:val="20"/>
          <w:szCs w:val="20"/>
          <w:color w:val="auto"/>
        </w:rPr>
        <w:tab/>
      </w:r>
      <w:hyperlink r:id="rId100">
        <w:r>
          <w:rPr>
            <w:rFonts w:ascii="Times New Roman" w:cs="Times New Roman" w:eastAsia="Times New Roman" w:hAnsi="Times New Roman"/>
            <w:sz w:val="18"/>
            <w:szCs w:val="18"/>
            <w:u w:val="single" w:color="auto"/>
            <w:color w:val="0000EE"/>
          </w:rPr>
          <w:t>First Amendment to Employment Agreement dated June 2, 2015 between Rex Radio and Television, Inc. and Douglas L. Bruggeman</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(incorporated by reference to Exhibit 10(c) to Form 10-Q for quarter ended July 31, 2017, File No. 001-09097)</w:t>
        </w:r>
      </w:hyperlink>
    </w:p>
    <w:p>
      <w:pPr>
        <w:spacing w:after="0" w:line="162" w:lineRule="exact"/>
        <w:rPr>
          <w:sz w:val="20"/>
          <w:szCs w:val="20"/>
          <w:color w:val="auto"/>
        </w:rPr>
      </w:pPr>
    </w:p>
    <w:p>
      <w:pPr>
        <w:ind w:left="1260" w:right="20" w:hanging="759"/>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10(i)*</w:t>
      </w:r>
      <w:r>
        <w:rPr>
          <w:sz w:val="20"/>
          <w:szCs w:val="20"/>
          <w:color w:val="auto"/>
        </w:rPr>
        <w:tab/>
      </w:r>
      <w:hyperlink r:id="rId101">
        <w:r>
          <w:rPr>
            <w:rFonts w:ascii="Times New Roman" w:cs="Times New Roman" w:eastAsia="Times New Roman" w:hAnsi="Times New Roman"/>
            <w:sz w:val="18"/>
            <w:szCs w:val="18"/>
            <w:u w:val="single" w:color="auto"/>
            <w:color w:val="0000EE"/>
          </w:rPr>
          <w:t>Second Amendment to Employment Agreement dated June 2, 2015 between Rex Radio and Television, Inc. and Stuart A. Rose</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(incorporated by reference to Exhibit 10(k) to Form 10-K for fiscal year ended January 31, 2018, File No. 001-09097)</w:t>
        </w:r>
      </w:hyperlink>
    </w:p>
    <w:p>
      <w:pPr>
        <w:spacing w:after="0" w:line="162" w:lineRule="exact"/>
        <w:rPr>
          <w:sz w:val="20"/>
          <w:szCs w:val="20"/>
          <w:color w:val="auto"/>
        </w:rPr>
      </w:pPr>
    </w:p>
    <w:p>
      <w:pPr>
        <w:ind w:left="1260" w:right="20" w:hanging="759"/>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10(j)*</w:t>
      </w:r>
      <w:r>
        <w:rPr>
          <w:sz w:val="20"/>
          <w:szCs w:val="20"/>
          <w:color w:val="auto"/>
        </w:rPr>
        <w:tab/>
      </w:r>
      <w:hyperlink r:id="rId102">
        <w:r>
          <w:rPr>
            <w:rFonts w:ascii="Times New Roman" w:cs="Times New Roman" w:eastAsia="Times New Roman" w:hAnsi="Times New Roman"/>
            <w:sz w:val="18"/>
            <w:szCs w:val="18"/>
            <w:u w:val="single" w:color="auto"/>
            <w:color w:val="0000EE"/>
          </w:rPr>
          <w:t>Second Amendment to Employment Agreement dated June 2, 2015 between Rex Radio and Television, Inc. and Zafar Rizvi (incorporated</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by reference to Exhibit 10(l) to Form 10-K for fiscal year ended January 31, 2018, File No. 001-09097)</w:t>
        </w:r>
      </w:hyperlink>
    </w:p>
    <w:p>
      <w:pPr>
        <w:spacing w:after="0" w:line="162" w:lineRule="exact"/>
        <w:rPr>
          <w:sz w:val="20"/>
          <w:szCs w:val="20"/>
          <w:color w:val="auto"/>
        </w:rPr>
      </w:pPr>
    </w:p>
    <w:p>
      <w:pPr>
        <w:ind w:left="1260" w:hanging="759"/>
        <w:spacing w:after="0" w:line="282"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10(k)*</w:t>
      </w:r>
      <w:r>
        <w:rPr>
          <w:sz w:val="20"/>
          <w:szCs w:val="20"/>
          <w:color w:val="auto"/>
        </w:rPr>
        <w:tab/>
      </w:r>
      <w:hyperlink r:id="rId103">
        <w:r>
          <w:rPr>
            <w:rFonts w:ascii="Times New Roman" w:cs="Times New Roman" w:eastAsia="Times New Roman" w:hAnsi="Times New Roman"/>
            <w:sz w:val="18"/>
            <w:szCs w:val="18"/>
            <w:u w:val="single" w:color="auto"/>
            <w:color w:val="0000EE"/>
          </w:rPr>
          <w:t>Second Amendment to Employment Agreement dated June 2, 2015 between Rex Radio and Television, Inc. and Douglas L. Bruggeman</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(incorporated by reference to Exhibit 10(m) to Form 10-K for fiscal year ended January 31, 2018, File No. 001-09097)</w:t>
        </w:r>
      </w:hyperlink>
    </w:p>
    <w:p>
      <w:pPr>
        <w:spacing w:after="0" w:line="160"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Subsidiaries of the registrant:</w:t>
      </w:r>
    </w:p>
    <w:p>
      <w:pPr>
        <w:spacing w:after="0" w:line="227" w:lineRule="exact"/>
        <w:rPr>
          <w:sz w:val="20"/>
          <w:szCs w:val="20"/>
          <w:color w:val="auto"/>
        </w:rPr>
      </w:pPr>
    </w:p>
    <w:p>
      <w:pPr>
        <w:ind w:left="50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w:t>
      </w:r>
      <w:hyperlink w:anchor="page73">
        <w:r>
          <w:rPr>
            <w:rFonts w:ascii="Times New Roman" w:cs="Times New Roman" w:eastAsia="Times New Roman" w:hAnsi="Times New Roman"/>
            <w:sz w:val="17"/>
            <w:szCs w:val="17"/>
            <w:u w:val="single" w:color="auto"/>
            <w:color w:val="0000EE"/>
          </w:rPr>
          <w:t>Subsidiaries of registrant</w:t>
        </w:r>
      </w:hyperlink>
    </w:p>
    <w:p>
      <w:pPr>
        <w:spacing w:after="0" w:line="223" w:lineRule="exact"/>
        <w:rPr>
          <w:rFonts w:ascii="Times New Roman" w:cs="Times New Roman" w:eastAsia="Times New Roman" w:hAnsi="Times New Roman"/>
          <w:sz w:val="17"/>
          <w:szCs w:val="17"/>
          <w:u w:val="single" w:color="auto"/>
          <w:color w:val="0000EE"/>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Consents of experts and counsel:</w:t>
      </w:r>
    </w:p>
    <w:p>
      <w:pPr>
        <w:spacing w:after="0" w:line="227" w:lineRule="exact"/>
        <w:rPr>
          <w:rFonts w:ascii="Times New Roman" w:cs="Times New Roman" w:eastAsia="Times New Roman" w:hAnsi="Times New Roman"/>
          <w:sz w:val="18"/>
          <w:szCs w:val="18"/>
          <w:color w:val="auto"/>
        </w:rPr>
      </w:pPr>
    </w:p>
    <w:p>
      <w:pPr>
        <w:ind w:left="1260" w:hanging="756"/>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23(a)</w:t>
      </w:r>
      <w:hyperlink w:anchor="page75">
        <w:r>
          <w:rPr>
            <w:rFonts w:ascii="Times New Roman" w:cs="Times New Roman" w:eastAsia="Times New Roman" w:hAnsi="Times New Roman"/>
            <w:sz w:val="18"/>
            <w:szCs w:val="18"/>
            <w:u w:val="single" w:color="auto"/>
            <w:color w:val="0000EE"/>
          </w:rPr>
          <w:t>Consent of Deloitte &amp; Touche LLP to use its reports dated April 6, 2022 included in this annual report on Form 10-K into registrant’s</w:t>
        </w:r>
      </w:hyperlink>
      <w:r>
        <w:rPr>
          <w:rFonts w:ascii="Times New Roman" w:cs="Times New Roman" w:eastAsia="Times New Roman" w:hAnsi="Times New Roman"/>
          <w:sz w:val="18"/>
          <w:szCs w:val="18"/>
          <w:u w:val="single" w:color="auto"/>
          <w:color w:val="0000EE"/>
        </w:rPr>
        <w:t xml:space="preserve"> </w:t>
      </w:r>
      <w:hyperlink w:anchor="page75">
        <w:r>
          <w:rPr>
            <w:rFonts w:ascii="Times New Roman" w:cs="Times New Roman" w:eastAsia="Times New Roman" w:hAnsi="Times New Roman"/>
            <w:sz w:val="18"/>
            <w:szCs w:val="18"/>
            <w:u w:val="single" w:color="auto"/>
            <w:color w:val="0000EE"/>
          </w:rPr>
          <w:t>Registration Statement on Form S-8 (Registration No. 333-205419)</w:t>
        </w:r>
      </w:hyperlink>
    </w:p>
    <w:p>
      <w:pPr>
        <w:spacing w:after="0" w:line="160"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13a-14(a)/15d-14(a) Certifications:</w:t>
      </w:r>
    </w:p>
    <w:p>
      <w:pPr>
        <w:spacing w:after="0" w:line="2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hyperlink w:anchor="page76">
        <w:r>
          <w:rPr>
            <w:rFonts w:ascii="Times New Roman" w:cs="Times New Roman" w:eastAsia="Times New Roman" w:hAnsi="Times New Roman"/>
            <w:sz w:val="17"/>
            <w:szCs w:val="17"/>
            <w:u w:val="single" w:color="auto"/>
            <w:color w:val="0000EE"/>
          </w:rPr>
          <w:t>Certifications</w:t>
        </w:r>
      </w:hyperlink>
    </w:p>
    <w:p>
      <w:pPr>
        <w:spacing w:after="0" w:line="223" w:lineRule="exact"/>
        <w:rPr>
          <w:rFonts w:ascii="Times New Roman" w:cs="Times New Roman" w:eastAsia="Times New Roman" w:hAnsi="Times New Roman"/>
          <w:sz w:val="17"/>
          <w:szCs w:val="17"/>
          <w:u w:val="single" w:color="auto"/>
          <w:color w:val="0000EE"/>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1350 Certifications:</w:t>
      </w:r>
    </w:p>
    <w:p>
      <w:pPr>
        <w:spacing w:after="0" w:line="2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hyperlink w:anchor="page80">
        <w:r>
          <w:rPr>
            <w:rFonts w:ascii="Times New Roman" w:cs="Times New Roman" w:eastAsia="Times New Roman" w:hAnsi="Times New Roman"/>
            <w:sz w:val="17"/>
            <w:szCs w:val="17"/>
            <w:u w:val="single" w:color="auto"/>
            <w:color w:val="0000EE"/>
          </w:rPr>
          <w:t>Certifications</w:t>
        </w:r>
      </w:hyperlink>
    </w:p>
    <w:p>
      <w:pPr>
        <w:spacing w:after="0" w:line="19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0" w:name="page71"/>
    <w:bookmarkEnd w:id="70"/>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Interactive Data File:</w:t>
      </w:r>
    </w:p>
    <w:p>
      <w:pPr>
        <w:spacing w:after="0" w:line="227" w:lineRule="exact"/>
        <w:rPr>
          <w:rFonts w:ascii="Times New Roman" w:cs="Times New Roman" w:eastAsia="Times New Roman" w:hAnsi="Times New Roman"/>
          <w:sz w:val="18"/>
          <w:szCs w:val="18"/>
          <w:color w:val="auto"/>
        </w:rPr>
      </w:pPr>
    </w:p>
    <w:p>
      <w:pPr>
        <w:ind w:left="1260" w:right="60" w:hanging="756"/>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101The following information from REX American Resources Corporation Annual Report on Form 10-K for the fiscal year ended January 31, 2022, formatted in iXBRL: (i) Consolidated Balance Sheets, (ii) Consolidated Statements of Operations, (iii) Consolidated Statements of Shareholders’ Equity, (iv) Consolidated Statements of Cash Flows and (v) Notes to Consolidated Financial Statements.</w:t>
      </w:r>
    </w:p>
    <w:p>
      <w:pPr>
        <w:spacing w:after="0" w:line="172" w:lineRule="exact"/>
        <w:rPr>
          <w:sz w:val="20"/>
          <w:szCs w:val="20"/>
          <w:color w:val="auto"/>
        </w:rPr>
      </w:pPr>
    </w:p>
    <w:p>
      <w:pPr>
        <w:ind w:left="1380" w:right="1740"/>
        <w:spacing w:after="0" w:line="286" w:lineRule="auto"/>
        <w:rPr>
          <w:sz w:val="20"/>
          <w:szCs w:val="20"/>
          <w:color w:val="auto"/>
        </w:rPr>
      </w:pPr>
      <w:r>
        <w:rPr>
          <w:rFonts w:ascii="Times New Roman" w:cs="Times New Roman" w:eastAsia="Times New Roman" w:hAnsi="Times New Roman"/>
          <w:sz w:val="18"/>
          <w:szCs w:val="18"/>
          <w:b w:val="1"/>
          <w:bCs w:val="1"/>
          <w:color w:val="auto"/>
        </w:rPr>
        <w:t>Copies of the Exhibits not filed herewith may be obtained by writing to Edward M. Kress, Secretary, REX American Resources Corporation, 7720 Paragon Road, Dayton, Ohio 45459.</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Those exhibits marked with an asterisk (*) above are management contracts or compensatory plans or arrangements for directors or executive officers of the registrant.</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REX AMERICAN RESOURCES CORPORATION</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ZAFAR A. RIZVI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6, 2022</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46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STUART A. ROSE</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Stuart A. Rose</w:t>
            </w:r>
          </w:p>
        </w:tc>
        <w:tc>
          <w:tcPr>
            <w:tcW w:w="6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19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April 6, 2022</w:t>
            </w:r>
          </w:p>
        </w:tc>
      </w:tr>
      <w:tr>
        <w:trPr>
          <w:trHeight w:val="41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ZAFAR A. RIZVI</w:t>
            </w:r>
          </w:p>
        </w:tc>
        <w:tc>
          <w:tcPr>
            <w:tcW w:w="6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Chief Executive Officer, President and Director (principal executive officer)</w:t>
            </w:r>
          </w:p>
        </w:tc>
        <w:tc>
          <w:tcPr>
            <w:tcW w:w="19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April 6, 2022</w:t>
            </w: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Zafar A. Rizvi</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DOUGLAS L. BRUGGEMAN</w:t>
            </w:r>
          </w:p>
        </w:tc>
        <w:tc>
          <w:tcPr>
            <w:tcW w:w="6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Vice President-Finance, Chief Financial Officer and Treasurer (principal</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L. Bruggeman</w:t>
            </w:r>
          </w:p>
        </w:tc>
        <w:tc>
          <w:tcPr>
            <w:tcW w:w="6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19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April 6, 2022</w:t>
            </w:r>
          </w:p>
        </w:tc>
      </w:tr>
      <w:tr>
        <w:trPr>
          <w:trHeight w:val="41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EDWARD M. KRESS</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Edward M. Kress</w:t>
            </w:r>
          </w:p>
        </w:tc>
        <w:tc>
          <w:tcPr>
            <w:tcW w:w="6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April 6, 2022</w:t>
            </w:r>
          </w:p>
        </w:tc>
      </w:tr>
      <w:tr>
        <w:trPr>
          <w:trHeight w:val="41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CHARLES A. ELCAN</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Charles A. Elcan</w:t>
            </w:r>
          </w:p>
        </w:tc>
        <w:tc>
          <w:tcPr>
            <w:tcW w:w="6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April 6, 2022</w:t>
            </w:r>
          </w:p>
        </w:tc>
      </w:tr>
      <w:tr>
        <w:trPr>
          <w:trHeight w:val="41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DAVID S. HARRIS</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S. Harris</w:t>
            </w:r>
          </w:p>
        </w:tc>
        <w:tc>
          <w:tcPr>
            <w:tcW w:w="6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April 6, 2022</w:t>
            </w:r>
          </w:p>
        </w:tc>
      </w:tr>
      <w:tr>
        <w:trPr>
          <w:trHeight w:val="41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MERVYN L. ALPHONSO</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Mervyn L. Alphonso</w:t>
            </w:r>
          </w:p>
        </w:tc>
        <w:tc>
          <w:tcPr>
            <w:tcW w:w="6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April 6, 2022</w:t>
            </w:r>
          </w:p>
        </w:tc>
      </w:tr>
      <w:tr>
        <w:trPr>
          <w:trHeight w:val="41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LEE I. FISHER</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Lee I. Fisher</w:t>
            </w:r>
          </w:p>
        </w:tc>
        <w:tc>
          <w:tcPr>
            <w:tcW w:w="6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April 6, 2022</w:t>
            </w:r>
          </w:p>
        </w:tc>
      </w:tr>
      <w:tr>
        <w:trPr>
          <w:trHeight w:val="41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ANNE C. MACMILLAN</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 C. MacMillan</w:t>
            </w:r>
          </w:p>
        </w:tc>
        <w:tc>
          <w:tcPr>
            <w:tcW w:w="6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April 6, 2022</w:t>
            </w:r>
          </w:p>
        </w:tc>
      </w:tr>
      <w:tr>
        <w:trPr>
          <w:trHeight w:val="405"/>
        </w:trPr>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30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180" w:type="dxa"/>
            <w:vAlign w:val="bottom"/>
            <w:tcBorders>
              <w:bottom w:val="single" w:sz="8" w:color="C0C0C0"/>
            </w:tcBorders>
          </w:tcPr>
          <w:p>
            <w:pPr>
              <w:spacing w:after="0"/>
              <w:rPr>
                <w:sz w:val="21"/>
                <w:szCs w:val="21"/>
                <w:color w:val="auto"/>
              </w:rPr>
            </w:pPr>
          </w:p>
        </w:tc>
        <w:tc>
          <w:tcPr>
            <w:tcW w:w="760" w:type="dxa"/>
            <w:vAlign w:val="bottom"/>
            <w:tcBorders>
              <w:bottom w:val="single" w:sz="8" w:color="C0C0C0"/>
            </w:tcBorders>
          </w:tcPr>
          <w:p>
            <w:pPr>
              <w:spacing w:after="0"/>
              <w:rPr>
                <w:sz w:val="21"/>
                <w:szCs w:val="21"/>
                <w:color w:val="auto"/>
              </w:rPr>
            </w:pPr>
          </w:p>
        </w:tc>
        <w:tc>
          <w:tcPr>
            <w:tcW w:w="2040" w:type="dxa"/>
            <w:vAlign w:val="bottom"/>
            <w:tcBorders>
              <w:bottom w:val="single" w:sz="8" w:color="C0C0C0"/>
            </w:tcBorders>
          </w:tcPr>
          <w:p>
            <w:pPr>
              <w:spacing w:after="0"/>
              <w:rPr>
                <w:sz w:val="21"/>
                <w:szCs w:val="21"/>
                <w:color w:val="auto"/>
              </w:rPr>
            </w:pPr>
          </w:p>
        </w:tc>
        <w:tc>
          <w:tcPr>
            <w:tcW w:w="68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492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color w:val="auto"/>
        </w:rPr>
        <w:t>EXHIBIT 21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SUBSIDIARIES OF REX AMERICAN RESOURCES CORPORATION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60" w:type="dxa"/>
            <w:vAlign w:val="bottom"/>
            <w:vMerge w:val="restart"/>
          </w:tcPr>
          <w:p>
            <w:pPr>
              <w:spacing w:after="0"/>
              <w:rPr>
                <w:sz w:val="22"/>
                <w:szCs w:val="22"/>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6360" w:type="dxa"/>
            <w:vAlign w:val="bottom"/>
            <w:gridSpan w:val="3"/>
          </w:tcPr>
          <w:p>
            <w:pPr>
              <w:ind w:left="3840"/>
              <w:spacing w:after="0"/>
              <w:rPr>
                <w:sz w:val="20"/>
                <w:szCs w:val="20"/>
                <w:color w:val="auto"/>
              </w:rPr>
            </w:pPr>
            <w:r>
              <w:rPr>
                <w:rFonts w:ascii="Times New Roman" w:cs="Times New Roman" w:eastAsia="Times New Roman" w:hAnsi="Times New Roman"/>
                <w:sz w:val="22"/>
                <w:szCs w:val="22"/>
                <w:color w:val="auto"/>
              </w:rPr>
              <w:t>State of Incorporation</w:t>
            </w:r>
          </w:p>
        </w:tc>
        <w:tc>
          <w:tcPr>
            <w:tcW w:w="0" w:type="dxa"/>
            <w:vAlign w:val="bottom"/>
          </w:tcPr>
          <w:p>
            <w:pPr>
              <w:spacing w:after="0"/>
              <w:rPr>
                <w:sz w:val="1"/>
                <w:szCs w:val="1"/>
                <w:color w:val="auto"/>
              </w:rPr>
            </w:pPr>
          </w:p>
        </w:tc>
      </w:tr>
      <w:tr>
        <w:trPr>
          <w:trHeight w:val="113"/>
        </w:trPr>
        <w:tc>
          <w:tcPr>
            <w:tcW w:w="4360" w:type="dxa"/>
            <w:vAlign w:val="bottom"/>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4100" w:type="dxa"/>
            <w:vAlign w:val="bottom"/>
            <w:vMerge w:val="restart"/>
          </w:tcPr>
          <w:p>
            <w:pPr>
              <w:spacing w:after="0"/>
              <w:rPr>
                <w:sz w:val="9"/>
                <w:szCs w:val="9"/>
                <w:color w:val="auto"/>
              </w:rPr>
            </w:pPr>
          </w:p>
        </w:tc>
        <w:tc>
          <w:tcPr>
            <w:tcW w:w="2260" w:type="dxa"/>
            <w:vAlign w:val="bottom"/>
            <w:gridSpan w:val="2"/>
            <w:vMerge w:val="restart"/>
          </w:tcPr>
          <w:p>
            <w:pPr>
              <w:spacing w:after="0" w:line="230" w:lineRule="exact"/>
              <w:rPr>
                <w:sz w:val="20"/>
                <w:szCs w:val="20"/>
                <w:color w:val="auto"/>
              </w:rPr>
            </w:pPr>
            <w:r>
              <w:rPr>
                <w:rFonts w:ascii="Times New Roman" w:cs="Times New Roman" w:eastAsia="Times New Roman" w:hAnsi="Times New Roman"/>
                <w:sz w:val="22"/>
                <w:szCs w:val="22"/>
                <w:color w:val="auto"/>
              </w:rPr>
              <w:t>or Organization</w:t>
            </w:r>
          </w:p>
        </w:tc>
        <w:tc>
          <w:tcPr>
            <w:tcW w:w="0" w:type="dxa"/>
            <w:vAlign w:val="bottom"/>
          </w:tcPr>
          <w:p>
            <w:pPr>
              <w:spacing w:after="0"/>
              <w:rPr>
                <w:sz w:val="1"/>
                <w:szCs w:val="1"/>
                <w:color w:val="auto"/>
              </w:rPr>
            </w:pPr>
          </w:p>
        </w:tc>
      </w:tr>
      <w:tr>
        <w:trPr>
          <w:trHeight w:val="102"/>
        </w:trPr>
        <w:tc>
          <w:tcPr>
            <w:tcW w:w="4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22"/>
                <w:szCs w:val="22"/>
                <w:color w:val="auto"/>
              </w:rPr>
              <w:t>Alistar Enterprises, LLC</w:t>
            </w:r>
            <w:r>
              <w:rPr>
                <w:rFonts w:ascii="Times New Roman" w:cs="Times New Roman" w:eastAsia="Times New Roman" w:hAnsi="Times New Roman"/>
                <w:sz w:val="35"/>
                <w:szCs w:val="35"/>
                <w:color w:val="auto"/>
                <w:vertAlign w:val="superscript"/>
              </w:rPr>
              <w:t>(1)</w:t>
            </w:r>
          </w:p>
        </w:tc>
        <w:tc>
          <w:tcPr>
            <w:tcW w:w="4100" w:type="dxa"/>
            <w:vAlign w:val="bottom"/>
            <w:vMerge w:val="continue"/>
          </w:tcPr>
          <w:p>
            <w:pPr>
              <w:spacing w:after="0"/>
              <w:rPr>
                <w:sz w:val="8"/>
                <w:szCs w:val="8"/>
                <w:color w:val="auto"/>
              </w:rPr>
            </w:pPr>
          </w:p>
        </w:tc>
        <w:tc>
          <w:tcPr>
            <w:tcW w:w="22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0"/>
        </w:trPr>
        <w:tc>
          <w:tcPr>
            <w:tcW w:w="4880" w:type="dxa"/>
            <w:vAlign w:val="bottom"/>
            <w:gridSpan w:val="2"/>
            <w:vMerge w:val="continue"/>
          </w:tcPr>
          <w:p>
            <w:pPr>
              <w:spacing w:after="0"/>
              <w:rPr>
                <w:sz w:val="24"/>
                <w:szCs w:val="24"/>
                <w:color w:val="auto"/>
              </w:rPr>
            </w:pPr>
          </w:p>
        </w:tc>
        <w:tc>
          <w:tcPr>
            <w:tcW w:w="4100" w:type="dxa"/>
            <w:vAlign w:val="bottom"/>
          </w:tcPr>
          <w:p>
            <w:pPr>
              <w:spacing w:after="0"/>
              <w:rPr>
                <w:sz w:val="24"/>
                <w:szCs w:val="24"/>
                <w:color w:val="auto"/>
              </w:rPr>
            </w:pPr>
          </w:p>
        </w:tc>
        <w:tc>
          <w:tcPr>
            <w:tcW w:w="13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Delaware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AVA Acquisition Corp.</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688"/>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Rex Radio and Television, Inc.</w:t>
            </w:r>
            <w:r>
              <w:rPr>
                <w:rFonts w:ascii="Times New Roman" w:cs="Times New Roman" w:eastAsia="Times New Roman" w:hAnsi="Times New Roman"/>
                <w:sz w:val="35"/>
                <w:szCs w:val="35"/>
                <w:color w:val="auto"/>
                <w:vertAlign w:val="superscript"/>
              </w:rPr>
              <w:t>(2)</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Rex Acquisition, LLC</w:t>
            </w:r>
            <w:r>
              <w:rPr>
                <w:rFonts w:ascii="Times New Roman" w:cs="Times New Roman" w:eastAsia="Times New Roman" w:hAnsi="Times New Roman"/>
                <w:sz w:val="35"/>
                <w:szCs w:val="35"/>
                <w:color w:val="auto"/>
                <w:vertAlign w:val="superscript"/>
              </w:rPr>
              <w:t>(3)</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338"/>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REX Carbon, LLC</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688"/>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RGPP I, LLC</w:t>
            </w:r>
            <w:r>
              <w:rPr>
                <w:rFonts w:ascii="Times New Roman" w:cs="Times New Roman" w:eastAsia="Times New Roman" w:hAnsi="Times New Roman"/>
                <w:sz w:val="35"/>
                <w:szCs w:val="35"/>
                <w:color w:val="auto"/>
                <w:vertAlign w:val="superscript"/>
              </w:rPr>
              <w:t>(4)</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REX/GPP II, LLC</w:t>
            </w:r>
            <w:r>
              <w:rPr>
                <w:rFonts w:ascii="Times New Roman" w:cs="Times New Roman" w:eastAsia="Times New Roman" w:hAnsi="Times New Roman"/>
                <w:sz w:val="35"/>
                <w:szCs w:val="35"/>
                <w:color w:val="auto"/>
                <w:vertAlign w:val="superscript"/>
              </w:rPr>
              <w:t>(4)</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REX Investment, LLC</w:t>
            </w:r>
            <w:r>
              <w:rPr>
                <w:rFonts w:ascii="Times New Roman" w:cs="Times New Roman" w:eastAsia="Times New Roman" w:hAnsi="Times New Roman"/>
                <w:sz w:val="35"/>
                <w:szCs w:val="35"/>
                <w:color w:val="auto"/>
                <w:vertAlign w:val="superscript"/>
              </w:rPr>
              <w:t>(5)</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338"/>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REX IP, LLC</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688"/>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REX Marketing Group, LLC</w:t>
            </w:r>
            <w:r>
              <w:rPr>
                <w:rFonts w:ascii="Times New Roman" w:cs="Times New Roman" w:eastAsia="Times New Roman" w:hAnsi="Times New Roman"/>
                <w:sz w:val="35"/>
                <w:szCs w:val="35"/>
                <w:color w:val="auto"/>
                <w:vertAlign w:val="superscript"/>
              </w:rPr>
              <w:t>(4)</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South Dakota</w:t>
            </w:r>
          </w:p>
        </w:tc>
        <w:tc>
          <w:tcPr>
            <w:tcW w:w="0" w:type="dxa"/>
            <w:vAlign w:val="bottom"/>
          </w:tcPr>
          <w:p>
            <w:pPr>
              <w:spacing w:after="0"/>
              <w:rPr>
                <w:sz w:val="1"/>
                <w:szCs w:val="1"/>
                <w:color w:val="auto"/>
              </w:rPr>
            </w:pPr>
          </w:p>
        </w:tc>
      </w:tr>
      <w:tr>
        <w:trPr>
          <w:trHeight w:val="540"/>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RRC1, LLC</w:t>
            </w:r>
            <w:r>
              <w:rPr>
                <w:rFonts w:ascii="Times New Roman" w:cs="Times New Roman" w:eastAsia="Times New Roman" w:hAnsi="Times New Roman"/>
                <w:sz w:val="35"/>
                <w:szCs w:val="35"/>
                <w:color w:val="auto"/>
                <w:vertAlign w:val="superscript"/>
              </w:rPr>
              <w:t>(6)</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338"/>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Farmers Energy Incorporated</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688"/>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Farmers Energy Big River Holding, LLC</w:t>
            </w:r>
            <w:r>
              <w:rPr>
                <w:rFonts w:ascii="Times New Roman" w:cs="Times New Roman" w:eastAsia="Times New Roman" w:hAnsi="Times New Roman"/>
                <w:sz w:val="35"/>
                <w:szCs w:val="35"/>
                <w:color w:val="auto"/>
                <w:vertAlign w:val="superscript"/>
              </w:rPr>
              <w:t>(7)</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Farmers Energy Big River, LLC</w:t>
            </w:r>
            <w:r>
              <w:rPr>
                <w:rFonts w:ascii="Times New Roman" w:cs="Times New Roman" w:eastAsia="Times New Roman" w:hAnsi="Times New Roman"/>
                <w:sz w:val="35"/>
                <w:szCs w:val="35"/>
                <w:color w:val="auto"/>
                <w:vertAlign w:val="superscript"/>
              </w:rPr>
              <w:t>(8)</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Farmers Energy Cardinal Holding, LLC</w:t>
            </w:r>
            <w:r>
              <w:rPr>
                <w:rFonts w:ascii="Times New Roman" w:cs="Times New Roman" w:eastAsia="Times New Roman" w:hAnsi="Times New Roman"/>
                <w:sz w:val="35"/>
                <w:szCs w:val="35"/>
                <w:color w:val="auto"/>
                <w:vertAlign w:val="superscript"/>
              </w:rPr>
              <w:t>(4)(7)</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Farmers Energy Highwater Holding, LLC</w:t>
            </w:r>
            <w:r>
              <w:rPr>
                <w:rFonts w:ascii="Times New Roman" w:cs="Times New Roman" w:eastAsia="Times New Roman" w:hAnsi="Times New Roman"/>
                <w:sz w:val="35"/>
                <w:szCs w:val="35"/>
                <w:color w:val="auto"/>
                <w:vertAlign w:val="superscript"/>
              </w:rPr>
              <w:t>(4)(7)</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Farmers Energy Highwater, LLC</w:t>
            </w:r>
            <w:r>
              <w:rPr>
                <w:rFonts w:ascii="Times New Roman" w:cs="Times New Roman" w:eastAsia="Times New Roman" w:hAnsi="Times New Roman"/>
                <w:sz w:val="35"/>
                <w:szCs w:val="35"/>
                <w:color w:val="auto"/>
                <w:vertAlign w:val="superscript"/>
              </w:rPr>
              <w:t>(4)(8)</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Farmers Energy Levelland Holding, LLC</w:t>
            </w:r>
            <w:r>
              <w:rPr>
                <w:rFonts w:ascii="Times New Roman" w:cs="Times New Roman" w:eastAsia="Times New Roman" w:hAnsi="Times New Roman"/>
                <w:sz w:val="35"/>
                <w:szCs w:val="35"/>
                <w:color w:val="auto"/>
                <w:vertAlign w:val="superscript"/>
              </w:rPr>
              <w:t>(4)(7)</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540"/>
        </w:trPr>
        <w:tc>
          <w:tcPr>
            <w:tcW w:w="488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Farmers Energy Levelland, LLC</w:t>
            </w:r>
            <w:r>
              <w:rPr>
                <w:rFonts w:ascii="Times New Roman" w:cs="Times New Roman" w:eastAsia="Times New Roman" w:hAnsi="Times New Roman"/>
                <w:sz w:val="35"/>
                <w:szCs w:val="35"/>
                <w:color w:val="auto"/>
                <w:vertAlign w:val="superscript"/>
              </w:rPr>
              <w:t>(4)(8)</w:t>
            </w:r>
          </w:p>
        </w:tc>
        <w:tc>
          <w:tcPr>
            <w:tcW w:w="4100" w:type="dxa"/>
            <w:vAlign w:val="bottom"/>
          </w:tcPr>
          <w:p>
            <w:pPr>
              <w:spacing w:after="0"/>
              <w:rPr>
                <w:sz w:val="24"/>
                <w:szCs w:val="24"/>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r>
        <w:trPr>
          <w:trHeight w:val="117"/>
        </w:trPr>
        <w:tc>
          <w:tcPr>
            <w:tcW w:w="4360" w:type="dxa"/>
            <w:vAlign w:val="bottom"/>
            <w:tcBorders>
              <w:bottom w:val="single" w:sz="8" w:color="C0C0C0"/>
            </w:tcBorders>
          </w:tcPr>
          <w:p>
            <w:pPr>
              <w:spacing w:after="0"/>
              <w:rPr>
                <w:sz w:val="10"/>
                <w:szCs w:val="10"/>
                <w:color w:val="auto"/>
              </w:rPr>
            </w:pPr>
          </w:p>
        </w:tc>
        <w:tc>
          <w:tcPr>
            <w:tcW w:w="520" w:type="dxa"/>
            <w:vAlign w:val="bottom"/>
            <w:tcBorders>
              <w:bottom w:val="single" w:sz="8" w:color="C0C0C0"/>
            </w:tcBorders>
          </w:tcPr>
          <w:p>
            <w:pPr>
              <w:spacing w:after="0"/>
              <w:rPr>
                <w:sz w:val="10"/>
                <w:szCs w:val="10"/>
                <w:color w:val="auto"/>
              </w:rPr>
            </w:pPr>
          </w:p>
        </w:tc>
        <w:tc>
          <w:tcPr>
            <w:tcW w:w="4100" w:type="dxa"/>
            <w:vAlign w:val="bottom"/>
            <w:tcBorders>
              <w:bottom w:val="single" w:sz="8" w:color="C0C0C0"/>
            </w:tcBorders>
          </w:tcPr>
          <w:p>
            <w:pPr>
              <w:spacing w:after="0"/>
              <w:rPr>
                <w:sz w:val="10"/>
                <w:szCs w:val="10"/>
                <w:color w:val="auto"/>
              </w:rPr>
            </w:pPr>
          </w:p>
        </w:tc>
        <w:tc>
          <w:tcPr>
            <w:tcW w:w="1360" w:type="dxa"/>
            <w:vAlign w:val="bottom"/>
            <w:tcBorders>
              <w:bottom w:val="single" w:sz="8" w:color="C0C0C0"/>
            </w:tcBorders>
          </w:tcPr>
          <w:p>
            <w:pPr>
              <w:spacing w:after="0"/>
              <w:rPr>
                <w:sz w:val="10"/>
                <w:szCs w:val="10"/>
                <w:color w:val="auto"/>
              </w:rPr>
            </w:pPr>
          </w:p>
        </w:tc>
        <w:tc>
          <w:tcPr>
            <w:tcW w:w="900" w:type="dxa"/>
            <w:vAlign w:val="bottom"/>
            <w:tcBorders>
              <w:bottom w:val="single" w:sz="8" w:color="C0C0C0"/>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73" w:name="page74"/>
    <w:bookmarkEnd w:id="73"/>
    <w:p>
      <w:pPr>
        <w:spacing w:after="0" w:line="1" w:lineRule="exact"/>
        <w:rPr>
          <w:sz w:val="20"/>
          <w:szCs w:val="20"/>
          <w:color w:val="auto"/>
        </w:rPr>
      </w:pPr>
    </w:p>
    <w:tbl>
      <w:tblPr>
        <w:tblLayout w:type="fixed"/>
        <w:tblInd w:w="572" w:type="dxa"/>
        <w:tblCellMar>
          <w:top w:w="0" w:type="dxa"/>
          <w:left w:w="0" w:type="dxa"/>
          <w:bottom w:w="0" w:type="dxa"/>
          <w:right w:w="0" w:type="dxa"/>
        </w:tblCellMar>
      </w:tblPr>
      <w:tr>
        <w:trPr>
          <w:trHeight w:val="475"/>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Millennium Holding, LLC</w:t>
            </w:r>
            <w:r>
              <w:rPr>
                <w:rFonts w:ascii="Times New Roman" w:cs="Times New Roman" w:eastAsia="Times New Roman" w:hAnsi="Times New Roman"/>
                <w:sz w:val="35"/>
                <w:szCs w:val="35"/>
                <w:color w:val="auto"/>
                <w:vertAlign w:val="superscript"/>
              </w:rPr>
              <w:t>(4)(7)</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Millennium, LLC</w:t>
            </w:r>
            <w:r>
              <w:rPr>
                <w:rFonts w:ascii="Times New Roman" w:cs="Times New Roman" w:eastAsia="Times New Roman" w:hAnsi="Times New Roman"/>
                <w:sz w:val="35"/>
                <w:szCs w:val="35"/>
                <w:color w:val="auto"/>
                <w:vertAlign w:val="superscript"/>
              </w:rPr>
              <w:t>(4)(8)</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One Earth Holding, LLC</w:t>
            </w:r>
            <w:r>
              <w:rPr>
                <w:rFonts w:ascii="Times New Roman" w:cs="Times New Roman" w:eastAsia="Times New Roman" w:hAnsi="Times New Roman"/>
                <w:sz w:val="35"/>
                <w:szCs w:val="35"/>
                <w:color w:val="auto"/>
                <w:vertAlign w:val="superscript"/>
              </w:rPr>
              <w:t>(7)</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One Earth, LLC</w:t>
            </w:r>
            <w:r>
              <w:rPr>
                <w:rFonts w:ascii="Times New Roman" w:cs="Times New Roman" w:eastAsia="Times New Roman" w:hAnsi="Times New Roman"/>
                <w:sz w:val="35"/>
                <w:szCs w:val="35"/>
                <w:color w:val="auto"/>
                <w:vertAlign w:val="superscript"/>
              </w:rPr>
              <w:t>(8)</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One Earth Energy, LLC</w:t>
            </w:r>
            <w:r>
              <w:rPr>
                <w:rFonts w:ascii="Times New Roman" w:cs="Times New Roman" w:eastAsia="Times New Roman" w:hAnsi="Times New Roman"/>
                <w:sz w:val="35"/>
                <w:szCs w:val="35"/>
                <w:color w:val="auto"/>
                <w:vertAlign w:val="superscript"/>
              </w:rPr>
              <w:t>(9)</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Illinois</w:t>
            </w:r>
          </w:p>
        </w:tc>
      </w:tr>
      <w:tr>
        <w:trPr>
          <w:trHeight w:val="540"/>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Patriot Holding, LLC</w:t>
            </w:r>
            <w:r>
              <w:rPr>
                <w:rFonts w:ascii="Times New Roman" w:cs="Times New Roman" w:eastAsia="Times New Roman" w:hAnsi="Times New Roman"/>
                <w:sz w:val="35"/>
                <w:szCs w:val="35"/>
                <w:color w:val="auto"/>
                <w:vertAlign w:val="superscript"/>
              </w:rPr>
              <w:t>(7)</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Farmers Energy Patriot, LLC</w:t>
            </w:r>
            <w:r>
              <w:rPr>
                <w:rFonts w:ascii="Times New Roman" w:cs="Times New Roman" w:eastAsia="Times New Roman" w:hAnsi="Times New Roman"/>
                <w:sz w:val="35"/>
                <w:szCs w:val="35"/>
                <w:color w:val="auto"/>
                <w:vertAlign w:val="superscript"/>
              </w:rPr>
              <w:t>(8)</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Ohio</w:t>
            </w:r>
          </w:p>
        </w:tc>
      </w:tr>
      <w:tr>
        <w:trPr>
          <w:trHeight w:val="338"/>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FEI Investment Incorporated</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Delaware</w:t>
            </w:r>
          </w:p>
        </w:tc>
      </w:tr>
      <w:tr>
        <w:trPr>
          <w:trHeight w:val="688"/>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Future Energy, LLC</w:t>
            </w:r>
            <w:r>
              <w:rPr>
                <w:rFonts w:ascii="Times New Roman" w:cs="Times New Roman" w:eastAsia="Times New Roman" w:hAnsi="Times New Roman"/>
                <w:sz w:val="35"/>
                <w:szCs w:val="35"/>
                <w:color w:val="auto"/>
                <w:vertAlign w:val="superscript"/>
              </w:rPr>
              <w:t>(10)</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FE-I, LLC</w:t>
            </w:r>
            <w:r>
              <w:rPr>
                <w:rFonts w:ascii="Times New Roman" w:cs="Times New Roman" w:eastAsia="Times New Roman" w:hAnsi="Times New Roman"/>
                <w:sz w:val="35"/>
                <w:szCs w:val="35"/>
                <w:color w:val="auto"/>
                <w:vertAlign w:val="superscript"/>
              </w:rPr>
              <w:t>(11)</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California</w:t>
            </w:r>
          </w:p>
        </w:tc>
      </w:tr>
      <w:tr>
        <w:trPr>
          <w:trHeight w:val="540"/>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FE-II, LLC</w:t>
            </w:r>
            <w:r>
              <w:rPr>
                <w:rFonts w:ascii="Times New Roman" w:cs="Times New Roman" w:eastAsia="Times New Roman" w:hAnsi="Times New Roman"/>
                <w:sz w:val="35"/>
                <w:szCs w:val="35"/>
                <w:color w:val="auto"/>
                <w:vertAlign w:val="superscript"/>
              </w:rPr>
              <w:t>(11)</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Ohio</w:t>
            </w:r>
          </w:p>
        </w:tc>
      </w:tr>
      <w:tr>
        <w:trPr>
          <w:trHeight w:val="540"/>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REX NuGen Holding, LLC</w:t>
            </w:r>
            <w:r>
              <w:rPr>
                <w:rFonts w:ascii="Times New Roman" w:cs="Times New Roman" w:eastAsia="Times New Roman" w:hAnsi="Times New Roman"/>
                <w:sz w:val="35"/>
                <w:szCs w:val="35"/>
                <w:color w:val="auto"/>
                <w:vertAlign w:val="superscript"/>
              </w:rPr>
              <w:t>(7)</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w w:val="96"/>
              </w:rPr>
              <w:t>South Dakota</w:t>
            </w:r>
          </w:p>
        </w:tc>
      </w:tr>
      <w:tr>
        <w:trPr>
          <w:trHeight w:val="540"/>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REX NuGen, LLC</w:t>
            </w:r>
            <w:r>
              <w:rPr>
                <w:rFonts w:ascii="Times New Roman" w:cs="Times New Roman" w:eastAsia="Times New Roman" w:hAnsi="Times New Roman"/>
                <w:sz w:val="35"/>
                <w:szCs w:val="35"/>
                <w:color w:val="auto"/>
                <w:vertAlign w:val="superscript"/>
              </w:rPr>
              <w:t>(8)</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w w:val="96"/>
              </w:rPr>
              <w:t>South Dakota</w:t>
            </w:r>
          </w:p>
        </w:tc>
      </w:tr>
      <w:tr>
        <w:trPr>
          <w:trHeight w:val="540"/>
        </w:trPr>
        <w:tc>
          <w:tcPr>
            <w:tcW w:w="6380" w:type="dxa"/>
            <w:vAlign w:val="bottom"/>
          </w:tcPr>
          <w:p>
            <w:pPr>
              <w:spacing w:after="0"/>
              <w:rPr>
                <w:sz w:val="20"/>
                <w:szCs w:val="20"/>
                <w:color w:val="auto"/>
              </w:rPr>
            </w:pPr>
            <w:r>
              <w:rPr>
                <w:rFonts w:ascii="Times New Roman" w:cs="Times New Roman" w:eastAsia="Times New Roman" w:hAnsi="Times New Roman"/>
                <w:sz w:val="22"/>
                <w:szCs w:val="22"/>
                <w:color w:val="auto"/>
              </w:rPr>
              <w:t>NuGen Energy, LLC</w:t>
            </w:r>
            <w:r>
              <w:rPr>
                <w:rFonts w:ascii="Times New Roman" w:cs="Times New Roman" w:eastAsia="Times New Roman" w:hAnsi="Times New Roman"/>
                <w:sz w:val="35"/>
                <w:szCs w:val="35"/>
                <w:color w:val="auto"/>
                <w:vertAlign w:val="superscript"/>
              </w:rPr>
              <w:t>(9)</w:t>
            </w:r>
          </w:p>
        </w:tc>
        <w:tc>
          <w:tcPr>
            <w:tcW w:w="3420" w:type="dxa"/>
            <w:vAlign w:val="bottom"/>
          </w:tcPr>
          <w:p>
            <w:pPr>
              <w:ind w:left="2240"/>
              <w:spacing w:after="0"/>
              <w:rPr>
                <w:sz w:val="20"/>
                <w:szCs w:val="20"/>
                <w:color w:val="auto"/>
              </w:rPr>
            </w:pPr>
            <w:r>
              <w:rPr>
                <w:rFonts w:ascii="Times New Roman" w:cs="Times New Roman" w:eastAsia="Times New Roman" w:hAnsi="Times New Roman"/>
                <w:sz w:val="22"/>
                <w:szCs w:val="22"/>
                <w:color w:val="auto"/>
                <w:w w:val="96"/>
              </w:rPr>
              <w:t>South Dakota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1783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0" w:lineRule="exact"/>
        <w:rPr>
          <w:sz w:val="20"/>
          <w:szCs w:val="20"/>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RRC1, LLC</w:t>
      </w:r>
    </w:p>
    <w:p>
      <w:pPr>
        <w:spacing w:after="0" w:line="23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AVA Acquisition Corp.</w:t>
      </w:r>
    </w:p>
    <w:p>
      <w:pPr>
        <w:spacing w:after="0" w:line="23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Rex Radio and Television, Inc.</w:t>
      </w:r>
    </w:p>
    <w:p>
      <w:pPr>
        <w:spacing w:after="0" w:line="23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Non-operating or inactive subsidiary.</w:t>
      </w:r>
    </w:p>
    <w:p>
      <w:pPr>
        <w:spacing w:after="0" w:line="233" w:lineRule="exact"/>
        <w:rPr>
          <w:rFonts w:ascii="Times New Roman" w:cs="Times New Roman" w:eastAsia="Times New Roman" w:hAnsi="Times New Roman"/>
          <w:sz w:val="18"/>
          <w:szCs w:val="18"/>
          <w:color w:val="auto"/>
        </w:rPr>
      </w:pPr>
    </w:p>
    <w:p>
      <w:pPr>
        <w:ind w:left="332" w:hanging="332"/>
        <w:spacing w:after="0" w:line="258" w:lineRule="auto"/>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AVA Acquisition Corp. is the managing member and owns a 98.032% Class A membership interest, a 95.46% Class B membership interest and a 100% Class C membership interest.</w:t>
      </w:r>
    </w:p>
    <w:p>
      <w:pPr>
        <w:spacing w:after="0" w:line="18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AVA Acquisition Corp. owns a 95.35% percentage interest.</w:t>
      </w:r>
    </w:p>
    <w:p>
      <w:pPr>
        <w:spacing w:after="0" w:line="23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First-tier wholly-owned subsidiary of Farmers Energy Incorporated.</w:t>
      </w:r>
    </w:p>
    <w:p>
      <w:pPr>
        <w:spacing w:after="0" w:line="23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Second-tier wholly-owned subsidiary of Farmers Energy Incorporated.</w:t>
      </w:r>
    </w:p>
    <w:p>
      <w:pPr>
        <w:spacing w:after="0" w:line="23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Third-tier majority-owned subsidiary of Farmers Energy Incorporated.</w:t>
      </w:r>
    </w:p>
    <w:p>
      <w:pPr>
        <w:spacing w:after="0" w:line="23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Majority-owned subsidiary of REX IP, LLC.</w:t>
      </w:r>
    </w:p>
    <w:p>
      <w:pPr>
        <w:spacing w:after="0" w:line="23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Future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05"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333-205419 on Form S-8 of our reports dated April 6, 2022, relating to the financial statements of REX American Resources Corporation and subsidiaries (the “Company”) and the effectiveness of the Company’s internal control over financial reporting appearing in this Annual Report on Form 10-K for the year ended January 31,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Dayton,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Zafar A. Rizvi, certify that:</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REX American Resources Corporation;</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9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80" w:firstLine="656"/>
        <w:spacing w:after="0" w:line="266" w:lineRule="auto"/>
        <w:tabs>
          <w:tab w:leader="none" w:pos="9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30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60" w:firstLine="320"/>
        <w:spacing w:after="0" w:line="266" w:lineRule="auto"/>
        <w:tabs>
          <w:tab w:leader="none" w:pos="13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firstLine="320"/>
        <w:spacing w:after="0" w:line="282" w:lineRule="auto"/>
        <w:tabs>
          <w:tab w:leader="none" w:pos="130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00" w:firstLine="320"/>
        <w:spacing w:after="0" w:line="266" w:lineRule="auto"/>
        <w:tabs>
          <w:tab w:leader="none" w:pos="13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ind w:left="-656" w:firstLine="656"/>
        <w:spacing w:after="0" w:line="282" w:lineRule="auto"/>
        <w:tabs>
          <w:tab w:leader="none" w:pos="3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320" w:firstLine="320"/>
        <w:spacing w:after="0" w:line="282" w:lineRule="auto"/>
        <w:tabs>
          <w:tab w:leader="none" w:pos="65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firstLine="320"/>
        <w:spacing w:after="0" w:line="282" w:lineRule="auto"/>
        <w:tabs>
          <w:tab w:leader="none" w:pos="6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Date: April 6, 2022</w:t>
      </w:r>
    </w:p>
    <w:p>
      <w:pPr>
        <w:spacing w:after="0" w:line="225"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44"/>
          </w:cols>
          <w:pgMar w:left="976" w:top="405" w:right="479" w:bottom="1440" w:gutter="0" w:footer="0" w:header="0"/>
        </w:sectPr>
      </w:pPr>
    </w:p>
    <w:bookmarkStart w:id="77" w:name="page78"/>
    <w:bookmarkEnd w:id="7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L. Bruggeman, certify that:</w:t>
      </w:r>
    </w:p>
    <w:p>
      <w:pPr>
        <w:spacing w:after="0" w:line="225" w:lineRule="exact"/>
        <w:rPr>
          <w:sz w:val="20"/>
          <w:szCs w:val="20"/>
          <w:color w:val="auto"/>
        </w:rPr>
      </w:pPr>
    </w:p>
    <w:p>
      <w:pPr>
        <w:ind w:left="880" w:hanging="224"/>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REX American Resources Corporation;</w:t>
      </w:r>
    </w:p>
    <w:p>
      <w:pPr>
        <w:spacing w:after="0" w:line="225" w:lineRule="exact"/>
        <w:rPr>
          <w:rFonts w:ascii="Times New Roman" w:cs="Times New Roman" w:eastAsia="Times New Roman" w:hAnsi="Times New Roman"/>
          <w:sz w:val="18"/>
          <w:szCs w:val="18"/>
          <w:color w:val="auto"/>
        </w:rPr>
      </w:pPr>
    </w:p>
    <w:p>
      <w:pPr>
        <w:ind w:right="40" w:firstLine="656"/>
        <w:spacing w:after="0" w:line="266" w:lineRule="auto"/>
        <w:tabs>
          <w:tab w:leader="none" w:pos="9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60" w:firstLine="656"/>
        <w:spacing w:after="0" w:line="266" w:lineRule="auto"/>
        <w:tabs>
          <w:tab w:leader="none" w:pos="9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60" w:firstLine="320"/>
        <w:spacing w:after="0" w:line="266" w:lineRule="auto"/>
        <w:tabs>
          <w:tab w:leader="none" w:pos="122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40" w:firstLine="320"/>
        <w:spacing w:after="0" w:line="266" w:lineRule="auto"/>
        <w:tabs>
          <w:tab w:leader="none" w:pos="123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300" w:firstLine="320"/>
        <w:spacing w:after="0" w:line="282" w:lineRule="auto"/>
        <w:tabs>
          <w:tab w:leader="none" w:pos="122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60" w:firstLine="320"/>
        <w:spacing w:after="0" w:line="266" w:lineRule="auto"/>
        <w:tabs>
          <w:tab w:leader="none" w:pos="123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78" w:name="page79"/>
    <w:bookmarkEnd w:id="78"/>
    <w:p>
      <w:pPr>
        <w:ind w:left="-656" w:firstLine="656"/>
        <w:spacing w:after="0" w:line="282" w:lineRule="auto"/>
        <w:tabs>
          <w:tab w:leader="none" w:pos="3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60" w:firstLine="644"/>
        <w:spacing w:after="0" w:line="282" w:lineRule="auto"/>
        <w:tabs>
          <w:tab w:leader="none" w:pos="8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340" w:firstLine="644"/>
        <w:spacing w:after="0" w:line="282" w:lineRule="auto"/>
        <w:tabs>
          <w:tab w:leader="none" w:pos="90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44"/>
        <w:spacing w:after="0"/>
        <w:rPr>
          <w:sz w:val="20"/>
          <w:szCs w:val="20"/>
          <w:color w:val="auto"/>
        </w:rPr>
      </w:pPr>
      <w:r>
        <w:rPr>
          <w:rFonts w:ascii="Times New Roman" w:cs="Times New Roman" w:eastAsia="Times New Roman" w:hAnsi="Times New Roman"/>
          <w:sz w:val="18"/>
          <w:szCs w:val="18"/>
          <w:color w:val="auto"/>
        </w:rPr>
        <w:t>Date: April 6, 2022</w:t>
      </w:r>
    </w:p>
    <w:p>
      <w:pPr>
        <w:spacing w:after="0" w:line="212" w:lineRule="exact"/>
        <w:rPr>
          <w:sz w:val="20"/>
          <w:szCs w:val="20"/>
          <w:color w:val="auto"/>
        </w:rPr>
      </w:pPr>
    </w:p>
    <w:p>
      <w:pPr>
        <w:ind w:left="5644"/>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ind w:left="5644"/>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ind w:left="5644"/>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ind w:left="564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44"/>
          </w:cols>
          <w:pgMar w:left="976" w:top="405" w:right="47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undersigned officers of REX American Resources Corporation (the “Company”) hereby certify, to their knowledge, that the Company’s Annual Report on Form 10-K for the period ended January 31, 2022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/s/Zafar A. Rizvi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2"/>
    </w:lvl>
    <w:lvl w:ilvl="1">
      <w:lvlJc w:val="left"/>
      <w:lvlText w:val="1"/>
      <w:numFmt w:val="bullet"/>
      <w:start w:val="1"/>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8"/>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0"/>
    </w:lvl>
  </w:abstractNum>
  <w:abstractNum w:abstractNumId="14">
    <w:nsid w:val="75A2A8D4"/>
    <w:multiLevelType w:val="hybridMultilevel"/>
    <w:lvl w:ilvl="0">
      <w:lvlJc w:val="left"/>
      <w:lvlText w:val="%1."/>
      <w:numFmt w:val="decimal"/>
      <w:start w:val="11"/>
    </w:lvl>
  </w:abstractNum>
  <w:abstractNum w:abstractNumId="15">
    <w:nsid w:val="8EDBDAB"/>
    <w:multiLevelType w:val="hybridMultilevel"/>
    <w:lvl w:ilvl="0">
      <w:lvlJc w:val="left"/>
      <w:lvlText w:val="%1."/>
      <w:numFmt w:val="decimal"/>
      <w:start w:val="12"/>
    </w:lvl>
  </w:abstractNum>
  <w:abstractNum w:abstractNumId="16">
    <w:nsid w:val="79838CB2"/>
    <w:multiLevelType w:val="hybridMultilevel"/>
    <w:lvl w:ilvl="0">
      <w:lvlJc w:val="left"/>
      <w:lvlText w:val="%1."/>
      <w:numFmt w:val="decimal"/>
      <w:start w:val="14"/>
    </w:lvl>
  </w:abstractNum>
  <w:abstractNum w:abstractNumId="17">
    <w:nsid w:val="4353D0CD"/>
    <w:multiLevelType w:val="hybridMultilevel"/>
    <w:lvl w:ilvl="0">
      <w:lvlJc w:val="left"/>
      <w:lvlText w:val="1"/>
      <w:numFmt w:val="bullet"/>
      <w:start w:val="1"/>
    </w:lvl>
  </w:abstractNum>
  <w:abstractNum w:abstractNumId="18">
    <w:nsid w:val="B03E0C6"/>
    <w:multiLevelType w:val="hybridMultilevel"/>
    <w:lvl w:ilvl="0">
      <w:lvlJc w:val="left"/>
      <w:lvlText w:val="2"/>
      <w:numFmt w:val="bullet"/>
      <w:start w:val="1"/>
    </w:lvl>
  </w:abstractNum>
  <w:abstractNum w:abstractNumId="19">
    <w:nsid w:val="189A769B"/>
    <w:multiLevelType w:val="hybridMultilevel"/>
    <w:lvl w:ilvl="0">
      <w:lvlJc w:val="left"/>
      <w:lvlText w:val="%1."/>
      <w:numFmt w:val="decimal"/>
      <w:start w:val="15"/>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decimal"/>
      <w:start w:val="16"/>
    </w:lvl>
  </w:abstractNum>
  <w:abstractNum w:abstractNumId="22">
    <w:nsid w:val="2CA886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21"/>
    </w:lvl>
  </w:abstractNum>
  <w:abstractNum w:abstractNumId="25">
    <w:nsid w:val="3A95F874"/>
    <w:multiLevelType w:val="hybridMultilevel"/>
    <w:lvl w:ilvl="0">
      <w:lvlJc w:val="left"/>
      <w:lvlText w:val="(%1)"/>
      <w:numFmt w:val="decimal"/>
      <w:start w:val="23"/>
    </w:lvl>
  </w:abstractNum>
  <w:abstractNum w:abstractNumId="26">
    <w:nsid w:val="8138641"/>
    <w:multiLevelType w:val="hybridMultilevel"/>
    <w:lvl w:ilvl="0">
      <w:lvlJc w:val="left"/>
      <w:lvlText w:val="(%1)"/>
      <w:numFmt w:val="decimal"/>
      <w:start w:val="31"/>
    </w:lvl>
  </w:abstractNum>
  <w:abstractNum w:abstractNumId="27">
    <w:nsid w:val="1E7FF521"/>
    <w:multiLevelType w:val="hybridMultilevel"/>
    <w:lvl w:ilvl="0">
      <w:lvlJc w:val="left"/>
      <w:lvlText w:val="(%1)"/>
      <w:numFmt w:val="decimal"/>
      <w:start w:val="10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5"/>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7"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89" Type="http://schemas.openxmlformats.org/officeDocument/2006/relationships/hyperlink" Target="http://www.sec.gov/Archives/edgar/data/744187/000093041310004768/c62728_ex3-a.htm" TargetMode="External"/><Relationship Id="rId90" Type="http://schemas.openxmlformats.org/officeDocument/2006/relationships/hyperlink" Target="http://www.sec.gov/Archives/edgar/data/744187/000093041315002774/c81598_ex3a.htm" TargetMode="External"/><Relationship Id="rId91" Type="http://schemas.openxmlformats.org/officeDocument/2006/relationships/hyperlink" Target="http://www.sec.gov/Archives/edgar/data/744187/000093041320000944/c95495_4a.htm" TargetMode="External"/><Relationship Id="rId92" Type="http://schemas.openxmlformats.org/officeDocument/2006/relationships/hyperlink" Target="http://www.sec.gov/Archives/edgar/data/744187/000093041315002774/c81598_ex10a.htm" TargetMode="External"/><Relationship Id="rId93" Type="http://schemas.openxmlformats.org/officeDocument/2006/relationships/hyperlink" Target="http://www.sec.gov/Archives/edgar/data/744187/000093041315002774/c81598_ex10b.htm" TargetMode="External"/><Relationship Id="rId94" Type="http://schemas.openxmlformats.org/officeDocument/2006/relationships/hyperlink" Target="http://www.sec.gov/Archives/edgar/data/744187/000093041315002774/c81598_ex10c.htm" TargetMode="External"/><Relationship Id="rId95" Type="http://schemas.openxmlformats.org/officeDocument/2006/relationships/hyperlink" Target="http://www.sec.gov/Archives/edgar/data/744187/000093041315002774/c81598_ex10d.htm" TargetMode="External"/><Relationship Id="rId96" Type="http://schemas.openxmlformats.org/officeDocument/2006/relationships/hyperlink" Target="http://www.sec.gov/Archives/edgar/data/744187/000093041315002774/c81598_ex10e.htm" TargetMode="External"/><Relationship Id="rId98" Type="http://schemas.openxmlformats.org/officeDocument/2006/relationships/hyperlink" Target="http://www.sec.gov/Archives/edgar/data/744187/000093041317003184/c89279_ex10a.htm" TargetMode="External"/><Relationship Id="rId99" Type="http://schemas.openxmlformats.org/officeDocument/2006/relationships/hyperlink" Target="http://www.sec.gov/Archives/edgar/data/744187/000093041317003184/c89279_ex10b.htm" TargetMode="External"/><Relationship Id="rId100" Type="http://schemas.openxmlformats.org/officeDocument/2006/relationships/hyperlink" Target="http://www.sec.gov/Archives/edgar/data/744187/000093041317003184/c89279_ex10c.htm" TargetMode="External"/><Relationship Id="rId101" Type="http://schemas.openxmlformats.org/officeDocument/2006/relationships/hyperlink" Target="http://www.sec.gov/Archives/edgar/data/744187/000093041318001149/c90758_ex10-k.htm" TargetMode="External"/><Relationship Id="rId102" Type="http://schemas.openxmlformats.org/officeDocument/2006/relationships/hyperlink" Target="http://www.sec.gov/Archives/edgar/data/744187/000093041318001149/c90758_ex10-l.htm" TargetMode="External"/><Relationship Id="rId103" Type="http://schemas.openxmlformats.org/officeDocument/2006/relationships/hyperlink" Target="http://www.sec.gov/Archives/edgar/data/744187/000093041318001149/c90758_ex10-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2022-04-06T13:25:16Z</dcterms:created>
  <dcterms:modified xsi:type="dcterms:W3CDTF">2022-04-06T13:25:16Z</dcterms:modified>
</cp:coreProperties>
</file>