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66040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40" w:right="1480" w:hanging="332"/>
        <w:spacing w:after="0" w:line="263" w:lineRule="auto"/>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July 31, 2022</w:t>
      </w:r>
    </w:p>
    <w:p>
      <w:pPr>
        <w:spacing w:after="0" w:line="1" w:lineRule="exact"/>
        <w:rPr>
          <w:sz w:val="24"/>
          <w:szCs w:val="24"/>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1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 to _________</w:t>
      </w:r>
    </w:p>
    <w:p>
      <w:pPr>
        <w:spacing w:after="0" w:line="22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Commission File Number 001-09097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105410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86"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REX AMERICAN RESOURCES CORPORATION</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91440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0980"/>
          </w:cols>
          <w:pgMar w:left="320" w:top="522" w:right="599" w:bottom="1440" w:gutter="0" w:footer="0" w:header="0"/>
        </w:sectPr>
      </w:pPr>
    </w:p>
    <w:p>
      <w:pPr>
        <w:spacing w:after="0" w:line="200" w:lineRule="exact"/>
        <w:rPr>
          <w:sz w:val="24"/>
          <w:szCs w:val="24"/>
          <w:color w:val="auto"/>
        </w:rPr>
      </w:pPr>
    </w:p>
    <w:p>
      <w:pPr>
        <w:spacing w:after="0" w:line="205"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31-1095548</w:t>
      </w:r>
    </w:p>
    <w:p>
      <w:pPr>
        <w:spacing w:after="0" w:line="31"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Identification Number)</w:t>
      </w:r>
    </w:p>
    <w:p>
      <w:pPr>
        <w:spacing w:after="0" w:line="200" w:lineRule="exact"/>
        <w:rPr>
          <w:sz w:val="24"/>
          <w:szCs w:val="24"/>
          <w:color w:val="auto"/>
        </w:rPr>
      </w:pPr>
    </w:p>
    <w:p>
      <w:pPr>
        <w:sectPr>
          <w:pgSz w:w="11900" w:h="16838" w:orient="portrait"/>
          <w:cols w:equalWidth="0" w:num="2">
            <w:col w:w="5700" w:space="720"/>
            <w:col w:w="4560"/>
          </w:cols>
          <w:pgMar w:left="320" w:top="522" w:right="599" w:bottom="1440" w:gutter="0" w:footer="0" w:header="0"/>
          <w:type w:val="continuous"/>
        </w:sectPr>
      </w:pPr>
    </w:p>
    <w:p>
      <w:pPr>
        <w:spacing w:after="0" w:line="3" w:lineRule="exact"/>
        <w:rPr>
          <w:sz w:val="24"/>
          <w:szCs w:val="24"/>
          <w:color w:val="auto"/>
        </w:rPr>
      </w:pPr>
    </w:p>
    <w:p>
      <w:pPr>
        <w:jc w:val="center"/>
        <w:ind w:left="3740"/>
        <w:spacing w:after="0"/>
        <w:rPr>
          <w:sz w:val="20"/>
          <w:szCs w:val="20"/>
          <w:color w:val="auto"/>
        </w:rPr>
      </w:pPr>
      <w:r>
        <w:rPr>
          <w:rFonts w:ascii="Times New Roman" w:cs="Times New Roman" w:eastAsia="Times New Roman" w:hAnsi="Times New Roman"/>
          <w:sz w:val="18"/>
          <w:szCs w:val="18"/>
          <w:b w:val="1"/>
          <w:bCs w:val="1"/>
          <w:color w:val="auto"/>
        </w:rPr>
        <w:t>7720 Paragon Road, Dayton, Ohio</w:t>
      </w:r>
    </w:p>
    <w:p>
      <w:pPr>
        <w:spacing w:after="0" w:line="31" w:lineRule="exact"/>
        <w:rPr>
          <w:sz w:val="24"/>
          <w:szCs w:val="24"/>
          <w:color w:val="auto"/>
        </w:rPr>
      </w:pPr>
    </w:p>
    <w:p>
      <w:pPr>
        <w:jc w:val="center"/>
        <w:ind w:left="37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45459</w:t>
      </w:r>
    </w:p>
    <w:p>
      <w:pPr>
        <w:spacing w:after="0" w:line="31"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6960" w:space="720"/>
            <w:col w:w="3300"/>
          </w:cols>
          <w:pgMar w:left="320" w:top="522" w:right="599" w:bottom="1440" w:gutter="0" w:footer="0" w:header="0"/>
          <w:type w:val="continuous"/>
        </w:sectPr>
      </w:pPr>
    </w:p>
    <w:p>
      <w:pPr>
        <w:spacing w:after="0" w:line="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(937) 276-3931</w:t>
      </w:r>
    </w:p>
    <w:p>
      <w:pPr>
        <w:spacing w:after="0" w:line="3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ectPr>
          <w:pgSz w:w="11900" w:h="16838" w:orient="portrait"/>
          <w:cols w:equalWidth="0" w:num="1">
            <w:col w:w="10980"/>
          </w:cols>
          <w:pgMar w:left="320" w:top="522" w:right="599" w:bottom="1440" w:gutter="0" w:footer="0" w:header="0"/>
          <w:type w:val="continuous"/>
        </w:sectPr>
      </w:pPr>
    </w:p>
    <w:p>
      <w:pPr>
        <w:spacing w:after="0" w:line="200" w:lineRule="exact"/>
        <w:rPr>
          <w:sz w:val="24"/>
          <w:szCs w:val="24"/>
          <w:color w:val="auto"/>
        </w:rPr>
      </w:pPr>
    </w:p>
    <w:p>
      <w:pPr>
        <w:spacing w:after="0" w:line="230" w:lineRule="exact"/>
        <w:rPr>
          <w:sz w:val="24"/>
          <w:szCs w:val="24"/>
          <w:color w:val="auto"/>
        </w:rPr>
      </w:pPr>
    </w:p>
    <w:p>
      <w:pPr>
        <w:jc w:val="center"/>
        <w:ind w:left="11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116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p>
      <w:pPr>
        <w:ind w:left="1360"/>
        <w:spacing w:after="0"/>
        <w:tabs>
          <w:tab w:leader="none" w:pos="3680" w:val="left"/>
        </w:tabs>
        <w:rPr>
          <w:sz w:val="20"/>
          <w:szCs w:val="20"/>
          <w:color w:val="auto"/>
        </w:rPr>
      </w:pP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9" w:lineRule="exact"/>
        <w:rPr>
          <w:sz w:val="24"/>
          <w:szCs w:val="24"/>
          <w:color w:val="auto"/>
        </w:rPr>
      </w:pPr>
    </w:p>
    <w:p>
      <w:pPr>
        <w:ind w:left="1900"/>
        <w:spacing w:after="0"/>
        <w:tabs>
          <w:tab w:leader="none" w:pos="4380" w:val="left"/>
        </w:tabs>
        <w:rPr>
          <w:sz w:val="20"/>
          <w:szCs w:val="20"/>
          <w:color w:val="auto"/>
        </w:rPr>
      </w:pPr>
      <w:r>
        <w:rPr>
          <w:rFonts w:ascii="Times New Roman" w:cs="Times New Roman" w:eastAsia="Times New Roman" w:hAnsi="Times New Roman"/>
          <w:sz w:val="18"/>
          <w:szCs w:val="18"/>
          <w:color w:val="auto"/>
        </w:rPr>
        <w:t>REX</w:t>
      </w:r>
      <w:r>
        <w:rPr>
          <w:sz w:val="20"/>
          <w:szCs w:val="20"/>
          <w:color w:val="auto"/>
        </w:rPr>
        <w:tab/>
      </w:r>
      <w:r>
        <w:rPr>
          <w:rFonts w:ascii="Times New Roman" w:cs="Times New Roman" w:eastAsia="Times New Roman" w:hAnsi="Times New Roman"/>
          <w:sz w:val="18"/>
          <w:szCs w:val="18"/>
          <w:color w:val="auto"/>
        </w:rPr>
        <w:t>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wp:posOffset>
            </wp:positionH>
            <wp:positionV relativeFrom="paragraph">
              <wp:posOffset>108585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460" w:space="100"/>
            <w:col w:w="7420"/>
          </w:cols>
          <w:pgMar w:left="320" w:top="522" w:right="599" w:bottom="1440" w:gutter="0" w:footer="0" w:header="0"/>
          <w:type w:val="continuous"/>
        </w:sectPr>
      </w:pPr>
    </w:p>
    <w:p>
      <w:pPr>
        <w:spacing w:after="0" w:line="142"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286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w:t>
      </w:r>
    </w:p>
    <w:p>
      <w:pPr>
        <w:spacing w:after="0" w:line="22" w:lineRule="exact"/>
        <w:rPr>
          <w:sz w:val="24"/>
          <w:szCs w:val="24"/>
          <w:color w:val="auto"/>
        </w:rPr>
      </w:pPr>
    </w:p>
    <w:p>
      <w:pPr>
        <w:spacing w:after="0" w:line="207" w:lineRule="exact"/>
        <w:tabs>
          <w:tab w:leader="none" w:pos="9640" w:val="left"/>
        </w:tabs>
        <w:rPr>
          <w:sz w:val="20"/>
          <w:szCs w:val="20"/>
          <w:color w:val="auto"/>
        </w:rPr>
      </w:pPr>
      <w:r>
        <w:rPr>
          <w:rFonts w:ascii="Times New Roman" w:cs="Times New Roman" w:eastAsia="Times New Roman" w:hAnsi="Times New Roman"/>
          <w:sz w:val="18"/>
          <w:szCs w:val="18"/>
          <w:color w:val="auto"/>
        </w:rPr>
        <w:t>Regulation S-T 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2" w:lineRule="exact"/>
        <w:rPr>
          <w:sz w:val="24"/>
          <w:szCs w:val="24"/>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0980"/>
          </w:cols>
          <w:pgMar w:left="320" w:top="522" w:right="599" w:bottom="1440" w:gutter="0" w:footer="0" w:header="0"/>
          <w:type w:val="continuous"/>
        </w:sectPr>
      </w:pPr>
    </w:p>
    <w:p>
      <w:pPr>
        <w:spacing w:after="0" w:line="14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160" w:space="720"/>
            <w:col w:w="3100"/>
          </w:cols>
          <w:pgMar w:left="320" w:top="522" w:right="599" w:bottom="1440" w:gutter="0" w:footer="0" w:header="0"/>
          <w:type w:val="continuous"/>
        </w:sectPr>
      </w:pPr>
    </w:p>
    <w:p>
      <w:pPr>
        <w:spacing w:after="0" w:line="17"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5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the close of business on August 31, 2022 the registrant had 17,640,042 shares of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80"/>
          </w:cols>
          <w:pgMar w:left="320" w:top="522" w:right="5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2"/>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0" w:type="dxa"/>
            <w:vAlign w:val="bottom"/>
            <w:gridSpan w:val="15"/>
          </w:tcPr>
          <w:p>
            <w:pPr>
              <w:jc w:val="center"/>
              <w:ind w:right="780"/>
              <w:spacing w:after="0"/>
              <w:rPr>
                <w:sz w:val="20"/>
                <w:szCs w:val="20"/>
                <w:color w:val="auto"/>
              </w:rPr>
            </w:pPr>
            <w:r>
              <w:rPr>
                <w:rFonts w:ascii="Times New Roman" w:cs="Times New Roman" w:eastAsia="Times New Roman" w:hAnsi="Times New Roman"/>
                <w:sz w:val="22"/>
                <w:szCs w:val="22"/>
                <w:color w:val="auto"/>
                <w:w w:val="97"/>
              </w:rPr>
              <w:t>REX AMERICAN RESOURCES CORPORATION AND SUBSIDIARIES</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60" w:type="dxa"/>
            <w:vAlign w:val="bottom"/>
            <w:gridSpan w:val="7"/>
          </w:tcPr>
          <w:p>
            <w:pPr>
              <w:jc w:val="center"/>
              <w:ind w:right="3740"/>
              <w:spacing w:after="0"/>
              <w:rPr>
                <w:sz w:val="20"/>
                <w:szCs w:val="20"/>
                <w:color w:val="auto"/>
              </w:rPr>
            </w:pPr>
            <w:r>
              <w:rPr>
                <w:rFonts w:ascii="Times New Roman" w:cs="Times New Roman" w:eastAsia="Times New Roman" w:hAnsi="Times New Roman"/>
                <w:sz w:val="22"/>
                <w:szCs w:val="22"/>
                <w:color w:val="auto"/>
                <w:w w:val="99"/>
              </w:rPr>
              <w:t>INDEX</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22"/>
                <w:szCs w:val="22"/>
                <w:color w:val="0000EE"/>
              </w:rPr>
              <w:t>PART I.</w:t>
            </w:r>
          </w:p>
        </w:tc>
        <w:tc>
          <w:tcPr>
            <w:tcW w:w="8680" w:type="dxa"/>
            <w:vAlign w:val="bottom"/>
            <w:gridSpan w:val="17"/>
            <w:vMerge w:val="restart"/>
          </w:tcPr>
          <w:p>
            <w:pPr>
              <w:spacing w:after="0"/>
              <w:rPr>
                <w:sz w:val="20"/>
                <w:szCs w:val="20"/>
                <w:color w:val="auto"/>
              </w:rPr>
            </w:pPr>
            <w:r>
              <w:rPr>
                <w:rFonts w:ascii="Times New Roman" w:cs="Times New Roman" w:eastAsia="Times New Roman" w:hAnsi="Times New Roman"/>
                <w:sz w:val="22"/>
                <w:szCs w:val="22"/>
                <w:color w:val="0000EE"/>
              </w:rPr>
              <w:t>FINANCIAL INFORMATION</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190"/>
        </w:trPr>
        <w:tc>
          <w:tcPr>
            <w:tcW w:w="1140" w:type="dxa"/>
            <w:vAlign w:val="bottom"/>
            <w:gridSpan w:val="5"/>
            <w:vMerge w:val="continue"/>
          </w:tcPr>
          <w:p>
            <w:pPr>
              <w:spacing w:after="0"/>
              <w:rPr>
                <w:sz w:val="16"/>
                <w:szCs w:val="16"/>
                <w:color w:val="auto"/>
              </w:rPr>
            </w:pPr>
          </w:p>
        </w:tc>
        <w:tc>
          <w:tcPr>
            <w:tcW w:w="8680" w:type="dxa"/>
            <w:vAlign w:val="bottom"/>
            <w:gridSpan w:val="17"/>
            <w:vMerge w:val="continue"/>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1.</w:t>
            </w:r>
          </w:p>
        </w:tc>
        <w:tc>
          <w:tcPr>
            <w:tcW w:w="80" w:type="dxa"/>
            <w:vAlign w:val="bottom"/>
            <w:tcBorders>
              <w:top w:val="single" w:sz="8" w:color="0000EE"/>
            </w:tcBorders>
          </w:tcPr>
          <w:p>
            <w:pPr>
              <w:spacing w:after="0"/>
              <w:rPr>
                <w:sz w:val="24"/>
                <w:szCs w:val="24"/>
                <w:color w:val="auto"/>
              </w:rPr>
            </w:pPr>
          </w:p>
        </w:tc>
        <w:tc>
          <w:tcPr>
            <w:tcW w:w="440" w:type="dxa"/>
            <w:vAlign w:val="bottom"/>
            <w:gridSpan w:val="3"/>
          </w:tcPr>
          <w:p>
            <w:pPr>
              <w:spacing w:after="0"/>
              <w:rPr>
                <w:sz w:val="24"/>
                <w:szCs w:val="24"/>
                <w:color w:val="auto"/>
              </w:rPr>
            </w:pPr>
          </w:p>
        </w:tc>
        <w:tc>
          <w:tcPr>
            <w:tcW w:w="27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22"/>
                <w:szCs w:val="22"/>
                <w:color w:val="0000EE"/>
              </w:rPr>
              <w:t>Financial Statements</w:t>
            </w:r>
          </w:p>
        </w:tc>
        <w:tc>
          <w:tcPr>
            <w:tcW w:w="5980" w:type="dxa"/>
            <w:vAlign w:val="bottom"/>
            <w:gridSpan w:val="10"/>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Consolidated Condensed Balance Sheets</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20" w:type="dxa"/>
            <w:vAlign w:val="bottom"/>
            <w:tcBorders>
              <w:top w:val="single" w:sz="8" w:color="0000EE"/>
            </w:tcBorders>
            <w:gridSpan w:val="9"/>
          </w:tcPr>
          <w:p>
            <w:pPr>
              <w:spacing w:after="0" w:line="223" w:lineRule="exact"/>
              <w:rPr>
                <w:sz w:val="20"/>
                <w:szCs w:val="20"/>
                <w:color w:val="auto"/>
              </w:rPr>
            </w:pPr>
            <w:r>
              <w:rPr>
                <w:rFonts w:ascii="Times New Roman" w:cs="Times New Roman" w:eastAsia="Times New Roman" w:hAnsi="Times New Roman"/>
                <w:sz w:val="22"/>
                <w:szCs w:val="22"/>
                <w:color w:val="0000EE"/>
              </w:rPr>
              <w:t>Consolidated Condensed Statements of</w:t>
            </w:r>
          </w:p>
        </w:tc>
        <w:tc>
          <w:tcPr>
            <w:tcW w:w="5160" w:type="dxa"/>
            <w:vAlign w:val="bottom"/>
            <w:gridSpan w:val="8"/>
          </w:tcPr>
          <w:p>
            <w:pPr>
              <w:spacing w:after="0" w:line="223" w:lineRule="exact"/>
              <w:rPr>
                <w:sz w:val="20"/>
                <w:szCs w:val="20"/>
                <w:color w:val="auto"/>
              </w:rPr>
            </w:pPr>
            <w:r>
              <w:rPr>
                <w:rFonts w:ascii="Times New Roman" w:cs="Times New Roman" w:eastAsia="Times New Roman" w:hAnsi="Times New Roman"/>
                <w:sz w:val="22"/>
                <w:szCs w:val="22"/>
                <w:color w:val="0000EE"/>
              </w:rPr>
              <w:t>Operations</w:t>
            </w:r>
          </w:p>
        </w:tc>
        <w:tc>
          <w:tcPr>
            <w:tcW w:w="1420" w:type="dxa"/>
            <w:vAlign w:val="bottom"/>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0" w:type="dxa"/>
            <w:vAlign w:val="bottom"/>
            <w:tcBorders>
              <w:top w:val="single" w:sz="8" w:color="0000EE"/>
            </w:tcBorders>
            <w:gridSpan w:val="11"/>
          </w:tcPr>
          <w:p>
            <w:pPr>
              <w:spacing w:after="0" w:line="223" w:lineRule="exact"/>
              <w:rPr>
                <w:sz w:val="20"/>
                <w:szCs w:val="20"/>
                <w:color w:val="auto"/>
              </w:rPr>
            </w:pPr>
            <w:r>
              <w:rPr>
                <w:rFonts w:ascii="Times New Roman" w:cs="Times New Roman" w:eastAsia="Times New Roman" w:hAnsi="Times New Roman"/>
                <w:sz w:val="22"/>
                <w:szCs w:val="22"/>
                <w:color w:val="0000EE"/>
              </w:rPr>
              <w:t>Consolidated Condensed Statements of Equity</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20" w:type="dxa"/>
            <w:vAlign w:val="bottom"/>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20" w:type="dxa"/>
            <w:vAlign w:val="bottom"/>
            <w:tcBorders>
              <w:top w:val="single" w:sz="8" w:color="0000EE"/>
              <w:bottom w:val="single" w:sz="8" w:color="0000EE"/>
            </w:tcBorders>
            <w:gridSpan w:val="10"/>
          </w:tcPr>
          <w:p>
            <w:pPr>
              <w:spacing w:after="0" w:line="223" w:lineRule="exact"/>
              <w:rPr>
                <w:sz w:val="20"/>
                <w:szCs w:val="20"/>
                <w:color w:val="auto"/>
              </w:rPr>
            </w:pPr>
            <w:r>
              <w:rPr>
                <w:rFonts w:ascii="Times New Roman" w:cs="Times New Roman" w:eastAsia="Times New Roman" w:hAnsi="Times New Roman"/>
                <w:sz w:val="22"/>
                <w:szCs w:val="22"/>
                <w:color w:val="0000EE"/>
              </w:rPr>
              <w:t>Consolidated Condensed Statements of Cash</w:t>
            </w:r>
          </w:p>
        </w:tc>
        <w:tc>
          <w:tcPr>
            <w:tcW w:w="440" w:type="dxa"/>
            <w:vAlign w:val="bottom"/>
            <w:tcBorders>
              <w:bottom w:val="single" w:sz="8" w:color="0000EE"/>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EE"/>
                <w:w w:val="77"/>
              </w:rPr>
              <w:t>Flows</w:t>
            </w:r>
          </w:p>
        </w:tc>
        <w:tc>
          <w:tcPr>
            <w:tcW w:w="4220" w:type="dxa"/>
            <w:vAlign w:val="bottom"/>
            <w:gridSpan w:val="5"/>
          </w:tcPr>
          <w:p>
            <w:pPr>
              <w:spacing w:after="0"/>
              <w:rPr>
                <w:sz w:val="19"/>
                <w:szCs w:val="19"/>
                <w:color w:val="auto"/>
              </w:rPr>
            </w:pPr>
          </w:p>
        </w:tc>
        <w:tc>
          <w:tcPr>
            <w:tcW w:w="1420" w:type="dxa"/>
            <w:vAlign w:val="bottom"/>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tcBorders>
              <w:bottom w:val="single" w:sz="8" w:color="0000EE"/>
            </w:tcBorders>
            <w:gridSpan w:val="13"/>
          </w:tcPr>
          <w:p>
            <w:pPr>
              <w:spacing w:after="0" w:line="223" w:lineRule="exact"/>
              <w:rPr>
                <w:sz w:val="20"/>
                <w:szCs w:val="20"/>
                <w:color w:val="auto"/>
              </w:rPr>
            </w:pPr>
            <w:r>
              <w:rPr>
                <w:rFonts w:ascii="Times New Roman" w:cs="Times New Roman" w:eastAsia="Times New Roman" w:hAnsi="Times New Roman"/>
                <w:sz w:val="22"/>
                <w:szCs w:val="22"/>
                <w:color w:val="0000EE"/>
                <w:w w:val="97"/>
              </w:rPr>
              <w:t>Notes to Consolidated Condensed Financial Statements</w:t>
            </w:r>
          </w:p>
        </w:tc>
        <w:tc>
          <w:tcPr>
            <w:tcW w:w="3880" w:type="dxa"/>
            <w:vAlign w:val="bottom"/>
            <w:gridSpan w:val="4"/>
          </w:tcPr>
          <w:p>
            <w:pPr>
              <w:spacing w:after="0"/>
              <w:rPr>
                <w:sz w:val="19"/>
                <w:szCs w:val="19"/>
                <w:color w:val="auto"/>
              </w:rPr>
            </w:pPr>
          </w:p>
        </w:tc>
        <w:tc>
          <w:tcPr>
            <w:tcW w:w="1420" w:type="dxa"/>
            <w:vAlign w:val="bottom"/>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466"/>
        </w:trPr>
        <w:tc>
          <w:tcPr>
            <w:tcW w:w="780" w:type="dxa"/>
            <w:vAlign w:val="bottom"/>
            <w:gridSpan w:val="3"/>
          </w:tcPr>
          <w:p>
            <w:pPr>
              <w:spacing w:after="0"/>
              <w:rPr>
                <w:sz w:val="20"/>
                <w:szCs w:val="20"/>
                <w:color w:val="auto"/>
              </w:rPr>
            </w:pPr>
            <w:r>
              <w:rPr>
                <w:rFonts w:ascii="Times New Roman" w:cs="Times New Roman" w:eastAsia="Times New Roman" w:hAnsi="Times New Roman"/>
                <w:sz w:val="22"/>
                <w:szCs w:val="22"/>
                <w:color w:val="0000EE"/>
              </w:rPr>
              <w:t>Item 2.</w:t>
            </w:r>
          </w:p>
        </w:tc>
        <w:tc>
          <w:tcPr>
            <w:tcW w:w="360" w:type="dxa"/>
            <w:vAlign w:val="bottom"/>
            <w:gridSpan w:val="2"/>
          </w:tcPr>
          <w:p>
            <w:pPr>
              <w:spacing w:after="0"/>
              <w:rPr>
                <w:sz w:val="24"/>
                <w:szCs w:val="24"/>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Management’s Discussion and Analysis of Financial Condition and Results of Operations</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3.</w:t>
            </w:r>
          </w:p>
        </w:tc>
        <w:tc>
          <w:tcPr>
            <w:tcW w:w="160" w:type="dxa"/>
            <w:vAlign w:val="bottom"/>
            <w:tcBorders>
              <w:top w:val="single" w:sz="8" w:color="0000EE"/>
            </w:tcBorders>
            <w:gridSpan w:val="2"/>
          </w:tcPr>
          <w:p>
            <w:pPr>
              <w:spacing w:after="0"/>
              <w:rPr>
                <w:sz w:val="24"/>
                <w:szCs w:val="24"/>
                <w:color w:val="auto"/>
              </w:rPr>
            </w:pPr>
          </w:p>
        </w:tc>
        <w:tc>
          <w:tcPr>
            <w:tcW w:w="360" w:type="dxa"/>
            <w:vAlign w:val="bottom"/>
            <w:gridSpan w:val="2"/>
          </w:tcPr>
          <w:p>
            <w:pPr>
              <w:spacing w:after="0"/>
              <w:rPr>
                <w:sz w:val="24"/>
                <w:szCs w:val="24"/>
                <w:color w:val="auto"/>
              </w:rPr>
            </w:pPr>
          </w:p>
        </w:tc>
        <w:tc>
          <w:tcPr>
            <w:tcW w:w="524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22"/>
                <w:szCs w:val="22"/>
                <w:color w:val="0000EE"/>
                <w:w w:val="97"/>
              </w:rPr>
              <w:t>Quantitative and Qualitative Disclosures About Market Risk</w:t>
            </w:r>
          </w:p>
        </w:tc>
        <w:tc>
          <w:tcPr>
            <w:tcW w:w="256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4.</w:t>
            </w:r>
          </w:p>
        </w:tc>
        <w:tc>
          <w:tcPr>
            <w:tcW w:w="520" w:type="dxa"/>
            <w:vAlign w:val="bottom"/>
            <w:gridSpan w:val="4"/>
          </w:tcPr>
          <w:p>
            <w:pPr>
              <w:spacing w:after="0"/>
              <w:rPr>
                <w:sz w:val="24"/>
                <w:szCs w:val="24"/>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Controls and Procedures</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00" w:type="dxa"/>
            <w:vAlign w:val="bottom"/>
            <w:gridSpan w:val="4"/>
          </w:tcPr>
          <w:p>
            <w:pPr>
              <w:spacing w:after="0"/>
              <w:rPr>
                <w:sz w:val="20"/>
                <w:szCs w:val="20"/>
                <w:color w:val="auto"/>
              </w:rPr>
            </w:pPr>
            <w:r>
              <w:rPr>
                <w:rFonts w:ascii="Times New Roman" w:cs="Times New Roman" w:eastAsia="Times New Roman" w:hAnsi="Times New Roman"/>
                <w:sz w:val="22"/>
                <w:szCs w:val="22"/>
                <w:color w:val="0000EE"/>
                <w:w w:val="95"/>
              </w:rPr>
              <w:t>PART II.</w:t>
            </w:r>
          </w:p>
        </w:tc>
        <w:tc>
          <w:tcPr>
            <w:tcW w:w="340" w:type="dxa"/>
            <w:vAlign w:val="bottom"/>
          </w:tcPr>
          <w:p>
            <w:pPr>
              <w:spacing w:after="0"/>
              <w:rPr>
                <w:sz w:val="24"/>
                <w:szCs w:val="24"/>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OTHER INFORMATION</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1.</w:t>
            </w:r>
          </w:p>
        </w:tc>
        <w:tc>
          <w:tcPr>
            <w:tcW w:w="180" w:type="dxa"/>
            <w:vAlign w:val="bottom"/>
            <w:tcBorders>
              <w:top w:val="single" w:sz="8" w:color="0000EE"/>
            </w:tcBorders>
            <w:gridSpan w:val="3"/>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22"/>
                <w:szCs w:val="22"/>
                <w:color w:val="0000EE"/>
              </w:rPr>
              <w:t>Legal Proceedings</w:t>
            </w:r>
          </w:p>
        </w:tc>
        <w:tc>
          <w:tcPr>
            <w:tcW w:w="6420" w:type="dxa"/>
            <w:vAlign w:val="bottom"/>
            <w:gridSpan w:val="11"/>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gridSpan w:val="3"/>
          </w:tcPr>
          <w:p>
            <w:pPr>
              <w:spacing w:after="0"/>
              <w:rPr>
                <w:sz w:val="20"/>
                <w:szCs w:val="20"/>
                <w:color w:val="auto"/>
              </w:rPr>
            </w:pPr>
            <w:r>
              <w:rPr>
                <w:rFonts w:ascii="Times New Roman" w:cs="Times New Roman" w:eastAsia="Times New Roman" w:hAnsi="Times New Roman"/>
                <w:sz w:val="22"/>
                <w:szCs w:val="22"/>
                <w:color w:val="0000EE"/>
                <w:w w:val="97"/>
              </w:rPr>
              <w:t>Item 1A.</w:t>
            </w:r>
          </w:p>
        </w:tc>
        <w:tc>
          <w:tcPr>
            <w:tcW w:w="360" w:type="dxa"/>
            <w:vAlign w:val="bottom"/>
            <w:gridSpan w:val="2"/>
          </w:tcPr>
          <w:p>
            <w:pPr>
              <w:spacing w:after="0"/>
              <w:rPr>
                <w:sz w:val="24"/>
                <w:szCs w:val="24"/>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Risk Factors</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gridSpan w:val="3"/>
          </w:tcPr>
          <w:p>
            <w:pPr>
              <w:spacing w:after="0"/>
              <w:rPr>
                <w:sz w:val="20"/>
                <w:szCs w:val="20"/>
                <w:color w:val="auto"/>
              </w:rPr>
            </w:pPr>
            <w:r>
              <w:rPr>
                <w:rFonts w:ascii="Times New Roman" w:cs="Times New Roman" w:eastAsia="Times New Roman" w:hAnsi="Times New Roman"/>
                <w:sz w:val="22"/>
                <w:szCs w:val="22"/>
                <w:color w:val="0000EE"/>
              </w:rPr>
              <w:t>Item 2.</w:t>
            </w:r>
          </w:p>
        </w:tc>
        <w:tc>
          <w:tcPr>
            <w:tcW w:w="360" w:type="dxa"/>
            <w:vAlign w:val="bottom"/>
            <w:gridSpan w:val="2"/>
          </w:tcPr>
          <w:p>
            <w:pPr>
              <w:spacing w:after="0"/>
              <w:rPr>
                <w:sz w:val="24"/>
                <w:szCs w:val="24"/>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Unregistered Sales of Equity Securities and Use of Proceeds</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3.</w:t>
            </w:r>
          </w:p>
        </w:tc>
        <w:tc>
          <w:tcPr>
            <w:tcW w:w="520" w:type="dxa"/>
            <w:vAlign w:val="bottom"/>
            <w:tcBorders>
              <w:top w:val="single" w:sz="8" w:color="0000EE"/>
            </w:tcBorders>
            <w:gridSpan w:val="4"/>
          </w:tcPr>
          <w:p>
            <w:pPr>
              <w:spacing w:after="0"/>
              <w:rPr>
                <w:sz w:val="24"/>
                <w:szCs w:val="24"/>
                <w:color w:val="auto"/>
              </w:rPr>
            </w:pPr>
          </w:p>
        </w:tc>
        <w:tc>
          <w:tcPr>
            <w:tcW w:w="522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22"/>
                <w:szCs w:val="22"/>
                <w:color w:val="0000EE"/>
              </w:rPr>
              <w:t>Defaults upon Senior Securities</w:t>
            </w:r>
          </w:p>
        </w:tc>
        <w:tc>
          <w:tcPr>
            <w:tcW w:w="3460" w:type="dxa"/>
            <w:vAlign w:val="bottom"/>
            <w:gridSpan w:val="3"/>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4.</w:t>
            </w:r>
          </w:p>
        </w:tc>
        <w:tc>
          <w:tcPr>
            <w:tcW w:w="520" w:type="dxa"/>
            <w:vAlign w:val="bottom"/>
            <w:gridSpan w:val="4"/>
          </w:tcPr>
          <w:p>
            <w:pPr>
              <w:spacing w:after="0"/>
              <w:rPr>
                <w:sz w:val="24"/>
                <w:szCs w:val="24"/>
                <w:color w:val="auto"/>
              </w:rPr>
            </w:pPr>
          </w:p>
        </w:tc>
        <w:tc>
          <w:tcPr>
            <w:tcW w:w="27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22"/>
                <w:szCs w:val="22"/>
                <w:color w:val="0000EE"/>
              </w:rPr>
              <w:t>Mine Safety Disclosures</w:t>
            </w:r>
          </w:p>
        </w:tc>
        <w:tc>
          <w:tcPr>
            <w:tcW w:w="5940" w:type="dxa"/>
            <w:vAlign w:val="bottom"/>
            <w:gridSpan w:val="9"/>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5.</w:t>
            </w:r>
          </w:p>
        </w:tc>
        <w:tc>
          <w:tcPr>
            <w:tcW w:w="520" w:type="dxa"/>
            <w:vAlign w:val="bottom"/>
            <w:gridSpan w:val="4"/>
          </w:tcPr>
          <w:p>
            <w:pPr>
              <w:spacing w:after="0"/>
              <w:rPr>
                <w:sz w:val="24"/>
                <w:szCs w:val="24"/>
                <w:color w:val="auto"/>
              </w:rPr>
            </w:pPr>
          </w:p>
        </w:tc>
        <w:tc>
          <w:tcPr>
            <w:tcW w:w="1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22"/>
                <w:szCs w:val="22"/>
                <w:color w:val="0000EE"/>
                <w:w w:val="97"/>
              </w:rPr>
              <w:t>Other Information</w:t>
            </w:r>
          </w:p>
        </w:tc>
        <w:tc>
          <w:tcPr>
            <w:tcW w:w="520" w:type="dxa"/>
            <w:vAlign w:val="bottom"/>
            <w:tcBorders>
              <w:top w:val="single" w:sz="8" w:color="0000EE"/>
            </w:tcBorders>
            <w:gridSpan w:val="2"/>
          </w:tcPr>
          <w:p>
            <w:pPr>
              <w:spacing w:after="0"/>
              <w:rPr>
                <w:sz w:val="24"/>
                <w:szCs w:val="24"/>
                <w:color w:val="auto"/>
              </w:rPr>
            </w:pPr>
          </w:p>
        </w:tc>
        <w:tc>
          <w:tcPr>
            <w:tcW w:w="6560" w:type="dxa"/>
            <w:vAlign w:val="bottom"/>
            <w:gridSpan w:val="12"/>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6.</w:t>
            </w:r>
          </w:p>
        </w:tc>
        <w:tc>
          <w:tcPr>
            <w:tcW w:w="520" w:type="dxa"/>
            <w:vAlign w:val="bottom"/>
            <w:gridSpan w:val="4"/>
          </w:tcPr>
          <w:p>
            <w:pPr>
              <w:spacing w:after="0"/>
              <w:rPr>
                <w:sz w:val="24"/>
                <w:szCs w:val="24"/>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Exhibits</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464"/>
        </w:trPr>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80" w:type="dxa"/>
            <w:vAlign w:val="bottom"/>
            <w:gridSpan w:val="12"/>
          </w:tcPr>
          <w:p>
            <w:pPr>
              <w:jc w:val="center"/>
              <w:ind w:left="3352"/>
              <w:spacing w:after="0"/>
              <w:rPr>
                <w:sz w:val="20"/>
                <w:szCs w:val="20"/>
                <w:color w:val="auto"/>
              </w:rPr>
            </w:pPr>
            <w:r>
              <w:rPr>
                <w:rFonts w:ascii="Times New Roman" w:cs="Times New Roman" w:eastAsia="Times New Roman" w:hAnsi="Times New Roman"/>
                <w:sz w:val="22"/>
                <w:szCs w:val="22"/>
                <w:color w:val="auto"/>
                <w:w w:val="90"/>
              </w:rPr>
              <w:t>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256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142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6"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20" w:type="dxa"/>
            <w:vAlign w:val="bottom"/>
          </w:tcPr>
          <w:p>
            <w:pPr>
              <w:spacing w:after="0"/>
              <w:rPr>
                <w:sz w:val="24"/>
                <w:szCs w:val="24"/>
                <w:color w:val="auto"/>
              </w:rPr>
            </w:pPr>
          </w:p>
        </w:tc>
        <w:tc>
          <w:tcPr>
            <w:tcW w:w="11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January 31,</w:t>
            </w:r>
          </w:p>
        </w:tc>
        <w:tc>
          <w:tcPr>
            <w:tcW w:w="0" w:type="dxa"/>
            <w:vAlign w:val="bottom"/>
          </w:tcPr>
          <w:p>
            <w:pPr>
              <w:spacing w:after="0"/>
              <w:rPr>
                <w:sz w:val="1"/>
                <w:szCs w:val="1"/>
                <w:color w:val="auto"/>
              </w:rPr>
            </w:pPr>
          </w:p>
        </w:tc>
      </w:tr>
      <w:tr>
        <w:trPr>
          <w:trHeight w:val="198"/>
        </w:trPr>
        <w:tc>
          <w:tcPr>
            <w:tcW w:w="8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3"/>
          </w:tcPr>
          <w:p>
            <w:pPr>
              <w:jc w:val="right"/>
              <w:ind w:right="280"/>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gridSpan w:val="2"/>
            <w:shd w:val="clear" w:color="auto" w:fill="E5FF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54,639</w:t>
            </w: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229,846</w:t>
            </w: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190,471</w:t>
            </w:r>
          </w:p>
        </w:tc>
        <w:tc>
          <w:tcPr>
            <w:tcW w:w="12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25,877</w:t>
            </w:r>
          </w:p>
        </w:tc>
        <w:tc>
          <w:tcPr>
            <w:tcW w:w="0" w:type="dxa"/>
            <w:vAlign w:val="bottom"/>
          </w:tcPr>
          <w:p>
            <w:pPr>
              <w:spacing w:after="0"/>
              <w:rPr>
                <w:sz w:val="1"/>
                <w:szCs w:val="1"/>
                <w:color w:val="auto"/>
              </w:rPr>
            </w:pPr>
          </w:p>
        </w:tc>
      </w:tr>
      <w:tr>
        <w:trPr>
          <w:trHeight w:val="216"/>
        </w:trPr>
        <w:tc>
          <w:tcPr>
            <w:tcW w:w="81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4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8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3,332</w:t>
            </w:r>
          </w:p>
        </w:tc>
        <w:tc>
          <w:tcPr>
            <w:tcW w:w="120" w:type="dxa"/>
            <w:vAlign w:val="bottom"/>
            <w:shd w:val="clear" w:color="auto" w:fill="E5FFFF"/>
          </w:tcPr>
          <w:p>
            <w:pPr>
              <w:spacing w:after="0"/>
              <w:rPr>
                <w:sz w:val="18"/>
                <w:szCs w:val="18"/>
                <w:color w:val="auto"/>
              </w:rPr>
            </w:pPr>
          </w:p>
        </w:tc>
        <w:tc>
          <w:tcPr>
            <w:tcW w:w="11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2,222</w:t>
            </w: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38,559</w:t>
            </w:r>
          </w:p>
        </w:tc>
        <w:tc>
          <w:tcPr>
            <w:tcW w:w="12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25,821</w:t>
            </w:r>
          </w:p>
        </w:tc>
        <w:tc>
          <w:tcPr>
            <w:tcW w:w="0" w:type="dxa"/>
            <w:vAlign w:val="bottom"/>
          </w:tcPr>
          <w:p>
            <w:pPr>
              <w:spacing w:after="0"/>
              <w:rPr>
                <w:sz w:val="1"/>
                <w:szCs w:val="1"/>
                <w:color w:val="auto"/>
              </w:rPr>
            </w:pPr>
          </w:p>
        </w:tc>
      </w:tr>
      <w:tr>
        <w:trPr>
          <w:trHeight w:val="216"/>
        </w:trPr>
        <w:tc>
          <w:tcPr>
            <w:tcW w:w="81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4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8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49,928</w:t>
            </w:r>
          </w:p>
        </w:tc>
        <w:tc>
          <w:tcPr>
            <w:tcW w:w="120" w:type="dxa"/>
            <w:vAlign w:val="bottom"/>
            <w:shd w:val="clear" w:color="auto" w:fill="E5FFFF"/>
          </w:tcPr>
          <w:p>
            <w:pPr>
              <w:spacing w:after="0"/>
              <w:rPr>
                <w:sz w:val="18"/>
                <w:szCs w:val="18"/>
                <w:color w:val="auto"/>
              </w:rPr>
            </w:pPr>
          </w:p>
        </w:tc>
        <w:tc>
          <w:tcPr>
            <w:tcW w:w="11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42,225</w:t>
            </w: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Refundable income taxes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5,898</w:t>
            </w:r>
          </w:p>
        </w:tc>
        <w:tc>
          <w:tcPr>
            <w:tcW w:w="12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6,677</w:t>
            </w:r>
          </w:p>
        </w:tc>
        <w:tc>
          <w:tcPr>
            <w:tcW w:w="0" w:type="dxa"/>
            <w:vAlign w:val="bottom"/>
          </w:tcPr>
          <w:p>
            <w:pPr>
              <w:spacing w:after="0"/>
              <w:rPr>
                <w:sz w:val="1"/>
                <w:szCs w:val="1"/>
                <w:color w:val="auto"/>
              </w:rPr>
            </w:pPr>
          </w:p>
        </w:tc>
      </w:tr>
      <w:tr>
        <w:trPr>
          <w:trHeight w:val="229"/>
        </w:trPr>
        <w:tc>
          <w:tcPr>
            <w:tcW w:w="81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4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128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14,505</w:t>
            </w:r>
          </w:p>
        </w:tc>
        <w:tc>
          <w:tcPr>
            <w:tcW w:w="120" w:type="dxa"/>
            <w:vAlign w:val="bottom"/>
            <w:shd w:val="clear" w:color="auto" w:fill="E5FFFF"/>
          </w:tcPr>
          <w:p>
            <w:pPr>
              <w:spacing w:after="0"/>
              <w:rPr>
                <w:sz w:val="19"/>
                <w:szCs w:val="19"/>
                <w:color w:val="auto"/>
              </w:rPr>
            </w:pPr>
          </w:p>
        </w:tc>
        <w:tc>
          <w:tcPr>
            <w:tcW w:w="11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12,499</w:t>
            </w:r>
          </w:p>
        </w:tc>
        <w:tc>
          <w:tcPr>
            <w:tcW w:w="0" w:type="dxa"/>
            <w:vAlign w:val="bottom"/>
          </w:tcPr>
          <w:p>
            <w:pPr>
              <w:spacing w:after="0"/>
              <w:rPr>
                <w:sz w:val="1"/>
                <w:szCs w:val="1"/>
                <w:color w:val="auto"/>
              </w:rPr>
            </w:pPr>
          </w:p>
        </w:tc>
      </w:tr>
      <w:tr>
        <w:trPr>
          <w:trHeight w:val="210"/>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357,332</w:t>
            </w: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345,167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8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131,580</w:t>
            </w:r>
          </w:p>
        </w:tc>
        <w:tc>
          <w:tcPr>
            <w:tcW w:w="120" w:type="dxa"/>
            <w:vAlign w:val="bottom"/>
            <w:shd w:val="clear" w:color="auto" w:fill="E5FFFF"/>
          </w:tcPr>
          <w:p>
            <w:pPr>
              <w:spacing w:after="0"/>
              <w:rPr>
                <w:sz w:val="18"/>
                <w:szCs w:val="18"/>
                <w:color w:val="auto"/>
              </w:rPr>
            </w:pPr>
          </w:p>
        </w:tc>
        <w:tc>
          <w:tcPr>
            <w:tcW w:w="11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137,554</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12,893</w:t>
            </w:r>
          </w:p>
        </w:tc>
        <w:tc>
          <w:tcPr>
            <w:tcW w:w="12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11,221</w:t>
            </w:r>
          </w:p>
        </w:tc>
        <w:tc>
          <w:tcPr>
            <w:tcW w:w="0" w:type="dxa"/>
            <w:vAlign w:val="bottom"/>
          </w:tcPr>
          <w:p>
            <w:pPr>
              <w:spacing w:after="0"/>
              <w:rPr>
                <w:sz w:val="1"/>
                <w:szCs w:val="1"/>
                <w:color w:val="auto"/>
              </w:rPr>
            </w:pPr>
          </w:p>
        </w:tc>
      </w:tr>
      <w:tr>
        <w:trPr>
          <w:trHeight w:val="216"/>
        </w:trPr>
        <w:tc>
          <w:tcPr>
            <w:tcW w:w="8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Deferred taxes and other assets</w:t>
            </w:r>
          </w:p>
        </w:tc>
        <w:tc>
          <w:tcPr>
            <w:tcW w:w="4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8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21,950</w:t>
            </w:r>
          </w:p>
        </w:tc>
        <w:tc>
          <w:tcPr>
            <w:tcW w:w="120" w:type="dxa"/>
            <w:vAlign w:val="bottom"/>
            <w:shd w:val="clear" w:color="auto" w:fill="E5FFFF"/>
          </w:tcPr>
          <w:p>
            <w:pPr>
              <w:spacing w:after="0"/>
              <w:rPr>
                <w:sz w:val="18"/>
                <w:szCs w:val="18"/>
                <w:color w:val="auto"/>
              </w:rPr>
            </w:pPr>
          </w:p>
        </w:tc>
        <w:tc>
          <w:tcPr>
            <w:tcW w:w="11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25,853</w:t>
            </w:r>
          </w:p>
        </w:tc>
        <w:tc>
          <w:tcPr>
            <w:tcW w:w="0" w:type="dxa"/>
            <w:vAlign w:val="bottom"/>
          </w:tcPr>
          <w:p>
            <w:pPr>
              <w:spacing w:after="0"/>
              <w:rPr>
                <w:sz w:val="1"/>
                <w:szCs w:val="1"/>
                <w:color w:val="auto"/>
              </w:rPr>
            </w:pPr>
          </w:p>
        </w:tc>
      </w:tr>
      <w:tr>
        <w:trPr>
          <w:trHeight w:val="23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36,115</w:t>
            </w:r>
          </w:p>
        </w:tc>
        <w:tc>
          <w:tcPr>
            <w:tcW w:w="120" w:type="dxa"/>
            <w:vAlign w:val="bottom"/>
          </w:tcPr>
          <w:p>
            <w:pPr>
              <w:spacing w:after="0"/>
              <w:rPr>
                <w:sz w:val="19"/>
                <w:szCs w:val="19"/>
                <w:color w:val="auto"/>
              </w:rPr>
            </w:pP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30,566</w:t>
            </w:r>
          </w:p>
        </w:tc>
        <w:tc>
          <w:tcPr>
            <w:tcW w:w="0" w:type="dxa"/>
            <w:vAlign w:val="bottom"/>
          </w:tcPr>
          <w:p>
            <w:pPr>
              <w:spacing w:after="0"/>
              <w:rPr>
                <w:sz w:val="1"/>
                <w:szCs w:val="1"/>
                <w:color w:val="auto"/>
              </w:rPr>
            </w:pPr>
          </w:p>
        </w:tc>
      </w:tr>
      <w:tr>
        <w:trPr>
          <w:trHeight w:val="223"/>
        </w:trPr>
        <w:tc>
          <w:tcPr>
            <w:tcW w:w="8120" w:type="dxa"/>
            <w:vAlign w:val="bottom"/>
            <w:tcBorders>
              <w:top w:val="single" w:sz="8" w:color="E5FFFF"/>
              <w:bottom w:val="single" w:sz="8" w:color="E5FFFF"/>
            </w:tcBorders>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80" w:type="dxa"/>
            <w:vAlign w:val="bottom"/>
            <w:tcBorders>
              <w:top w:val="single" w:sz="8" w:color="auto"/>
              <w:bottom w:val="single" w:sz="8" w:color="auto"/>
            </w:tcBorders>
            <w:shd w:val="clear" w:color="auto" w:fill="E5FF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559,870</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550,361</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payable, trade (includes $0.6 million and $0.5 million with related parties at July 31, 2022 and</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January 31, 2022, respectively)</w:t>
            </w:r>
          </w:p>
        </w:tc>
        <w:tc>
          <w:tcPr>
            <w:tcW w:w="6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21,194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32,266</w:t>
            </w:r>
          </w:p>
        </w:tc>
        <w:tc>
          <w:tcPr>
            <w:tcW w:w="0" w:type="dxa"/>
            <w:vAlign w:val="bottom"/>
          </w:tcPr>
          <w:p>
            <w:pPr>
              <w:spacing w:after="0"/>
              <w:rPr>
                <w:sz w:val="1"/>
                <w:szCs w:val="1"/>
                <w:color w:val="auto"/>
              </w:rPr>
            </w:pPr>
          </w:p>
        </w:tc>
      </w:tr>
      <w:tr>
        <w:trPr>
          <w:trHeight w:val="216"/>
        </w:trPr>
        <w:tc>
          <w:tcPr>
            <w:tcW w:w="81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8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4,376</w:t>
            </w:r>
          </w:p>
        </w:tc>
        <w:tc>
          <w:tcPr>
            <w:tcW w:w="120" w:type="dxa"/>
            <w:vAlign w:val="bottom"/>
            <w:shd w:val="clear" w:color="auto" w:fill="E5FFFF"/>
          </w:tcPr>
          <w:p>
            <w:pPr>
              <w:spacing w:after="0"/>
              <w:rPr>
                <w:sz w:val="18"/>
                <w:szCs w:val="18"/>
                <w:color w:val="auto"/>
              </w:rPr>
            </w:pPr>
          </w:p>
        </w:tc>
        <w:tc>
          <w:tcPr>
            <w:tcW w:w="11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29"/>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16,383</w:t>
            </w:r>
          </w:p>
        </w:tc>
        <w:tc>
          <w:tcPr>
            <w:tcW w:w="120" w:type="dxa"/>
            <w:vAlign w:val="bottom"/>
          </w:tcPr>
          <w:p>
            <w:pPr>
              <w:spacing w:after="0"/>
              <w:rPr>
                <w:sz w:val="19"/>
                <w:szCs w:val="19"/>
                <w:color w:val="auto"/>
              </w:rPr>
            </w:pP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13,617</w:t>
            </w:r>
          </w:p>
        </w:tc>
        <w:tc>
          <w:tcPr>
            <w:tcW w:w="0" w:type="dxa"/>
            <w:vAlign w:val="bottom"/>
          </w:tcPr>
          <w:p>
            <w:pPr>
              <w:spacing w:after="0"/>
              <w:rPr>
                <w:sz w:val="1"/>
                <w:szCs w:val="1"/>
                <w:color w:val="auto"/>
              </w:rPr>
            </w:pPr>
          </w:p>
        </w:tc>
      </w:tr>
      <w:tr>
        <w:trPr>
          <w:trHeight w:val="210"/>
        </w:trPr>
        <w:tc>
          <w:tcPr>
            <w:tcW w:w="812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tcBorders>
              <w:top w:val="single" w:sz="8" w:color="E5FFFF"/>
            </w:tcBorders>
            <w:shd w:val="clear" w:color="auto" w:fill="E5FFFF"/>
          </w:tcPr>
          <w:p>
            <w:pPr>
              <w:spacing w:after="0"/>
              <w:rPr>
                <w:sz w:val="18"/>
                <w:szCs w:val="18"/>
                <w:color w:val="auto"/>
              </w:rPr>
            </w:pPr>
          </w:p>
        </w:tc>
        <w:tc>
          <w:tcPr>
            <w:tcW w:w="180" w:type="dxa"/>
            <w:vAlign w:val="bottom"/>
            <w:tcBorders>
              <w:top w:val="single" w:sz="8" w:color="auto"/>
              <w:bottom w:val="single" w:sz="8" w:color="auto"/>
            </w:tcBorders>
            <w:shd w:val="clear" w:color="auto" w:fill="E5FFFF"/>
          </w:tcPr>
          <w:p>
            <w:pPr>
              <w:spacing w:after="0"/>
              <w:rPr>
                <w:sz w:val="18"/>
                <w:szCs w:val="18"/>
                <w:color w:val="auto"/>
              </w:rPr>
            </w:pPr>
          </w:p>
        </w:tc>
        <w:tc>
          <w:tcPr>
            <w:tcW w:w="84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41,953</w:t>
            </w:r>
          </w:p>
        </w:tc>
        <w:tc>
          <w:tcPr>
            <w:tcW w:w="44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spacing w:after="0"/>
              <w:rPr>
                <w:sz w:val="18"/>
                <w:szCs w:val="18"/>
                <w:color w:val="auto"/>
              </w:rPr>
            </w:pPr>
          </w:p>
        </w:tc>
        <w:tc>
          <w:tcPr>
            <w:tcW w:w="100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50,483</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4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8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3,132</w:t>
            </w:r>
          </w:p>
        </w:tc>
        <w:tc>
          <w:tcPr>
            <w:tcW w:w="120" w:type="dxa"/>
            <w:vAlign w:val="bottom"/>
            <w:shd w:val="clear" w:color="auto" w:fill="E5FFFF"/>
          </w:tcPr>
          <w:p>
            <w:pPr>
              <w:spacing w:after="0"/>
              <w:rPr>
                <w:sz w:val="18"/>
                <w:szCs w:val="18"/>
                <w:color w:val="auto"/>
              </w:rPr>
            </w:pPr>
          </w:p>
        </w:tc>
        <w:tc>
          <w:tcPr>
            <w:tcW w:w="11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3,132</w:t>
            </w: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8,386</w:t>
            </w:r>
          </w:p>
        </w:tc>
        <w:tc>
          <w:tcPr>
            <w:tcW w:w="12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6,390</w:t>
            </w:r>
          </w:p>
        </w:tc>
        <w:tc>
          <w:tcPr>
            <w:tcW w:w="0" w:type="dxa"/>
            <w:vAlign w:val="bottom"/>
          </w:tcPr>
          <w:p>
            <w:pPr>
              <w:spacing w:after="0"/>
              <w:rPr>
                <w:sz w:val="1"/>
                <w:szCs w:val="1"/>
                <w:color w:val="auto"/>
              </w:rPr>
            </w:pPr>
          </w:p>
        </w:tc>
      </w:tr>
      <w:tr>
        <w:trPr>
          <w:trHeight w:val="229"/>
        </w:trPr>
        <w:tc>
          <w:tcPr>
            <w:tcW w:w="81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4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128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2,959</w:t>
            </w:r>
          </w:p>
        </w:tc>
        <w:tc>
          <w:tcPr>
            <w:tcW w:w="120" w:type="dxa"/>
            <w:vAlign w:val="bottom"/>
            <w:shd w:val="clear" w:color="auto" w:fill="E5FFFF"/>
          </w:tcPr>
          <w:p>
            <w:pPr>
              <w:spacing w:after="0"/>
              <w:rPr>
                <w:sz w:val="19"/>
                <w:szCs w:val="19"/>
                <w:color w:val="auto"/>
              </w:rPr>
            </w:pPr>
          </w:p>
        </w:tc>
        <w:tc>
          <w:tcPr>
            <w:tcW w:w="11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2,794</w:t>
            </w:r>
          </w:p>
        </w:tc>
        <w:tc>
          <w:tcPr>
            <w:tcW w:w="0" w:type="dxa"/>
            <w:vAlign w:val="bottom"/>
          </w:tcPr>
          <w:p>
            <w:pPr>
              <w:spacing w:after="0"/>
              <w:rPr>
                <w:sz w:val="1"/>
                <w:szCs w:val="1"/>
                <w:color w:val="auto"/>
              </w:rPr>
            </w:pPr>
          </w:p>
        </w:tc>
      </w:tr>
      <w:tr>
        <w:trPr>
          <w:trHeight w:val="210"/>
        </w:trPr>
        <w:tc>
          <w:tcPr>
            <w:tcW w:w="8120" w:type="dxa"/>
            <w:vAlign w:val="bottom"/>
            <w:tcBorders>
              <w:bottom w:val="single" w:sz="8" w:color="E5FFFF"/>
            </w:tcBorders>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440" w:type="dxa"/>
            <w:vAlign w:val="bottom"/>
            <w:tcBorders>
              <w:bottom w:val="single" w:sz="8" w:color="E5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14,477</w:t>
            </w:r>
          </w:p>
        </w:tc>
        <w:tc>
          <w:tcPr>
            <w:tcW w:w="44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w:t>
            </w:r>
          </w:p>
        </w:tc>
        <w:tc>
          <w:tcPr>
            <w:tcW w:w="4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REX shareholders’ equity:</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E5FFFF"/>
          </w:tcPr>
          <w:p>
            <w:pPr>
              <w:ind w:left="540"/>
              <w:spacing w:after="0"/>
              <w:rPr>
                <w:sz w:val="20"/>
                <w:szCs w:val="20"/>
                <w:color w:val="auto"/>
              </w:rPr>
            </w:pPr>
            <w:r>
              <w:rPr>
                <w:rFonts w:ascii="Times New Roman" w:cs="Times New Roman" w:eastAsia="Times New Roman" w:hAnsi="Times New Roman"/>
                <w:sz w:val="18"/>
                <w:szCs w:val="18"/>
                <w:color w:val="auto"/>
              </w:rPr>
              <w:t>Common stock</w:t>
            </w:r>
          </w:p>
        </w:tc>
        <w:tc>
          <w:tcPr>
            <w:tcW w:w="4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8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E5FFFF"/>
          </w:tcPr>
          <w:p>
            <w:pPr>
              <w:spacing w:after="0"/>
              <w:rPr>
                <w:sz w:val="18"/>
                <w:szCs w:val="18"/>
                <w:color w:val="auto"/>
              </w:rPr>
            </w:pPr>
          </w:p>
        </w:tc>
        <w:tc>
          <w:tcPr>
            <w:tcW w:w="11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8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Retained earnings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629,481</w:t>
            </w:r>
          </w:p>
        </w:tc>
        <w:tc>
          <w:tcPr>
            <w:tcW w:w="12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611,607</w:t>
            </w:r>
          </w:p>
        </w:tc>
        <w:tc>
          <w:tcPr>
            <w:tcW w:w="0" w:type="dxa"/>
            <w:vAlign w:val="bottom"/>
          </w:tcPr>
          <w:p>
            <w:pPr>
              <w:spacing w:after="0"/>
              <w:rPr>
                <w:sz w:val="1"/>
                <w:szCs w:val="1"/>
                <w:color w:val="auto"/>
              </w:rPr>
            </w:pPr>
          </w:p>
        </w:tc>
      </w:tr>
      <w:tr>
        <w:trPr>
          <w:trHeight w:val="230"/>
        </w:trPr>
        <w:tc>
          <w:tcPr>
            <w:tcW w:w="8120" w:type="dxa"/>
            <w:vAlign w:val="bottom"/>
            <w:shd w:val="clear" w:color="auto" w:fill="E5FFFF"/>
          </w:tcPr>
          <w:p>
            <w:pPr>
              <w:ind w:left="540"/>
              <w:spacing w:after="0"/>
              <w:rPr>
                <w:sz w:val="20"/>
                <w:szCs w:val="20"/>
                <w:color w:val="auto"/>
              </w:rPr>
            </w:pPr>
            <w:r>
              <w:rPr>
                <w:rFonts w:ascii="Times New Roman" w:cs="Times New Roman" w:eastAsia="Times New Roman" w:hAnsi="Times New Roman"/>
                <w:sz w:val="18"/>
                <w:szCs w:val="18"/>
                <w:color w:val="auto"/>
              </w:rPr>
              <w:t>Treasury stock</w:t>
            </w:r>
          </w:p>
        </w:tc>
        <w:tc>
          <w:tcPr>
            <w:tcW w:w="44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128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(186,996)</w:t>
            </w:r>
          </w:p>
        </w:tc>
        <w:tc>
          <w:tcPr>
            <w:tcW w:w="120" w:type="dxa"/>
            <w:vAlign w:val="bottom"/>
            <w:shd w:val="clear" w:color="auto" w:fill="E5FFFF"/>
          </w:tcPr>
          <w:p>
            <w:pPr>
              <w:spacing w:after="0"/>
              <w:rPr>
                <w:sz w:val="19"/>
                <w:szCs w:val="19"/>
                <w:color w:val="auto"/>
              </w:rPr>
            </w:pPr>
          </w:p>
        </w:tc>
        <w:tc>
          <w:tcPr>
            <w:tcW w:w="11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(181,114)</w:t>
            </w:r>
          </w:p>
        </w:tc>
        <w:tc>
          <w:tcPr>
            <w:tcW w:w="0" w:type="dxa"/>
            <w:vAlign w:val="bottom"/>
          </w:tcPr>
          <w:p>
            <w:pPr>
              <w:spacing w:after="0"/>
              <w:rPr>
                <w:sz w:val="1"/>
                <w:szCs w:val="1"/>
                <w:color w:val="auto"/>
              </w:rPr>
            </w:pPr>
          </w:p>
        </w:tc>
      </w:tr>
      <w:tr>
        <w:trPr>
          <w:trHeight w:val="209"/>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REX shareholders’ equity</w:t>
            </w: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442,784</w:t>
            </w: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430,792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4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128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60,656</w:t>
            </w:r>
          </w:p>
        </w:tc>
        <w:tc>
          <w:tcPr>
            <w:tcW w:w="120" w:type="dxa"/>
            <w:vAlign w:val="bottom"/>
            <w:shd w:val="clear" w:color="auto" w:fill="E5FFFF"/>
          </w:tcPr>
          <w:p>
            <w:pPr>
              <w:spacing w:after="0"/>
              <w:rPr>
                <w:sz w:val="19"/>
                <w:szCs w:val="19"/>
                <w:color w:val="auto"/>
              </w:rPr>
            </w:pPr>
          </w:p>
        </w:tc>
        <w:tc>
          <w:tcPr>
            <w:tcW w:w="11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56,770</w:t>
            </w:r>
          </w:p>
        </w:tc>
        <w:tc>
          <w:tcPr>
            <w:tcW w:w="0" w:type="dxa"/>
            <w:vAlign w:val="bottom"/>
          </w:tcPr>
          <w:p>
            <w:pPr>
              <w:spacing w:after="0"/>
              <w:rPr>
                <w:sz w:val="1"/>
                <w:szCs w:val="1"/>
                <w:color w:val="auto"/>
              </w:rPr>
            </w:pPr>
          </w:p>
        </w:tc>
      </w:tr>
      <w:tr>
        <w:trPr>
          <w:trHeight w:val="210"/>
        </w:trPr>
        <w:tc>
          <w:tcPr>
            <w:tcW w:w="8120" w:type="dxa"/>
            <w:vAlign w:val="bottom"/>
            <w:tcBorders>
              <w:bottom w:val="single" w:sz="8" w:color="E5FFFF"/>
            </w:tcBorders>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440" w:type="dxa"/>
            <w:vAlign w:val="bottom"/>
            <w:tcBorders>
              <w:bottom w:val="single" w:sz="8" w:color="E5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503,440</w:t>
            </w:r>
          </w:p>
        </w:tc>
        <w:tc>
          <w:tcPr>
            <w:tcW w:w="44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487,562</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tcBorders>
              <w:bottom w:val="single" w:sz="8" w:color="E5FFFF"/>
            </w:tcBorders>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40" w:type="dxa"/>
            <w:vAlign w:val="bottom"/>
            <w:tcBorders>
              <w:bottom w:val="single" w:sz="8" w:color="E5FFFF"/>
            </w:tcBorders>
            <w:shd w:val="clear" w:color="auto" w:fill="E5FFFF"/>
          </w:tcPr>
          <w:p>
            <w:pPr>
              <w:spacing w:after="0"/>
              <w:rPr>
                <w:sz w:val="19"/>
                <w:szCs w:val="19"/>
                <w:color w:val="auto"/>
              </w:rPr>
            </w:pPr>
          </w:p>
        </w:tc>
        <w:tc>
          <w:tcPr>
            <w:tcW w:w="180" w:type="dxa"/>
            <w:vAlign w:val="bottom"/>
            <w:tcBorders>
              <w:bottom w:val="single" w:sz="8" w:color="auto"/>
            </w:tcBorders>
            <w:shd w:val="clear" w:color="auto" w:fill="E5FF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559,870</w:t>
            </w:r>
          </w:p>
        </w:tc>
        <w:tc>
          <w:tcPr>
            <w:tcW w:w="440" w:type="dxa"/>
            <w:vAlign w:val="bottom"/>
            <w:tcBorders>
              <w:bottom w:val="single" w:sz="8" w:color="E5FFFF"/>
            </w:tcBorders>
            <w:shd w:val="clear" w:color="auto" w:fill="E5FFFF"/>
          </w:tcPr>
          <w:p>
            <w:pPr>
              <w:spacing w:after="0"/>
              <w:rPr>
                <w:sz w:val="19"/>
                <w:szCs w:val="19"/>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550,361</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r>
        <w:rPr>
          <w:rFonts w:ascii="Times New Roman" w:cs="Times New Roman" w:eastAsia="Times New Roman" w:hAnsi="Times New Roman"/>
          <w:sz w:val="19"/>
          <w:szCs w:val="19"/>
          <w:color w:val="auto"/>
        </w:rPr>
        <w: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 w:name="page4"/>
    <w:bookmarkEnd w:id="3"/>
    <w:p>
      <w:pPr>
        <w:ind w:right="5500"/>
        <w:spacing w:after="0" w:line="26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Condensed Statements of Operations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60" w:type="dxa"/>
            <w:vAlign w:val="bottom"/>
            <w:gridSpan w:val="8"/>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8"/>
                <w:szCs w:val="18"/>
                <w:color w:val="auto"/>
              </w:rPr>
            </w:pPr>
          </w:p>
        </w:tc>
        <w:tc>
          <w:tcPr>
            <w:tcW w:w="21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gridSpan w:val="2"/>
          </w:tcPr>
          <w:p>
            <w:pPr>
              <w:jc w:val="right"/>
              <w:ind w:right="190"/>
              <w:spacing w:after="0" w:line="198" w:lineRule="exact"/>
              <w:rPr>
                <w:sz w:val="20"/>
                <w:szCs w:val="20"/>
                <w:color w:val="auto"/>
              </w:rPr>
            </w:pPr>
            <w:r>
              <w:rPr>
                <w:rFonts w:ascii="Times New Roman" w:cs="Times New Roman" w:eastAsia="Times New Roman" w:hAnsi="Times New Roman"/>
                <w:sz w:val="18"/>
                <w:szCs w:val="18"/>
                <w:b w:val="1"/>
                <w:bCs w:val="1"/>
                <w:color w:val="auto"/>
                <w:w w:val="94"/>
              </w:rPr>
              <w:t>2022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b w:val="1"/>
                <w:bCs w:val="1"/>
                <w:color w:val="auto"/>
                <w:w w:val="94"/>
              </w:rPr>
              <w:t>2021</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w w:val="94"/>
              </w:rPr>
              <w:t>2022</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w w:val="94"/>
              </w:rPr>
              <w:t>2021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580" w:type="dxa"/>
            <w:vAlign w:val="bottom"/>
            <w:gridSpan w:val="2"/>
            <w:shd w:val="clear" w:color="auto" w:fill="E5FF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240,328</w:t>
            </w:r>
          </w:p>
        </w:tc>
        <w:tc>
          <w:tcPr>
            <w:tcW w:w="620" w:type="dxa"/>
            <w:vAlign w:val="bottom"/>
            <w:gridSpan w:val="2"/>
            <w:shd w:val="clear" w:color="auto" w:fill="E5FF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195,678</w:t>
            </w:r>
          </w:p>
        </w:tc>
        <w:tc>
          <w:tcPr>
            <w:tcW w:w="380" w:type="dxa"/>
            <w:vAlign w:val="bottom"/>
            <w:shd w:val="clear" w:color="auto" w:fill="E5FF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434,556</w:t>
            </w:r>
          </w:p>
        </w:tc>
        <w:tc>
          <w:tcPr>
            <w:tcW w:w="360" w:type="dxa"/>
            <w:vAlign w:val="bottom"/>
            <w:shd w:val="clear" w:color="auto" w:fill="E5FF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359,720</w:t>
            </w:r>
          </w:p>
        </w:tc>
        <w:tc>
          <w:tcPr>
            <w:tcW w:w="0" w:type="dxa"/>
            <w:vAlign w:val="bottom"/>
          </w:tcPr>
          <w:p>
            <w:pPr>
              <w:spacing w:after="0"/>
              <w:rPr>
                <w:sz w:val="1"/>
                <w:szCs w:val="1"/>
                <w:color w:val="auto"/>
              </w:rPr>
            </w:pPr>
          </w:p>
        </w:tc>
      </w:tr>
      <w:tr>
        <w:trPr>
          <w:trHeight w:val="198"/>
        </w:trPr>
        <w:tc>
          <w:tcPr>
            <w:tcW w:w="5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sales (includes $35,319 and $20,650 with related parties for the</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quarters ended July 31, 2022 and 2021, respectively, and $66,077 and</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$37,383 with related parties for the six months ended July 31, 2022 and</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 respectively)</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223,744</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181,524</w:t>
            </w:r>
          </w:p>
        </w:tc>
        <w:tc>
          <w:tcPr>
            <w:tcW w:w="380" w:type="dxa"/>
            <w:vAlign w:val="bottom"/>
          </w:tcPr>
          <w:p>
            <w:pPr>
              <w:spacing w:after="0"/>
              <w:rPr>
                <w:sz w:val="21"/>
                <w:szCs w:val="21"/>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406,060</w:t>
            </w:r>
          </w:p>
        </w:tc>
        <w:tc>
          <w:tcPr>
            <w:tcW w:w="360" w:type="dxa"/>
            <w:vAlign w:val="bottom"/>
          </w:tcPr>
          <w:p>
            <w:pPr>
              <w:spacing w:after="0"/>
              <w:rPr>
                <w:sz w:val="21"/>
                <w:szCs w:val="21"/>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326,089</w:t>
            </w:r>
          </w:p>
        </w:tc>
        <w:tc>
          <w:tcPr>
            <w:tcW w:w="0" w:type="dxa"/>
            <w:vAlign w:val="bottom"/>
          </w:tcPr>
          <w:p>
            <w:pPr>
              <w:spacing w:after="0"/>
              <w:rPr>
                <w:sz w:val="1"/>
                <w:szCs w:val="1"/>
                <w:color w:val="auto"/>
              </w:rPr>
            </w:pPr>
          </w:p>
        </w:tc>
      </w:tr>
      <w:tr>
        <w:trPr>
          <w:trHeight w:val="209"/>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16,584</w:t>
            </w:r>
          </w:p>
        </w:tc>
        <w:tc>
          <w:tcPr>
            <w:tcW w:w="24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108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14,154</w:t>
            </w:r>
          </w:p>
        </w:tc>
        <w:tc>
          <w:tcPr>
            <w:tcW w:w="380" w:type="dxa"/>
            <w:vAlign w:val="bottom"/>
            <w:shd w:val="clear" w:color="auto" w:fill="E5FFFF"/>
          </w:tcPr>
          <w:p>
            <w:pPr>
              <w:spacing w:after="0"/>
              <w:rPr>
                <w:sz w:val="18"/>
                <w:szCs w:val="18"/>
                <w:color w:val="auto"/>
              </w:rPr>
            </w:pPr>
          </w:p>
        </w:tc>
        <w:tc>
          <w:tcPr>
            <w:tcW w:w="106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28,496</w:t>
            </w:r>
          </w:p>
        </w:tc>
        <w:tc>
          <w:tcPr>
            <w:tcW w:w="360" w:type="dxa"/>
            <w:vAlign w:val="bottom"/>
            <w:shd w:val="clear" w:color="auto" w:fill="E5FFFF"/>
          </w:tcPr>
          <w:p>
            <w:pPr>
              <w:spacing w:after="0"/>
              <w:rPr>
                <w:sz w:val="18"/>
                <w:szCs w:val="18"/>
                <w:color w:val="auto"/>
              </w:rPr>
            </w:pPr>
          </w:p>
        </w:tc>
        <w:tc>
          <w:tcPr>
            <w:tcW w:w="74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33,631</w:t>
            </w:r>
          </w:p>
        </w:tc>
        <w:tc>
          <w:tcPr>
            <w:tcW w:w="0" w:type="dxa"/>
            <w:vAlign w:val="bottom"/>
          </w:tcPr>
          <w:p>
            <w:pPr>
              <w:spacing w:after="0"/>
              <w:rPr>
                <w:sz w:val="1"/>
                <w:szCs w:val="1"/>
                <w:color w:val="auto"/>
              </w:rPr>
            </w:pPr>
          </w:p>
        </w:tc>
      </w:tr>
      <w:tr>
        <w:trPr>
          <w:trHeight w:val="432"/>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(9,148)</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(6,231)</w:t>
            </w:r>
          </w:p>
        </w:tc>
        <w:tc>
          <w:tcPr>
            <w:tcW w:w="380" w:type="dxa"/>
            <w:vAlign w:val="bottom"/>
          </w:tcPr>
          <w:p>
            <w:pPr>
              <w:spacing w:after="0"/>
              <w:rPr>
                <w:sz w:val="24"/>
                <w:szCs w:val="24"/>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w w:val="97"/>
              </w:rPr>
              <w:t>(14,351)</w:t>
            </w:r>
          </w:p>
        </w:tc>
        <w:tc>
          <w:tcPr>
            <w:tcW w:w="360" w:type="dxa"/>
            <w:vAlign w:val="bottom"/>
          </w:tcPr>
          <w:p>
            <w:pPr>
              <w:spacing w:after="0"/>
              <w:rPr>
                <w:sz w:val="24"/>
                <w:szCs w:val="2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(16,134)</w:t>
            </w: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18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3,598</w:t>
            </w:r>
          </w:p>
        </w:tc>
        <w:tc>
          <w:tcPr>
            <w:tcW w:w="24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108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1,844</w:t>
            </w:r>
          </w:p>
        </w:tc>
        <w:tc>
          <w:tcPr>
            <w:tcW w:w="380" w:type="dxa"/>
            <w:vAlign w:val="bottom"/>
            <w:shd w:val="clear" w:color="auto" w:fill="E5FFFF"/>
          </w:tcPr>
          <w:p>
            <w:pPr>
              <w:spacing w:after="0"/>
              <w:rPr>
                <w:sz w:val="18"/>
                <w:szCs w:val="18"/>
                <w:color w:val="auto"/>
              </w:rPr>
            </w:pPr>
          </w:p>
        </w:tc>
        <w:tc>
          <w:tcPr>
            <w:tcW w:w="106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5,549</w:t>
            </w:r>
          </w:p>
        </w:tc>
        <w:tc>
          <w:tcPr>
            <w:tcW w:w="360" w:type="dxa"/>
            <w:vAlign w:val="bottom"/>
            <w:shd w:val="clear" w:color="auto" w:fill="E5FFFF"/>
          </w:tcPr>
          <w:p>
            <w:pPr>
              <w:spacing w:after="0"/>
              <w:rPr>
                <w:sz w:val="18"/>
                <w:szCs w:val="18"/>
                <w:color w:val="auto"/>
              </w:rPr>
            </w:pPr>
          </w:p>
        </w:tc>
        <w:tc>
          <w:tcPr>
            <w:tcW w:w="74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2,414</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8,181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39</w:t>
            </w:r>
          </w:p>
        </w:tc>
        <w:tc>
          <w:tcPr>
            <w:tcW w:w="380" w:type="dxa"/>
            <w:vAlign w:val="bottom"/>
          </w:tcPr>
          <w:p>
            <w:pPr>
              <w:spacing w:after="0"/>
              <w:rPr>
                <w:sz w:val="19"/>
                <w:szCs w:val="19"/>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8,355</w:t>
            </w:r>
          </w:p>
        </w:tc>
        <w:tc>
          <w:tcPr>
            <w:tcW w:w="36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9"/>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19,215</w:t>
            </w:r>
          </w:p>
        </w:tc>
        <w:tc>
          <w:tcPr>
            <w:tcW w:w="24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108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9,806</w:t>
            </w:r>
          </w:p>
        </w:tc>
        <w:tc>
          <w:tcPr>
            <w:tcW w:w="380" w:type="dxa"/>
            <w:vAlign w:val="bottom"/>
            <w:shd w:val="clear" w:color="auto" w:fill="E5FFFF"/>
          </w:tcPr>
          <w:p>
            <w:pPr>
              <w:spacing w:after="0"/>
              <w:rPr>
                <w:sz w:val="18"/>
                <w:szCs w:val="18"/>
                <w:color w:val="auto"/>
              </w:rPr>
            </w:pPr>
          </w:p>
        </w:tc>
        <w:tc>
          <w:tcPr>
            <w:tcW w:w="106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28,049</w:t>
            </w:r>
          </w:p>
        </w:tc>
        <w:tc>
          <w:tcPr>
            <w:tcW w:w="360" w:type="dxa"/>
            <w:vAlign w:val="bottom"/>
            <w:shd w:val="clear" w:color="auto" w:fill="E5FFFF"/>
          </w:tcPr>
          <w:p>
            <w:pPr>
              <w:spacing w:after="0"/>
              <w:rPr>
                <w:sz w:val="18"/>
                <w:szCs w:val="18"/>
                <w:color w:val="auto"/>
              </w:rPr>
            </w:pPr>
          </w:p>
        </w:tc>
        <w:tc>
          <w:tcPr>
            <w:tcW w:w="74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19,993</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(4,330)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(1,767)</w:t>
            </w:r>
          </w:p>
        </w:tc>
        <w:tc>
          <w:tcPr>
            <w:tcW w:w="380" w:type="dxa"/>
            <w:vAlign w:val="bottom"/>
          </w:tcPr>
          <w:p>
            <w:pPr>
              <w:spacing w:after="0"/>
              <w:rPr>
                <w:sz w:val="19"/>
                <w:szCs w:val="19"/>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(6,178)</w:t>
            </w:r>
          </w:p>
        </w:tc>
        <w:tc>
          <w:tcPr>
            <w:tcW w:w="36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(3,991)</w:t>
            </w:r>
          </w:p>
        </w:tc>
        <w:tc>
          <w:tcPr>
            <w:tcW w:w="0" w:type="dxa"/>
            <w:vAlign w:val="bottom"/>
          </w:tcPr>
          <w:p>
            <w:pPr>
              <w:spacing w:after="0"/>
              <w:rPr>
                <w:sz w:val="1"/>
                <w:szCs w:val="1"/>
                <w:color w:val="auto"/>
              </w:rPr>
            </w:pPr>
          </w:p>
        </w:tc>
      </w:tr>
      <w:tr>
        <w:trPr>
          <w:trHeight w:val="209"/>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8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14,885</w:t>
            </w:r>
          </w:p>
        </w:tc>
        <w:tc>
          <w:tcPr>
            <w:tcW w:w="24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108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8,039</w:t>
            </w:r>
          </w:p>
        </w:tc>
        <w:tc>
          <w:tcPr>
            <w:tcW w:w="380" w:type="dxa"/>
            <w:vAlign w:val="bottom"/>
            <w:shd w:val="clear" w:color="auto" w:fill="E5FFFF"/>
          </w:tcPr>
          <w:p>
            <w:pPr>
              <w:spacing w:after="0"/>
              <w:rPr>
                <w:sz w:val="18"/>
                <w:szCs w:val="18"/>
                <w:color w:val="auto"/>
              </w:rPr>
            </w:pPr>
          </w:p>
        </w:tc>
        <w:tc>
          <w:tcPr>
            <w:tcW w:w="106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21,871</w:t>
            </w:r>
          </w:p>
        </w:tc>
        <w:tc>
          <w:tcPr>
            <w:tcW w:w="360" w:type="dxa"/>
            <w:vAlign w:val="bottom"/>
            <w:shd w:val="clear" w:color="auto" w:fill="E5FFFF"/>
          </w:tcPr>
          <w:p>
            <w:pPr>
              <w:spacing w:after="0"/>
              <w:rPr>
                <w:sz w:val="18"/>
                <w:szCs w:val="18"/>
                <w:color w:val="auto"/>
              </w:rPr>
            </w:pPr>
          </w:p>
        </w:tc>
        <w:tc>
          <w:tcPr>
            <w:tcW w:w="74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16,002</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 (continuing operations)</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(3,715)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(2,329)</w:t>
            </w:r>
          </w:p>
        </w:tc>
        <w:tc>
          <w:tcPr>
            <w:tcW w:w="380" w:type="dxa"/>
            <w:vAlign w:val="bottom"/>
          </w:tcPr>
          <w:p>
            <w:pPr>
              <w:spacing w:after="0"/>
              <w:rPr>
                <w:sz w:val="19"/>
                <w:szCs w:val="19"/>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(5,519)</w:t>
            </w:r>
          </w:p>
        </w:tc>
        <w:tc>
          <w:tcPr>
            <w:tcW w:w="36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(3,023)</w:t>
            </w:r>
          </w:p>
        </w:tc>
        <w:tc>
          <w:tcPr>
            <w:tcW w:w="0" w:type="dxa"/>
            <w:vAlign w:val="bottom"/>
          </w:tcPr>
          <w:p>
            <w:pPr>
              <w:spacing w:after="0"/>
              <w:rPr>
                <w:sz w:val="1"/>
                <w:szCs w:val="1"/>
                <w:color w:val="auto"/>
              </w:rPr>
            </w:pPr>
          </w:p>
        </w:tc>
      </w:tr>
      <w:tr>
        <w:trPr>
          <w:trHeight w:val="178"/>
        </w:trPr>
        <w:tc>
          <w:tcPr>
            <w:tcW w:w="5560" w:type="dxa"/>
            <w:vAlign w:val="bottom"/>
            <w:tcBorders>
              <w:top w:val="single" w:sz="8" w:color="E5FFFF"/>
            </w:tcBorders>
            <w:shd w:val="clear" w:color="auto" w:fill="E5FFFF"/>
          </w:tcPr>
          <w:p>
            <w:pPr>
              <w:spacing w:after="0" w:line="177" w:lineRule="exact"/>
              <w:rPr>
                <w:sz w:val="20"/>
                <w:szCs w:val="20"/>
                <w:color w:val="auto"/>
              </w:rPr>
            </w:pPr>
            <w:r>
              <w:rPr>
                <w:rFonts w:ascii="Times New Roman" w:cs="Times New Roman" w:eastAsia="Times New Roman" w:hAnsi="Times New Roman"/>
                <w:sz w:val="18"/>
                <w:szCs w:val="18"/>
                <w:color w:val="auto"/>
              </w:rPr>
              <w:t>Net income attributable to REX common shareholders (continuing</w:t>
            </w:r>
          </w:p>
        </w:tc>
        <w:tc>
          <w:tcPr>
            <w:tcW w:w="180" w:type="dxa"/>
            <w:vAlign w:val="bottom"/>
            <w:tcBorders>
              <w:top w:val="single" w:sz="8" w:color="E5FFFF"/>
            </w:tcBorders>
            <w:shd w:val="clear" w:color="auto" w:fill="E5FFFF"/>
          </w:tcPr>
          <w:p>
            <w:pPr>
              <w:spacing w:after="0"/>
              <w:rPr>
                <w:sz w:val="15"/>
                <w:szCs w:val="15"/>
                <w:color w:val="auto"/>
              </w:rPr>
            </w:pPr>
          </w:p>
        </w:tc>
        <w:tc>
          <w:tcPr>
            <w:tcW w:w="400" w:type="dxa"/>
            <w:vAlign w:val="bottom"/>
            <w:tcBorders>
              <w:top w:val="single" w:sz="8" w:color="auto"/>
            </w:tcBorders>
            <w:shd w:val="clear" w:color="auto" w:fill="E5FFFF"/>
          </w:tcPr>
          <w:p>
            <w:pPr>
              <w:spacing w:after="0"/>
              <w:rPr>
                <w:sz w:val="15"/>
                <w:szCs w:val="15"/>
                <w:color w:val="auto"/>
              </w:rPr>
            </w:pPr>
          </w:p>
        </w:tc>
        <w:tc>
          <w:tcPr>
            <w:tcW w:w="360" w:type="dxa"/>
            <w:vAlign w:val="bottom"/>
            <w:tcBorders>
              <w:top w:val="single" w:sz="8" w:color="auto"/>
            </w:tcBorders>
            <w:shd w:val="clear" w:color="auto" w:fill="E5FFFF"/>
          </w:tcPr>
          <w:p>
            <w:pPr>
              <w:spacing w:after="0"/>
              <w:rPr>
                <w:sz w:val="15"/>
                <w:szCs w:val="15"/>
                <w:color w:val="auto"/>
              </w:rPr>
            </w:pPr>
          </w:p>
        </w:tc>
        <w:tc>
          <w:tcPr>
            <w:tcW w:w="28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380" w:type="dxa"/>
            <w:vAlign w:val="bottom"/>
            <w:tcBorders>
              <w:top w:val="single" w:sz="8" w:color="auto"/>
            </w:tcBorders>
            <w:shd w:val="clear" w:color="auto" w:fill="E5FFFF"/>
          </w:tcPr>
          <w:p>
            <w:pPr>
              <w:spacing w:after="0"/>
              <w:rPr>
                <w:sz w:val="15"/>
                <w:szCs w:val="15"/>
                <w:color w:val="auto"/>
              </w:rPr>
            </w:pPr>
          </w:p>
        </w:tc>
        <w:tc>
          <w:tcPr>
            <w:tcW w:w="360" w:type="dxa"/>
            <w:vAlign w:val="bottom"/>
            <w:tcBorders>
              <w:top w:val="single" w:sz="8" w:color="auto"/>
            </w:tcBorders>
            <w:shd w:val="clear" w:color="auto" w:fill="E5FFFF"/>
          </w:tcPr>
          <w:p>
            <w:pPr>
              <w:spacing w:after="0"/>
              <w:rPr>
                <w:sz w:val="15"/>
                <w:szCs w:val="15"/>
                <w:color w:val="auto"/>
              </w:rPr>
            </w:pPr>
          </w:p>
        </w:tc>
        <w:tc>
          <w:tcPr>
            <w:tcW w:w="280" w:type="dxa"/>
            <w:vAlign w:val="bottom"/>
            <w:tcBorders>
              <w:top w:val="single" w:sz="8" w:color="auto"/>
            </w:tcBorders>
            <w:shd w:val="clear" w:color="auto" w:fill="E5FFFF"/>
          </w:tcPr>
          <w:p>
            <w:pPr>
              <w:spacing w:after="0"/>
              <w:rPr>
                <w:sz w:val="15"/>
                <w:szCs w:val="15"/>
                <w:color w:val="auto"/>
              </w:rPr>
            </w:pPr>
          </w:p>
        </w:tc>
        <w:tc>
          <w:tcPr>
            <w:tcW w:w="440" w:type="dxa"/>
            <w:vAlign w:val="bottom"/>
            <w:tcBorders>
              <w:top w:val="single" w:sz="8" w:color="E5FFFF"/>
            </w:tcBorders>
            <w:shd w:val="clear" w:color="auto" w:fill="E5FFFF"/>
          </w:tcPr>
          <w:p>
            <w:pPr>
              <w:spacing w:after="0"/>
              <w:rPr>
                <w:sz w:val="15"/>
                <w:szCs w:val="15"/>
                <w:color w:val="auto"/>
              </w:rPr>
            </w:pPr>
          </w:p>
        </w:tc>
        <w:tc>
          <w:tcPr>
            <w:tcW w:w="380" w:type="dxa"/>
            <w:vAlign w:val="bottom"/>
            <w:tcBorders>
              <w:top w:val="single" w:sz="8" w:color="auto"/>
            </w:tcBorders>
            <w:shd w:val="clear" w:color="auto" w:fill="E5FFFF"/>
          </w:tcPr>
          <w:p>
            <w:pPr>
              <w:spacing w:after="0"/>
              <w:rPr>
                <w:sz w:val="15"/>
                <w:szCs w:val="15"/>
                <w:color w:val="auto"/>
              </w:rPr>
            </w:pPr>
          </w:p>
        </w:tc>
        <w:tc>
          <w:tcPr>
            <w:tcW w:w="360" w:type="dxa"/>
            <w:vAlign w:val="bottom"/>
            <w:tcBorders>
              <w:top w:val="single" w:sz="8" w:color="auto"/>
            </w:tcBorders>
            <w:shd w:val="clear" w:color="auto" w:fill="E5FFFF"/>
          </w:tcPr>
          <w:p>
            <w:pPr>
              <w:spacing w:after="0"/>
              <w:rPr>
                <w:sz w:val="15"/>
                <w:szCs w:val="15"/>
                <w:color w:val="auto"/>
              </w:rPr>
            </w:pPr>
          </w:p>
        </w:tc>
        <w:tc>
          <w:tcPr>
            <w:tcW w:w="260" w:type="dxa"/>
            <w:vAlign w:val="bottom"/>
            <w:tcBorders>
              <w:top w:val="single" w:sz="8" w:color="auto"/>
            </w:tcBorders>
            <w:shd w:val="clear" w:color="auto" w:fill="E5FFFF"/>
          </w:tcPr>
          <w:p>
            <w:pPr>
              <w:spacing w:after="0"/>
              <w:rPr>
                <w:sz w:val="15"/>
                <w:szCs w:val="15"/>
                <w:color w:val="auto"/>
              </w:rPr>
            </w:pPr>
          </w:p>
        </w:tc>
        <w:tc>
          <w:tcPr>
            <w:tcW w:w="440" w:type="dxa"/>
            <w:vAlign w:val="bottom"/>
            <w:tcBorders>
              <w:top w:val="single" w:sz="8" w:color="E5FFFF"/>
            </w:tcBorders>
            <w:shd w:val="clear" w:color="auto" w:fill="E5FFFF"/>
          </w:tcPr>
          <w:p>
            <w:pPr>
              <w:spacing w:after="0"/>
              <w:rPr>
                <w:sz w:val="15"/>
                <w:szCs w:val="15"/>
                <w:color w:val="auto"/>
              </w:rPr>
            </w:pPr>
          </w:p>
        </w:tc>
        <w:tc>
          <w:tcPr>
            <w:tcW w:w="360" w:type="dxa"/>
            <w:vAlign w:val="bottom"/>
            <w:tcBorders>
              <w:top w:val="single" w:sz="8" w:color="auto"/>
            </w:tcBorders>
            <w:shd w:val="clear" w:color="auto" w:fill="E5FFFF"/>
          </w:tcPr>
          <w:p>
            <w:pPr>
              <w:spacing w:after="0"/>
              <w:rPr>
                <w:sz w:val="15"/>
                <w:szCs w:val="15"/>
                <w:color w:val="auto"/>
              </w:rPr>
            </w:pPr>
          </w:p>
        </w:tc>
        <w:tc>
          <w:tcPr>
            <w:tcW w:w="360" w:type="dxa"/>
            <w:vAlign w:val="bottom"/>
            <w:tcBorders>
              <w:top w:val="single" w:sz="8" w:color="auto"/>
            </w:tcBorders>
            <w:shd w:val="clear" w:color="auto" w:fill="E5FFFF"/>
          </w:tcPr>
          <w:p>
            <w:pPr>
              <w:spacing w:after="0"/>
              <w:rPr>
                <w:sz w:val="15"/>
                <w:szCs w:val="15"/>
                <w:color w:val="auto"/>
              </w:rPr>
            </w:pPr>
          </w:p>
        </w:tc>
        <w:tc>
          <w:tcPr>
            <w:tcW w:w="28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56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shd w:val="clear" w:color="auto" w:fill="E5FFFF"/>
          </w:tcPr>
          <w:p>
            <w:pPr>
              <w:spacing w:after="0"/>
              <w:rPr>
                <w:sz w:val="20"/>
                <w:szCs w:val="20"/>
                <w:color w:val="auto"/>
              </w:rPr>
            </w:pPr>
          </w:p>
        </w:tc>
        <w:tc>
          <w:tcPr>
            <w:tcW w:w="400" w:type="dxa"/>
            <w:vAlign w:val="bottom"/>
            <w:shd w:val="clear" w:color="auto" w:fill="E5FFFF"/>
          </w:tcPr>
          <w:p>
            <w:pPr>
              <w:spacing w:after="0"/>
              <w:rPr>
                <w:sz w:val="20"/>
                <w:szCs w:val="20"/>
                <w:color w:val="auto"/>
              </w:rPr>
            </w:pPr>
          </w:p>
        </w:tc>
        <w:tc>
          <w:tcPr>
            <w:tcW w:w="86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11,170</w:t>
            </w:r>
          </w:p>
        </w:tc>
        <w:tc>
          <w:tcPr>
            <w:tcW w:w="240" w:type="dxa"/>
            <w:vAlign w:val="bottom"/>
            <w:shd w:val="clear" w:color="auto" w:fill="E5FFFF"/>
          </w:tcPr>
          <w:p>
            <w:pPr>
              <w:spacing w:after="0"/>
              <w:rPr>
                <w:sz w:val="20"/>
                <w:szCs w:val="20"/>
                <w:color w:val="auto"/>
              </w:rPr>
            </w:pPr>
          </w:p>
        </w:tc>
        <w:tc>
          <w:tcPr>
            <w:tcW w:w="380" w:type="dxa"/>
            <w:vAlign w:val="bottom"/>
            <w:shd w:val="clear" w:color="auto" w:fill="E5FFFF"/>
          </w:tcPr>
          <w:p>
            <w:pPr>
              <w:spacing w:after="0"/>
              <w:rPr>
                <w:sz w:val="20"/>
                <w:szCs w:val="20"/>
                <w:color w:val="auto"/>
              </w:rPr>
            </w:pPr>
          </w:p>
        </w:tc>
        <w:tc>
          <w:tcPr>
            <w:tcW w:w="108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5,710</w:t>
            </w:r>
          </w:p>
        </w:tc>
        <w:tc>
          <w:tcPr>
            <w:tcW w:w="380" w:type="dxa"/>
            <w:vAlign w:val="bottom"/>
            <w:shd w:val="clear" w:color="auto" w:fill="E5FFFF"/>
          </w:tcPr>
          <w:p>
            <w:pPr>
              <w:spacing w:after="0"/>
              <w:rPr>
                <w:sz w:val="20"/>
                <w:szCs w:val="20"/>
                <w:color w:val="auto"/>
              </w:rPr>
            </w:pPr>
          </w:p>
        </w:tc>
        <w:tc>
          <w:tcPr>
            <w:tcW w:w="106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16,352</w:t>
            </w:r>
          </w:p>
        </w:tc>
        <w:tc>
          <w:tcPr>
            <w:tcW w:w="360" w:type="dxa"/>
            <w:vAlign w:val="bottom"/>
            <w:shd w:val="clear" w:color="auto" w:fill="E5FFFF"/>
          </w:tcPr>
          <w:p>
            <w:pPr>
              <w:spacing w:after="0"/>
              <w:rPr>
                <w:sz w:val="20"/>
                <w:szCs w:val="20"/>
                <w:color w:val="auto"/>
              </w:rPr>
            </w:pPr>
          </w:p>
        </w:tc>
        <w:tc>
          <w:tcPr>
            <w:tcW w:w="74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12,979</w:t>
            </w:r>
          </w:p>
        </w:tc>
        <w:tc>
          <w:tcPr>
            <w:tcW w:w="0" w:type="dxa"/>
            <w:vAlign w:val="bottom"/>
          </w:tcPr>
          <w:p>
            <w:pPr>
              <w:spacing w:after="0"/>
              <w:rPr>
                <w:sz w:val="1"/>
                <w:szCs w:val="1"/>
                <w:color w:val="auto"/>
              </w:rPr>
            </w:pPr>
          </w:p>
        </w:tc>
      </w:tr>
      <w:tr>
        <w:trPr>
          <w:trHeight w:val="41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discontinued operations, net of tax (includes expense of</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$154 with related parties for the quarter ended July 31, 2021 and $191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related parties for the six months ended July 31, 2021)</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2,013</w:t>
            </w:r>
          </w:p>
        </w:tc>
        <w:tc>
          <w:tcPr>
            <w:tcW w:w="380" w:type="dxa"/>
            <w:vAlign w:val="bottom"/>
          </w:tcPr>
          <w:p>
            <w:pPr>
              <w:spacing w:after="0"/>
              <w:rPr>
                <w:sz w:val="20"/>
                <w:szCs w:val="20"/>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2,448</w:t>
            </w:r>
          </w:p>
        </w:tc>
        <w:tc>
          <w:tcPr>
            <w:tcW w:w="0" w:type="dxa"/>
            <w:vAlign w:val="bottom"/>
          </w:tcPr>
          <w:p>
            <w:pPr>
              <w:spacing w:after="0"/>
              <w:rPr>
                <w:sz w:val="1"/>
                <w:szCs w:val="1"/>
                <w:color w:val="auto"/>
              </w:rPr>
            </w:pPr>
          </w:p>
        </w:tc>
      </w:tr>
      <w:tr>
        <w:trPr>
          <w:trHeight w:val="230"/>
        </w:trPr>
        <w:tc>
          <w:tcPr>
            <w:tcW w:w="5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 (discontinued operations)</w:t>
            </w:r>
          </w:p>
        </w:tc>
        <w:tc>
          <w:tcPr>
            <w:tcW w:w="180" w:type="dxa"/>
            <w:vAlign w:val="bottom"/>
            <w:shd w:val="clear" w:color="auto" w:fill="E5FFFF"/>
          </w:tcPr>
          <w:p>
            <w:pPr>
              <w:spacing w:after="0"/>
              <w:rPr>
                <w:sz w:val="19"/>
                <w:szCs w:val="19"/>
                <w:color w:val="auto"/>
              </w:rPr>
            </w:pPr>
          </w:p>
        </w:tc>
        <w:tc>
          <w:tcPr>
            <w:tcW w:w="400" w:type="dxa"/>
            <w:vAlign w:val="bottom"/>
            <w:shd w:val="clear" w:color="auto" w:fill="E5FFFF"/>
          </w:tcPr>
          <w:p>
            <w:pPr>
              <w:spacing w:after="0"/>
              <w:rPr>
                <w:sz w:val="19"/>
                <w:szCs w:val="19"/>
                <w:color w:val="auto"/>
              </w:rPr>
            </w:pPr>
          </w:p>
        </w:tc>
        <w:tc>
          <w:tcPr>
            <w:tcW w:w="86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5FFFF"/>
          </w:tcPr>
          <w:p>
            <w:pPr>
              <w:spacing w:after="0"/>
              <w:rPr>
                <w:sz w:val="19"/>
                <w:szCs w:val="19"/>
                <w:color w:val="auto"/>
              </w:rPr>
            </w:pPr>
          </w:p>
        </w:tc>
        <w:tc>
          <w:tcPr>
            <w:tcW w:w="380" w:type="dxa"/>
            <w:vAlign w:val="bottom"/>
            <w:shd w:val="clear" w:color="auto" w:fill="E5FFFF"/>
          </w:tcPr>
          <w:p>
            <w:pPr>
              <w:spacing w:after="0"/>
              <w:rPr>
                <w:sz w:val="19"/>
                <w:szCs w:val="19"/>
                <w:color w:val="auto"/>
              </w:rPr>
            </w:pPr>
          </w:p>
        </w:tc>
        <w:tc>
          <w:tcPr>
            <w:tcW w:w="108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153</w:t>
            </w:r>
          </w:p>
        </w:tc>
        <w:tc>
          <w:tcPr>
            <w:tcW w:w="380" w:type="dxa"/>
            <w:vAlign w:val="bottom"/>
            <w:shd w:val="clear" w:color="auto" w:fill="E5FFFF"/>
          </w:tcPr>
          <w:p>
            <w:pPr>
              <w:spacing w:after="0"/>
              <w:rPr>
                <w:sz w:val="19"/>
                <w:szCs w:val="19"/>
                <w:color w:val="auto"/>
              </w:rPr>
            </w:pPr>
          </w:p>
        </w:tc>
        <w:tc>
          <w:tcPr>
            <w:tcW w:w="106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5FFFF"/>
          </w:tcPr>
          <w:p>
            <w:pPr>
              <w:spacing w:after="0"/>
              <w:rPr>
                <w:sz w:val="19"/>
                <w:szCs w:val="19"/>
                <w:color w:val="auto"/>
              </w:rPr>
            </w:pPr>
          </w:p>
        </w:tc>
        <w:tc>
          <w:tcPr>
            <w:tcW w:w="74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178"/>
        </w:trPr>
        <w:tc>
          <w:tcPr>
            <w:tcW w:w="55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Net income attributable to REX common shareholders (discontinued</w:t>
            </w:r>
          </w:p>
        </w:tc>
        <w:tc>
          <w:tcPr>
            <w:tcW w:w="1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2,166</w:t>
            </w:r>
          </w:p>
        </w:tc>
        <w:tc>
          <w:tcPr>
            <w:tcW w:w="380" w:type="dxa"/>
            <w:vAlign w:val="bottom"/>
          </w:tcPr>
          <w:p>
            <w:pPr>
              <w:spacing w:after="0"/>
              <w:rPr>
                <w:sz w:val="21"/>
                <w:szCs w:val="21"/>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2,681</w:t>
            </w: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w:t>
            </w:r>
          </w:p>
        </w:tc>
        <w:tc>
          <w:tcPr>
            <w:tcW w:w="180" w:type="dxa"/>
            <w:vAlign w:val="bottom"/>
            <w:shd w:val="clear" w:color="auto" w:fill="E5FFFF"/>
          </w:tcPr>
          <w:p>
            <w:pPr>
              <w:spacing w:after="0"/>
              <w:rPr>
                <w:sz w:val="21"/>
                <w:szCs w:val="21"/>
                <w:color w:val="auto"/>
              </w:rPr>
            </w:pPr>
          </w:p>
        </w:tc>
        <w:tc>
          <w:tcPr>
            <w:tcW w:w="400" w:type="dxa"/>
            <w:vAlign w:val="bottom"/>
            <w:shd w:val="clear" w:color="auto" w:fill="E5FF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22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7,876</w:t>
            </w:r>
          </w:p>
        </w:tc>
        <w:tc>
          <w:tcPr>
            <w:tcW w:w="380" w:type="dxa"/>
            <w:vAlign w:val="bottom"/>
            <w:shd w:val="clear" w:color="auto" w:fill="E5FF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16,352</w:t>
            </w:r>
          </w:p>
        </w:tc>
        <w:tc>
          <w:tcPr>
            <w:tcW w:w="360" w:type="dxa"/>
            <w:vAlign w:val="bottom"/>
            <w:shd w:val="clear" w:color="auto" w:fill="E5FF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15,660</w:t>
            </w:r>
          </w:p>
        </w:tc>
        <w:tc>
          <w:tcPr>
            <w:tcW w:w="0" w:type="dxa"/>
            <w:vAlign w:val="bottom"/>
          </w:tcPr>
          <w:p>
            <w:pPr>
              <w:spacing w:after="0"/>
              <w:rPr>
                <w:sz w:val="1"/>
                <w:szCs w:val="1"/>
                <w:color w:val="auto"/>
              </w:rPr>
            </w:pPr>
          </w:p>
        </w:tc>
      </w:tr>
      <w:tr>
        <w:trPr>
          <w:trHeight w:val="20"/>
        </w:trPr>
        <w:tc>
          <w:tcPr>
            <w:tcW w:w="556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8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17,772</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18,034</w:t>
            </w:r>
          </w:p>
        </w:tc>
        <w:tc>
          <w:tcPr>
            <w:tcW w:w="380" w:type="dxa"/>
            <w:vAlign w:val="bottom"/>
          </w:tcPr>
          <w:p>
            <w:pPr>
              <w:spacing w:after="0"/>
              <w:rPr>
                <w:sz w:val="24"/>
                <w:szCs w:val="24"/>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17,777</w:t>
            </w:r>
          </w:p>
        </w:tc>
        <w:tc>
          <w:tcPr>
            <w:tcW w:w="360" w:type="dxa"/>
            <w:vAlign w:val="bottom"/>
          </w:tcPr>
          <w:p>
            <w:pPr>
              <w:spacing w:after="0"/>
              <w:rPr>
                <w:sz w:val="24"/>
                <w:szCs w:val="2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18,031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60" w:type="dxa"/>
            <w:vAlign w:val="bottom"/>
            <w:shd w:val="clear" w:color="auto" w:fill="E5FF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income per share from continuing operations</w:t>
            </w:r>
          </w:p>
        </w:tc>
        <w:tc>
          <w:tcPr>
            <w:tcW w:w="18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6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attributable to REX common shareholders</w:t>
            </w:r>
          </w:p>
        </w:tc>
        <w:tc>
          <w:tcPr>
            <w:tcW w:w="580" w:type="dxa"/>
            <w:vAlign w:val="bottom"/>
            <w:gridSpan w:val="2"/>
            <w:shd w:val="clear" w:color="auto" w:fill="E5FF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0.63</w:t>
            </w:r>
          </w:p>
        </w:tc>
        <w:tc>
          <w:tcPr>
            <w:tcW w:w="620" w:type="dxa"/>
            <w:vAlign w:val="bottom"/>
            <w:gridSpan w:val="2"/>
            <w:shd w:val="clear" w:color="auto" w:fill="E5FF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0.32</w:t>
            </w:r>
          </w:p>
        </w:tc>
        <w:tc>
          <w:tcPr>
            <w:tcW w:w="380" w:type="dxa"/>
            <w:vAlign w:val="bottom"/>
            <w:shd w:val="clear" w:color="auto" w:fill="E5FF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0.92</w:t>
            </w:r>
          </w:p>
        </w:tc>
        <w:tc>
          <w:tcPr>
            <w:tcW w:w="360" w:type="dxa"/>
            <w:vAlign w:val="bottom"/>
            <w:shd w:val="clear" w:color="auto" w:fill="E5FF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198"/>
        </w:trPr>
        <w:tc>
          <w:tcPr>
            <w:tcW w:w="5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income per share from discontinued operations</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REX common shareholders</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0.12</w:t>
            </w:r>
          </w:p>
        </w:tc>
        <w:tc>
          <w:tcPr>
            <w:tcW w:w="380" w:type="dxa"/>
            <w:vAlign w:val="bottom"/>
          </w:tcPr>
          <w:p>
            <w:pPr>
              <w:spacing w:after="0"/>
              <w:rPr>
                <w:sz w:val="21"/>
                <w:szCs w:val="21"/>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178"/>
        </w:trPr>
        <w:tc>
          <w:tcPr>
            <w:tcW w:w="5560" w:type="dxa"/>
            <w:vAlign w:val="bottom"/>
            <w:tcBorders>
              <w:top w:val="single" w:sz="8" w:color="E5FFFF"/>
            </w:tcBorders>
            <w:shd w:val="clear" w:color="auto" w:fill="E5FFFF"/>
          </w:tcPr>
          <w:p>
            <w:pPr>
              <w:spacing w:after="0" w:line="177" w:lineRule="exact"/>
              <w:rPr>
                <w:sz w:val="20"/>
                <w:szCs w:val="20"/>
                <w:color w:val="auto"/>
              </w:rPr>
            </w:pPr>
            <w:r>
              <w:rPr>
                <w:rFonts w:ascii="Times New Roman" w:cs="Times New Roman" w:eastAsia="Times New Roman" w:hAnsi="Times New Roman"/>
                <w:sz w:val="18"/>
                <w:szCs w:val="18"/>
                <w:color w:val="auto"/>
              </w:rPr>
              <w:t>Basic and diluted net income per share attributable to REX common</w:t>
            </w:r>
          </w:p>
        </w:tc>
        <w:tc>
          <w:tcPr>
            <w:tcW w:w="180" w:type="dxa"/>
            <w:vAlign w:val="bottom"/>
            <w:tcBorders>
              <w:top w:val="single" w:sz="8" w:color="E5FFFF"/>
            </w:tcBorders>
            <w:shd w:val="clear" w:color="auto" w:fill="E5FFFF"/>
          </w:tcPr>
          <w:p>
            <w:pPr>
              <w:spacing w:after="0"/>
              <w:rPr>
                <w:sz w:val="15"/>
                <w:szCs w:val="15"/>
                <w:color w:val="auto"/>
              </w:rPr>
            </w:pPr>
          </w:p>
        </w:tc>
        <w:tc>
          <w:tcPr>
            <w:tcW w:w="400" w:type="dxa"/>
            <w:vAlign w:val="bottom"/>
            <w:tcBorders>
              <w:top w:val="single" w:sz="8" w:color="auto"/>
            </w:tcBorders>
            <w:shd w:val="clear" w:color="auto" w:fill="E5FFFF"/>
          </w:tcPr>
          <w:p>
            <w:pPr>
              <w:spacing w:after="0"/>
              <w:rPr>
                <w:sz w:val="15"/>
                <w:szCs w:val="15"/>
                <w:color w:val="auto"/>
              </w:rPr>
            </w:pPr>
          </w:p>
        </w:tc>
        <w:tc>
          <w:tcPr>
            <w:tcW w:w="360" w:type="dxa"/>
            <w:vAlign w:val="bottom"/>
            <w:tcBorders>
              <w:top w:val="single" w:sz="8" w:color="auto"/>
            </w:tcBorders>
            <w:shd w:val="clear" w:color="auto" w:fill="E5FFFF"/>
          </w:tcPr>
          <w:p>
            <w:pPr>
              <w:spacing w:after="0"/>
              <w:rPr>
                <w:sz w:val="15"/>
                <w:szCs w:val="15"/>
                <w:color w:val="auto"/>
              </w:rPr>
            </w:pPr>
          </w:p>
        </w:tc>
        <w:tc>
          <w:tcPr>
            <w:tcW w:w="28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380" w:type="dxa"/>
            <w:vAlign w:val="bottom"/>
            <w:tcBorders>
              <w:top w:val="single" w:sz="8" w:color="auto"/>
            </w:tcBorders>
            <w:shd w:val="clear" w:color="auto" w:fill="E5FFFF"/>
          </w:tcPr>
          <w:p>
            <w:pPr>
              <w:spacing w:after="0"/>
              <w:rPr>
                <w:sz w:val="15"/>
                <w:szCs w:val="15"/>
                <w:color w:val="auto"/>
              </w:rPr>
            </w:pPr>
          </w:p>
        </w:tc>
        <w:tc>
          <w:tcPr>
            <w:tcW w:w="360" w:type="dxa"/>
            <w:vAlign w:val="bottom"/>
            <w:tcBorders>
              <w:top w:val="single" w:sz="8" w:color="auto"/>
            </w:tcBorders>
            <w:shd w:val="clear" w:color="auto" w:fill="E5FFFF"/>
          </w:tcPr>
          <w:p>
            <w:pPr>
              <w:spacing w:after="0"/>
              <w:rPr>
                <w:sz w:val="15"/>
                <w:szCs w:val="15"/>
                <w:color w:val="auto"/>
              </w:rPr>
            </w:pPr>
          </w:p>
        </w:tc>
        <w:tc>
          <w:tcPr>
            <w:tcW w:w="280" w:type="dxa"/>
            <w:vAlign w:val="bottom"/>
            <w:tcBorders>
              <w:top w:val="single" w:sz="8" w:color="auto"/>
            </w:tcBorders>
            <w:shd w:val="clear" w:color="auto" w:fill="E5FFFF"/>
          </w:tcPr>
          <w:p>
            <w:pPr>
              <w:spacing w:after="0"/>
              <w:rPr>
                <w:sz w:val="15"/>
                <w:szCs w:val="15"/>
                <w:color w:val="auto"/>
              </w:rPr>
            </w:pPr>
          </w:p>
        </w:tc>
        <w:tc>
          <w:tcPr>
            <w:tcW w:w="440" w:type="dxa"/>
            <w:vAlign w:val="bottom"/>
            <w:tcBorders>
              <w:top w:val="single" w:sz="8" w:color="E5FFFF"/>
            </w:tcBorders>
            <w:shd w:val="clear" w:color="auto" w:fill="E5FFFF"/>
          </w:tcPr>
          <w:p>
            <w:pPr>
              <w:spacing w:after="0"/>
              <w:rPr>
                <w:sz w:val="15"/>
                <w:szCs w:val="15"/>
                <w:color w:val="auto"/>
              </w:rPr>
            </w:pPr>
          </w:p>
        </w:tc>
        <w:tc>
          <w:tcPr>
            <w:tcW w:w="380" w:type="dxa"/>
            <w:vAlign w:val="bottom"/>
            <w:tcBorders>
              <w:top w:val="single" w:sz="8" w:color="auto"/>
            </w:tcBorders>
            <w:shd w:val="clear" w:color="auto" w:fill="E5FFFF"/>
          </w:tcPr>
          <w:p>
            <w:pPr>
              <w:spacing w:after="0"/>
              <w:rPr>
                <w:sz w:val="15"/>
                <w:szCs w:val="15"/>
                <w:color w:val="auto"/>
              </w:rPr>
            </w:pPr>
          </w:p>
        </w:tc>
        <w:tc>
          <w:tcPr>
            <w:tcW w:w="360" w:type="dxa"/>
            <w:vAlign w:val="bottom"/>
            <w:tcBorders>
              <w:top w:val="single" w:sz="8" w:color="auto"/>
            </w:tcBorders>
            <w:shd w:val="clear" w:color="auto" w:fill="E5FFFF"/>
          </w:tcPr>
          <w:p>
            <w:pPr>
              <w:spacing w:after="0"/>
              <w:rPr>
                <w:sz w:val="15"/>
                <w:szCs w:val="15"/>
                <w:color w:val="auto"/>
              </w:rPr>
            </w:pPr>
          </w:p>
        </w:tc>
        <w:tc>
          <w:tcPr>
            <w:tcW w:w="260" w:type="dxa"/>
            <w:vAlign w:val="bottom"/>
            <w:tcBorders>
              <w:top w:val="single" w:sz="8" w:color="auto"/>
            </w:tcBorders>
            <w:shd w:val="clear" w:color="auto" w:fill="E5FFFF"/>
          </w:tcPr>
          <w:p>
            <w:pPr>
              <w:spacing w:after="0"/>
              <w:rPr>
                <w:sz w:val="15"/>
                <w:szCs w:val="15"/>
                <w:color w:val="auto"/>
              </w:rPr>
            </w:pPr>
          </w:p>
        </w:tc>
        <w:tc>
          <w:tcPr>
            <w:tcW w:w="440" w:type="dxa"/>
            <w:vAlign w:val="bottom"/>
            <w:tcBorders>
              <w:top w:val="single" w:sz="8" w:color="E5FFFF"/>
            </w:tcBorders>
            <w:shd w:val="clear" w:color="auto" w:fill="E5FFFF"/>
          </w:tcPr>
          <w:p>
            <w:pPr>
              <w:spacing w:after="0"/>
              <w:rPr>
                <w:sz w:val="15"/>
                <w:szCs w:val="15"/>
                <w:color w:val="auto"/>
              </w:rPr>
            </w:pPr>
          </w:p>
        </w:tc>
        <w:tc>
          <w:tcPr>
            <w:tcW w:w="360" w:type="dxa"/>
            <w:vAlign w:val="bottom"/>
            <w:tcBorders>
              <w:top w:val="single" w:sz="8" w:color="auto"/>
            </w:tcBorders>
            <w:shd w:val="clear" w:color="auto" w:fill="E5FFFF"/>
          </w:tcPr>
          <w:p>
            <w:pPr>
              <w:spacing w:after="0"/>
              <w:rPr>
                <w:sz w:val="15"/>
                <w:szCs w:val="15"/>
                <w:color w:val="auto"/>
              </w:rPr>
            </w:pPr>
          </w:p>
        </w:tc>
        <w:tc>
          <w:tcPr>
            <w:tcW w:w="360" w:type="dxa"/>
            <w:vAlign w:val="bottom"/>
            <w:tcBorders>
              <w:top w:val="single" w:sz="8" w:color="auto"/>
            </w:tcBorders>
            <w:shd w:val="clear" w:color="auto" w:fill="E5FFFF"/>
          </w:tcPr>
          <w:p>
            <w:pPr>
              <w:spacing w:after="0"/>
              <w:rPr>
                <w:sz w:val="15"/>
                <w:szCs w:val="15"/>
                <w:color w:val="auto"/>
              </w:rPr>
            </w:pPr>
          </w:p>
        </w:tc>
        <w:tc>
          <w:tcPr>
            <w:tcW w:w="28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56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580" w:type="dxa"/>
            <w:vAlign w:val="bottom"/>
            <w:gridSpan w:val="2"/>
            <w:shd w:val="clear" w:color="auto" w:fill="E5FF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0.63</w:t>
            </w:r>
          </w:p>
        </w:tc>
        <w:tc>
          <w:tcPr>
            <w:tcW w:w="620" w:type="dxa"/>
            <w:vAlign w:val="bottom"/>
            <w:gridSpan w:val="2"/>
            <w:shd w:val="clear" w:color="auto" w:fill="E5FF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0.44</w:t>
            </w:r>
          </w:p>
        </w:tc>
        <w:tc>
          <w:tcPr>
            <w:tcW w:w="380" w:type="dxa"/>
            <w:vAlign w:val="bottom"/>
            <w:shd w:val="clear" w:color="auto" w:fill="E5FF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0.92</w:t>
            </w:r>
          </w:p>
        </w:tc>
        <w:tc>
          <w:tcPr>
            <w:tcW w:w="360" w:type="dxa"/>
            <w:vAlign w:val="bottom"/>
            <w:shd w:val="clear" w:color="auto" w:fill="E5FF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0"/>
        </w:trPr>
        <w:tc>
          <w:tcPr>
            <w:tcW w:w="556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July 31, 2022 and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9"/>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REX Shareholders</w:t>
            </w: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4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40" w:type="dxa"/>
            <w:vAlign w:val="bottom"/>
          </w:tcPr>
          <w:p>
            <w:pPr>
              <w:spacing w:after="0"/>
              <w:rPr>
                <w:sz w:val="23"/>
                <w:szCs w:val="23"/>
                <w:color w:val="auto"/>
              </w:rPr>
            </w:pPr>
          </w:p>
        </w:tc>
        <w:tc>
          <w:tcPr>
            <w:tcW w:w="8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0" w:type="dxa"/>
            <w:vAlign w:val="bottom"/>
            <w:gridSpan w:val="6"/>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23"/>
                <w:szCs w:val="23"/>
                <w:color w:val="auto"/>
              </w:rPr>
            </w:pPr>
          </w:p>
        </w:tc>
        <w:tc>
          <w:tcPr>
            <w:tcW w:w="7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4"/>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Issued</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6"/>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5"/>
            <w:vMerge w:val="continue"/>
          </w:tcPr>
          <w:p>
            <w:pPr>
              <w:spacing w:after="0"/>
              <w:rPr>
                <w:sz w:val="13"/>
                <w:szCs w:val="13"/>
                <w:color w:val="auto"/>
              </w:rPr>
            </w:pPr>
          </w:p>
        </w:tc>
        <w:tc>
          <w:tcPr>
            <w:tcW w:w="120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88"/>
              </w:rPr>
              <w:t>Shares</w:t>
            </w:r>
          </w:p>
        </w:tc>
        <w:tc>
          <w:tcPr>
            <w:tcW w:w="380" w:type="dxa"/>
            <w:vAlign w:val="bottom"/>
            <w:tcBorders>
              <w:top w:val="single" w:sz="8" w:color="auto"/>
            </w:tcBorders>
            <w:gridSpan w:val="2"/>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6"/>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0" w:type="dxa"/>
            <w:vAlign w:val="bottom"/>
            <w:gridSpan w:val="6"/>
          </w:tcPr>
          <w:p>
            <w:pPr>
              <w:jc w:val="right"/>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1"/>
                <w:szCs w:val="11"/>
                <w:color w:val="auto"/>
              </w:rPr>
            </w:pPr>
          </w:p>
        </w:tc>
        <w:tc>
          <w:tcPr>
            <w:tcW w:w="76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January 31, 2022</w:t>
            </w:r>
          </w:p>
        </w:tc>
        <w:tc>
          <w:tcPr>
            <w:tcW w:w="580" w:type="dxa"/>
            <w:vAlign w:val="bottom"/>
            <w:gridSpan w:val="3"/>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420" w:type="dxa"/>
            <w:vAlign w:val="bottom"/>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FFFF"/>
          </w:tcPr>
          <w:p>
            <w:pPr>
              <w:spacing w:after="0"/>
              <w:rPr>
                <w:sz w:val="12"/>
                <w:szCs w:val="12"/>
                <w:color w:val="auto"/>
              </w:rPr>
            </w:pPr>
          </w:p>
        </w:tc>
        <w:tc>
          <w:tcPr>
            <w:tcW w:w="560" w:type="dxa"/>
            <w:vAlign w:val="bottom"/>
            <w:gridSpan w:val="2"/>
            <w:shd w:val="clear" w:color="auto" w:fill="E5FF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1180" w:type="dxa"/>
            <w:vAlign w:val="bottom"/>
            <w:gridSpan w:val="5"/>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12,092</w:t>
            </w:r>
          </w:p>
        </w:tc>
        <w:tc>
          <w:tcPr>
            <w:tcW w:w="920" w:type="dxa"/>
            <w:vAlign w:val="bottom"/>
            <w:gridSpan w:val="4"/>
            <w:shd w:val="clear" w:color="auto" w:fill="E5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(181,114)</w:t>
            </w:r>
          </w:p>
        </w:tc>
        <w:tc>
          <w:tcPr>
            <w:tcW w:w="420" w:type="dxa"/>
            <w:vAlign w:val="bottom"/>
            <w:gridSpan w:val="3"/>
            <w:shd w:val="clear" w:color="auto" w:fill="E5FF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611,607</w:t>
            </w:r>
          </w:p>
        </w:tc>
        <w:tc>
          <w:tcPr>
            <w:tcW w:w="500" w:type="dxa"/>
            <w:vAlign w:val="bottom"/>
            <w:gridSpan w:val="3"/>
            <w:shd w:val="clear" w:color="auto" w:fill="E5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56,770</w:t>
            </w:r>
          </w:p>
        </w:tc>
        <w:tc>
          <w:tcPr>
            <w:tcW w:w="280" w:type="dxa"/>
            <w:vAlign w:val="bottom"/>
            <w:gridSpan w:val="2"/>
            <w:shd w:val="clear" w:color="auto" w:fill="E5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487,562</w:t>
            </w:r>
          </w:p>
        </w:tc>
        <w:tc>
          <w:tcPr>
            <w:tcW w:w="0" w:type="dxa"/>
            <w:vAlign w:val="bottom"/>
          </w:tcPr>
          <w:p>
            <w:pPr>
              <w:spacing w:after="0"/>
              <w:rPr>
                <w:sz w:val="1"/>
                <w:szCs w:val="1"/>
                <w:color w:val="auto"/>
              </w:rPr>
            </w:pPr>
          </w:p>
        </w:tc>
      </w:tr>
      <w:tr>
        <w:trPr>
          <w:trHeight w:val="314"/>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5,182</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1,804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6,986</w:t>
            </w:r>
          </w:p>
        </w:tc>
        <w:tc>
          <w:tcPr>
            <w:tcW w:w="0" w:type="dxa"/>
            <w:vAlign w:val="bottom"/>
          </w:tcPr>
          <w:p>
            <w:pPr>
              <w:spacing w:after="0"/>
              <w:rPr>
                <w:sz w:val="1"/>
                <w:szCs w:val="1"/>
                <w:color w:val="auto"/>
              </w:rPr>
            </w:pPr>
          </w:p>
        </w:tc>
      </w:tr>
      <w:tr>
        <w:trPr>
          <w:trHeight w:val="131"/>
        </w:trPr>
        <w:tc>
          <w:tcPr>
            <w:tcW w:w="4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0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16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700" w:type="dxa"/>
            <w:vAlign w:val="bottom"/>
            <w:gridSpan w:val="3"/>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40" w:type="dxa"/>
            <w:vAlign w:val="bottom"/>
            <w:gridSpan w:val="3"/>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11"/>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equity awards and stock based compensation expense</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36</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April 30, 2022</w:t>
            </w:r>
          </w:p>
        </w:tc>
        <w:tc>
          <w:tcPr>
            <w:tcW w:w="580" w:type="dxa"/>
            <w:vAlign w:val="bottom"/>
            <w:gridSpan w:val="3"/>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2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gridSpan w:val="2"/>
            <w:shd w:val="clear" w:color="auto" w:fill="E5FF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1180" w:type="dxa"/>
            <w:vAlign w:val="bottom"/>
            <w:gridSpan w:val="5"/>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12,092</w:t>
            </w:r>
          </w:p>
        </w:tc>
        <w:tc>
          <w:tcPr>
            <w:tcW w:w="920" w:type="dxa"/>
            <w:vAlign w:val="bottom"/>
            <w:gridSpan w:val="4"/>
            <w:shd w:val="clear" w:color="auto" w:fill="E5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(181,106)</w:t>
            </w:r>
          </w:p>
        </w:tc>
        <w:tc>
          <w:tcPr>
            <w:tcW w:w="24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40" w:type="dxa"/>
            <w:vAlign w:val="bottom"/>
            <w:gridSpan w:val="3"/>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616,825</w:t>
            </w:r>
          </w:p>
        </w:tc>
        <w:tc>
          <w:tcPr>
            <w:tcW w:w="30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700" w:type="dxa"/>
            <w:vAlign w:val="bottom"/>
            <w:gridSpan w:val="3"/>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58,573</w:t>
            </w:r>
          </w:p>
        </w:tc>
        <w:tc>
          <w:tcPr>
            <w:tcW w:w="1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40" w:type="dxa"/>
            <w:vAlign w:val="bottom"/>
            <w:gridSpan w:val="3"/>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494,591</w:t>
            </w:r>
          </w:p>
        </w:tc>
        <w:tc>
          <w:tcPr>
            <w:tcW w:w="0" w:type="dxa"/>
            <w:vAlign w:val="bottom"/>
          </w:tcPr>
          <w:p>
            <w:pPr>
              <w:spacing w:after="0"/>
              <w:rPr>
                <w:sz w:val="1"/>
                <w:szCs w:val="1"/>
                <w:color w:val="auto"/>
              </w:rPr>
            </w:pPr>
          </w:p>
        </w:tc>
      </w:tr>
      <w:tr>
        <w:trPr>
          <w:trHeight w:val="314"/>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11,170</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3,715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14,885</w:t>
            </w:r>
          </w:p>
        </w:tc>
        <w:tc>
          <w:tcPr>
            <w:tcW w:w="0" w:type="dxa"/>
            <w:vAlign w:val="bottom"/>
          </w:tcPr>
          <w:p>
            <w:pPr>
              <w:spacing w:after="0"/>
              <w:rPr>
                <w:sz w:val="1"/>
                <w:szCs w:val="1"/>
                <w:color w:val="auto"/>
              </w:rPr>
            </w:pPr>
          </w:p>
        </w:tc>
      </w:tr>
      <w:tr>
        <w:trPr>
          <w:trHeight w:val="199"/>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30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Treasury stock acquired</w:t>
            </w:r>
          </w:p>
        </w:tc>
        <w:tc>
          <w:tcPr>
            <w:tcW w:w="16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180" w:type="dxa"/>
            <w:vAlign w:val="bottom"/>
            <w:gridSpan w:val="5"/>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920" w:type="dxa"/>
            <w:vAlign w:val="bottom"/>
            <w:gridSpan w:val="4"/>
            <w:shd w:val="clear" w:color="auto" w:fill="E5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(6,193)</w:t>
            </w:r>
          </w:p>
        </w:tc>
        <w:tc>
          <w:tcPr>
            <w:tcW w:w="24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40" w:type="dxa"/>
            <w:vAlign w:val="bottom"/>
            <w:gridSpan w:val="3"/>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(6,193)</w:t>
            </w:r>
          </w:p>
        </w:tc>
        <w:tc>
          <w:tcPr>
            <w:tcW w:w="0" w:type="dxa"/>
            <w:vAlign w:val="bottom"/>
          </w:tcPr>
          <w:p>
            <w:pPr>
              <w:spacing w:after="0"/>
              <w:rPr>
                <w:sz w:val="1"/>
                <w:szCs w:val="1"/>
                <w:color w:val="auto"/>
              </w:rPr>
            </w:pPr>
          </w:p>
        </w:tc>
      </w:tr>
      <w:tr>
        <w:trPr>
          <w:trHeight w:val="314"/>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(1,632)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(1,632)</w:t>
            </w:r>
          </w:p>
        </w:tc>
        <w:tc>
          <w:tcPr>
            <w:tcW w:w="0" w:type="dxa"/>
            <w:vAlign w:val="bottom"/>
          </w:tcPr>
          <w:p>
            <w:pPr>
              <w:spacing w:after="0"/>
              <w:rPr>
                <w:sz w:val="1"/>
                <w:szCs w:val="1"/>
                <w:color w:val="auto"/>
              </w:rPr>
            </w:pPr>
          </w:p>
        </w:tc>
      </w:tr>
      <w:tr>
        <w:trPr>
          <w:trHeight w:val="132"/>
        </w:trPr>
        <w:tc>
          <w:tcPr>
            <w:tcW w:w="4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3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4"/>
                <w:szCs w:val="14"/>
                <w:color w:val="auto"/>
              </w:rPr>
              <w:t>Issuance of equity awards and stock based compensation expense</w:t>
            </w:r>
          </w:p>
        </w:tc>
        <w:tc>
          <w:tcPr>
            <w:tcW w:w="160" w:type="dxa"/>
            <w:vAlign w:val="bottom"/>
            <w:tcBorders>
              <w:bottom w:val="single" w:sz="8" w:color="auto"/>
            </w:tcBorders>
            <w:shd w:val="clear" w:color="auto" w:fill="E5FFFF"/>
          </w:tcPr>
          <w:p>
            <w:pPr>
              <w:spacing w:after="0"/>
              <w:rPr>
                <w:sz w:val="14"/>
                <w:szCs w:val="14"/>
                <w:color w:val="auto"/>
              </w:rPr>
            </w:pPr>
          </w:p>
        </w:tc>
        <w:tc>
          <w:tcPr>
            <w:tcW w:w="400" w:type="dxa"/>
            <w:vAlign w:val="bottom"/>
            <w:tcBorders>
              <w:bottom w:val="single" w:sz="8" w:color="auto"/>
            </w:tcBorders>
            <w:shd w:val="clear" w:color="auto" w:fill="E5FFFF"/>
          </w:tcPr>
          <w:p>
            <w:pPr>
              <w:spacing w:after="0"/>
              <w:rPr>
                <w:sz w:val="14"/>
                <w:szCs w:val="14"/>
                <w:color w:val="auto"/>
              </w:rPr>
            </w:pPr>
          </w:p>
        </w:tc>
        <w:tc>
          <w:tcPr>
            <w:tcW w:w="20" w:type="dxa"/>
            <w:vAlign w:val="bottom"/>
            <w:shd w:val="clear" w:color="auto" w:fill="E5FFFF"/>
          </w:tcPr>
          <w:p>
            <w:pPr>
              <w:spacing w:after="0"/>
              <w:rPr>
                <w:sz w:val="14"/>
                <w:szCs w:val="14"/>
                <w:color w:val="auto"/>
              </w:rPr>
            </w:pPr>
          </w:p>
        </w:tc>
        <w:tc>
          <w:tcPr>
            <w:tcW w:w="2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80" w:type="dxa"/>
            <w:vAlign w:val="bottom"/>
            <w:tcBorders>
              <w:bottom w:val="single" w:sz="8" w:color="auto"/>
            </w:tcBorders>
            <w:shd w:val="clear" w:color="auto" w:fill="E5FFFF"/>
          </w:tcPr>
          <w:p>
            <w:pPr>
              <w:spacing w:after="0"/>
              <w:rPr>
                <w:sz w:val="14"/>
                <w:szCs w:val="14"/>
                <w:color w:val="auto"/>
              </w:rPr>
            </w:pPr>
          </w:p>
        </w:tc>
        <w:tc>
          <w:tcPr>
            <w:tcW w:w="100" w:type="dxa"/>
            <w:vAlign w:val="bottom"/>
            <w:tcBorders>
              <w:bottom w:val="single" w:sz="8" w:color="auto"/>
            </w:tcBorders>
            <w:shd w:val="clear" w:color="auto" w:fill="E5FFFF"/>
          </w:tcPr>
          <w:p>
            <w:pPr>
              <w:spacing w:after="0"/>
              <w:rPr>
                <w:sz w:val="14"/>
                <w:szCs w:val="14"/>
                <w:color w:val="auto"/>
              </w:rPr>
            </w:pPr>
          </w:p>
        </w:tc>
        <w:tc>
          <w:tcPr>
            <w:tcW w:w="500" w:type="dxa"/>
            <w:vAlign w:val="bottom"/>
            <w:tcBorders>
              <w:bottom w:val="single" w:sz="8" w:color="auto"/>
            </w:tcBorders>
            <w:shd w:val="clear" w:color="auto" w:fill="E5FFFF"/>
          </w:tcPr>
          <w:p>
            <w:pPr>
              <w:spacing w:after="0"/>
              <w:rPr>
                <w:sz w:val="14"/>
                <w:szCs w:val="14"/>
                <w:color w:val="auto"/>
              </w:rPr>
            </w:pPr>
          </w:p>
        </w:tc>
        <w:tc>
          <w:tcPr>
            <w:tcW w:w="6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56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320" w:type="dxa"/>
            <w:vAlign w:val="bottom"/>
            <w:shd w:val="clear" w:color="auto" w:fill="E5FFFF"/>
          </w:tcPr>
          <w:p>
            <w:pPr>
              <w:spacing w:after="0"/>
              <w:rPr>
                <w:sz w:val="14"/>
                <w:szCs w:val="14"/>
                <w:color w:val="auto"/>
              </w:rPr>
            </w:pPr>
          </w:p>
        </w:tc>
        <w:tc>
          <w:tcPr>
            <w:tcW w:w="68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24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60" w:type="dxa"/>
            <w:vAlign w:val="bottom"/>
            <w:shd w:val="clear" w:color="auto" w:fill="E5FFFF"/>
          </w:tcPr>
          <w:p>
            <w:pPr>
              <w:spacing w:after="0"/>
              <w:rPr>
                <w:sz w:val="14"/>
                <w:szCs w:val="14"/>
                <w:color w:val="auto"/>
              </w:rPr>
            </w:pPr>
          </w:p>
        </w:tc>
        <w:tc>
          <w:tcPr>
            <w:tcW w:w="120" w:type="dxa"/>
            <w:vAlign w:val="bottom"/>
            <w:tcBorders>
              <w:bottom w:val="single" w:sz="8" w:color="auto"/>
            </w:tcBorders>
            <w:shd w:val="clear" w:color="auto" w:fill="E5FFFF"/>
          </w:tcPr>
          <w:p>
            <w:pPr>
              <w:spacing w:after="0"/>
              <w:rPr>
                <w:sz w:val="14"/>
                <w:szCs w:val="14"/>
                <w:color w:val="auto"/>
              </w:rPr>
            </w:pPr>
          </w:p>
        </w:tc>
        <w:tc>
          <w:tcPr>
            <w:tcW w:w="540" w:type="dxa"/>
            <w:vAlign w:val="bottom"/>
            <w:tcBorders>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10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40" w:type="dxa"/>
            <w:vAlign w:val="bottom"/>
            <w:shd w:val="clear" w:color="auto" w:fill="E5FFFF"/>
          </w:tcPr>
          <w:p>
            <w:pPr>
              <w:spacing w:after="0"/>
              <w:rPr>
                <w:sz w:val="14"/>
                <w:szCs w:val="14"/>
                <w:color w:val="auto"/>
              </w:rPr>
            </w:pPr>
          </w:p>
        </w:tc>
        <w:tc>
          <w:tcPr>
            <w:tcW w:w="160" w:type="dxa"/>
            <w:vAlign w:val="bottom"/>
            <w:tcBorders>
              <w:bottom w:val="single" w:sz="8" w:color="auto"/>
            </w:tcBorders>
            <w:shd w:val="clear" w:color="auto" w:fill="E5FFFF"/>
          </w:tcPr>
          <w:p>
            <w:pPr>
              <w:spacing w:after="0"/>
              <w:rPr>
                <w:sz w:val="14"/>
                <w:szCs w:val="14"/>
                <w:color w:val="auto"/>
              </w:rPr>
            </w:pPr>
          </w:p>
        </w:tc>
        <w:tc>
          <w:tcPr>
            <w:tcW w:w="340" w:type="dxa"/>
            <w:vAlign w:val="bottom"/>
            <w:tcBorders>
              <w:bottom w:val="single" w:sz="8" w:color="auto"/>
            </w:tcBorders>
            <w:shd w:val="clear" w:color="auto" w:fill="E5FFFF"/>
          </w:tcPr>
          <w:p>
            <w:pPr>
              <w:spacing w:after="0"/>
              <w:rPr>
                <w:sz w:val="14"/>
                <w:szCs w:val="14"/>
                <w:color w:val="auto"/>
              </w:rPr>
            </w:pPr>
          </w:p>
        </w:tc>
        <w:tc>
          <w:tcPr>
            <w:tcW w:w="180" w:type="dxa"/>
            <w:vAlign w:val="bottom"/>
            <w:tcBorders>
              <w:bottom w:val="single" w:sz="8" w:color="auto"/>
            </w:tcBorders>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20" w:type="dxa"/>
            <w:vAlign w:val="bottom"/>
            <w:tcBorders>
              <w:bottom w:val="single" w:sz="8" w:color="auto"/>
            </w:tcBorders>
            <w:shd w:val="clear" w:color="auto" w:fill="E5FFFF"/>
          </w:tcPr>
          <w:p>
            <w:pPr>
              <w:spacing w:after="0"/>
              <w:rPr>
                <w:sz w:val="14"/>
                <w:szCs w:val="14"/>
                <w:color w:val="auto"/>
              </w:rPr>
            </w:pPr>
          </w:p>
        </w:tc>
        <w:tc>
          <w:tcPr>
            <w:tcW w:w="540" w:type="dxa"/>
            <w:vAlign w:val="bottom"/>
            <w:tcBorders>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July 31, 2022</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29,853</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299</w:t>
            </w:r>
          </w:p>
        </w:tc>
        <w:tc>
          <w:tcPr>
            <w:tcW w:w="118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color w:val="auto"/>
              </w:rPr>
              <w:t>12,213</w:t>
            </w:r>
          </w:p>
        </w:tc>
        <w:tc>
          <w:tcPr>
            <w:tcW w:w="9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 (186,996)</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629,481</w:t>
            </w: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60,656</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503,440</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Continued on the following page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43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5" w:name="page6"/>
    <w:bookmarkEnd w:id="5"/>
    <w:p>
      <w:pPr>
        <w:ind w:right="5500"/>
        <w:spacing w:after="0" w:line="27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Condensed Statements of Equity Unaudited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Continued from the previous page</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4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9"/>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REX Shareholders</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40" w:type="dxa"/>
            <w:vAlign w:val="bottom"/>
          </w:tcPr>
          <w:p>
            <w:pPr>
              <w:spacing w:after="0"/>
              <w:rPr>
                <w:sz w:val="23"/>
                <w:szCs w:val="23"/>
                <w:color w:val="auto"/>
              </w:rPr>
            </w:pPr>
          </w:p>
        </w:tc>
        <w:tc>
          <w:tcPr>
            <w:tcW w:w="8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gridSpan w:val="7"/>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7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4"/>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Issued</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6"/>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5"/>
            <w:vMerge w:val="continue"/>
          </w:tcPr>
          <w:p>
            <w:pPr>
              <w:spacing w:after="0"/>
              <w:rPr>
                <w:sz w:val="13"/>
                <w:szCs w:val="13"/>
                <w:color w:val="auto"/>
              </w:rPr>
            </w:pPr>
          </w:p>
        </w:tc>
        <w:tc>
          <w:tcPr>
            <w:tcW w:w="1360" w:type="dxa"/>
            <w:vAlign w:val="bottom"/>
            <w:gridSpan w:val="7"/>
            <w:vMerge w:val="continue"/>
          </w:tcPr>
          <w:p>
            <w:pPr>
              <w:spacing w:after="0"/>
              <w:rPr>
                <w:sz w:val="13"/>
                <w:szCs w:val="13"/>
                <w:color w:val="auto"/>
              </w:rPr>
            </w:pPr>
          </w:p>
        </w:tc>
        <w:tc>
          <w:tcPr>
            <w:tcW w:w="7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88"/>
              </w:rPr>
              <w:t>Shares</w:t>
            </w:r>
          </w:p>
        </w:tc>
        <w:tc>
          <w:tcPr>
            <w:tcW w:w="380" w:type="dxa"/>
            <w:vAlign w:val="bottom"/>
            <w:tcBorders>
              <w:top w:val="single" w:sz="8" w:color="auto"/>
            </w:tcBorders>
            <w:gridSpan w:val="2"/>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6"/>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1"/>
                <w:szCs w:val="11"/>
                <w:color w:val="auto"/>
              </w:rPr>
            </w:pPr>
          </w:p>
        </w:tc>
        <w:tc>
          <w:tcPr>
            <w:tcW w:w="1260" w:type="dxa"/>
            <w:vAlign w:val="bottom"/>
            <w:gridSpan w:val="6"/>
          </w:tcPr>
          <w:p>
            <w:pPr>
              <w:jc w:val="right"/>
              <w:ind w:right="520"/>
              <w:spacing w:after="0" w:line="12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76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January 31, 2021</w:t>
            </w:r>
          </w:p>
        </w:tc>
        <w:tc>
          <w:tcPr>
            <w:tcW w:w="580" w:type="dxa"/>
            <w:vAlign w:val="bottom"/>
            <w:gridSpan w:val="3"/>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420" w:type="dxa"/>
            <w:vAlign w:val="bottom"/>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FFFF"/>
          </w:tcPr>
          <w:p>
            <w:pPr>
              <w:spacing w:after="0"/>
              <w:rPr>
                <w:sz w:val="12"/>
                <w:szCs w:val="12"/>
                <w:color w:val="auto"/>
              </w:rPr>
            </w:pPr>
          </w:p>
        </w:tc>
        <w:tc>
          <w:tcPr>
            <w:tcW w:w="560" w:type="dxa"/>
            <w:vAlign w:val="bottom"/>
            <w:gridSpan w:val="2"/>
            <w:shd w:val="clear" w:color="auto" w:fill="E5FF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1180" w:type="dxa"/>
            <w:vAlign w:val="bottom"/>
            <w:gridSpan w:val="5"/>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11,877</w:t>
            </w:r>
          </w:p>
        </w:tc>
        <w:tc>
          <w:tcPr>
            <w:tcW w:w="920" w:type="dxa"/>
            <w:vAlign w:val="bottom"/>
            <w:gridSpan w:val="4"/>
            <w:shd w:val="clear" w:color="auto" w:fill="E5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(174,535)</w:t>
            </w:r>
          </w:p>
        </w:tc>
        <w:tc>
          <w:tcPr>
            <w:tcW w:w="400" w:type="dxa"/>
            <w:vAlign w:val="bottom"/>
            <w:gridSpan w:val="3"/>
            <w:shd w:val="clear" w:color="auto" w:fill="E5FF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559,019</w:t>
            </w:r>
          </w:p>
        </w:tc>
        <w:tc>
          <w:tcPr>
            <w:tcW w:w="500" w:type="dxa"/>
            <w:vAlign w:val="bottom"/>
            <w:gridSpan w:val="4"/>
            <w:shd w:val="clear" w:color="auto" w:fill="E5FF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52,400</w:t>
            </w:r>
          </w:p>
        </w:tc>
        <w:tc>
          <w:tcPr>
            <w:tcW w:w="1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437,183</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7,784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614</w:t>
            </w:r>
          </w:p>
        </w:tc>
        <w:tc>
          <w:tcPr>
            <w:tcW w:w="1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0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16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60" w:type="dxa"/>
            <w:vAlign w:val="bottom"/>
            <w:gridSpan w:val="3"/>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E5FFFF"/>
          </w:tcPr>
          <w:p>
            <w:pPr>
              <w:spacing w:after="0"/>
              <w:rPr>
                <w:sz w:val="12"/>
                <w:szCs w:val="12"/>
                <w:color w:val="auto"/>
              </w:rPr>
            </w:pPr>
          </w:p>
        </w:tc>
        <w:tc>
          <w:tcPr>
            <w:tcW w:w="54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 contributions</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3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4"/>
                <w:szCs w:val="14"/>
                <w:color w:val="auto"/>
              </w:rPr>
              <w:t>Issuance of equity awards and stock based compensation expense</w:t>
            </w:r>
          </w:p>
        </w:tc>
        <w:tc>
          <w:tcPr>
            <w:tcW w:w="160" w:type="dxa"/>
            <w:vAlign w:val="bottom"/>
            <w:tcBorders>
              <w:bottom w:val="single" w:sz="8" w:color="auto"/>
            </w:tcBorders>
            <w:shd w:val="clear" w:color="auto" w:fill="E5FFFF"/>
          </w:tcPr>
          <w:p>
            <w:pPr>
              <w:spacing w:after="0"/>
              <w:rPr>
                <w:sz w:val="14"/>
                <w:szCs w:val="14"/>
                <w:color w:val="auto"/>
              </w:rPr>
            </w:pPr>
          </w:p>
        </w:tc>
        <w:tc>
          <w:tcPr>
            <w:tcW w:w="400" w:type="dxa"/>
            <w:vAlign w:val="bottom"/>
            <w:tcBorders>
              <w:bottom w:val="single" w:sz="8" w:color="auto"/>
            </w:tcBorders>
            <w:shd w:val="clear" w:color="auto" w:fill="E5FFFF"/>
          </w:tcPr>
          <w:p>
            <w:pPr>
              <w:spacing w:after="0"/>
              <w:rPr>
                <w:sz w:val="14"/>
                <w:szCs w:val="14"/>
                <w:color w:val="auto"/>
              </w:rPr>
            </w:pPr>
          </w:p>
        </w:tc>
        <w:tc>
          <w:tcPr>
            <w:tcW w:w="20" w:type="dxa"/>
            <w:vAlign w:val="bottom"/>
            <w:shd w:val="clear" w:color="auto" w:fill="E5FFFF"/>
          </w:tcPr>
          <w:p>
            <w:pPr>
              <w:spacing w:after="0"/>
              <w:rPr>
                <w:sz w:val="14"/>
                <w:szCs w:val="14"/>
                <w:color w:val="auto"/>
              </w:rPr>
            </w:pPr>
          </w:p>
        </w:tc>
        <w:tc>
          <w:tcPr>
            <w:tcW w:w="2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80" w:type="dxa"/>
            <w:vAlign w:val="bottom"/>
            <w:tcBorders>
              <w:bottom w:val="single" w:sz="8" w:color="auto"/>
            </w:tcBorders>
            <w:shd w:val="clear" w:color="auto" w:fill="E5FFFF"/>
          </w:tcPr>
          <w:p>
            <w:pPr>
              <w:spacing w:after="0"/>
              <w:rPr>
                <w:sz w:val="14"/>
                <w:szCs w:val="14"/>
                <w:color w:val="auto"/>
              </w:rPr>
            </w:pPr>
          </w:p>
        </w:tc>
        <w:tc>
          <w:tcPr>
            <w:tcW w:w="100" w:type="dxa"/>
            <w:vAlign w:val="bottom"/>
            <w:tcBorders>
              <w:bottom w:val="single" w:sz="8" w:color="auto"/>
            </w:tcBorders>
            <w:shd w:val="clear" w:color="auto" w:fill="E5FFFF"/>
          </w:tcPr>
          <w:p>
            <w:pPr>
              <w:spacing w:after="0"/>
              <w:rPr>
                <w:sz w:val="14"/>
                <w:szCs w:val="14"/>
                <w:color w:val="auto"/>
              </w:rPr>
            </w:pPr>
          </w:p>
        </w:tc>
        <w:tc>
          <w:tcPr>
            <w:tcW w:w="500" w:type="dxa"/>
            <w:vAlign w:val="bottom"/>
            <w:tcBorders>
              <w:bottom w:val="single" w:sz="8" w:color="auto"/>
            </w:tcBorders>
            <w:shd w:val="clear" w:color="auto" w:fill="E5FFFF"/>
          </w:tcPr>
          <w:p>
            <w:pPr>
              <w:spacing w:after="0"/>
              <w:rPr>
                <w:sz w:val="14"/>
                <w:szCs w:val="14"/>
                <w:color w:val="auto"/>
              </w:rPr>
            </w:pPr>
          </w:p>
        </w:tc>
        <w:tc>
          <w:tcPr>
            <w:tcW w:w="6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140" w:type="dxa"/>
            <w:vAlign w:val="bottom"/>
            <w:tcBorders>
              <w:bottom w:val="single" w:sz="8" w:color="auto"/>
            </w:tcBorders>
            <w:shd w:val="clear" w:color="auto" w:fill="E5FFFF"/>
          </w:tcPr>
          <w:p>
            <w:pPr>
              <w:spacing w:after="0"/>
              <w:rPr>
                <w:sz w:val="14"/>
                <w:szCs w:val="14"/>
                <w:color w:val="auto"/>
              </w:rPr>
            </w:pPr>
          </w:p>
        </w:tc>
        <w:tc>
          <w:tcPr>
            <w:tcW w:w="360" w:type="dxa"/>
            <w:vAlign w:val="bottom"/>
            <w:tcBorders>
              <w:bottom w:val="single" w:sz="8" w:color="auto"/>
            </w:tcBorders>
            <w:shd w:val="clear" w:color="auto" w:fill="E5FFFF"/>
          </w:tcPr>
          <w:p>
            <w:pPr>
              <w:spacing w:after="0"/>
              <w:rPr>
                <w:sz w:val="14"/>
                <w:szCs w:val="14"/>
                <w:color w:val="auto"/>
              </w:rPr>
            </w:pPr>
          </w:p>
        </w:tc>
        <w:tc>
          <w:tcPr>
            <w:tcW w:w="60" w:type="dxa"/>
            <w:vAlign w:val="bottom"/>
            <w:tcBorders>
              <w:bottom w:val="single" w:sz="8" w:color="auto"/>
            </w:tcBorders>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68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60" w:type="dxa"/>
            <w:vAlign w:val="bottom"/>
            <w:shd w:val="clear" w:color="auto" w:fill="E5FFFF"/>
          </w:tcPr>
          <w:p>
            <w:pPr>
              <w:spacing w:after="0"/>
              <w:rPr>
                <w:sz w:val="14"/>
                <w:szCs w:val="14"/>
                <w:color w:val="auto"/>
              </w:rPr>
            </w:pPr>
          </w:p>
        </w:tc>
        <w:tc>
          <w:tcPr>
            <w:tcW w:w="100" w:type="dxa"/>
            <w:vAlign w:val="bottom"/>
            <w:tcBorders>
              <w:bottom w:val="single" w:sz="8" w:color="auto"/>
            </w:tcBorders>
            <w:shd w:val="clear" w:color="auto" w:fill="E5FFFF"/>
          </w:tcPr>
          <w:p>
            <w:pPr>
              <w:spacing w:after="0"/>
              <w:rPr>
                <w:sz w:val="14"/>
                <w:szCs w:val="14"/>
                <w:color w:val="auto"/>
              </w:rPr>
            </w:pPr>
          </w:p>
        </w:tc>
        <w:tc>
          <w:tcPr>
            <w:tcW w:w="560" w:type="dxa"/>
            <w:vAlign w:val="bottom"/>
            <w:tcBorders>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40" w:type="dxa"/>
            <w:vAlign w:val="bottom"/>
            <w:shd w:val="clear" w:color="auto" w:fill="E5FFFF"/>
          </w:tcPr>
          <w:p>
            <w:pPr>
              <w:spacing w:after="0"/>
              <w:rPr>
                <w:sz w:val="14"/>
                <w:szCs w:val="14"/>
                <w:color w:val="auto"/>
              </w:rPr>
            </w:pPr>
          </w:p>
        </w:tc>
        <w:tc>
          <w:tcPr>
            <w:tcW w:w="160" w:type="dxa"/>
            <w:vAlign w:val="bottom"/>
            <w:tcBorders>
              <w:bottom w:val="single" w:sz="8" w:color="auto"/>
            </w:tcBorders>
            <w:shd w:val="clear" w:color="auto" w:fill="E5FFFF"/>
          </w:tcPr>
          <w:p>
            <w:pPr>
              <w:spacing w:after="0"/>
              <w:rPr>
                <w:sz w:val="14"/>
                <w:szCs w:val="14"/>
                <w:color w:val="auto"/>
              </w:rPr>
            </w:pPr>
          </w:p>
        </w:tc>
        <w:tc>
          <w:tcPr>
            <w:tcW w:w="340" w:type="dxa"/>
            <w:vAlign w:val="bottom"/>
            <w:tcBorders>
              <w:bottom w:val="single" w:sz="8" w:color="auto"/>
            </w:tcBorders>
            <w:shd w:val="clear" w:color="auto" w:fill="E5FFFF"/>
          </w:tcPr>
          <w:p>
            <w:pPr>
              <w:spacing w:after="0"/>
              <w:rPr>
                <w:sz w:val="14"/>
                <w:szCs w:val="14"/>
                <w:color w:val="auto"/>
              </w:rPr>
            </w:pPr>
          </w:p>
        </w:tc>
        <w:tc>
          <w:tcPr>
            <w:tcW w:w="180" w:type="dxa"/>
            <w:vAlign w:val="bottom"/>
            <w:tcBorders>
              <w:bottom w:val="single" w:sz="8" w:color="auto"/>
            </w:tcBorders>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120" w:type="dxa"/>
            <w:vAlign w:val="bottom"/>
            <w:tcBorders>
              <w:bottom w:val="single" w:sz="8" w:color="auto"/>
            </w:tcBorders>
            <w:shd w:val="clear" w:color="auto" w:fill="E5FFFF"/>
          </w:tcPr>
          <w:p>
            <w:pPr>
              <w:spacing w:after="0"/>
              <w:rPr>
                <w:sz w:val="14"/>
                <w:szCs w:val="14"/>
                <w:color w:val="auto"/>
              </w:rPr>
            </w:pPr>
          </w:p>
        </w:tc>
        <w:tc>
          <w:tcPr>
            <w:tcW w:w="540" w:type="dxa"/>
            <w:vAlign w:val="bottom"/>
            <w:tcBorders>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April 30, 2021</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29,853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299</w:t>
            </w:r>
          </w:p>
        </w:tc>
        <w:tc>
          <w:tcPr>
            <w:tcW w:w="118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color w:val="auto"/>
              </w:rPr>
              <w:t>11,877</w:t>
            </w:r>
          </w:p>
        </w:tc>
        <w:tc>
          <w:tcPr>
            <w:tcW w:w="9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(174,527)</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566,.837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53,007</w:t>
            </w:r>
          </w:p>
        </w:tc>
        <w:tc>
          <w:tcPr>
            <w:tcW w:w="1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445,616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0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60" w:type="dxa"/>
            <w:vAlign w:val="bottom"/>
            <w:gridSpan w:val="3"/>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7,876</w:t>
            </w:r>
          </w:p>
        </w:tc>
        <w:tc>
          <w:tcPr>
            <w:tcW w:w="10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60" w:type="dxa"/>
            <w:vAlign w:val="bottom"/>
            <w:gridSpan w:val="3"/>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2,176</w:t>
            </w:r>
          </w:p>
        </w:tc>
        <w:tc>
          <w:tcPr>
            <w:tcW w:w="120" w:type="dxa"/>
            <w:vAlign w:val="bottom"/>
            <w:shd w:val="clear" w:color="auto" w:fill="E5FFFF"/>
          </w:tcPr>
          <w:p>
            <w:pPr>
              <w:spacing w:after="0"/>
              <w:rPr>
                <w:sz w:val="12"/>
                <w:szCs w:val="12"/>
                <w:color w:val="auto"/>
              </w:rPr>
            </w:pPr>
          </w:p>
        </w:tc>
        <w:tc>
          <w:tcPr>
            <w:tcW w:w="54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10,052</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Treasury stock acquired</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color w:val="auto"/>
              </w:rPr>
              <w:t>52</w:t>
            </w:r>
          </w:p>
        </w:tc>
        <w:tc>
          <w:tcPr>
            <w:tcW w:w="9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(1,356)</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0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16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60" w:type="dxa"/>
            <w:vAlign w:val="bottom"/>
            <w:gridSpan w:val="3"/>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(1,229)</w:t>
            </w:r>
          </w:p>
        </w:tc>
        <w:tc>
          <w:tcPr>
            <w:tcW w:w="120" w:type="dxa"/>
            <w:vAlign w:val="bottom"/>
            <w:shd w:val="clear" w:color="auto" w:fill="E5FFFF"/>
          </w:tcPr>
          <w:p>
            <w:pPr>
              <w:spacing w:after="0"/>
              <w:rPr>
                <w:sz w:val="12"/>
                <w:szCs w:val="12"/>
                <w:color w:val="auto"/>
              </w:rPr>
            </w:pPr>
          </w:p>
        </w:tc>
        <w:tc>
          <w:tcPr>
            <w:tcW w:w="54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(1,229)</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 contributions</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3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4"/>
                <w:szCs w:val="14"/>
                <w:color w:val="auto"/>
              </w:rPr>
              <w:t>Issuance of equity awards and stock based compensation expense</w:t>
            </w:r>
          </w:p>
        </w:tc>
        <w:tc>
          <w:tcPr>
            <w:tcW w:w="160" w:type="dxa"/>
            <w:vAlign w:val="bottom"/>
            <w:tcBorders>
              <w:bottom w:val="single" w:sz="8" w:color="auto"/>
            </w:tcBorders>
            <w:shd w:val="clear" w:color="auto" w:fill="E5FFFF"/>
          </w:tcPr>
          <w:p>
            <w:pPr>
              <w:spacing w:after="0"/>
              <w:rPr>
                <w:sz w:val="14"/>
                <w:szCs w:val="14"/>
                <w:color w:val="auto"/>
              </w:rPr>
            </w:pPr>
          </w:p>
        </w:tc>
        <w:tc>
          <w:tcPr>
            <w:tcW w:w="400" w:type="dxa"/>
            <w:vAlign w:val="bottom"/>
            <w:tcBorders>
              <w:bottom w:val="single" w:sz="8" w:color="auto"/>
            </w:tcBorders>
            <w:shd w:val="clear" w:color="auto" w:fill="E5FFFF"/>
          </w:tcPr>
          <w:p>
            <w:pPr>
              <w:spacing w:after="0"/>
              <w:rPr>
                <w:sz w:val="14"/>
                <w:szCs w:val="14"/>
                <w:color w:val="auto"/>
              </w:rPr>
            </w:pPr>
          </w:p>
        </w:tc>
        <w:tc>
          <w:tcPr>
            <w:tcW w:w="20" w:type="dxa"/>
            <w:vAlign w:val="bottom"/>
            <w:shd w:val="clear" w:color="auto" w:fill="E5FFFF"/>
          </w:tcPr>
          <w:p>
            <w:pPr>
              <w:spacing w:after="0"/>
              <w:rPr>
                <w:sz w:val="14"/>
                <w:szCs w:val="14"/>
                <w:color w:val="auto"/>
              </w:rPr>
            </w:pPr>
          </w:p>
        </w:tc>
        <w:tc>
          <w:tcPr>
            <w:tcW w:w="2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80" w:type="dxa"/>
            <w:vAlign w:val="bottom"/>
            <w:tcBorders>
              <w:bottom w:val="single" w:sz="8" w:color="auto"/>
            </w:tcBorders>
            <w:shd w:val="clear" w:color="auto" w:fill="E5FFFF"/>
          </w:tcPr>
          <w:p>
            <w:pPr>
              <w:spacing w:after="0"/>
              <w:rPr>
                <w:sz w:val="14"/>
                <w:szCs w:val="14"/>
                <w:color w:val="auto"/>
              </w:rPr>
            </w:pPr>
          </w:p>
        </w:tc>
        <w:tc>
          <w:tcPr>
            <w:tcW w:w="100" w:type="dxa"/>
            <w:vAlign w:val="bottom"/>
            <w:tcBorders>
              <w:bottom w:val="single" w:sz="8" w:color="auto"/>
            </w:tcBorders>
            <w:shd w:val="clear" w:color="auto" w:fill="E5FFFF"/>
          </w:tcPr>
          <w:p>
            <w:pPr>
              <w:spacing w:after="0"/>
              <w:rPr>
                <w:sz w:val="14"/>
                <w:szCs w:val="14"/>
                <w:color w:val="auto"/>
              </w:rPr>
            </w:pPr>
          </w:p>
        </w:tc>
        <w:tc>
          <w:tcPr>
            <w:tcW w:w="500" w:type="dxa"/>
            <w:vAlign w:val="bottom"/>
            <w:tcBorders>
              <w:bottom w:val="single" w:sz="8" w:color="auto"/>
            </w:tcBorders>
            <w:shd w:val="clear" w:color="auto" w:fill="E5FFFF"/>
          </w:tcPr>
          <w:p>
            <w:pPr>
              <w:spacing w:after="0"/>
              <w:rPr>
                <w:sz w:val="14"/>
                <w:szCs w:val="14"/>
                <w:color w:val="auto"/>
              </w:rPr>
            </w:pPr>
          </w:p>
        </w:tc>
        <w:tc>
          <w:tcPr>
            <w:tcW w:w="6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56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320" w:type="dxa"/>
            <w:vAlign w:val="bottom"/>
            <w:shd w:val="clear" w:color="auto" w:fill="E5FFFF"/>
          </w:tcPr>
          <w:p>
            <w:pPr>
              <w:spacing w:after="0"/>
              <w:rPr>
                <w:sz w:val="14"/>
                <w:szCs w:val="14"/>
                <w:color w:val="auto"/>
              </w:rPr>
            </w:pPr>
          </w:p>
        </w:tc>
        <w:tc>
          <w:tcPr>
            <w:tcW w:w="68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60" w:type="dxa"/>
            <w:vAlign w:val="bottom"/>
            <w:shd w:val="clear" w:color="auto" w:fill="E5FFFF"/>
          </w:tcPr>
          <w:p>
            <w:pPr>
              <w:spacing w:after="0"/>
              <w:rPr>
                <w:sz w:val="14"/>
                <w:szCs w:val="14"/>
                <w:color w:val="auto"/>
              </w:rPr>
            </w:pPr>
          </w:p>
        </w:tc>
        <w:tc>
          <w:tcPr>
            <w:tcW w:w="100" w:type="dxa"/>
            <w:vAlign w:val="bottom"/>
            <w:tcBorders>
              <w:bottom w:val="single" w:sz="8" w:color="auto"/>
            </w:tcBorders>
            <w:shd w:val="clear" w:color="auto" w:fill="E5FFFF"/>
          </w:tcPr>
          <w:p>
            <w:pPr>
              <w:spacing w:after="0"/>
              <w:rPr>
                <w:sz w:val="14"/>
                <w:szCs w:val="14"/>
                <w:color w:val="auto"/>
              </w:rPr>
            </w:pPr>
          </w:p>
        </w:tc>
        <w:tc>
          <w:tcPr>
            <w:tcW w:w="560" w:type="dxa"/>
            <w:vAlign w:val="bottom"/>
            <w:tcBorders>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40" w:type="dxa"/>
            <w:vAlign w:val="bottom"/>
            <w:shd w:val="clear" w:color="auto" w:fill="E5FFFF"/>
          </w:tcPr>
          <w:p>
            <w:pPr>
              <w:spacing w:after="0"/>
              <w:rPr>
                <w:sz w:val="14"/>
                <w:szCs w:val="14"/>
                <w:color w:val="auto"/>
              </w:rPr>
            </w:pPr>
          </w:p>
        </w:tc>
        <w:tc>
          <w:tcPr>
            <w:tcW w:w="160" w:type="dxa"/>
            <w:vAlign w:val="bottom"/>
            <w:tcBorders>
              <w:bottom w:val="single" w:sz="8" w:color="auto"/>
            </w:tcBorders>
            <w:shd w:val="clear" w:color="auto" w:fill="E5FFFF"/>
          </w:tcPr>
          <w:p>
            <w:pPr>
              <w:spacing w:after="0"/>
              <w:rPr>
                <w:sz w:val="14"/>
                <w:szCs w:val="14"/>
                <w:color w:val="auto"/>
              </w:rPr>
            </w:pPr>
          </w:p>
        </w:tc>
        <w:tc>
          <w:tcPr>
            <w:tcW w:w="340" w:type="dxa"/>
            <w:vAlign w:val="bottom"/>
            <w:tcBorders>
              <w:bottom w:val="single" w:sz="8" w:color="auto"/>
            </w:tcBorders>
            <w:shd w:val="clear" w:color="auto" w:fill="E5FFFF"/>
          </w:tcPr>
          <w:p>
            <w:pPr>
              <w:spacing w:after="0"/>
              <w:rPr>
                <w:sz w:val="14"/>
                <w:szCs w:val="14"/>
                <w:color w:val="auto"/>
              </w:rPr>
            </w:pPr>
          </w:p>
        </w:tc>
        <w:tc>
          <w:tcPr>
            <w:tcW w:w="180" w:type="dxa"/>
            <w:vAlign w:val="bottom"/>
            <w:tcBorders>
              <w:bottom w:val="single" w:sz="8" w:color="auto"/>
            </w:tcBorders>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120" w:type="dxa"/>
            <w:vAlign w:val="bottom"/>
            <w:tcBorders>
              <w:bottom w:val="single" w:sz="8" w:color="auto"/>
            </w:tcBorders>
            <w:shd w:val="clear" w:color="auto" w:fill="E5FFFF"/>
          </w:tcPr>
          <w:p>
            <w:pPr>
              <w:spacing w:after="0"/>
              <w:rPr>
                <w:sz w:val="14"/>
                <w:szCs w:val="14"/>
                <w:color w:val="auto"/>
              </w:rPr>
            </w:pPr>
          </w:p>
        </w:tc>
        <w:tc>
          <w:tcPr>
            <w:tcW w:w="540" w:type="dxa"/>
            <w:vAlign w:val="bottom"/>
            <w:tcBorders>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July 31, 2021</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29,853</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299</w:t>
            </w:r>
          </w:p>
        </w:tc>
        <w:tc>
          <w:tcPr>
            <w:tcW w:w="118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color w:val="auto"/>
              </w:rPr>
              <w:t>11,892</w:t>
            </w:r>
          </w:p>
        </w:tc>
        <w:tc>
          <w:tcPr>
            <w:tcW w:w="9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 (175,859)</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574,832</w:t>
            </w:r>
          </w:p>
        </w:tc>
        <w:tc>
          <w:tcPr>
            <w:tcW w:w="5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54,025</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453,297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6" w:name="page7"/>
    <w:bookmarkEnd w:id="6"/>
    <w:p>
      <w:pPr>
        <w:ind w:right="5500"/>
        <w:spacing w:after="0" w:line="26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Condensed Statements of Cash Flows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8"/>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7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July 31,</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3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21,871</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18,450</w:t>
            </w:r>
          </w:p>
        </w:tc>
        <w:tc>
          <w:tcPr>
            <w:tcW w:w="0" w:type="dxa"/>
            <w:vAlign w:val="bottom"/>
          </w:tcPr>
          <w:p>
            <w:pPr>
              <w:spacing w:after="0"/>
              <w:rPr>
                <w:sz w:val="1"/>
                <w:szCs w:val="1"/>
                <w:color w:val="auto"/>
              </w:rPr>
            </w:pPr>
          </w:p>
        </w:tc>
      </w:tr>
      <w:tr>
        <w:trPr>
          <w:trHeight w:val="230"/>
        </w:trPr>
        <w:tc>
          <w:tcPr>
            <w:tcW w:w="72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from discontinued operations, net of tax</w:t>
            </w:r>
          </w:p>
        </w:tc>
        <w:tc>
          <w:tcPr>
            <w:tcW w:w="13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82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5FFFF"/>
          </w:tcPr>
          <w:p>
            <w:pPr>
              <w:spacing w:after="0"/>
              <w:rPr>
                <w:sz w:val="19"/>
                <w:szCs w:val="19"/>
                <w:color w:val="auto"/>
              </w:rPr>
            </w:pPr>
          </w:p>
        </w:tc>
        <w:tc>
          <w:tcPr>
            <w:tcW w:w="440" w:type="dxa"/>
            <w:vAlign w:val="bottom"/>
            <w:shd w:val="clear" w:color="auto" w:fill="E5FFFF"/>
          </w:tcPr>
          <w:p>
            <w:pPr>
              <w:spacing w:after="0"/>
              <w:rPr>
                <w:sz w:val="19"/>
                <w:szCs w:val="19"/>
                <w:color w:val="auto"/>
              </w:rPr>
            </w:pPr>
          </w:p>
        </w:tc>
        <w:tc>
          <w:tcPr>
            <w:tcW w:w="70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2,448</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21,871</w:t>
            </w:r>
          </w:p>
        </w:tc>
        <w:tc>
          <w:tcPr>
            <w:tcW w:w="4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16,002</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3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36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440" w:type="dxa"/>
            <w:vAlign w:val="bottom"/>
            <w:shd w:val="clear" w:color="auto" w:fill="E5FFFF"/>
          </w:tcPr>
          <w:p>
            <w:pPr>
              <w:spacing w:after="0"/>
              <w:rPr>
                <w:sz w:val="19"/>
                <w:szCs w:val="19"/>
                <w:color w:val="auto"/>
              </w:rPr>
            </w:pPr>
          </w:p>
        </w:tc>
        <w:tc>
          <w:tcPr>
            <w:tcW w:w="440" w:type="dxa"/>
            <w:vAlign w:val="bottom"/>
            <w:shd w:val="clear" w:color="auto" w:fill="E5FFFF"/>
          </w:tcPr>
          <w:p>
            <w:pPr>
              <w:spacing w:after="0"/>
              <w:rPr>
                <w:sz w:val="19"/>
                <w:szCs w:val="19"/>
                <w:color w:val="auto"/>
              </w:rPr>
            </w:pPr>
          </w:p>
        </w:tc>
        <w:tc>
          <w:tcPr>
            <w:tcW w:w="360" w:type="dxa"/>
            <w:vAlign w:val="bottom"/>
            <w:shd w:val="clear" w:color="auto" w:fill="E5FFFF"/>
          </w:tcPr>
          <w:p>
            <w:pPr>
              <w:spacing w:after="0"/>
              <w:rPr>
                <w:sz w:val="19"/>
                <w:szCs w:val="19"/>
                <w:color w:val="auto"/>
              </w:rPr>
            </w:pPr>
          </w:p>
        </w:tc>
        <w:tc>
          <w:tcPr>
            <w:tcW w:w="32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8,984</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3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2,734</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Interest income from investments</w:t>
            </w:r>
          </w:p>
        </w:tc>
        <w:tc>
          <w:tcPr>
            <w:tcW w:w="13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3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sale of property and equipment – net</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2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3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(12,738)</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(9,808)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3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(3,886)</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Refundable income taxes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3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trade</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(11,254)</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3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82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440" w:type="dxa"/>
            <w:vAlign w:val="bottom"/>
            <w:shd w:val="clear" w:color="auto" w:fill="E5FFFF"/>
          </w:tcPr>
          <w:p>
            <w:pPr>
              <w:spacing w:after="0"/>
              <w:rPr>
                <w:sz w:val="19"/>
                <w:szCs w:val="19"/>
                <w:color w:val="auto"/>
              </w:rPr>
            </w:pPr>
          </w:p>
        </w:tc>
        <w:tc>
          <w:tcPr>
            <w:tcW w:w="440" w:type="dxa"/>
            <w:vAlign w:val="bottom"/>
            <w:shd w:val="clear" w:color="auto" w:fill="E5FFFF"/>
          </w:tcPr>
          <w:p>
            <w:pPr>
              <w:spacing w:after="0"/>
              <w:rPr>
                <w:sz w:val="19"/>
                <w:szCs w:val="19"/>
                <w:color w:val="auto"/>
              </w:rPr>
            </w:pP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1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 from continuing operations</w:t>
            </w:r>
          </w:p>
        </w:tc>
        <w:tc>
          <w:tcPr>
            <w:tcW w:w="1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4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20,231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cash used in operating activities from discontinued operations</w:t>
            </w:r>
          </w:p>
        </w:tc>
        <w:tc>
          <w:tcPr>
            <w:tcW w:w="13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82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5FFFF"/>
          </w:tcPr>
          <w:p>
            <w:pPr>
              <w:spacing w:after="0"/>
              <w:rPr>
                <w:sz w:val="19"/>
                <w:szCs w:val="19"/>
                <w:color w:val="auto"/>
              </w:rPr>
            </w:pPr>
          </w:p>
        </w:tc>
        <w:tc>
          <w:tcPr>
            <w:tcW w:w="440" w:type="dxa"/>
            <w:vAlign w:val="bottom"/>
            <w:shd w:val="clear" w:color="auto" w:fill="E5FFFF"/>
          </w:tcPr>
          <w:p>
            <w:pPr>
              <w:spacing w:after="0"/>
              <w:rPr>
                <w:sz w:val="19"/>
                <w:szCs w:val="19"/>
                <w:color w:val="auto"/>
              </w:rPr>
            </w:pPr>
          </w:p>
        </w:tc>
        <w:tc>
          <w:tcPr>
            <w:tcW w:w="70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(3,074)</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60" w:type="dxa"/>
            <w:vAlign w:val="bottom"/>
            <w:tcBorders>
              <w:bottom w:val="single" w:sz="8" w:color="E5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440" w:type="dxa"/>
            <w:vAlign w:val="bottom"/>
            <w:tcBorders>
              <w:bottom w:val="single" w:sz="8" w:color="E5FF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17,157</w:t>
            </w:r>
          </w:p>
        </w:tc>
        <w:tc>
          <w:tcPr>
            <w:tcW w:w="100" w:type="dxa"/>
            <w:vAlign w:val="bottom"/>
            <w:tcBorders>
              <w:bottom w:val="single" w:sz="8" w:color="E5FF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3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3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(189,988)</w:t>
            </w:r>
          </w:p>
        </w:tc>
        <w:tc>
          <w:tcPr>
            <w:tcW w:w="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(49,281)</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of short-term investments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25,882</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52,220</w:t>
            </w:r>
          </w:p>
        </w:tc>
        <w:tc>
          <w:tcPr>
            <w:tcW w:w="0" w:type="dxa"/>
            <w:vAlign w:val="bottom"/>
          </w:tcPr>
          <w:p>
            <w:pPr>
              <w:spacing w:after="0"/>
              <w:rPr>
                <w:sz w:val="1"/>
                <w:szCs w:val="1"/>
                <w:color w:val="auto"/>
              </w:rPr>
            </w:pPr>
          </w:p>
        </w:tc>
      </w:tr>
      <w:tr>
        <w:trPr>
          <w:trHeight w:val="230"/>
        </w:trPr>
        <w:tc>
          <w:tcPr>
            <w:tcW w:w="72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82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5FFFF"/>
          </w:tcPr>
          <w:p>
            <w:pPr>
              <w:spacing w:after="0"/>
              <w:rPr>
                <w:sz w:val="19"/>
                <w:szCs w:val="19"/>
                <w:color w:val="auto"/>
              </w:rPr>
            </w:pPr>
          </w:p>
        </w:tc>
        <w:tc>
          <w:tcPr>
            <w:tcW w:w="440" w:type="dxa"/>
            <w:vAlign w:val="bottom"/>
            <w:shd w:val="clear" w:color="auto" w:fill="E5FFFF"/>
          </w:tcPr>
          <w:p>
            <w:pPr>
              <w:spacing w:after="0"/>
              <w:rPr>
                <w:sz w:val="19"/>
                <w:szCs w:val="19"/>
                <w:color w:val="auto"/>
              </w:rPr>
            </w:pPr>
          </w:p>
        </w:tc>
        <w:tc>
          <w:tcPr>
            <w:tcW w:w="70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360" w:type="dxa"/>
            <w:vAlign w:val="bottom"/>
            <w:tcBorders>
              <w:bottom w:val="single" w:sz="8" w:color="E5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(167,042)</w:t>
            </w:r>
          </w:p>
        </w:tc>
        <w:tc>
          <w:tcPr>
            <w:tcW w:w="440" w:type="dxa"/>
            <w:vAlign w:val="bottom"/>
            <w:tcBorders>
              <w:bottom w:val="single" w:sz="8" w:color="E5FF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E5FF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3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acquired</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Payments to noncontrolling interests holders</w:t>
            </w:r>
          </w:p>
        </w:tc>
        <w:tc>
          <w:tcPr>
            <w:tcW w:w="13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82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440" w:type="dxa"/>
            <w:vAlign w:val="bottom"/>
            <w:shd w:val="clear" w:color="auto" w:fill="E5FFFF"/>
          </w:tcPr>
          <w:p>
            <w:pPr>
              <w:spacing w:after="0"/>
              <w:rPr>
                <w:sz w:val="19"/>
                <w:szCs w:val="19"/>
                <w:color w:val="auto"/>
              </w:rPr>
            </w:pPr>
          </w:p>
        </w:tc>
        <w:tc>
          <w:tcPr>
            <w:tcW w:w="440" w:type="dxa"/>
            <w:vAlign w:val="bottom"/>
            <w:shd w:val="clear" w:color="auto" w:fill="E5FFFF"/>
          </w:tcPr>
          <w:p>
            <w:pPr>
              <w:spacing w:after="0"/>
              <w:rPr>
                <w:sz w:val="19"/>
                <w:szCs w:val="19"/>
                <w:color w:val="auto"/>
              </w:rPr>
            </w:pPr>
          </w:p>
        </w:tc>
        <w:tc>
          <w:tcPr>
            <w:tcW w:w="70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(1,304)</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 from continuing operations</w:t>
            </w:r>
          </w:p>
        </w:tc>
        <w:tc>
          <w:tcPr>
            <w:tcW w:w="1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4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 from discontinued operations</w:t>
            </w:r>
          </w:p>
        </w:tc>
        <w:tc>
          <w:tcPr>
            <w:tcW w:w="13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82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5FFFF"/>
          </w:tcPr>
          <w:p>
            <w:pPr>
              <w:spacing w:after="0"/>
              <w:rPr>
                <w:sz w:val="19"/>
                <w:szCs w:val="19"/>
                <w:color w:val="auto"/>
              </w:rPr>
            </w:pPr>
          </w:p>
        </w:tc>
        <w:tc>
          <w:tcPr>
            <w:tcW w:w="440" w:type="dxa"/>
            <w:vAlign w:val="bottom"/>
            <w:shd w:val="clear" w:color="auto" w:fill="E5FFFF"/>
          </w:tcPr>
          <w:p>
            <w:pPr>
              <w:spacing w:after="0"/>
              <w:rPr>
                <w:sz w:val="19"/>
                <w:szCs w:val="19"/>
                <w:color w:val="auto"/>
              </w:rPr>
            </w:pP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4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401"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Continued on the following page</w:t>
      </w:r>
    </w:p>
    <w:p>
      <w:pPr>
        <w:spacing w:after="0" w:line="20" w:lineRule="exact"/>
        <w:rPr>
          <w:sz w:val="20"/>
          <w:szCs w:val="20"/>
          <w:color w:val="auto"/>
        </w:rPr>
      </w:pPr>
      <w:r>
        <w:rPr>
          <w:sz w:val="20"/>
          <w:szCs w:val="20"/>
          <w:color w:val="auto"/>
        </w:rPr>
        <w:br w:type="column"/>
      </w:r>
    </w:p>
    <w:p>
      <w:pPr>
        <w:jc w:val="both"/>
        <w:ind w:left="320"/>
        <w:spacing w:after="0"/>
        <w:tabs>
          <w:tab w:leader="none" w:pos="2060" w:val="left"/>
        </w:tabs>
        <w:rPr>
          <w:sz w:val="20"/>
          <w:szCs w:val="20"/>
          <w:color w:val="auto"/>
        </w:rPr>
      </w:pPr>
      <w:r>
        <w:rPr>
          <w:rFonts w:ascii="Times New Roman" w:cs="Times New Roman" w:eastAsia="Times New Roman" w:hAnsi="Times New Roman"/>
          <w:sz w:val="18"/>
          <w:szCs w:val="18"/>
          <w:color w:val="auto"/>
        </w:rPr>
        <w:t>(174,097)</w:t>
      </w:r>
      <w:r>
        <w:rPr>
          <w:sz w:val="20"/>
          <w:szCs w:val="20"/>
          <w:color w:val="auto"/>
        </w:rPr>
        <w:tab/>
      </w:r>
      <w:r>
        <w:rPr>
          <w:rFonts w:ascii="Times New Roman" w:cs="Times New Roman" w:eastAsia="Times New Roman" w:hAnsi="Times New Roman"/>
          <w:sz w:val="18"/>
          <w:szCs w:val="18"/>
          <w:color w:val="auto"/>
        </w:rPr>
        <w:t>14,912</w:t>
      </w:r>
    </w:p>
    <w:p>
      <w:pPr>
        <w:spacing w:after="0" w:line="27" w:lineRule="exact"/>
        <w:rPr>
          <w:sz w:val="20"/>
          <w:szCs w:val="20"/>
          <w:color w:val="auto"/>
        </w:rPr>
      </w:pPr>
    </w:p>
    <w:p>
      <w:pPr>
        <w:ind w:left="440"/>
        <w:spacing w:after="0"/>
        <w:tabs>
          <w:tab w:leader="none" w:pos="1960" w:val="left"/>
        </w:tabs>
        <w:rPr>
          <w:sz w:val="20"/>
          <w:szCs w:val="20"/>
          <w:color w:val="auto"/>
        </w:rPr>
      </w:pPr>
      <w:r>
        <w:rPr>
          <w:rFonts w:ascii="Times New Roman" w:cs="Times New Roman" w:eastAsia="Times New Roman" w:hAnsi="Times New Roman"/>
          <w:sz w:val="18"/>
          <w:szCs w:val="18"/>
          <w:color w:val="auto"/>
        </w:rPr>
        <w:t>232,068</w:t>
      </w:r>
      <w:r>
        <w:rPr>
          <w:sz w:val="20"/>
          <w:szCs w:val="20"/>
          <w:color w:val="auto"/>
        </w:rPr>
        <w:tab/>
      </w:r>
      <w:r>
        <w:rPr>
          <w:rFonts w:ascii="Times New Roman" w:cs="Times New Roman" w:eastAsia="Times New Roman" w:hAnsi="Times New Roman"/>
          <w:sz w:val="18"/>
          <w:szCs w:val="18"/>
          <w:color w:val="auto"/>
        </w:rPr>
        <w:t>146,158</w:t>
      </w:r>
    </w:p>
    <w:p>
      <w:pPr>
        <w:spacing w:after="0" w:line="31" w:lineRule="exact"/>
        <w:rPr>
          <w:sz w:val="20"/>
          <w:szCs w:val="20"/>
          <w:color w:val="auto"/>
        </w:rPr>
      </w:pPr>
    </w:p>
    <w:p>
      <w:pPr>
        <w:spacing w:after="0"/>
        <w:tabs>
          <w:tab w:leader="none" w:pos="500" w:val="left"/>
          <w:tab w:leader="none" w:pos="1440" w:val="left"/>
          <w:tab w:leader="none" w:pos="1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57,971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161,070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16370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526" w:lineRule="exact"/>
        <w:rPr>
          <w:sz w:val="20"/>
          <w:szCs w:val="20"/>
          <w:color w:val="auto"/>
        </w:rPr>
      </w:pPr>
    </w:p>
    <w:p>
      <w:pPr>
        <w:sectPr>
          <w:pgSz w:w="11900" w:h="16838" w:orient="portrait"/>
          <w:cols w:equalWidth="0" w:num="2">
            <w:col w:w="7840" w:space="720"/>
            <w:col w:w="2680"/>
          </w:cols>
          <w:pgMar w:left="320" w:top="401"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type w:val="continuous"/>
        </w:sectPr>
      </w:pPr>
    </w:p>
    <w:bookmarkStart w:id="7" w:name="page8"/>
    <w:bookmarkEnd w:id="7"/>
    <w:p>
      <w:pPr>
        <w:ind w:right="5500"/>
        <w:spacing w:after="0" w:line="26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Condensed Statements of Cash Flows Unaudited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Continued from the previous page</w:t>
            </w: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70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Non cash investing activities – Accrued capital expenditures</w:t>
            </w:r>
          </w:p>
        </w:tc>
        <w:tc>
          <w:tcPr>
            <w:tcW w:w="1860" w:type="dxa"/>
            <w:vAlign w:val="bottom"/>
            <w:gridSpan w:val="2"/>
            <w:shd w:val="clear" w:color="auto" w:fill="E5FF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260</w:t>
            </w:r>
          </w:p>
        </w:tc>
        <w:tc>
          <w:tcPr>
            <w:tcW w:w="320" w:type="dxa"/>
            <w:vAlign w:val="bottom"/>
            <w:shd w:val="clear" w:color="auto" w:fill="E5FF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0" w:type="dxa"/>
            <w:vAlign w:val="bottom"/>
            <w:tcBorders>
              <w:top w:val="single" w:sz="8" w:color="E5FFFF"/>
              <w:bottom w:val="single" w:sz="8" w:color="E5FF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Non cash financing activities – Stock awards accrued</w:t>
            </w:r>
          </w:p>
        </w:tc>
        <w:tc>
          <w:tcPr>
            <w:tcW w:w="1560" w:type="dxa"/>
            <w:vAlign w:val="bottom"/>
            <w:tcBorders>
              <w:top w:val="single" w:sz="8" w:color="E5FFFF"/>
              <w:bottom w:val="single" w:sz="8" w:color="E5FF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bottom w:val="single" w:sz="8" w:color="E5FF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bottom w:val="single" w:sz="8" w:color="E5FFFF"/>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00" w:type="dxa"/>
            <w:vAlign w:val="bottom"/>
            <w:tcBorders>
              <w:bottom w:val="single" w:sz="8" w:color="E5FFFF"/>
            </w:tcBorders>
            <w:vMerge w:val="continue"/>
          </w:tcPr>
          <w:p>
            <w:pPr>
              <w:spacing w:after="0"/>
              <w:rPr>
                <w:sz w:val="20"/>
                <w:szCs w:val="20"/>
                <w:color w:val="auto"/>
              </w:rPr>
            </w:pPr>
          </w:p>
        </w:tc>
        <w:tc>
          <w:tcPr>
            <w:tcW w:w="1560" w:type="dxa"/>
            <w:vAlign w:val="bottom"/>
            <w:tcBorders>
              <w:bottom w:val="single" w:sz="8" w:color="E5FFFF"/>
            </w:tcBorders>
            <w:vMerge w:val="continue"/>
          </w:tcPr>
          <w:p>
            <w:pPr>
              <w:spacing w:after="0"/>
              <w:rPr>
                <w:sz w:val="20"/>
                <w:szCs w:val="20"/>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563</w:t>
            </w:r>
          </w:p>
        </w:tc>
        <w:tc>
          <w:tcPr>
            <w:tcW w:w="440" w:type="dxa"/>
            <w:vAlign w:val="bottom"/>
            <w:tcBorders>
              <w:bottom w:val="single" w:sz="8" w:color="E5FF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E5FF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000" w:type="dxa"/>
            <w:vAlign w:val="bottom"/>
            <w:tcBorders>
              <w:bottom w:val="single" w:sz="8" w:color="E5FFFF"/>
            </w:tcBorders>
            <w:shd w:val="clear" w:color="auto" w:fill="E5FFFF"/>
          </w:tcPr>
          <w:p>
            <w:pPr>
              <w:ind w:left="180"/>
              <w:spacing w:after="0" w:line="195" w:lineRule="exact"/>
              <w:rPr>
                <w:sz w:val="20"/>
                <w:szCs w:val="20"/>
                <w:color w:val="auto"/>
              </w:rPr>
            </w:pPr>
            <w:r>
              <w:rPr>
                <w:rFonts w:ascii="Times New Roman" w:cs="Times New Roman" w:eastAsia="Times New Roman" w:hAnsi="Times New Roman"/>
                <w:sz w:val="18"/>
                <w:szCs w:val="18"/>
                <w:color w:val="auto"/>
              </w:rPr>
              <w:t>Non cash financing activities – Stock awards issued</w:t>
            </w:r>
          </w:p>
        </w:tc>
        <w:tc>
          <w:tcPr>
            <w:tcW w:w="1560" w:type="dxa"/>
            <w:vAlign w:val="bottom"/>
            <w:tcBorders>
              <w:bottom w:val="single" w:sz="8" w:color="E5FFFF"/>
            </w:tcBorders>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1,539</w:t>
            </w:r>
          </w:p>
        </w:tc>
        <w:tc>
          <w:tcPr>
            <w:tcW w:w="440" w:type="dxa"/>
            <w:vAlign w:val="bottom"/>
            <w:tcBorders>
              <w:bottom w:val="single" w:sz="8" w:color="E5FFFF"/>
            </w:tcBorders>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E5FFFF"/>
            </w:tcBorders>
            <w:gridSpan w:val="2"/>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Right-of-use assets acquired and liabilities incurred upon lease execution</w:t>
            </w:r>
          </w:p>
        </w:tc>
        <w:tc>
          <w:tcPr>
            <w:tcW w:w="156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4,507</w:t>
            </w:r>
          </w:p>
        </w:tc>
        <w:tc>
          <w:tcPr>
            <w:tcW w:w="44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3,267</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Reconciliation of total cash, cash equivalents and restricted cash:</w:t>
            </w:r>
          </w:p>
        </w:tc>
        <w:tc>
          <w:tcPr>
            <w:tcW w:w="15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54,639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56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1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3,332</w:t>
            </w:r>
          </w:p>
        </w:tc>
        <w:tc>
          <w:tcPr>
            <w:tcW w:w="320" w:type="dxa"/>
            <w:vAlign w:val="bottom"/>
            <w:shd w:val="clear" w:color="auto" w:fill="E5FFFF"/>
          </w:tcPr>
          <w:p>
            <w:pPr>
              <w:spacing w:after="0"/>
              <w:rPr>
                <w:sz w:val="19"/>
                <w:szCs w:val="19"/>
                <w:color w:val="auto"/>
              </w:rPr>
            </w:pPr>
          </w:p>
        </w:tc>
        <w:tc>
          <w:tcPr>
            <w:tcW w:w="8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6,758</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5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57,971</w:t>
            </w: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REX AMERICAN RESOURCES CORPORATION AND SUBSIDIARIES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UNAUDITED CONSOLIDATED CONDENSED FINANCIAL STATEMENTS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July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 </w:t>
      </w:r>
      <w:r>
        <w:rPr>
          <w:rFonts w:ascii="Times New Roman" w:cs="Times New Roman" w:eastAsia="Times New Roman" w:hAnsi="Times New Roman"/>
          <w:sz w:val="22"/>
          <w:szCs w:val="22"/>
          <w:b w:val="1"/>
          <w:bCs w:val="1"/>
          <w:i w:val="1"/>
          <w:iCs w:val="1"/>
          <w:color w:val="auto"/>
        </w:rPr>
        <w:t>Consolidated Condensed Financial Statements</w:t>
      </w:r>
    </w:p>
    <w:p>
      <w:pPr>
        <w:spacing w:after="0" w:line="239" w:lineRule="exact"/>
        <w:rPr>
          <w:sz w:val="20"/>
          <w:szCs w:val="20"/>
          <w:color w:val="auto"/>
        </w:rPr>
      </w:pPr>
    </w:p>
    <w:p>
      <w:pPr>
        <w:jc w:val="both"/>
        <w:ind w:right="60" w:firstLine="648"/>
        <w:spacing w:after="0" w:line="244" w:lineRule="auto"/>
        <w:rPr>
          <w:sz w:val="20"/>
          <w:szCs w:val="20"/>
          <w:color w:val="auto"/>
        </w:rPr>
      </w:pPr>
      <w:r>
        <w:rPr>
          <w:rFonts w:ascii="Times New Roman" w:cs="Times New Roman" w:eastAsia="Times New Roman" w:hAnsi="Times New Roman"/>
          <w:sz w:val="22"/>
          <w:szCs w:val="22"/>
          <w:color w:val="auto"/>
        </w:rPr>
        <w:t>References to the Company – References to “REX” or the “Company” in the consolidated condensed financial statements and in these notes to the consolidated condensed financial statements refer to REX American Resources Corporation, a Delaware corporation, and its majority and wholly owned subsidiaries.</w:t>
      </w:r>
    </w:p>
    <w:p>
      <w:pPr>
        <w:spacing w:after="0" w:line="200" w:lineRule="exact"/>
        <w:rPr>
          <w:sz w:val="20"/>
          <w:szCs w:val="20"/>
          <w:color w:val="auto"/>
        </w:rPr>
      </w:pPr>
    </w:p>
    <w:p>
      <w:pPr>
        <w:ind w:right="160" w:firstLine="648"/>
        <w:spacing w:after="0" w:line="233" w:lineRule="auto"/>
        <w:rPr>
          <w:sz w:val="20"/>
          <w:szCs w:val="20"/>
          <w:color w:val="auto"/>
        </w:rPr>
      </w:pPr>
      <w:r>
        <w:rPr>
          <w:rFonts w:ascii="Times New Roman" w:cs="Times New Roman" w:eastAsia="Times New Roman" w:hAnsi="Times New Roman"/>
          <w:sz w:val="22"/>
          <w:szCs w:val="22"/>
          <w:color w:val="auto"/>
        </w:rPr>
        <w:t>The consolidated condensed financial statements included in this report have been prepared by the Company, without audit, pursuant to the rules and regulations of the Securities and Exchange Commission and include, in the opinion of management, all adjustments necessary to state fairly the information set forth therein. Any such adjustments were of a normal recurring nature. Certain information and footnote disclosures normally included in financial statements prepared in accordance with accounting principles generally accepted in the United States of America have been omitted pursuant to such rules and regulations, although the Company believes that the disclosures are adequate to make the information presented not misleading. Financial information as of January 31, 2022 included in these financial statements has been derived from the audited consolidated financial statements included in the Company’s Annual Report on Form 10-K for the year ended January 31, 2022 (fiscal year 2021). It is suggested that these unaudited consolidated condensed financial statements be read in conjunction with the consolidated financial statements and the notes thereto included in the Company’s Annual Report on Form 10-K for the year ended January 31, 2022. The results of operations for the interim periods are not necessarily indicative of the results to be expected for the year.</w:t>
      </w:r>
    </w:p>
    <w:p>
      <w:pPr>
        <w:spacing w:after="0" w:line="212"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Basis of Consolidation – The consolidated condensed financial statements in this report include the operating results and financial position of the Company. All intercompany balances and transactions have been eliminated. The Company consolidates the results of its wholly owned and majority owned subsidiaries. The Company includes the results of operations of One Earth Energy, LLC (“One Earth”) in its Consolidated Condensed Statements of Operations on a delayed basis of one month as One Earth has a fiscal year end of December 31. On November 18, 2021, the Company ceased operation of its refined coal business as tax credits could no longer be earned on its operations. Beginning in the third quarter of fiscal year 2021, the results of the operation of the refined coal business were recognized in discontinued operations. Prior period amounts have been reclassified to conform with discontinued operations reporting.</w:t>
      </w:r>
    </w:p>
    <w:p>
      <w:pPr>
        <w:spacing w:after="0" w:line="205"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Stock Split – On June 21, 2022, the Board of Directors of the Company adopted resolutions declaring a three-for-one split of the Company’s Common Stock to be effectuated in the form of a 200% stock dividend, payable on August 5, 2022 to stockholders of record at the close of business on July 29, 2022. The stock split has been retroactively reflected in the accompanying consolidated financial statements.</w:t>
      </w:r>
    </w:p>
    <w:p>
      <w:pPr>
        <w:spacing w:after="0" w:line="207"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22"/>
          <w:szCs w:val="22"/>
          <w:color w:val="auto"/>
        </w:rPr>
        <w:t>Nature of Operations – Beginning in the third quarter of fiscal year 2021, the Company now has one reportable segment, ethanol and by-products. Within the ethanol and by-products segment, the Company has equity investments in three ethanol limited liability companies, two of which are majority</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ownership interests. Prior period amounts have been reclassified to conform to the current segment reporting.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2. </w:t>
      </w:r>
      <w:r>
        <w:rPr>
          <w:rFonts w:ascii="Times New Roman" w:cs="Times New Roman" w:eastAsia="Times New Roman" w:hAnsi="Times New Roman"/>
          <w:sz w:val="22"/>
          <w:szCs w:val="22"/>
          <w:b w:val="1"/>
          <w:bCs w:val="1"/>
          <w:i w:val="1"/>
          <w:iCs w:val="1"/>
          <w:color w:val="auto"/>
        </w:rPr>
        <w:t>Accounting Policies</w:t>
      </w:r>
    </w:p>
    <w:p>
      <w:pPr>
        <w:spacing w:after="0" w:line="239" w:lineRule="exact"/>
        <w:rPr>
          <w:sz w:val="20"/>
          <w:szCs w:val="20"/>
          <w:color w:val="auto"/>
        </w:rPr>
      </w:pPr>
    </w:p>
    <w:p>
      <w:pPr>
        <w:ind w:right="160" w:firstLine="648"/>
        <w:spacing w:after="0" w:line="235" w:lineRule="auto"/>
        <w:rPr>
          <w:sz w:val="20"/>
          <w:szCs w:val="20"/>
          <w:color w:val="auto"/>
        </w:rPr>
      </w:pPr>
      <w:r>
        <w:rPr>
          <w:rFonts w:ascii="Times New Roman" w:cs="Times New Roman" w:eastAsia="Times New Roman" w:hAnsi="Times New Roman"/>
          <w:sz w:val="22"/>
          <w:szCs w:val="22"/>
          <w:color w:val="auto"/>
        </w:rPr>
        <w:t>The interim consolidated condensed financial statements have been prepared in accordance with the accounting policies described in the notes to the consolidated financial statements included in the Company’s fiscal year 2021 Annual Report on Form 10-K. While management believes that the procedures followed in the preparation of interim financial information are reasonable, the accuracy of some estimated amounts is dependent upon facts that will exist or calculations that will be accomplished at fiscal year-end. Examples of such estimates include accrued liabilities, such as management bonuses, and the provision for income taxes. Any adjustments pursuant to such estimates during the quarter were of a normal recurring nature. Actual results could differ from those estimates.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and Cash Equivalents</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Cash and cash equivalents includes bank deposits as well as short-term, highly liquid investments with original maturities of three months or less.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Revenue Recognition</w:t>
      </w:r>
    </w:p>
    <w:p>
      <w:pPr>
        <w:spacing w:after="0" w:line="237"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The Company recognizes sales of ethanol, distillers grains and non-food grade corn oil when obligations under the terms of the respective contracts with customers are satisfied; this occurs with the transfer of control of products, generally upon shipment from the ethanol plant or upon loading of the rail car used to transport the products.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Cost of Sales</w:t>
      </w:r>
    </w:p>
    <w:p>
      <w:pPr>
        <w:spacing w:after="0" w:line="237" w:lineRule="exact"/>
        <w:rPr>
          <w:sz w:val="20"/>
          <w:szCs w:val="20"/>
          <w:color w:val="auto"/>
        </w:rPr>
      </w:pPr>
    </w:p>
    <w:p>
      <w:pPr>
        <w:ind w:right="180" w:firstLine="648"/>
        <w:spacing w:after="0" w:line="244" w:lineRule="auto"/>
        <w:rPr>
          <w:sz w:val="20"/>
          <w:szCs w:val="20"/>
          <w:color w:val="auto"/>
        </w:rPr>
      </w:pPr>
      <w:r>
        <w:rPr>
          <w:rFonts w:ascii="Times New Roman" w:cs="Times New Roman" w:eastAsia="Times New Roman" w:hAnsi="Times New Roman"/>
          <w:sz w:val="22"/>
          <w:szCs w:val="22"/>
          <w:color w:val="auto"/>
        </w:rPr>
        <w:t>Cost of sales includes depreciation, costs of raw materials, inbound freight charges, purchasing and receiving costs, inspection costs, other distribution expenses, warehousing costs, plant repair and maintenance costs, plant management, certain compensation costs and general facility overhead charges.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Selling, General and Administrative (“SG&amp;A”) Expenses</w:t>
      </w:r>
    </w:p>
    <w:p>
      <w:pPr>
        <w:spacing w:after="0" w:line="237"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The Company includes non-production related costs such as professional fees, outbound freight charges, selling charges and certain payroll in SG&amp;A expenses. Outbound freight charges were approximately $2,627,000 and $1,561,000 in the second quarter of fiscal years 2022 and 2021, respectively and approximately $2,900,000 and $7,156,000 in the first six months of fiscal years 2022 and 2021,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Instruments</w:t>
      </w:r>
    </w:p>
    <w:p>
      <w:pPr>
        <w:spacing w:after="0" w:line="237" w:lineRule="exact"/>
        <w:rPr>
          <w:sz w:val="20"/>
          <w:szCs w:val="20"/>
          <w:color w:val="auto"/>
        </w:rPr>
      </w:pPr>
    </w:p>
    <w:p>
      <w:pPr>
        <w:ind w:right="200" w:firstLine="648"/>
        <w:spacing w:after="0" w:line="239" w:lineRule="auto"/>
        <w:rPr>
          <w:sz w:val="20"/>
          <w:szCs w:val="20"/>
          <w:color w:val="auto"/>
        </w:rPr>
      </w:pPr>
      <w:r>
        <w:rPr>
          <w:rFonts w:ascii="Times New Roman" w:cs="Times New Roman" w:eastAsia="Times New Roman" w:hAnsi="Times New Roman"/>
          <w:sz w:val="22"/>
          <w:szCs w:val="22"/>
          <w:color w:val="auto"/>
        </w:rPr>
        <w:t>Certain of the forward grain purchase and ethanol, distillers grains and non-food grade corn oil sale contracts are accounted for under the “normal purchases and normal sales” scope exemption of Accounting Standards Codification (“ASC”) 815, “</w:t>
      </w:r>
      <w:r>
        <w:rPr>
          <w:rFonts w:ascii="Times New Roman" w:cs="Times New Roman" w:eastAsia="Times New Roman" w:hAnsi="Times New Roman"/>
          <w:sz w:val="22"/>
          <w:szCs w:val="22"/>
          <w:i w:val="1"/>
          <w:iCs w:val="1"/>
          <w:color w:val="auto"/>
        </w:rPr>
        <w:t>Derivatives and Hedging</w:t>
      </w:r>
      <w:r>
        <w:rPr>
          <w:rFonts w:ascii="Times New Roman" w:cs="Times New Roman" w:eastAsia="Times New Roman" w:hAnsi="Times New Roman"/>
          <w:sz w:val="22"/>
          <w:szCs w:val="22"/>
          <w:color w:val="auto"/>
        </w:rPr>
        <w:t>” (“ASC 815”) because these arrangements are for purchases of grain that will be delivered in quantities expected to be used by the Company and sales</w:t>
      </w:r>
    </w:p>
    <w:p>
      <w:pPr>
        <w:spacing w:after="0" w:line="1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96" w:right="399" w:bottom="1440" w:gutter="0" w:footer="0" w:header="0"/>
        </w:sectPr>
      </w:pPr>
    </w:p>
    <w:bookmarkStart w:id="10" w:name="page11"/>
    <w:bookmarkEnd w:id="10"/>
    <w:p>
      <w:pPr>
        <w:ind w:right="360"/>
        <w:spacing w:after="0" w:line="258" w:lineRule="auto"/>
        <w:rPr>
          <w:sz w:val="20"/>
          <w:szCs w:val="20"/>
          <w:color w:val="auto"/>
        </w:rPr>
      </w:pPr>
      <w:r>
        <w:rPr>
          <w:rFonts w:ascii="Times New Roman" w:cs="Times New Roman" w:eastAsia="Times New Roman" w:hAnsi="Times New Roman"/>
          <w:sz w:val="22"/>
          <w:szCs w:val="22"/>
          <w:color w:val="auto"/>
        </w:rPr>
        <w:t>of ethanol, distillers grains and non-food grade corn oil quantities expected to be produced by the Company over a reasonable period of time in the normal course of business.</w:t>
      </w:r>
    </w:p>
    <w:p>
      <w:pPr>
        <w:spacing w:after="0" w:line="185"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The Company uses derivative financial instruments (exchange-traded futures contracts) to manage a portion of the risk associated with changes in commodity prices, primarily related to corn.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sales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Income Taxes</w:t>
      </w:r>
    </w:p>
    <w:p>
      <w:pPr>
        <w:spacing w:after="0" w:line="237"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1"/>
          <w:szCs w:val="21"/>
          <w:color w:val="auto"/>
        </w:rPr>
        <w:t>Prior to the third quarter of fiscal year 2021, the Company determined that small changes in estimated “ordinary” income could result in significant changes in the estimated annual effective tax rate. Thus, the Company used a discrete effective tax rate method to calculate the provision or benefit for income taxes for the three and six months ended July 31, 2021. Beginning on November 18, 2021, the Company was unable to earn additional tax credits related to the refined coal facility, and therefore, ceased operation of that facility. As earning these credits is what had caused the significant changes in the estimated annual effective tax rate from small changes in estimated “ordinary” income and the Company has now classified the refined coal segment as discontinued operations, the Company returned to using the annual effective tax rate method to calculate the provision or benefit for income taxes from continuing operations beginning in the three and nine month periods ended October 31, 2021.</w:t>
      </w:r>
    </w:p>
    <w:p>
      <w:pPr>
        <w:spacing w:after="0" w:line="19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The Company provides for deferred tax liabilities and assets for the future tax consequences attributable to differences between the financial statement carrying amounts of existing assets and liabilities and their respective tax basis and operating loss and tax credit carryforwards. The Company provides for a valuation allowance if, based on the weight of available positive and negative evidence, it is more likely than not that some or all of the deferred tax assets will not be realized. The Company paid income taxes of approximately $1.1 million and $1.9 million and received no refunds during the six months ended July 31, 2022 and 2021, respectively.</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of July 31, 2022, and January 31, 2022, total unrecognized tax benefits were approximately $16,827,000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$16,741,000, respectively. Accrued penalties and interest were approximately $46,000 and approximately $40,000 at July 31,</w:t>
      </w:r>
    </w:p>
    <w:p>
      <w:pPr>
        <w:spacing w:after="0"/>
        <w:rPr>
          <w:sz w:val="20"/>
          <w:szCs w:val="20"/>
          <w:color w:val="auto"/>
        </w:rPr>
      </w:pPr>
      <w:r>
        <w:rPr>
          <w:rFonts w:ascii="Times New Roman" w:cs="Times New Roman" w:eastAsia="Times New Roman" w:hAnsi="Times New Roman"/>
          <w:sz w:val="21"/>
          <w:szCs w:val="21"/>
          <w:color w:val="auto"/>
        </w:rPr>
        <w:t>2022 and January 31, 2022, respectively. If the Company were to prevail on all unrecognized tax benefits recorded, the provision</w:t>
      </w:r>
    </w:p>
    <w:p>
      <w:pPr>
        <w:spacing w:after="0" w:line="231" w:lineRule="auto"/>
        <w:rPr>
          <w:sz w:val="20"/>
          <w:szCs w:val="20"/>
          <w:color w:val="auto"/>
        </w:rPr>
      </w:pPr>
      <w:r>
        <w:rPr>
          <w:rFonts w:ascii="Times New Roman" w:cs="Times New Roman" w:eastAsia="Times New Roman" w:hAnsi="Times New Roman"/>
          <w:sz w:val="22"/>
          <w:szCs w:val="22"/>
          <w:color w:val="auto"/>
        </w:rPr>
        <w:t>for income taxes would be reduced by approximately $16.7 million. In addition, the impact of penalties and interest would also</w:t>
      </w:r>
    </w:p>
    <w:p>
      <w:pPr>
        <w:spacing w:after="0" w:line="231" w:lineRule="auto"/>
        <w:rPr>
          <w:sz w:val="20"/>
          <w:szCs w:val="20"/>
          <w:color w:val="auto"/>
        </w:rPr>
      </w:pPr>
      <w:r>
        <w:rPr>
          <w:rFonts w:ascii="Times New Roman" w:cs="Times New Roman" w:eastAsia="Times New Roman" w:hAnsi="Times New Roman"/>
          <w:sz w:val="22"/>
          <w:szCs w:val="22"/>
          <w:color w:val="auto"/>
        </w:rPr>
        <w:t>benefit the effective tax rate. Interest and penalties associated with unrecognized tax benefits are recorded within income tax</w:t>
      </w:r>
    </w:p>
    <w:p>
      <w:pPr>
        <w:spacing w:after="0" w:line="231" w:lineRule="auto"/>
        <w:rPr>
          <w:sz w:val="20"/>
          <w:szCs w:val="20"/>
          <w:color w:val="auto"/>
        </w:rPr>
      </w:pPr>
      <w:r>
        <w:rPr>
          <w:rFonts w:ascii="Times New Roman" w:cs="Times New Roman" w:eastAsia="Times New Roman" w:hAnsi="Times New Roman"/>
          <w:sz w:val="22"/>
          <w:szCs w:val="22"/>
          <w:color w:val="auto"/>
        </w:rPr>
        <w:t>expense. On a quarterly basis, the Company accrues for the effects of open uncertain tax positions and the related potential</w:t>
      </w:r>
    </w:p>
    <w:p>
      <w:pPr>
        <w:spacing w:after="0"/>
        <w:rPr>
          <w:sz w:val="20"/>
          <w:szCs w:val="20"/>
          <w:color w:val="auto"/>
        </w:rPr>
      </w:pPr>
      <w:r>
        <w:rPr>
          <w:rFonts w:ascii="Times New Roman" w:cs="Times New Roman" w:eastAsia="Times New Roman" w:hAnsi="Times New Roman"/>
          <w:sz w:val="22"/>
          <w:szCs w:val="22"/>
          <w:color w:val="auto"/>
        </w:rPr>
        <w:t>penalties and interest.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Inventories</w:t>
      </w:r>
    </w:p>
    <w:p>
      <w:pPr>
        <w:spacing w:after="0" w:line="237"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Inventories are carried at the lower of cost or net realizable value on a first-in, first-out basis. Inventory includes direct production costs and certain overhead costs such as depreciation, property taxes and utilities associated with producing ethanol and related by-products. Inventory is written down for instances when cost exceeds estimated net realizable value; such write-downs are based primarily upon commodity prices as the market value of inventory is often dependent upon changes in commodity prices. The Company recorded approximately $0.8 million and $0.5 million of inventory write-downs in cost of sales at July 31, 2022 and January 31, 2022, respectively. Fluctuations in the write-down of inventory generally relate to the levels and composition of such inventory and changes in commodity prices at a given point in time.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components of inventory are as follows as of the dates presented (amounts in thousands):</w:t>
      </w:r>
    </w:p>
    <w:p>
      <w:pPr>
        <w:sectPr>
          <w:pgSz w:w="11900" w:h="16838" w:orient="portrait"/>
          <w:cols w:equalWidth="0" w:num="1">
            <w:col w:w="11220"/>
          </w:cols>
          <w:pgMar w:left="320" w:top="3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Ethanol and other 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570039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2"/>
          <w:szCs w:val="22"/>
          <w:color w:val="auto"/>
        </w:rPr>
        <w:t>Work in process</w:t>
      </w:r>
    </w:p>
    <w:p>
      <w:pPr>
        <w:ind w:left="120"/>
        <w:spacing w:after="0"/>
        <w:rPr>
          <w:sz w:val="20"/>
          <w:szCs w:val="20"/>
          <w:color w:val="auto"/>
        </w:rPr>
      </w:pPr>
      <w:r>
        <w:rPr>
          <w:rFonts w:ascii="Times New Roman" w:cs="Times New Roman" w:eastAsia="Times New Roman" w:hAnsi="Times New Roman"/>
          <w:sz w:val="22"/>
          <w:szCs w:val="22"/>
          <w:color w:val="auto"/>
        </w:rPr>
        <w:t>Grain and other 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570039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2"/>
          <w:szCs w:val="22"/>
          <w:color w:val="auto"/>
        </w:rPr>
        <w:t>Total</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Property and Equipment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920" w:type="dxa"/>
            <w:vAlign w:val="bottom"/>
            <w:gridSpan w:val="4"/>
          </w:tcPr>
          <w:p>
            <w:pPr>
              <w:jc w:val="center"/>
              <w:ind w:right="200"/>
              <w:spacing w:after="0"/>
              <w:rPr>
                <w:sz w:val="20"/>
                <w:szCs w:val="20"/>
                <w:color w:val="auto"/>
              </w:rPr>
            </w:pPr>
            <w:r>
              <w:rPr>
                <w:rFonts w:ascii="Times New Roman" w:cs="Times New Roman" w:eastAsia="Times New Roman" w:hAnsi="Times New Roman"/>
                <w:sz w:val="22"/>
                <w:szCs w:val="22"/>
                <w:b w:val="1"/>
                <w:bCs w:val="1"/>
                <w:color w:val="auto"/>
                <w:w w:val="98"/>
              </w:rPr>
              <w:t>July 31,</w:t>
            </w:r>
          </w:p>
        </w:tc>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January 31,</w:t>
            </w:r>
          </w:p>
        </w:tc>
      </w:tr>
      <w:tr>
        <w:trPr>
          <w:trHeight w:val="234"/>
        </w:trPr>
        <w:tc>
          <w:tcPr>
            <w:tcW w:w="140" w:type="dxa"/>
            <w:vAlign w:val="bottom"/>
          </w:tcPr>
          <w:p>
            <w:pPr>
              <w:spacing w:after="0"/>
              <w:rPr>
                <w:sz w:val="20"/>
                <w:szCs w:val="20"/>
                <w:color w:val="auto"/>
              </w:rPr>
            </w:pPr>
          </w:p>
        </w:tc>
        <w:tc>
          <w:tcPr>
            <w:tcW w:w="44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2022</w:t>
            </w:r>
          </w:p>
        </w:tc>
        <w:tc>
          <w:tcPr>
            <w:tcW w:w="340" w:type="dxa"/>
            <w:vAlign w:val="bottom"/>
          </w:tcPr>
          <w:p>
            <w:pPr>
              <w:spacing w:after="0"/>
              <w:rPr>
                <w:sz w:val="20"/>
                <w:szCs w:val="20"/>
                <w:color w:val="auto"/>
              </w:rPr>
            </w:pPr>
          </w:p>
        </w:tc>
        <w:tc>
          <w:tcPr>
            <w:tcW w:w="1480" w:type="dxa"/>
            <w:vAlign w:val="bottom"/>
            <w:gridSpan w:val="4"/>
          </w:tcPr>
          <w:p>
            <w:pPr>
              <w:jc w:val="right"/>
              <w:ind w:right="360"/>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r>
      <w:tr>
        <w:trPr>
          <w:trHeight w:val="20"/>
        </w:trPr>
        <w:tc>
          <w:tcPr>
            <w:tcW w:w="1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79"/>
        </w:trPr>
        <w:tc>
          <w:tcPr>
            <w:tcW w:w="14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w w:val="98"/>
              </w:rPr>
              <w:t>$ 21,571</w:t>
            </w: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$ 13,158</w:t>
            </w:r>
          </w:p>
        </w:tc>
      </w:tr>
      <w:tr>
        <w:trPr>
          <w:trHeight w:val="256"/>
        </w:trPr>
        <w:tc>
          <w:tcPr>
            <w:tcW w:w="9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6,693</w:t>
            </w: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5,473</w:t>
            </w:r>
          </w:p>
        </w:tc>
      </w:tr>
      <w:tr>
        <w:trPr>
          <w:trHeight w:val="270"/>
        </w:trPr>
        <w:tc>
          <w:tcPr>
            <w:tcW w:w="9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21,664</w:t>
            </w: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23,594</w:t>
            </w:r>
          </w:p>
        </w:tc>
      </w:tr>
      <w:tr>
        <w:trPr>
          <w:trHeight w:val="250"/>
        </w:trPr>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auto"/>
                <w:w w:val="96"/>
              </w:rPr>
              <w:t>$ 49,928</w:t>
            </w:r>
          </w:p>
        </w:tc>
        <w:tc>
          <w:tcPr>
            <w:tcW w:w="7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6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auto"/>
                <w:w w:val="96"/>
              </w:rPr>
              <w:t>$ 42,225</w:t>
            </w: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664" w:lineRule="exact"/>
        <w:rPr>
          <w:sz w:val="20"/>
          <w:szCs w:val="20"/>
          <w:color w:val="auto"/>
        </w:rPr>
      </w:pPr>
    </w:p>
    <w:p>
      <w:pPr>
        <w:sectPr>
          <w:pgSz w:w="11900" w:h="16838" w:orient="portrait"/>
          <w:cols w:equalWidth="0" w:num="2">
            <w:col w:w="5780" w:space="720"/>
            <w:col w:w="4720"/>
          </w:cols>
          <w:pgMar w:left="320" w:top="392" w:right="359" w:bottom="1440" w:gutter="0" w:footer="0" w:header="0"/>
          <w:type w:val="continuous"/>
        </w:sectPr>
      </w:pPr>
    </w:p>
    <w:p>
      <w:pPr>
        <w:spacing w:after="0" w:line="37"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Property and equipment is recorded at cost or the fair value on the date of acquisition (for property and equipment acquired in a business combination). Depreciation is computed using the straight-line method. Estimated useful lives are 15 to 40 years for buildings and improvements, and 3 to 20 years for fixtures and equipment.</w:t>
      </w:r>
    </w:p>
    <w:p>
      <w:pPr>
        <w:spacing w:after="0" w:line="196"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2"/>
          <w:szCs w:val="22"/>
          <w:color w:val="auto"/>
        </w:rPr>
        <w:t>In accordance with ASC 360-10 “</w:t>
      </w:r>
      <w:r>
        <w:rPr>
          <w:rFonts w:ascii="Times New Roman" w:cs="Times New Roman" w:eastAsia="Times New Roman" w:hAnsi="Times New Roman"/>
          <w:sz w:val="22"/>
          <w:szCs w:val="22"/>
          <w:i w:val="1"/>
          <w:iCs w:val="1"/>
          <w:color w:val="auto"/>
        </w:rPr>
        <w:t>Impairment or Disposal of Long-Lived Assets</w:t>
      </w:r>
      <w:r>
        <w:rPr>
          <w:rFonts w:ascii="Times New Roman" w:cs="Times New Roman" w:eastAsia="Times New Roman" w:hAnsi="Times New Roman"/>
          <w:sz w:val="22"/>
          <w:szCs w:val="22"/>
          <w:color w:val="auto"/>
        </w:rPr>
        <w:t>”, the carrying value of long-lived assets is assessed for recoverability by management when changes in circumstances indicate that the carrying amount may not be recoverable. The Company did not identify any indicators of impairment during the first six months of fiscal year 2022 or 2021, thus there were no impairment charges in the first six months of fiscal year 2022 or 2021.</w:t>
      </w:r>
    </w:p>
    <w:p>
      <w:pPr>
        <w:spacing w:after="0" w:line="203" w:lineRule="exact"/>
        <w:rPr>
          <w:sz w:val="20"/>
          <w:szCs w:val="20"/>
          <w:color w:val="auto"/>
        </w:rPr>
      </w:pPr>
    </w:p>
    <w:p>
      <w:pPr>
        <w:ind w:right="260" w:firstLine="648"/>
        <w:spacing w:after="0" w:line="244" w:lineRule="auto"/>
        <w:rPr>
          <w:sz w:val="20"/>
          <w:szCs w:val="20"/>
          <w:color w:val="auto"/>
        </w:rPr>
      </w:pPr>
      <w:r>
        <w:rPr>
          <w:rFonts w:ascii="Times New Roman" w:cs="Times New Roman" w:eastAsia="Times New Roman" w:hAnsi="Times New Roman"/>
          <w:sz w:val="22"/>
          <w:szCs w:val="22"/>
          <w:color w:val="auto"/>
        </w:rPr>
        <w:t>The Company tests for recoverability of an asset group by comparing its carrying amount to its estimated undiscounted future cash flows. If the carrying amount exceeds its estimated undiscounted future cash flows, the Company recognizes an impairment charge for the amount by which the asset group’s carrying amount exceeds its fair value, if 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Investments</w:t>
      </w:r>
    </w:p>
    <w:p>
      <w:pPr>
        <w:spacing w:after="0" w:line="237"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The method of accounting applied to long-term investments, whether consolidated, equity or cost, involves an evaluation of the 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type w:val="continuous"/>
        </w:sectPr>
      </w:pPr>
    </w:p>
    <w:bookmarkStart w:id="12" w:name="page13"/>
    <w:bookmarkEnd w:id="12"/>
    <w:p>
      <w:pPr>
        <w:spacing w:after="0" w:line="235" w:lineRule="auto"/>
        <w:rPr>
          <w:sz w:val="20"/>
          <w:szCs w:val="20"/>
          <w:color w:val="auto"/>
        </w:rPr>
      </w:pPr>
      <w:r>
        <w:rPr>
          <w:rFonts w:ascii="Times New Roman" w:cs="Times New Roman" w:eastAsia="Times New Roman" w:hAnsi="Times New Roman"/>
          <w:sz w:val="22"/>
          <w:szCs w:val="22"/>
          <w:color w:val="auto"/>
        </w:rPr>
        <w:t>in a limited liability company in which it has a less than 20% ownership interest using the equity method of accounting when the factors discussed in ASC 323, “</w:t>
      </w:r>
      <w:r>
        <w:rPr>
          <w:rFonts w:ascii="Times New Roman" w:cs="Times New Roman" w:eastAsia="Times New Roman" w:hAnsi="Times New Roman"/>
          <w:sz w:val="22"/>
          <w:szCs w:val="22"/>
          <w:i w:val="1"/>
          <w:iCs w:val="1"/>
          <w:color w:val="auto"/>
        </w:rPr>
        <w:t>Investments-Equity Method and Joint Ventures</w:t>
      </w:r>
      <w:r>
        <w:rPr>
          <w:rFonts w:ascii="Times New Roman" w:cs="Times New Roman" w:eastAsia="Times New Roman" w:hAnsi="Times New Roman"/>
          <w:sz w:val="22"/>
          <w:szCs w:val="22"/>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Resources, LLC (“Big River”) using the equity method of accounting and includes the results on a delayed basis of one month as Big River has a fiscal year end of December 31.</w:t>
      </w:r>
    </w:p>
    <w:p>
      <w:pPr>
        <w:spacing w:after="0" w:line="210"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The Company periodically evaluates its investments for impairment due to declines in market value considered to be other than temporary. Such impairment evaluations include general economic and company-specific evaluations. If the Company determines that a decline in market value is other than temporary, then a charge to earnings is recorded in the Consolidated Condensed Statements of Operations and a new cost basis in the investment is established.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Short-term investments are considered held to maturity, and therefore are carried at amortized historical cost.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Income</w:t>
      </w:r>
    </w:p>
    <w:p>
      <w:pPr>
        <w:spacing w:after="0" w:line="237"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22"/>
          <w:szCs w:val="22"/>
          <w:color w:val="auto"/>
        </w:rPr>
        <w:t>As part of the Coronavirus Aid, Relief, and Economic Security Act, passed in 2020, $700 million in funds were made available to the U.S. Department of Agriculture to distribute to impacted producers of ethanol, biodiesel, and other renewable fuels under the Biofuel Producer Program. The USDA distributed funds to applicants in May 2022. Our consolidated plants received a total of approximately $7.8 million from this program, which was recorded within “Interest and other income, net” in the Consolidated Condensed Statements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Discontinued Operations</w:t>
      </w:r>
    </w:p>
    <w:p>
      <w:pPr>
        <w:spacing w:after="0" w:line="237"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On November 18, 2021, the Company ceased operation of its refined coal business as tax credits could no longer be earned on its operation. Beginning in the third quarter of fiscal year 2021, the results of the operation of the refined coal business have been recognized in discontinued operations. Prior period amounts have been reclassified to conform with discontinued operations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Comprehensive Income</w:t>
      </w:r>
    </w:p>
    <w:p>
      <w:pPr>
        <w:spacing w:after="0" w:line="237"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The Company has no components of other comprehensive income, and therefore, comprehensive income equals net income.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Accounting Changes and Recently Issued Accounting Standards</w:t>
      </w:r>
    </w:p>
    <w:p>
      <w:pPr>
        <w:spacing w:after="0" w:line="233" w:lineRule="exact"/>
        <w:rPr>
          <w:sz w:val="20"/>
          <w:szCs w:val="20"/>
          <w:color w:val="auto"/>
        </w:rPr>
      </w:pPr>
    </w:p>
    <w:p>
      <w:pPr>
        <w:ind w:right="360" w:firstLine="648"/>
        <w:spacing w:after="0" w:line="256" w:lineRule="auto"/>
        <w:rPr>
          <w:sz w:val="20"/>
          <w:szCs w:val="20"/>
          <w:color w:val="auto"/>
        </w:rPr>
      </w:pPr>
      <w:r>
        <w:rPr>
          <w:rFonts w:ascii="Times New Roman" w:cs="Times New Roman" w:eastAsia="Times New Roman" w:hAnsi="Times New Roman"/>
          <w:sz w:val="21"/>
          <w:szCs w:val="21"/>
          <w:color w:val="auto"/>
        </w:rPr>
        <w:t>In November 2021, the FASB issued ASU 2021-10, “</w:t>
      </w:r>
      <w:r>
        <w:rPr>
          <w:rFonts w:ascii="Times New Roman" w:cs="Times New Roman" w:eastAsia="Times New Roman" w:hAnsi="Times New Roman"/>
          <w:sz w:val="21"/>
          <w:szCs w:val="21"/>
          <w:i w:val="1"/>
          <w:iCs w:val="1"/>
          <w:color w:val="auto"/>
        </w:rPr>
        <w:t>Government Assistance (Topic 832): Disclosures by Business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Entities about Government Assistance</w:t>
      </w:r>
      <w:r>
        <w:rPr>
          <w:rFonts w:ascii="Times New Roman" w:cs="Times New Roman" w:eastAsia="Times New Roman" w:hAnsi="Times New Roman"/>
          <w:sz w:val="21"/>
          <w:szCs w:val="21"/>
          <w:color w:val="auto"/>
        </w:rPr>
        <w:t>”, which increases the transparency of government assistance received by businesses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expanding the disclosure requirements for annual reporting periods. The Company plans to provide necessary disclosures required related to government assistance received in the annual reporting for the year ending January 31, 2023, as required.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The Company does not expect this accounting guidance to materially impact its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3. </w:t>
      </w:r>
      <w:r>
        <w:rPr>
          <w:rFonts w:ascii="Times New Roman" w:cs="Times New Roman" w:eastAsia="Times New Roman" w:hAnsi="Times New Roman"/>
          <w:sz w:val="22"/>
          <w:szCs w:val="22"/>
          <w:b w:val="1"/>
          <w:bCs w:val="1"/>
          <w:i w:val="1"/>
          <w:iCs w:val="1"/>
          <w:color w:val="auto"/>
        </w:rPr>
        <w:t>Net Sales and Revenue</w:t>
      </w:r>
    </w:p>
    <w:p>
      <w:pPr>
        <w:spacing w:after="0" w:line="239"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204"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The majority of the Company’s sales have payment terms ranging from 5 to 10 days after transfer of control. The Company has determined that sales contracts do not generally include a significant financing component. The Company has not historically, and does not intend to, enter sales contracts in which payment is due from a customer prior to transferring product to the customer. Thus, the Company does not record unearned revenue.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tables shows disaggregated revenue by product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80" w:type="dxa"/>
            <w:vAlign w:val="bottom"/>
            <w:gridSpan w:val="8"/>
          </w:tcPr>
          <w:p>
            <w:pPr>
              <w:jc w:val="right"/>
              <w:ind w:right="44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00" w:type="dxa"/>
            <w:vAlign w:val="bottom"/>
            <w:gridSpan w:val="9"/>
          </w:tcPr>
          <w:p>
            <w:pPr>
              <w:ind w:left="40"/>
              <w:spacing w:after="0"/>
              <w:rPr>
                <w:sz w:val="20"/>
                <w:szCs w:val="20"/>
                <w:color w:val="auto"/>
              </w:rPr>
            </w:pPr>
            <w:r>
              <w:rPr>
                <w:rFonts w:ascii="Times New Roman" w:cs="Times New Roman" w:eastAsia="Times New Roman" w:hAnsi="Times New Roman"/>
                <w:sz w:val="22"/>
                <w:szCs w:val="22"/>
                <w:b w:val="1"/>
                <w:bCs w:val="1"/>
                <w:color w:val="auto"/>
              </w:rPr>
              <w:t>Six Months Ended</w:t>
            </w:r>
          </w:p>
        </w:tc>
      </w:tr>
      <w:tr>
        <w:trPr>
          <w:trHeight w:val="243"/>
        </w:trPr>
        <w:tc>
          <w:tcPr>
            <w:tcW w:w="6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6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3"/>
          </w:tcPr>
          <w:p>
            <w:pPr>
              <w:jc w:val="right"/>
              <w:ind w:right="132"/>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ind w:right="240"/>
              <w:spacing w:after="0" w:line="233" w:lineRule="exact"/>
              <w:rPr>
                <w:sz w:val="20"/>
                <w:szCs w:val="20"/>
                <w:color w:val="auto"/>
              </w:rPr>
            </w:pPr>
            <w:r>
              <w:rPr>
                <w:rFonts w:ascii="Times New Roman" w:cs="Times New Roman" w:eastAsia="Times New Roman" w:hAnsi="Times New Roman"/>
                <w:sz w:val="22"/>
                <w:szCs w:val="22"/>
                <w:b w:val="1"/>
                <w:bCs w:val="1"/>
                <w:color w:val="auto"/>
              </w:rPr>
              <w:t>2021</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ind w:left="80"/>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2022</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6200" w:type="dxa"/>
            <w:vAlign w:val="bottom"/>
            <w:shd w:val="clear" w:color="auto" w:fill="E5FFFF"/>
          </w:tcPr>
          <w:p>
            <w:pPr>
              <w:ind w:left="100"/>
              <w:spacing w:after="0" w:line="243" w:lineRule="exact"/>
              <w:rPr>
                <w:sz w:val="20"/>
                <w:szCs w:val="20"/>
                <w:color w:val="auto"/>
              </w:rPr>
            </w:pPr>
            <w:r>
              <w:rPr>
                <w:rFonts w:ascii="Times New Roman" w:cs="Times New Roman" w:eastAsia="Times New Roman" w:hAnsi="Times New Roman"/>
                <w:sz w:val="22"/>
                <w:szCs w:val="22"/>
                <w:color w:val="auto"/>
              </w:rPr>
              <w:t>Sales of products, continuing operations</w:t>
            </w: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r>
      <w:tr>
        <w:trPr>
          <w:trHeight w:val="243"/>
        </w:trPr>
        <w:tc>
          <w:tcPr>
            <w:tcW w:w="6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Ethanol</w:t>
            </w:r>
          </w:p>
        </w:tc>
        <w:tc>
          <w:tcPr>
            <w:tcW w:w="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gridSpan w:val="4"/>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190,807</w:t>
            </w:r>
          </w:p>
        </w:tc>
        <w:tc>
          <w:tcPr>
            <w:tcW w:w="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gridSpan w:val="4"/>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153,990</w:t>
            </w:r>
          </w:p>
        </w:tc>
        <w:tc>
          <w:tcPr>
            <w:tcW w:w="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gridSpan w:val="4"/>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337,269</w:t>
            </w:r>
          </w:p>
        </w:tc>
        <w:tc>
          <w:tcPr>
            <w:tcW w:w="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gridSpan w:val="4"/>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280,059</w:t>
            </w:r>
          </w:p>
        </w:tc>
        <w:tc>
          <w:tcPr>
            <w:tcW w:w="80" w:type="dxa"/>
            <w:vAlign w:val="bottom"/>
          </w:tcPr>
          <w:p>
            <w:pPr>
              <w:spacing w:after="0"/>
              <w:rPr>
                <w:sz w:val="21"/>
                <w:szCs w:val="21"/>
                <w:color w:val="auto"/>
              </w:rPr>
            </w:pPr>
          </w:p>
        </w:tc>
      </w:tr>
      <w:tr>
        <w:trPr>
          <w:trHeight w:val="243"/>
        </w:trPr>
        <w:tc>
          <w:tcPr>
            <w:tcW w:w="6200" w:type="dxa"/>
            <w:vAlign w:val="bottom"/>
            <w:shd w:val="clear" w:color="auto" w:fill="E5FFFF"/>
          </w:tcPr>
          <w:p>
            <w:pPr>
              <w:ind w:left="100"/>
              <w:spacing w:after="0" w:line="243" w:lineRule="exact"/>
              <w:rPr>
                <w:sz w:val="20"/>
                <w:szCs w:val="20"/>
                <w:color w:val="auto"/>
              </w:rPr>
            </w:pPr>
            <w:r>
              <w:rPr>
                <w:rFonts w:ascii="Times New Roman" w:cs="Times New Roman" w:eastAsia="Times New Roman" w:hAnsi="Times New Roman"/>
                <w:sz w:val="22"/>
                <w:szCs w:val="22"/>
                <w:color w:val="auto"/>
              </w:rPr>
              <w:t>Dried distillers grains</w:t>
            </w:r>
          </w:p>
        </w:tc>
        <w:tc>
          <w:tcPr>
            <w:tcW w:w="160" w:type="dxa"/>
            <w:vAlign w:val="bottom"/>
            <w:shd w:val="clear" w:color="auto" w:fill="E5FFFF"/>
          </w:tcPr>
          <w:p>
            <w:pPr>
              <w:spacing w:after="0"/>
              <w:rPr>
                <w:sz w:val="21"/>
                <w:szCs w:val="21"/>
                <w:color w:val="auto"/>
              </w:rPr>
            </w:pPr>
          </w:p>
        </w:tc>
        <w:tc>
          <w:tcPr>
            <w:tcW w:w="1200" w:type="dxa"/>
            <w:vAlign w:val="bottom"/>
            <w:gridSpan w:val="4"/>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34,261</w:t>
            </w:r>
          </w:p>
        </w:tc>
        <w:tc>
          <w:tcPr>
            <w:tcW w:w="180" w:type="dxa"/>
            <w:vAlign w:val="bottom"/>
            <w:shd w:val="clear" w:color="auto" w:fill="E5FFFF"/>
          </w:tcPr>
          <w:p>
            <w:pPr>
              <w:spacing w:after="0"/>
              <w:rPr>
                <w:sz w:val="21"/>
                <w:szCs w:val="21"/>
                <w:color w:val="auto"/>
              </w:rPr>
            </w:pPr>
          </w:p>
        </w:tc>
        <w:tc>
          <w:tcPr>
            <w:tcW w:w="1180" w:type="dxa"/>
            <w:vAlign w:val="bottom"/>
            <w:gridSpan w:val="4"/>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31,573</w:t>
            </w:r>
          </w:p>
        </w:tc>
        <w:tc>
          <w:tcPr>
            <w:tcW w:w="140" w:type="dxa"/>
            <w:vAlign w:val="bottom"/>
            <w:shd w:val="clear" w:color="auto" w:fill="E5FFFF"/>
          </w:tcPr>
          <w:p>
            <w:pPr>
              <w:spacing w:after="0"/>
              <w:rPr>
                <w:sz w:val="21"/>
                <w:szCs w:val="21"/>
                <w:color w:val="auto"/>
              </w:rPr>
            </w:pPr>
          </w:p>
        </w:tc>
        <w:tc>
          <w:tcPr>
            <w:tcW w:w="1180" w:type="dxa"/>
            <w:vAlign w:val="bottom"/>
            <w:gridSpan w:val="4"/>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66,158</w:t>
            </w:r>
          </w:p>
        </w:tc>
        <w:tc>
          <w:tcPr>
            <w:tcW w:w="160" w:type="dxa"/>
            <w:vAlign w:val="bottom"/>
            <w:shd w:val="clear" w:color="auto" w:fill="E5FFFF"/>
          </w:tcPr>
          <w:p>
            <w:pPr>
              <w:spacing w:after="0"/>
              <w:rPr>
                <w:sz w:val="21"/>
                <w:szCs w:val="21"/>
                <w:color w:val="auto"/>
              </w:rPr>
            </w:pPr>
          </w:p>
        </w:tc>
        <w:tc>
          <w:tcPr>
            <w:tcW w:w="760" w:type="dxa"/>
            <w:vAlign w:val="bottom"/>
            <w:gridSpan w:val="4"/>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62,691</w:t>
            </w:r>
          </w:p>
        </w:tc>
        <w:tc>
          <w:tcPr>
            <w:tcW w:w="80" w:type="dxa"/>
            <w:vAlign w:val="bottom"/>
            <w:shd w:val="clear" w:color="auto" w:fill="E5FFFF"/>
          </w:tcPr>
          <w:p>
            <w:pPr>
              <w:spacing w:after="0"/>
              <w:rPr>
                <w:sz w:val="21"/>
                <w:szCs w:val="21"/>
                <w:color w:val="auto"/>
              </w:rPr>
            </w:pPr>
          </w:p>
        </w:tc>
      </w:tr>
      <w:tr>
        <w:trPr>
          <w:trHeight w:val="243"/>
        </w:trPr>
        <w:tc>
          <w:tcPr>
            <w:tcW w:w="6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Non-food grade corn oil</w:t>
            </w:r>
          </w:p>
        </w:tc>
        <w:tc>
          <w:tcPr>
            <w:tcW w:w="160" w:type="dxa"/>
            <w:vAlign w:val="bottom"/>
          </w:tcPr>
          <w:p>
            <w:pPr>
              <w:spacing w:after="0"/>
              <w:rPr>
                <w:sz w:val="21"/>
                <w:szCs w:val="21"/>
                <w:color w:val="auto"/>
              </w:rPr>
            </w:pPr>
          </w:p>
        </w:tc>
        <w:tc>
          <w:tcPr>
            <w:tcW w:w="1200" w:type="dxa"/>
            <w:vAlign w:val="bottom"/>
            <w:gridSpan w:val="4"/>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14,223</w:t>
            </w:r>
          </w:p>
        </w:tc>
        <w:tc>
          <w:tcPr>
            <w:tcW w:w="180" w:type="dxa"/>
            <w:vAlign w:val="bottom"/>
          </w:tcPr>
          <w:p>
            <w:pPr>
              <w:spacing w:after="0"/>
              <w:rPr>
                <w:sz w:val="21"/>
                <w:szCs w:val="21"/>
                <w:color w:val="auto"/>
              </w:rPr>
            </w:pPr>
          </w:p>
        </w:tc>
        <w:tc>
          <w:tcPr>
            <w:tcW w:w="1180" w:type="dxa"/>
            <w:vAlign w:val="bottom"/>
            <w:gridSpan w:val="4"/>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9,813</w:t>
            </w:r>
          </w:p>
        </w:tc>
        <w:tc>
          <w:tcPr>
            <w:tcW w:w="140" w:type="dxa"/>
            <w:vAlign w:val="bottom"/>
          </w:tcPr>
          <w:p>
            <w:pPr>
              <w:spacing w:after="0"/>
              <w:rPr>
                <w:sz w:val="21"/>
                <w:szCs w:val="21"/>
                <w:color w:val="auto"/>
              </w:rPr>
            </w:pPr>
          </w:p>
        </w:tc>
        <w:tc>
          <w:tcPr>
            <w:tcW w:w="1180" w:type="dxa"/>
            <w:vAlign w:val="bottom"/>
            <w:gridSpan w:val="4"/>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25,325</w:t>
            </w:r>
          </w:p>
        </w:tc>
        <w:tc>
          <w:tcPr>
            <w:tcW w:w="160" w:type="dxa"/>
            <w:vAlign w:val="bottom"/>
          </w:tcPr>
          <w:p>
            <w:pPr>
              <w:spacing w:after="0"/>
              <w:rPr>
                <w:sz w:val="21"/>
                <w:szCs w:val="21"/>
                <w:color w:val="auto"/>
              </w:rPr>
            </w:pPr>
          </w:p>
        </w:tc>
        <w:tc>
          <w:tcPr>
            <w:tcW w:w="760" w:type="dxa"/>
            <w:vAlign w:val="bottom"/>
            <w:gridSpan w:val="4"/>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15,407</w:t>
            </w:r>
          </w:p>
        </w:tc>
        <w:tc>
          <w:tcPr>
            <w:tcW w:w="80" w:type="dxa"/>
            <w:vAlign w:val="bottom"/>
          </w:tcPr>
          <w:p>
            <w:pPr>
              <w:spacing w:after="0"/>
              <w:rPr>
                <w:sz w:val="21"/>
                <w:szCs w:val="21"/>
                <w:color w:val="auto"/>
              </w:rPr>
            </w:pPr>
          </w:p>
        </w:tc>
      </w:tr>
      <w:tr>
        <w:trPr>
          <w:trHeight w:val="243"/>
        </w:trPr>
        <w:tc>
          <w:tcPr>
            <w:tcW w:w="6200" w:type="dxa"/>
            <w:vAlign w:val="bottom"/>
            <w:shd w:val="clear" w:color="auto" w:fill="E5FFFF"/>
          </w:tcPr>
          <w:p>
            <w:pPr>
              <w:ind w:left="100"/>
              <w:spacing w:after="0" w:line="243" w:lineRule="exact"/>
              <w:rPr>
                <w:sz w:val="20"/>
                <w:szCs w:val="20"/>
                <w:color w:val="auto"/>
              </w:rPr>
            </w:pPr>
            <w:r>
              <w:rPr>
                <w:rFonts w:ascii="Times New Roman" w:cs="Times New Roman" w:eastAsia="Times New Roman" w:hAnsi="Times New Roman"/>
                <w:sz w:val="22"/>
                <w:szCs w:val="22"/>
                <w:color w:val="auto"/>
              </w:rPr>
              <w:t>Modified distillers grains</w:t>
            </w:r>
          </w:p>
        </w:tc>
        <w:tc>
          <w:tcPr>
            <w:tcW w:w="160" w:type="dxa"/>
            <w:vAlign w:val="bottom"/>
            <w:shd w:val="clear" w:color="auto" w:fill="E5FFFF"/>
          </w:tcPr>
          <w:p>
            <w:pPr>
              <w:spacing w:after="0"/>
              <w:rPr>
                <w:sz w:val="21"/>
                <w:szCs w:val="21"/>
                <w:color w:val="auto"/>
              </w:rPr>
            </w:pPr>
          </w:p>
        </w:tc>
        <w:tc>
          <w:tcPr>
            <w:tcW w:w="1200" w:type="dxa"/>
            <w:vAlign w:val="bottom"/>
            <w:gridSpan w:val="4"/>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2,456</w:t>
            </w:r>
          </w:p>
        </w:tc>
        <w:tc>
          <w:tcPr>
            <w:tcW w:w="180" w:type="dxa"/>
            <w:vAlign w:val="bottom"/>
            <w:shd w:val="clear" w:color="auto" w:fill="E5FFFF"/>
          </w:tcPr>
          <w:p>
            <w:pPr>
              <w:spacing w:after="0"/>
              <w:rPr>
                <w:sz w:val="21"/>
                <w:szCs w:val="21"/>
                <w:color w:val="auto"/>
              </w:rPr>
            </w:pPr>
          </w:p>
        </w:tc>
        <w:tc>
          <w:tcPr>
            <w:tcW w:w="1180" w:type="dxa"/>
            <w:vAlign w:val="bottom"/>
            <w:gridSpan w:val="4"/>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1,934</w:t>
            </w:r>
          </w:p>
        </w:tc>
        <w:tc>
          <w:tcPr>
            <w:tcW w:w="140" w:type="dxa"/>
            <w:vAlign w:val="bottom"/>
            <w:shd w:val="clear" w:color="auto" w:fill="E5FFFF"/>
          </w:tcPr>
          <w:p>
            <w:pPr>
              <w:spacing w:after="0"/>
              <w:rPr>
                <w:sz w:val="21"/>
                <w:szCs w:val="21"/>
                <w:color w:val="auto"/>
              </w:rPr>
            </w:pPr>
          </w:p>
        </w:tc>
        <w:tc>
          <w:tcPr>
            <w:tcW w:w="1180" w:type="dxa"/>
            <w:vAlign w:val="bottom"/>
            <w:gridSpan w:val="4"/>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6,811</w:t>
            </w:r>
          </w:p>
        </w:tc>
        <w:tc>
          <w:tcPr>
            <w:tcW w:w="160" w:type="dxa"/>
            <w:vAlign w:val="bottom"/>
            <w:shd w:val="clear" w:color="auto" w:fill="E5FFFF"/>
          </w:tcPr>
          <w:p>
            <w:pPr>
              <w:spacing w:after="0"/>
              <w:rPr>
                <w:sz w:val="21"/>
                <w:szCs w:val="21"/>
                <w:color w:val="auto"/>
              </w:rPr>
            </w:pPr>
          </w:p>
        </w:tc>
        <w:tc>
          <w:tcPr>
            <w:tcW w:w="760" w:type="dxa"/>
            <w:vAlign w:val="bottom"/>
            <w:gridSpan w:val="4"/>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4,227</w:t>
            </w:r>
          </w:p>
        </w:tc>
        <w:tc>
          <w:tcPr>
            <w:tcW w:w="80" w:type="dxa"/>
            <w:vAlign w:val="bottom"/>
            <w:shd w:val="clear" w:color="auto" w:fill="E5FFFF"/>
          </w:tcPr>
          <w:p>
            <w:pPr>
              <w:spacing w:after="0"/>
              <w:rPr>
                <w:sz w:val="21"/>
                <w:szCs w:val="21"/>
                <w:color w:val="auto"/>
              </w:rPr>
            </w:pPr>
          </w:p>
        </w:tc>
      </w:tr>
      <w:tr>
        <w:trPr>
          <w:trHeight w:val="243"/>
        </w:trPr>
        <w:tc>
          <w:tcPr>
            <w:tcW w:w="6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Derivative financial instruments losses</w:t>
            </w:r>
          </w:p>
        </w:tc>
        <w:tc>
          <w:tcPr>
            <w:tcW w:w="160" w:type="dxa"/>
            <w:vAlign w:val="bottom"/>
          </w:tcPr>
          <w:p>
            <w:pPr>
              <w:spacing w:after="0"/>
              <w:rPr>
                <w:sz w:val="21"/>
                <w:szCs w:val="21"/>
                <w:color w:val="auto"/>
              </w:rPr>
            </w:pPr>
          </w:p>
        </w:tc>
        <w:tc>
          <w:tcPr>
            <w:tcW w:w="1200" w:type="dxa"/>
            <w:vAlign w:val="bottom"/>
            <w:gridSpan w:val="4"/>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(1,474)</w:t>
            </w:r>
          </w:p>
        </w:tc>
        <w:tc>
          <w:tcPr>
            <w:tcW w:w="180" w:type="dxa"/>
            <w:vAlign w:val="bottom"/>
          </w:tcPr>
          <w:p>
            <w:pPr>
              <w:spacing w:after="0"/>
              <w:rPr>
                <w:sz w:val="21"/>
                <w:szCs w:val="21"/>
                <w:color w:val="auto"/>
              </w:rPr>
            </w:pPr>
          </w:p>
        </w:tc>
        <w:tc>
          <w:tcPr>
            <w:tcW w:w="1180" w:type="dxa"/>
            <w:vAlign w:val="bottom"/>
            <w:gridSpan w:val="4"/>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(1,638)</w:t>
            </w:r>
          </w:p>
        </w:tc>
        <w:tc>
          <w:tcPr>
            <w:tcW w:w="140" w:type="dxa"/>
            <w:vAlign w:val="bottom"/>
          </w:tcPr>
          <w:p>
            <w:pPr>
              <w:spacing w:after="0"/>
              <w:rPr>
                <w:sz w:val="21"/>
                <w:szCs w:val="21"/>
                <w:color w:val="auto"/>
              </w:rPr>
            </w:pPr>
          </w:p>
        </w:tc>
        <w:tc>
          <w:tcPr>
            <w:tcW w:w="1180" w:type="dxa"/>
            <w:vAlign w:val="bottom"/>
            <w:gridSpan w:val="4"/>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(1,152)</w:t>
            </w:r>
          </w:p>
        </w:tc>
        <w:tc>
          <w:tcPr>
            <w:tcW w:w="160" w:type="dxa"/>
            <w:vAlign w:val="bottom"/>
          </w:tcPr>
          <w:p>
            <w:pPr>
              <w:spacing w:after="0"/>
              <w:rPr>
                <w:sz w:val="21"/>
                <w:szCs w:val="21"/>
                <w:color w:val="auto"/>
              </w:rPr>
            </w:pPr>
          </w:p>
        </w:tc>
        <w:tc>
          <w:tcPr>
            <w:tcW w:w="760" w:type="dxa"/>
            <w:vAlign w:val="bottom"/>
            <w:gridSpan w:val="4"/>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(2,764)</w:t>
            </w:r>
          </w:p>
        </w:tc>
        <w:tc>
          <w:tcPr>
            <w:tcW w:w="80" w:type="dxa"/>
            <w:vAlign w:val="bottom"/>
          </w:tcPr>
          <w:p>
            <w:pPr>
              <w:spacing w:after="0"/>
              <w:rPr>
                <w:sz w:val="21"/>
                <w:szCs w:val="21"/>
                <w:color w:val="auto"/>
              </w:rPr>
            </w:pPr>
          </w:p>
        </w:tc>
      </w:tr>
      <w:tr>
        <w:trPr>
          <w:trHeight w:val="257"/>
        </w:trPr>
        <w:tc>
          <w:tcPr>
            <w:tcW w:w="6200" w:type="dxa"/>
            <w:vAlign w:val="bottom"/>
            <w:shd w:val="clear" w:color="auto" w:fill="E5FFFF"/>
          </w:tcPr>
          <w:p>
            <w:pPr>
              <w:ind w:left="100"/>
              <w:spacing w:after="0"/>
              <w:rPr>
                <w:sz w:val="20"/>
                <w:szCs w:val="20"/>
                <w:color w:val="auto"/>
              </w:rPr>
            </w:pPr>
            <w:r>
              <w:rPr>
                <w:rFonts w:ascii="Times New Roman" w:cs="Times New Roman" w:eastAsia="Times New Roman" w:hAnsi="Times New Roman"/>
                <w:sz w:val="22"/>
                <w:szCs w:val="22"/>
                <w:color w:val="auto"/>
              </w:rPr>
              <w:t>Other</w:t>
            </w:r>
          </w:p>
        </w:tc>
        <w:tc>
          <w:tcPr>
            <w:tcW w:w="160" w:type="dxa"/>
            <w:vAlign w:val="bottom"/>
            <w:shd w:val="clear" w:color="auto" w:fill="E5FFFF"/>
          </w:tcPr>
          <w:p>
            <w:pPr>
              <w:spacing w:after="0"/>
              <w:rPr>
                <w:sz w:val="22"/>
                <w:szCs w:val="22"/>
                <w:color w:val="auto"/>
              </w:rPr>
            </w:pPr>
          </w:p>
        </w:tc>
        <w:tc>
          <w:tcPr>
            <w:tcW w:w="1200" w:type="dxa"/>
            <w:vAlign w:val="bottom"/>
            <w:gridSpan w:val="4"/>
            <w:shd w:val="clear" w:color="auto" w:fill="E5FFFF"/>
          </w:tcPr>
          <w:p>
            <w:pPr>
              <w:jc w:val="right"/>
              <w:ind w:right="460"/>
              <w:spacing w:after="0"/>
              <w:rPr>
                <w:sz w:val="20"/>
                <w:szCs w:val="20"/>
                <w:color w:val="auto"/>
              </w:rPr>
            </w:pPr>
            <w:r>
              <w:rPr>
                <w:rFonts w:ascii="Times New Roman" w:cs="Times New Roman" w:eastAsia="Times New Roman" w:hAnsi="Times New Roman"/>
                <w:sz w:val="22"/>
                <w:szCs w:val="22"/>
                <w:color w:val="auto"/>
              </w:rPr>
              <w:t>55</w:t>
            </w:r>
          </w:p>
        </w:tc>
        <w:tc>
          <w:tcPr>
            <w:tcW w:w="180" w:type="dxa"/>
            <w:vAlign w:val="bottom"/>
            <w:shd w:val="clear" w:color="auto" w:fill="E5FFFF"/>
          </w:tcPr>
          <w:p>
            <w:pPr>
              <w:spacing w:after="0"/>
              <w:rPr>
                <w:sz w:val="22"/>
                <w:szCs w:val="22"/>
                <w:color w:val="auto"/>
              </w:rPr>
            </w:pPr>
          </w:p>
        </w:tc>
        <w:tc>
          <w:tcPr>
            <w:tcW w:w="118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22"/>
                <w:szCs w:val="22"/>
                <w:color w:val="auto"/>
              </w:rPr>
              <w:t>6</w:t>
            </w:r>
          </w:p>
        </w:tc>
        <w:tc>
          <w:tcPr>
            <w:tcW w:w="140" w:type="dxa"/>
            <w:vAlign w:val="bottom"/>
            <w:shd w:val="clear" w:color="auto" w:fill="E5FFFF"/>
          </w:tcPr>
          <w:p>
            <w:pPr>
              <w:spacing w:after="0"/>
              <w:rPr>
                <w:sz w:val="22"/>
                <w:szCs w:val="22"/>
                <w:color w:val="auto"/>
              </w:rPr>
            </w:pPr>
          </w:p>
        </w:tc>
        <w:tc>
          <w:tcPr>
            <w:tcW w:w="118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22"/>
                <w:szCs w:val="22"/>
                <w:color w:val="auto"/>
              </w:rPr>
              <w:t>145</w:t>
            </w:r>
          </w:p>
        </w:tc>
        <w:tc>
          <w:tcPr>
            <w:tcW w:w="160" w:type="dxa"/>
            <w:vAlign w:val="bottom"/>
            <w:shd w:val="clear" w:color="auto" w:fill="E5FFFF"/>
          </w:tcPr>
          <w:p>
            <w:pPr>
              <w:spacing w:after="0"/>
              <w:rPr>
                <w:sz w:val="22"/>
                <w:szCs w:val="22"/>
                <w:color w:val="auto"/>
              </w:rPr>
            </w:pPr>
          </w:p>
        </w:tc>
        <w:tc>
          <w:tcPr>
            <w:tcW w:w="760" w:type="dxa"/>
            <w:vAlign w:val="bottom"/>
            <w:gridSpan w:val="4"/>
            <w:shd w:val="clear" w:color="auto" w:fill="E5FFFF"/>
          </w:tcPr>
          <w:p>
            <w:pPr>
              <w:jc w:val="right"/>
              <w:ind w:right="20"/>
              <w:spacing w:after="0"/>
              <w:rPr>
                <w:sz w:val="20"/>
                <w:szCs w:val="20"/>
                <w:color w:val="auto"/>
              </w:rPr>
            </w:pPr>
            <w:r>
              <w:rPr>
                <w:rFonts w:ascii="Times New Roman" w:cs="Times New Roman" w:eastAsia="Times New Roman" w:hAnsi="Times New Roman"/>
                <w:sz w:val="22"/>
                <w:szCs w:val="22"/>
                <w:color w:val="auto"/>
              </w:rPr>
              <w:t>100</w:t>
            </w:r>
          </w:p>
        </w:tc>
        <w:tc>
          <w:tcPr>
            <w:tcW w:w="80" w:type="dxa"/>
            <w:vAlign w:val="bottom"/>
            <w:shd w:val="clear" w:color="auto" w:fill="E5FFFF"/>
          </w:tcPr>
          <w:p>
            <w:pPr>
              <w:spacing w:after="0"/>
              <w:rPr>
                <w:sz w:val="22"/>
                <w:szCs w:val="22"/>
                <w:color w:val="auto"/>
              </w:rPr>
            </w:pPr>
          </w:p>
        </w:tc>
      </w:tr>
      <w:tr>
        <w:trPr>
          <w:trHeight w:val="250"/>
        </w:trPr>
        <w:tc>
          <w:tcPr>
            <w:tcW w:w="6200" w:type="dxa"/>
            <w:vAlign w:val="bottom"/>
          </w:tcPr>
          <w:p>
            <w:pPr>
              <w:ind w:left="100"/>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6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4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240,328</w:t>
            </w:r>
          </w:p>
        </w:tc>
        <w:tc>
          <w:tcPr>
            <w:tcW w:w="4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195,678</w:t>
            </w:r>
          </w:p>
        </w:tc>
        <w:tc>
          <w:tcPr>
            <w:tcW w:w="4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4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434,556</w:t>
            </w:r>
          </w:p>
        </w:tc>
        <w:tc>
          <w:tcPr>
            <w:tcW w:w="4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4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359,720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6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6200" w:type="dxa"/>
            <w:vAlign w:val="bottom"/>
            <w:shd w:val="clear" w:color="auto" w:fill="E5FFFF"/>
          </w:tcPr>
          <w:p>
            <w:pPr>
              <w:ind w:left="100"/>
              <w:spacing w:after="0" w:line="243" w:lineRule="exact"/>
              <w:rPr>
                <w:sz w:val="20"/>
                <w:szCs w:val="20"/>
                <w:color w:val="auto"/>
              </w:rPr>
            </w:pPr>
            <w:r>
              <w:rPr>
                <w:rFonts w:ascii="Times New Roman" w:cs="Times New Roman" w:eastAsia="Times New Roman" w:hAnsi="Times New Roman"/>
                <w:sz w:val="22"/>
                <w:szCs w:val="22"/>
                <w:color w:val="auto"/>
              </w:rPr>
              <w:t>Sales of products, discontinued operations:</w:t>
            </w: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r>
      <w:tr>
        <w:trPr>
          <w:trHeight w:val="324"/>
        </w:trPr>
        <w:tc>
          <w:tcPr>
            <w:tcW w:w="6200" w:type="dxa"/>
            <w:vAlign w:val="bottom"/>
          </w:tcPr>
          <w:p>
            <w:pPr>
              <w:ind w:left="100"/>
              <w:spacing w:after="0" w:line="324" w:lineRule="exact"/>
              <w:rPr>
                <w:sz w:val="20"/>
                <w:szCs w:val="20"/>
                <w:color w:val="auto"/>
              </w:rPr>
            </w:pPr>
            <w:r>
              <w:rPr>
                <w:rFonts w:ascii="Times New Roman" w:cs="Times New Roman" w:eastAsia="Times New Roman" w:hAnsi="Times New Roman"/>
                <w:sz w:val="22"/>
                <w:szCs w:val="22"/>
                <w:color w:val="auto"/>
              </w:rPr>
              <w:t>Refined coal</w:t>
            </w:r>
            <w:r>
              <w:rPr>
                <w:rFonts w:ascii="Times New Roman" w:cs="Times New Roman" w:eastAsia="Times New Roman" w:hAnsi="Times New Roman"/>
                <w:sz w:val="35"/>
                <w:szCs w:val="35"/>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gridSpan w:val="4"/>
          </w:tcPr>
          <w:p>
            <w:pPr>
              <w:jc w:val="right"/>
              <w:ind w:right="46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gridSpan w:val="4"/>
          </w:tcPr>
          <w:p>
            <w:pPr>
              <w:jc w:val="right"/>
              <w:ind w:right="440"/>
              <w:spacing w:after="0"/>
              <w:rPr>
                <w:sz w:val="20"/>
                <w:szCs w:val="20"/>
                <w:color w:val="auto"/>
              </w:rPr>
            </w:pPr>
            <w:r>
              <w:rPr>
                <w:rFonts w:ascii="Times New Roman" w:cs="Times New Roman" w:eastAsia="Times New Roman" w:hAnsi="Times New Roman"/>
                <w:sz w:val="22"/>
                <w:szCs w:val="22"/>
                <w:color w:val="auto"/>
              </w:rPr>
              <w:t>165</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gridSpan w:val="4"/>
          </w:tcPr>
          <w:p>
            <w:pPr>
              <w:jc w:val="right"/>
              <w:ind w:right="44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auto"/>
              </w:rPr>
              <w:t>227</w:t>
            </w:r>
          </w:p>
        </w:tc>
        <w:tc>
          <w:tcPr>
            <w:tcW w:w="80" w:type="dxa"/>
            <w:vAlign w:val="bottom"/>
          </w:tcPr>
          <w:p>
            <w:pPr>
              <w:spacing w:after="0"/>
              <w:rPr>
                <w:sz w:val="24"/>
                <w:szCs w:val="24"/>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0" w:lineRule="exact"/>
        <w:rPr>
          <w:sz w:val="20"/>
          <w:szCs w:val="20"/>
          <w:color w:val="auto"/>
        </w:rPr>
      </w:pPr>
    </w:p>
    <w:p>
      <w:pPr>
        <w:ind w:right="40" w:firstLine="656"/>
        <w:spacing w:after="0" w:line="189" w:lineRule="auto"/>
        <w:tabs>
          <w:tab w:leader="none" w:pos="783"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Refined coal sales were recorded net of the cost of coal as the Company purchased the coal feedstock from the customer to which the processed refined coal was sold.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4. </w:t>
      </w:r>
      <w:r>
        <w:rPr>
          <w:rFonts w:ascii="Times New Roman" w:cs="Times New Roman" w:eastAsia="Times New Roman" w:hAnsi="Times New Roman"/>
          <w:sz w:val="22"/>
          <w:szCs w:val="22"/>
          <w:b w:val="1"/>
          <w:bCs w:val="1"/>
          <w:i w:val="1"/>
          <w:iCs w:val="1"/>
          <w:color w:val="auto"/>
        </w:rPr>
        <w:t>Leases</w:t>
      </w:r>
    </w:p>
    <w:p>
      <w:pPr>
        <w:spacing w:after="0" w:line="239"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1"/>
          <w:szCs w:val="21"/>
          <w:color w:val="auto"/>
        </w:rPr>
        <w:t>At July 31, 2022, the Company had lease agreements, as lessee, for railcars. All of the leases are accounted for as operating leases. The lease agreements do not contain a specified implicit interest rate; therefore, the Company’s estimated incremental borrowing rate was used to determine the present value of future minimum lease payments. The exercise of any lease renewal is at the Company’s sole discretion. The lease term for all of the Company’s leases includes the noncancelable period of the lease and any periods covered by renewal options that the Company is reasonably certain to exercise. Certain leases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4" w:name="page15"/>
    <w:bookmarkEnd w:id="14"/>
    <w:p>
      <w:pPr>
        <w:ind w:right="360"/>
        <w:spacing w:after="0" w:line="244" w:lineRule="auto"/>
        <w:rPr>
          <w:sz w:val="20"/>
          <w:szCs w:val="20"/>
          <w:color w:val="auto"/>
        </w:rPr>
      </w:pPr>
      <w:r>
        <w:rPr>
          <w:rFonts w:ascii="Times New Roman" w:cs="Times New Roman" w:eastAsia="Times New Roman" w:hAnsi="Times New Roman"/>
          <w:sz w:val="22"/>
          <w:szCs w:val="22"/>
          <w:color w:val="auto"/>
        </w:rPr>
        <w:t>include rent escalations pre-set in the agreements, which are factored into the lease payment stream. The components of lease expense, classified as SG&amp;A expenses on the Consolidated Condensed Statement of Operations are as follows (amounts in thousands):</w:t>
      </w:r>
    </w:p>
    <w:p>
      <w:pPr>
        <w:sectPr>
          <w:pgSz w:w="11900" w:h="16838" w:orient="portrait"/>
          <w:cols w:equalWidth="0" w:num="1">
            <w:col w:w="11220"/>
          </w:cols>
          <w:pgMar w:left="320" w:top="39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Operating lease expense</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Variable lease expense</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Total lease expense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 w:type="dxa"/>
            <w:vAlign w:val="bottom"/>
          </w:tcPr>
          <w:p>
            <w:pPr>
              <w:spacing w:after="0"/>
              <w:rPr>
                <w:sz w:val="22"/>
                <w:szCs w:val="22"/>
                <w:color w:val="auto"/>
              </w:rPr>
            </w:pPr>
          </w:p>
        </w:tc>
        <w:tc>
          <w:tcPr>
            <w:tcW w:w="2600" w:type="dxa"/>
            <w:vAlign w:val="bottom"/>
            <w:gridSpan w:val="8"/>
          </w:tcPr>
          <w:p>
            <w:pPr>
              <w:jc w:val="right"/>
              <w:ind w:right="600"/>
              <w:spacing w:after="0"/>
              <w:rPr>
                <w:sz w:val="20"/>
                <w:szCs w:val="20"/>
                <w:color w:val="auto"/>
              </w:rPr>
            </w:pPr>
            <w:r>
              <w:rPr>
                <w:rFonts w:ascii="Times New Roman" w:cs="Times New Roman" w:eastAsia="Times New Roman" w:hAnsi="Times New Roman"/>
                <w:sz w:val="22"/>
                <w:szCs w:val="22"/>
                <w:b w:val="1"/>
                <w:bCs w:val="1"/>
                <w:color w:val="auto"/>
                <w:w w:val="98"/>
              </w:rPr>
              <w:t>Three Months Ended</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0" w:type="dxa"/>
            <w:vAlign w:val="bottom"/>
            <w:gridSpan w:val="7"/>
          </w:tcPr>
          <w:p>
            <w:pPr>
              <w:ind w:left="40"/>
              <w:spacing w:after="0"/>
              <w:rPr>
                <w:sz w:val="20"/>
                <w:szCs w:val="20"/>
                <w:color w:val="auto"/>
              </w:rPr>
            </w:pPr>
            <w:r>
              <w:rPr>
                <w:rFonts w:ascii="Times New Roman" w:cs="Times New Roman" w:eastAsia="Times New Roman" w:hAnsi="Times New Roman"/>
                <w:sz w:val="22"/>
                <w:szCs w:val="22"/>
                <w:b w:val="1"/>
                <w:bCs w:val="1"/>
                <w:color w:val="auto"/>
              </w:rPr>
              <w:t>Six Months Ended</w:t>
            </w:r>
          </w:p>
        </w:tc>
        <w:tc>
          <w:tcPr>
            <w:tcW w:w="0" w:type="dxa"/>
            <w:vAlign w:val="bottom"/>
          </w:tcPr>
          <w:p>
            <w:pPr>
              <w:spacing w:after="0"/>
              <w:rPr>
                <w:sz w:val="1"/>
                <w:szCs w:val="1"/>
                <w:color w:val="auto"/>
              </w:rPr>
            </w:pPr>
          </w:p>
        </w:tc>
      </w:tr>
      <w:tr>
        <w:trPr>
          <w:trHeight w:val="286"/>
        </w:trPr>
        <w:tc>
          <w:tcPr>
            <w:tcW w:w="120" w:type="dxa"/>
            <w:vAlign w:val="bottom"/>
          </w:tcPr>
          <w:p>
            <w:pPr>
              <w:spacing w:after="0"/>
              <w:rPr>
                <w:sz w:val="24"/>
                <w:szCs w:val="24"/>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2022</w:t>
            </w:r>
          </w:p>
        </w:tc>
        <w:tc>
          <w:tcPr>
            <w:tcW w:w="960" w:type="dxa"/>
            <w:vAlign w:val="bottom"/>
            <w:gridSpan w:val="3"/>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22"/>
                <w:szCs w:val="22"/>
                <w:b w:val="1"/>
                <w:bCs w:val="1"/>
                <w:color w:val="auto"/>
                <w:w w:val="90"/>
              </w:rPr>
              <w:t>2021</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b w:val="1"/>
                <w:bCs w:val="1"/>
                <w:color w:val="auto"/>
                <w:w w:val="95"/>
              </w:rPr>
              <w:t>2022</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2021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66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5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120" w:type="dxa"/>
            <w:vAlign w:val="bottom"/>
            <w:gridSpan w:val="3"/>
          </w:tcPr>
          <w:p>
            <w:pPr>
              <w:jc w:val="right"/>
              <w:ind w:right="460"/>
              <w:spacing w:after="0" w:line="249" w:lineRule="exact"/>
              <w:rPr>
                <w:sz w:val="20"/>
                <w:szCs w:val="20"/>
                <w:color w:val="auto"/>
              </w:rPr>
            </w:pPr>
            <w:r>
              <w:rPr>
                <w:rFonts w:ascii="Times New Roman" w:cs="Times New Roman" w:eastAsia="Times New Roman" w:hAnsi="Times New Roman"/>
                <w:sz w:val="22"/>
                <w:szCs w:val="22"/>
                <w:color w:val="auto"/>
              </w:rPr>
              <w:t>1,991</w:t>
            </w:r>
          </w:p>
        </w:tc>
        <w:tc>
          <w:tcPr>
            <w:tcW w:w="260" w:type="dxa"/>
            <w:vAlign w:val="bottom"/>
            <w:vMerge w:val="continue"/>
          </w:tcPr>
          <w:p>
            <w:pPr>
              <w:spacing w:after="0"/>
              <w:rPr>
                <w:sz w:val="21"/>
                <w:szCs w:val="21"/>
                <w:color w:val="auto"/>
              </w:rPr>
            </w:pPr>
          </w:p>
        </w:tc>
        <w:tc>
          <w:tcPr>
            <w:tcW w:w="1100" w:type="dxa"/>
            <w:vAlign w:val="bottom"/>
            <w:gridSpan w:val="3"/>
          </w:tcPr>
          <w:p>
            <w:pPr>
              <w:jc w:val="right"/>
              <w:ind w:right="440"/>
              <w:spacing w:after="0" w:line="249" w:lineRule="exact"/>
              <w:rPr>
                <w:sz w:val="20"/>
                <w:szCs w:val="20"/>
                <w:color w:val="auto"/>
              </w:rPr>
            </w:pPr>
            <w:r>
              <w:rPr>
                <w:rFonts w:ascii="Times New Roman" w:cs="Times New Roman" w:eastAsia="Times New Roman" w:hAnsi="Times New Roman"/>
                <w:sz w:val="22"/>
                <w:szCs w:val="22"/>
                <w:color w:val="auto"/>
              </w:rPr>
              <w:t>1,565</w:t>
            </w:r>
          </w:p>
        </w:tc>
        <w:tc>
          <w:tcPr>
            <w:tcW w:w="160" w:type="dxa"/>
            <w:vAlign w:val="bottom"/>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gridSpan w:val="3"/>
          </w:tcPr>
          <w:p>
            <w:pPr>
              <w:jc w:val="right"/>
              <w:ind w:right="440"/>
              <w:spacing w:after="0" w:line="249" w:lineRule="exact"/>
              <w:rPr>
                <w:sz w:val="20"/>
                <w:szCs w:val="20"/>
                <w:color w:val="auto"/>
              </w:rPr>
            </w:pPr>
            <w:r>
              <w:rPr>
                <w:rFonts w:ascii="Times New Roman" w:cs="Times New Roman" w:eastAsia="Times New Roman" w:hAnsi="Times New Roman"/>
                <w:sz w:val="22"/>
                <w:szCs w:val="22"/>
                <w:color w:val="auto"/>
              </w:rPr>
              <w:t>3,601</w:t>
            </w:r>
          </w:p>
        </w:tc>
        <w:tc>
          <w:tcPr>
            <w:tcW w:w="180" w:type="dxa"/>
            <w:vAlign w:val="bottom"/>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660" w:type="dxa"/>
            <w:vAlign w:val="bottom"/>
            <w:gridSpan w:val="2"/>
          </w:tcPr>
          <w:p>
            <w:pPr>
              <w:jc w:val="right"/>
              <w:spacing w:after="0" w:line="249" w:lineRule="exact"/>
              <w:rPr>
                <w:sz w:val="20"/>
                <w:szCs w:val="20"/>
                <w:color w:val="auto"/>
              </w:rPr>
            </w:pPr>
            <w:r>
              <w:rPr>
                <w:rFonts w:ascii="Times New Roman" w:cs="Times New Roman" w:eastAsia="Times New Roman" w:hAnsi="Times New Roman"/>
                <w:sz w:val="22"/>
                <w:szCs w:val="22"/>
                <w:color w:val="auto"/>
              </w:rPr>
              <w:t>3,115</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40" w:type="dxa"/>
            <w:vAlign w:val="bottom"/>
            <w:gridSpan w:val="4"/>
          </w:tcPr>
          <w:p>
            <w:pPr>
              <w:jc w:val="right"/>
              <w:ind w:right="460"/>
              <w:spacing w:after="0"/>
              <w:rPr>
                <w:sz w:val="20"/>
                <w:szCs w:val="20"/>
                <w:color w:val="auto"/>
              </w:rPr>
            </w:pPr>
            <w:r>
              <w:rPr>
                <w:rFonts w:ascii="Times New Roman" w:cs="Times New Roman" w:eastAsia="Times New Roman" w:hAnsi="Times New Roman"/>
                <w:sz w:val="22"/>
                <w:szCs w:val="22"/>
                <w:color w:val="auto"/>
              </w:rPr>
              <w:t>271</w:t>
            </w:r>
          </w:p>
        </w:tc>
        <w:tc>
          <w:tcPr>
            <w:tcW w:w="260" w:type="dxa"/>
            <w:vAlign w:val="bottom"/>
          </w:tcPr>
          <w:p>
            <w:pPr>
              <w:spacing w:after="0"/>
              <w:rPr>
                <w:sz w:val="23"/>
                <w:szCs w:val="23"/>
                <w:color w:val="auto"/>
              </w:rPr>
            </w:pPr>
          </w:p>
        </w:tc>
        <w:tc>
          <w:tcPr>
            <w:tcW w:w="1100" w:type="dxa"/>
            <w:vAlign w:val="bottom"/>
            <w:gridSpan w:val="3"/>
          </w:tcPr>
          <w:p>
            <w:pPr>
              <w:jc w:val="right"/>
              <w:ind w:right="440"/>
              <w:spacing w:after="0"/>
              <w:rPr>
                <w:sz w:val="20"/>
                <w:szCs w:val="20"/>
                <w:color w:val="auto"/>
              </w:rPr>
            </w:pPr>
            <w:r>
              <w:rPr>
                <w:rFonts w:ascii="Times New Roman" w:cs="Times New Roman" w:eastAsia="Times New Roman" w:hAnsi="Times New Roman"/>
                <w:sz w:val="22"/>
                <w:szCs w:val="22"/>
                <w:color w:val="auto"/>
              </w:rPr>
              <w:t>520</w:t>
            </w:r>
          </w:p>
        </w:tc>
        <w:tc>
          <w:tcPr>
            <w:tcW w:w="160" w:type="dxa"/>
            <w:vAlign w:val="bottom"/>
          </w:tcPr>
          <w:p>
            <w:pPr>
              <w:spacing w:after="0"/>
              <w:rPr>
                <w:sz w:val="23"/>
                <w:szCs w:val="23"/>
                <w:color w:val="auto"/>
              </w:rPr>
            </w:pPr>
          </w:p>
        </w:tc>
        <w:tc>
          <w:tcPr>
            <w:tcW w:w="1160" w:type="dxa"/>
            <w:vAlign w:val="bottom"/>
            <w:gridSpan w:val="4"/>
          </w:tcPr>
          <w:p>
            <w:pPr>
              <w:jc w:val="right"/>
              <w:ind w:right="440"/>
              <w:spacing w:after="0"/>
              <w:rPr>
                <w:sz w:val="20"/>
                <w:szCs w:val="20"/>
                <w:color w:val="auto"/>
              </w:rPr>
            </w:pPr>
            <w:r>
              <w:rPr>
                <w:rFonts w:ascii="Times New Roman" w:cs="Times New Roman" w:eastAsia="Times New Roman" w:hAnsi="Times New Roman"/>
                <w:sz w:val="22"/>
                <w:szCs w:val="22"/>
                <w:color w:val="auto"/>
              </w:rPr>
              <w:t>665</w:t>
            </w:r>
          </w:p>
        </w:tc>
        <w:tc>
          <w:tcPr>
            <w:tcW w:w="18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564</w:t>
            </w:r>
          </w:p>
        </w:tc>
        <w:tc>
          <w:tcPr>
            <w:tcW w:w="0" w:type="dxa"/>
            <w:vAlign w:val="bottom"/>
          </w:tcPr>
          <w:p>
            <w:pPr>
              <w:spacing w:after="0"/>
              <w:rPr>
                <w:sz w:val="1"/>
                <w:szCs w:val="1"/>
                <w:color w:val="auto"/>
              </w:rPr>
            </w:pPr>
          </w:p>
        </w:tc>
      </w:tr>
      <w:tr>
        <w:trPr>
          <w:trHeight w:val="250"/>
        </w:trPr>
        <w:tc>
          <w:tcPr>
            <w:tcW w:w="12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8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2,262</w:t>
            </w:r>
          </w:p>
        </w:tc>
        <w:tc>
          <w:tcPr>
            <w:tcW w:w="46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3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66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auto"/>
              </w:rPr>
              <w:t>2,085</w:t>
            </w:r>
          </w:p>
        </w:tc>
        <w:tc>
          <w:tcPr>
            <w:tcW w:w="4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2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4,266</w:t>
            </w:r>
          </w:p>
        </w:tc>
        <w:tc>
          <w:tcPr>
            <w:tcW w:w="4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2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3,679</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-513715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-196850</wp:posOffset>
            </wp:positionV>
            <wp:extent cx="713232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720"/>
            <w:col w:w="5020"/>
          </w:cols>
          <w:pgMar w:left="320" w:top="396" w:right="359" w:bottom="1440" w:gutter="0" w:footer="0" w:header="0"/>
          <w:type w:val="continuous"/>
        </w:sectPr>
      </w:pP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is a summary of future minimum rentals on such leases at July 31, 2022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20" w:type="dxa"/>
            <w:vAlign w:val="bottom"/>
            <w:gridSpan w:val="4"/>
          </w:tcPr>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Minimum</w:t>
            </w:r>
          </w:p>
        </w:tc>
      </w:tr>
      <w:tr>
        <w:trPr>
          <w:trHeight w:val="234"/>
        </w:trPr>
        <w:tc>
          <w:tcPr>
            <w:tcW w:w="120" w:type="dxa"/>
            <w:vAlign w:val="bottom"/>
          </w:tcPr>
          <w:p>
            <w:pPr>
              <w:spacing w:after="0"/>
              <w:rPr>
                <w:sz w:val="20"/>
                <w:szCs w:val="20"/>
                <w:color w:val="auto"/>
              </w:rPr>
            </w:pPr>
          </w:p>
        </w:tc>
        <w:tc>
          <w:tcPr>
            <w:tcW w:w="2940" w:type="dxa"/>
            <w:vAlign w:val="bottom"/>
            <w:gridSpan w:val="2"/>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Years Ended January 31,</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40"/>
              <w:spacing w:after="0" w:line="233" w:lineRule="exact"/>
              <w:rPr>
                <w:sz w:val="20"/>
                <w:szCs w:val="20"/>
                <w:color w:val="auto"/>
              </w:rPr>
            </w:pPr>
            <w:r>
              <w:rPr>
                <w:rFonts w:ascii="Times New Roman" w:cs="Times New Roman" w:eastAsia="Times New Roman" w:hAnsi="Times New Roman"/>
                <w:sz w:val="22"/>
                <w:szCs w:val="22"/>
                <w:b w:val="1"/>
                <w:bCs w:val="1"/>
                <w:color w:val="auto"/>
                <w:w w:val="95"/>
              </w:rPr>
              <w:t>Rentals</w:t>
            </w:r>
          </w:p>
        </w:tc>
      </w:tr>
      <w:tr>
        <w:trPr>
          <w:trHeight w:val="264"/>
        </w:trPr>
        <w:tc>
          <w:tcPr>
            <w:tcW w:w="120" w:type="dxa"/>
            <w:vAlign w:val="bottom"/>
          </w:tcPr>
          <w:p>
            <w:pPr>
              <w:spacing w:after="0"/>
              <w:rPr>
                <w:sz w:val="22"/>
                <w:szCs w:val="22"/>
                <w:color w:val="auto"/>
              </w:rPr>
            </w:pPr>
          </w:p>
        </w:tc>
        <w:tc>
          <w:tcPr>
            <w:tcW w:w="2300" w:type="dxa"/>
            <w:vAlign w:val="bottom"/>
            <w:tcBorders>
              <w:top w:val="single" w:sz="8" w:color="auto"/>
            </w:tcBorders>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43"/>
        </w:trPr>
        <w:tc>
          <w:tcPr>
            <w:tcW w:w="120" w:type="dxa"/>
            <w:vAlign w:val="bottom"/>
            <w:shd w:val="clear" w:color="auto" w:fill="E5FFFF"/>
          </w:tcPr>
          <w:p>
            <w:pPr>
              <w:spacing w:after="0"/>
              <w:rPr>
                <w:sz w:val="21"/>
                <w:szCs w:val="21"/>
                <w:color w:val="auto"/>
              </w:rPr>
            </w:pPr>
          </w:p>
        </w:tc>
        <w:tc>
          <w:tcPr>
            <w:tcW w:w="294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Remainder of 2023</w:t>
            </w:r>
          </w:p>
        </w:tc>
        <w:tc>
          <w:tcPr>
            <w:tcW w:w="68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4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2,438</w:t>
            </w:r>
          </w:p>
        </w:tc>
      </w:tr>
      <w:tr>
        <w:trPr>
          <w:trHeight w:val="243"/>
        </w:trPr>
        <w:tc>
          <w:tcPr>
            <w:tcW w:w="24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2024</w:t>
            </w: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4,870</w:t>
            </w:r>
          </w:p>
        </w:tc>
      </w:tr>
      <w:tr>
        <w:trPr>
          <w:trHeight w:val="243"/>
        </w:trPr>
        <w:tc>
          <w:tcPr>
            <w:tcW w:w="2420" w:type="dxa"/>
            <w:vAlign w:val="bottom"/>
            <w:gridSpan w:val="2"/>
            <w:shd w:val="clear" w:color="auto" w:fill="E5FFFF"/>
          </w:tcPr>
          <w:p>
            <w:pPr>
              <w:ind w:left="120"/>
              <w:spacing w:after="0" w:line="243" w:lineRule="exact"/>
              <w:rPr>
                <w:sz w:val="20"/>
                <w:szCs w:val="20"/>
                <w:color w:val="auto"/>
              </w:rPr>
            </w:pPr>
            <w:r>
              <w:rPr>
                <w:rFonts w:ascii="Times New Roman" w:cs="Times New Roman" w:eastAsia="Times New Roman" w:hAnsi="Times New Roman"/>
                <w:sz w:val="22"/>
                <w:szCs w:val="22"/>
                <w:color w:val="auto"/>
              </w:rPr>
              <w:t>2025</w:t>
            </w:r>
          </w:p>
        </w:tc>
        <w:tc>
          <w:tcPr>
            <w:tcW w:w="64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3,422</w:t>
            </w:r>
          </w:p>
        </w:tc>
      </w:tr>
      <w:tr>
        <w:trPr>
          <w:trHeight w:val="243"/>
        </w:trPr>
        <w:tc>
          <w:tcPr>
            <w:tcW w:w="24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2026</w:t>
            </w: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1,249</w:t>
            </w:r>
          </w:p>
        </w:tc>
      </w:tr>
      <w:tr>
        <w:trPr>
          <w:trHeight w:val="243"/>
        </w:trPr>
        <w:tc>
          <w:tcPr>
            <w:tcW w:w="2420" w:type="dxa"/>
            <w:vAlign w:val="bottom"/>
            <w:gridSpan w:val="2"/>
            <w:shd w:val="clear" w:color="auto" w:fill="E5FFFF"/>
          </w:tcPr>
          <w:p>
            <w:pPr>
              <w:ind w:left="120"/>
              <w:spacing w:after="0" w:line="243" w:lineRule="exact"/>
              <w:rPr>
                <w:sz w:val="20"/>
                <w:szCs w:val="20"/>
                <w:color w:val="auto"/>
              </w:rPr>
            </w:pPr>
            <w:r>
              <w:rPr>
                <w:rFonts w:ascii="Times New Roman" w:cs="Times New Roman" w:eastAsia="Times New Roman" w:hAnsi="Times New Roman"/>
                <w:sz w:val="22"/>
                <w:szCs w:val="22"/>
                <w:color w:val="auto"/>
              </w:rPr>
              <w:t>2027</w:t>
            </w:r>
          </w:p>
        </w:tc>
        <w:tc>
          <w:tcPr>
            <w:tcW w:w="64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1,185</w:t>
            </w:r>
          </w:p>
        </w:tc>
      </w:tr>
      <w:tr>
        <w:trPr>
          <w:trHeight w:val="257"/>
        </w:trPr>
        <w:tc>
          <w:tcPr>
            <w:tcW w:w="120" w:type="dxa"/>
            <w:vAlign w:val="bottom"/>
          </w:tcPr>
          <w:p>
            <w:pPr>
              <w:spacing w:after="0"/>
              <w:rPr>
                <w:sz w:val="22"/>
                <w:szCs w:val="22"/>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Thereafter</w:t>
            </w: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713</w:t>
            </w:r>
          </w:p>
        </w:tc>
      </w:tr>
      <w:tr>
        <w:trPr>
          <w:trHeight w:val="237"/>
        </w:trPr>
        <w:tc>
          <w:tcPr>
            <w:tcW w:w="120" w:type="dxa"/>
            <w:vAlign w:val="bottom"/>
            <w:tcBorders>
              <w:top w:val="single" w:sz="8" w:color="E5FFFF"/>
            </w:tcBorders>
            <w:shd w:val="clear" w:color="auto" w:fill="E5FFFF"/>
          </w:tcPr>
          <w:p>
            <w:pPr>
              <w:spacing w:after="0"/>
              <w:rPr>
                <w:sz w:val="20"/>
                <w:szCs w:val="20"/>
                <w:color w:val="auto"/>
              </w:rPr>
            </w:pPr>
          </w:p>
        </w:tc>
        <w:tc>
          <w:tcPr>
            <w:tcW w:w="2940" w:type="dxa"/>
            <w:vAlign w:val="bottom"/>
            <w:tcBorders>
              <w:top w:val="single" w:sz="8" w:color="E5FFFF"/>
            </w:tcBorders>
            <w:gridSpan w:val="2"/>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52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auto"/>
            </w:tcBorders>
            <w:shd w:val="clear" w:color="auto" w:fill="E5FFFF"/>
          </w:tcPr>
          <w:p>
            <w:pPr>
              <w:spacing w:after="0"/>
              <w:rPr>
                <w:sz w:val="20"/>
                <w:szCs w:val="20"/>
                <w:color w:val="auto"/>
              </w:rPr>
            </w:pPr>
          </w:p>
        </w:tc>
        <w:tc>
          <w:tcPr>
            <w:tcW w:w="70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13,877</w:t>
            </w:r>
          </w:p>
        </w:tc>
        <w:tc>
          <w:tcPr>
            <w:tcW w:w="40" w:type="dxa"/>
            <w:vAlign w:val="bottom"/>
            <w:tcBorders>
              <w:top w:val="single" w:sz="8" w:color="E5FFFF"/>
            </w:tcBorders>
            <w:shd w:val="clear" w:color="auto" w:fill="E5FFFF"/>
          </w:tcPr>
          <w:p>
            <w:pPr>
              <w:spacing w:after="0"/>
              <w:rPr>
                <w:sz w:val="20"/>
                <w:szCs w:val="20"/>
                <w:color w:val="auto"/>
              </w:rPr>
            </w:pPr>
          </w:p>
        </w:tc>
      </w:tr>
      <w:tr>
        <w:trPr>
          <w:trHeight w:val="256"/>
        </w:trPr>
        <w:tc>
          <w:tcPr>
            <w:tcW w:w="120" w:type="dxa"/>
            <w:vAlign w:val="bottom"/>
          </w:tcPr>
          <w:p>
            <w:pPr>
              <w:spacing w:after="0"/>
              <w:rPr>
                <w:sz w:val="22"/>
                <w:szCs w:val="22"/>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Less: present value discount</w:t>
            </w: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1,115</w:t>
            </w:r>
          </w:p>
        </w:tc>
      </w:tr>
      <w:tr>
        <w:trPr>
          <w:trHeight w:val="250"/>
        </w:trPr>
        <w:tc>
          <w:tcPr>
            <w:tcW w:w="120" w:type="dxa"/>
            <w:vAlign w:val="bottom"/>
            <w:tcBorders>
              <w:top w:val="single" w:sz="8" w:color="E5FFFF"/>
              <w:bottom w:val="single" w:sz="8" w:color="E5FFFF"/>
            </w:tcBorders>
            <w:shd w:val="clear" w:color="auto" w:fill="E5FFFF"/>
          </w:tcPr>
          <w:p>
            <w:pPr>
              <w:spacing w:after="0"/>
              <w:rPr>
                <w:sz w:val="21"/>
                <w:szCs w:val="21"/>
                <w:color w:val="auto"/>
              </w:rPr>
            </w:pPr>
          </w:p>
        </w:tc>
        <w:tc>
          <w:tcPr>
            <w:tcW w:w="2940" w:type="dxa"/>
            <w:vAlign w:val="bottom"/>
            <w:tcBorders>
              <w:top w:val="single" w:sz="8" w:color="E5FFFF"/>
              <w:bottom w:val="single" w:sz="8" w:color="E5FFFF"/>
            </w:tcBorders>
            <w:gridSpan w:val="2"/>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Operating lease liabilities</w:t>
            </w:r>
          </w:p>
        </w:tc>
        <w:tc>
          <w:tcPr>
            <w:tcW w:w="52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12,762</w:t>
            </w:r>
          </w:p>
        </w:tc>
        <w:tc>
          <w:tcPr>
            <w:tcW w:w="4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At July 31, 2022, the weighted average remaining lease term is 2.7 years, and the weighted average discount rate is 4.63% for the above leases.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following table is a summary of future minimum rentals on such leases at January 31, 2022 (amounts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gridSpan w:val="6"/>
          </w:tcPr>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Minimum</w:t>
            </w:r>
          </w:p>
        </w:tc>
      </w:tr>
      <w:tr>
        <w:trPr>
          <w:trHeight w:val="234"/>
        </w:trPr>
        <w:tc>
          <w:tcPr>
            <w:tcW w:w="120" w:type="dxa"/>
            <w:vAlign w:val="bottom"/>
          </w:tcPr>
          <w:p>
            <w:pPr>
              <w:spacing w:after="0"/>
              <w:rPr>
                <w:sz w:val="20"/>
                <w:szCs w:val="20"/>
                <w:color w:val="auto"/>
              </w:rPr>
            </w:pPr>
          </w:p>
        </w:tc>
        <w:tc>
          <w:tcPr>
            <w:tcW w:w="2940" w:type="dxa"/>
            <w:vAlign w:val="bottom"/>
            <w:gridSpan w:val="2"/>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Years Ended January 31,</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right"/>
              <w:ind w:right="40"/>
              <w:spacing w:after="0" w:line="233" w:lineRule="exact"/>
              <w:rPr>
                <w:sz w:val="20"/>
                <w:szCs w:val="20"/>
                <w:color w:val="auto"/>
              </w:rPr>
            </w:pPr>
            <w:r>
              <w:rPr>
                <w:rFonts w:ascii="Times New Roman" w:cs="Times New Roman" w:eastAsia="Times New Roman" w:hAnsi="Times New Roman"/>
                <w:sz w:val="22"/>
                <w:szCs w:val="22"/>
                <w:b w:val="1"/>
                <w:bCs w:val="1"/>
                <w:color w:val="auto"/>
                <w:w w:val="95"/>
              </w:rPr>
              <w:t>Rentals</w:t>
            </w:r>
          </w:p>
        </w:tc>
      </w:tr>
      <w:tr>
        <w:trPr>
          <w:trHeight w:val="263"/>
        </w:trPr>
        <w:tc>
          <w:tcPr>
            <w:tcW w:w="120" w:type="dxa"/>
            <w:vAlign w:val="bottom"/>
          </w:tcPr>
          <w:p>
            <w:pPr>
              <w:spacing w:after="0"/>
              <w:rPr>
                <w:sz w:val="22"/>
                <w:szCs w:val="22"/>
                <w:color w:val="auto"/>
              </w:rPr>
            </w:pPr>
          </w:p>
        </w:tc>
        <w:tc>
          <w:tcPr>
            <w:tcW w:w="2300" w:type="dxa"/>
            <w:vAlign w:val="bottom"/>
            <w:tcBorders>
              <w:top w:val="single" w:sz="8" w:color="auto"/>
            </w:tcBorders>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2420" w:type="dxa"/>
            <w:vAlign w:val="bottom"/>
            <w:gridSpan w:val="2"/>
            <w:shd w:val="clear" w:color="auto" w:fill="E5FFFF"/>
          </w:tcPr>
          <w:p>
            <w:pPr>
              <w:ind w:left="120"/>
              <w:spacing w:after="0" w:line="243" w:lineRule="exact"/>
              <w:rPr>
                <w:sz w:val="20"/>
                <w:szCs w:val="20"/>
                <w:color w:val="auto"/>
              </w:rPr>
            </w:pPr>
            <w:r>
              <w:rPr>
                <w:rFonts w:ascii="Times New Roman" w:cs="Times New Roman" w:eastAsia="Times New Roman" w:hAnsi="Times New Roman"/>
                <w:sz w:val="22"/>
                <w:szCs w:val="22"/>
                <w:color w:val="auto"/>
              </w:rPr>
              <w:t>2023</w:t>
            </w:r>
          </w:p>
        </w:tc>
        <w:tc>
          <w:tcPr>
            <w:tcW w:w="640" w:type="dxa"/>
            <w:vAlign w:val="bottom"/>
            <w:shd w:val="clear" w:color="auto" w:fill="E5FFFF"/>
          </w:tcPr>
          <w:p>
            <w:pPr>
              <w:spacing w:after="0"/>
              <w:rPr>
                <w:sz w:val="21"/>
                <w:szCs w:val="21"/>
                <w:color w:val="auto"/>
              </w:rPr>
            </w:pPr>
          </w:p>
        </w:tc>
        <w:tc>
          <w:tcPr>
            <w:tcW w:w="68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20" w:type="dxa"/>
            <w:vAlign w:val="bottom"/>
            <w:gridSpan w:val="2"/>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5,015</w:t>
            </w:r>
          </w:p>
        </w:tc>
        <w:tc>
          <w:tcPr>
            <w:tcW w:w="20" w:type="dxa"/>
            <w:vAlign w:val="bottom"/>
            <w:shd w:val="clear" w:color="auto" w:fill="E5FFFF"/>
          </w:tcPr>
          <w:p>
            <w:pPr>
              <w:spacing w:after="0"/>
              <w:rPr>
                <w:sz w:val="21"/>
                <w:szCs w:val="21"/>
                <w:color w:val="auto"/>
              </w:rPr>
            </w:pPr>
          </w:p>
        </w:tc>
      </w:tr>
      <w:tr>
        <w:trPr>
          <w:trHeight w:val="243"/>
        </w:trPr>
        <w:tc>
          <w:tcPr>
            <w:tcW w:w="24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2024</w:t>
            </w: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3,856</w:t>
            </w:r>
          </w:p>
        </w:tc>
        <w:tc>
          <w:tcPr>
            <w:tcW w:w="20" w:type="dxa"/>
            <w:vAlign w:val="bottom"/>
          </w:tcPr>
          <w:p>
            <w:pPr>
              <w:spacing w:after="0"/>
              <w:rPr>
                <w:sz w:val="21"/>
                <w:szCs w:val="21"/>
                <w:color w:val="auto"/>
              </w:rPr>
            </w:pPr>
          </w:p>
        </w:tc>
      </w:tr>
      <w:tr>
        <w:trPr>
          <w:trHeight w:val="243"/>
        </w:trPr>
        <w:tc>
          <w:tcPr>
            <w:tcW w:w="2420" w:type="dxa"/>
            <w:vAlign w:val="bottom"/>
            <w:gridSpan w:val="2"/>
            <w:shd w:val="clear" w:color="auto" w:fill="E5FFFF"/>
          </w:tcPr>
          <w:p>
            <w:pPr>
              <w:ind w:left="120"/>
              <w:spacing w:after="0" w:line="243" w:lineRule="exact"/>
              <w:rPr>
                <w:sz w:val="20"/>
                <w:szCs w:val="20"/>
                <w:color w:val="auto"/>
              </w:rPr>
            </w:pPr>
            <w:r>
              <w:rPr>
                <w:rFonts w:ascii="Times New Roman" w:cs="Times New Roman" w:eastAsia="Times New Roman" w:hAnsi="Times New Roman"/>
                <w:sz w:val="22"/>
                <w:szCs w:val="22"/>
                <w:color w:val="auto"/>
              </w:rPr>
              <w:t>2025</w:t>
            </w:r>
          </w:p>
        </w:tc>
        <w:tc>
          <w:tcPr>
            <w:tcW w:w="64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gridSpan w:val="2"/>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2,408</w:t>
            </w:r>
          </w:p>
        </w:tc>
        <w:tc>
          <w:tcPr>
            <w:tcW w:w="20" w:type="dxa"/>
            <w:vAlign w:val="bottom"/>
            <w:shd w:val="clear" w:color="auto" w:fill="E5FFFF"/>
          </w:tcPr>
          <w:p>
            <w:pPr>
              <w:spacing w:after="0"/>
              <w:rPr>
                <w:sz w:val="21"/>
                <w:szCs w:val="21"/>
                <w:color w:val="auto"/>
              </w:rPr>
            </w:pPr>
          </w:p>
        </w:tc>
      </w:tr>
      <w:tr>
        <w:trPr>
          <w:trHeight w:val="243"/>
        </w:trPr>
        <w:tc>
          <w:tcPr>
            <w:tcW w:w="24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2026</w:t>
            </w: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235</w:t>
            </w:r>
          </w:p>
        </w:tc>
        <w:tc>
          <w:tcPr>
            <w:tcW w:w="20" w:type="dxa"/>
            <w:vAlign w:val="bottom"/>
          </w:tcPr>
          <w:p>
            <w:pPr>
              <w:spacing w:after="0"/>
              <w:rPr>
                <w:sz w:val="21"/>
                <w:szCs w:val="21"/>
                <w:color w:val="auto"/>
              </w:rPr>
            </w:pPr>
          </w:p>
        </w:tc>
      </w:tr>
      <w:tr>
        <w:trPr>
          <w:trHeight w:val="256"/>
        </w:trPr>
        <w:tc>
          <w:tcPr>
            <w:tcW w:w="2420" w:type="dxa"/>
            <w:vAlign w:val="bottom"/>
            <w:gridSpan w:val="2"/>
            <w:shd w:val="clear" w:color="auto" w:fill="E5FFFF"/>
          </w:tcPr>
          <w:p>
            <w:pPr>
              <w:ind w:left="120"/>
              <w:spacing w:after="0"/>
              <w:rPr>
                <w:sz w:val="20"/>
                <w:szCs w:val="20"/>
                <w:color w:val="auto"/>
              </w:rPr>
            </w:pPr>
            <w:r>
              <w:rPr>
                <w:rFonts w:ascii="Times New Roman" w:cs="Times New Roman" w:eastAsia="Times New Roman" w:hAnsi="Times New Roman"/>
                <w:sz w:val="22"/>
                <w:szCs w:val="22"/>
                <w:color w:val="auto"/>
              </w:rPr>
              <w:t>2027</w:t>
            </w:r>
          </w:p>
        </w:tc>
        <w:tc>
          <w:tcPr>
            <w:tcW w:w="640" w:type="dxa"/>
            <w:vAlign w:val="bottom"/>
            <w:shd w:val="clear" w:color="auto" w:fill="E5FFFF"/>
          </w:tcPr>
          <w:p>
            <w:pPr>
              <w:spacing w:after="0"/>
              <w:rPr>
                <w:sz w:val="22"/>
                <w:szCs w:val="22"/>
                <w:color w:val="auto"/>
              </w:rPr>
            </w:pPr>
          </w:p>
        </w:tc>
        <w:tc>
          <w:tcPr>
            <w:tcW w:w="52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7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22"/>
                <w:szCs w:val="22"/>
                <w:color w:val="auto"/>
              </w:rPr>
              <w:t>171</w:t>
            </w:r>
          </w:p>
        </w:tc>
        <w:tc>
          <w:tcPr>
            <w:tcW w:w="20" w:type="dxa"/>
            <w:vAlign w:val="bottom"/>
            <w:shd w:val="clear" w:color="auto" w:fill="E5FFFF"/>
          </w:tcPr>
          <w:p>
            <w:pPr>
              <w:spacing w:after="0"/>
              <w:rPr>
                <w:sz w:val="22"/>
                <w:szCs w:val="22"/>
                <w:color w:val="auto"/>
              </w:rPr>
            </w:pPr>
          </w:p>
        </w:tc>
      </w:tr>
      <w:tr>
        <w:trPr>
          <w:trHeight w:val="237"/>
        </w:trPr>
        <w:tc>
          <w:tcPr>
            <w:tcW w:w="120" w:type="dxa"/>
            <w:vAlign w:val="bottom"/>
          </w:tcPr>
          <w:p>
            <w:pPr>
              <w:spacing w:after="0"/>
              <w:rPr>
                <w:sz w:val="20"/>
                <w:szCs w:val="20"/>
                <w:color w:val="auto"/>
              </w:rPr>
            </w:pPr>
          </w:p>
        </w:tc>
        <w:tc>
          <w:tcPr>
            <w:tcW w:w="294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11,685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120" w:type="dxa"/>
            <w:vAlign w:val="bottom"/>
            <w:shd w:val="clear" w:color="auto" w:fill="E5FFFF"/>
          </w:tcPr>
          <w:p>
            <w:pPr>
              <w:spacing w:after="0"/>
              <w:rPr>
                <w:sz w:val="22"/>
                <w:szCs w:val="22"/>
                <w:color w:val="auto"/>
              </w:rPr>
            </w:pPr>
          </w:p>
        </w:tc>
        <w:tc>
          <w:tcPr>
            <w:tcW w:w="294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22"/>
                <w:szCs w:val="22"/>
                <w:color w:val="auto"/>
              </w:rPr>
              <w:t>Less: present value discount</w:t>
            </w:r>
          </w:p>
        </w:tc>
        <w:tc>
          <w:tcPr>
            <w:tcW w:w="52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7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22"/>
                <w:szCs w:val="22"/>
                <w:color w:val="auto"/>
              </w:rPr>
              <w:t>695</w:t>
            </w:r>
          </w:p>
        </w:tc>
        <w:tc>
          <w:tcPr>
            <w:tcW w:w="20" w:type="dxa"/>
            <w:vAlign w:val="bottom"/>
            <w:shd w:val="clear" w:color="auto" w:fill="E5FFFF"/>
          </w:tcPr>
          <w:p>
            <w:pPr>
              <w:spacing w:after="0"/>
              <w:rPr>
                <w:sz w:val="22"/>
                <w:szCs w:val="22"/>
                <w:color w:val="auto"/>
              </w:rPr>
            </w:pPr>
          </w:p>
        </w:tc>
      </w:tr>
      <w:tr>
        <w:trPr>
          <w:trHeight w:val="250"/>
        </w:trPr>
        <w:tc>
          <w:tcPr>
            <w:tcW w:w="120" w:type="dxa"/>
            <w:vAlign w:val="bottom"/>
          </w:tcPr>
          <w:p>
            <w:pPr>
              <w:spacing w:after="0"/>
              <w:rPr>
                <w:sz w:val="21"/>
                <w:szCs w:val="21"/>
                <w:color w:val="auto"/>
              </w:rPr>
            </w:pPr>
          </w:p>
        </w:tc>
        <w:tc>
          <w:tcPr>
            <w:tcW w:w="294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auto"/>
              </w:rPr>
              <w:t>Operating lease liabilities</w:t>
            </w:r>
          </w:p>
        </w:tc>
        <w:tc>
          <w:tcPr>
            <w:tcW w:w="540" w:type="dxa"/>
            <w:vAlign w:val="bottom"/>
            <w:gridSpan w:val="2"/>
          </w:tcPr>
          <w:p>
            <w:pPr>
              <w:spacing w:after="0"/>
              <w:rPr>
                <w:sz w:val="21"/>
                <w:szCs w:val="21"/>
                <w:color w:val="auto"/>
              </w:rPr>
            </w:pPr>
          </w:p>
        </w:tc>
        <w:tc>
          <w:tcPr>
            <w:tcW w:w="140" w:type="dxa"/>
            <w:vAlign w:val="bottom"/>
            <w:tcBorders>
              <w:top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Borders>
              <w:top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10,990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type w:val="continuous"/>
        </w:sectPr>
      </w:pPr>
    </w:p>
    <w:bookmarkStart w:id="15" w:name="page16"/>
    <w:bookmarkEnd w:id="15"/>
    <w:p>
      <w:pPr>
        <w:ind w:right="320" w:firstLine="648"/>
        <w:spacing w:after="0" w:line="258" w:lineRule="auto"/>
        <w:rPr>
          <w:sz w:val="20"/>
          <w:szCs w:val="20"/>
          <w:color w:val="auto"/>
        </w:rPr>
      </w:pPr>
      <w:r>
        <w:rPr>
          <w:rFonts w:ascii="Times New Roman" w:cs="Times New Roman" w:eastAsia="Times New Roman" w:hAnsi="Times New Roman"/>
          <w:sz w:val="22"/>
          <w:szCs w:val="22"/>
          <w:color w:val="auto"/>
        </w:rPr>
        <w:t>At January 31, 2022, the weighted average remaining lease term was 2.5 years, and the weighted average discount rate was 4.85% for the above leases.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5. </w:t>
      </w:r>
      <w:r>
        <w:rPr>
          <w:rFonts w:ascii="Times New Roman" w:cs="Times New Roman" w:eastAsia="Times New Roman" w:hAnsi="Times New Roman"/>
          <w:sz w:val="22"/>
          <w:szCs w:val="22"/>
          <w:b w:val="1"/>
          <w:bCs w:val="1"/>
          <w:i w:val="1"/>
          <w:iCs w:val="1"/>
          <w:color w:val="auto"/>
        </w:rPr>
        <w:t>Fair Value</w:t>
      </w:r>
    </w:p>
    <w:p>
      <w:pPr>
        <w:spacing w:after="0" w:line="235"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The Company applies ASC 820, “</w:t>
      </w:r>
      <w:r>
        <w:rPr>
          <w:rFonts w:ascii="Times New Roman" w:cs="Times New Roman" w:eastAsia="Times New Roman" w:hAnsi="Times New Roman"/>
          <w:sz w:val="22"/>
          <w:szCs w:val="22"/>
          <w:i w:val="1"/>
          <w:iCs w:val="1"/>
          <w:color w:val="auto"/>
        </w:rPr>
        <w:t>Fair Value Measurements and Disclosures”</w:t>
      </w:r>
      <w:r>
        <w:rPr>
          <w:rFonts w:ascii="Times New Roman" w:cs="Times New Roman" w:eastAsia="Times New Roman" w:hAnsi="Times New Roman"/>
          <w:sz w:val="22"/>
          <w:szCs w:val="22"/>
          <w:color w:val="auto"/>
        </w:rPr>
        <w:t xml:space="preserve"> (“ASC 820”), which provides a framework for measuring fair value under accounting principles generally accepted in the United States of America. This accounting standard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08"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21"/>
          <w:szCs w:val="21"/>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instruments at fair value.</w:t>
      </w:r>
    </w:p>
    <w:p>
      <w:pPr>
        <w:spacing w:after="0" w:line="189" w:lineRule="exact"/>
        <w:rPr>
          <w:sz w:val="20"/>
          <w:szCs w:val="20"/>
          <w:color w:val="auto"/>
        </w:rPr>
      </w:pPr>
    </w:p>
    <w:p>
      <w:pPr>
        <w:ind w:right="100" w:firstLine="648"/>
        <w:spacing w:after="0" w:line="235" w:lineRule="auto"/>
        <w:rPr>
          <w:sz w:val="20"/>
          <w:szCs w:val="20"/>
          <w:color w:val="auto"/>
        </w:rPr>
      </w:pPr>
      <w:r>
        <w:rPr>
          <w:rFonts w:ascii="Times New Roman" w:cs="Times New Roman" w:eastAsia="Times New Roman" w:hAnsi="Times New Roman"/>
          <w:sz w:val="22"/>
          <w:szCs w:val="22"/>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w:t>
      </w:r>
    </w:p>
    <w:p>
      <w:pPr>
        <w:spacing w:after="0" w:line="205"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1"/>
          <w:szCs w:val="21"/>
          <w:color w:val="auto"/>
        </w:rPr>
        <w:t>To ensure the prudent application of estimates and management judgment in determining the fair value of derivative assets and liabilities, investments and property and equipment, various processes and controls have been adopted, which include:</w:t>
      </w:r>
    </w:p>
    <w:p>
      <w:pPr>
        <w:spacing w:after="0" w:line="1" w:lineRule="exact"/>
        <w:rPr>
          <w:sz w:val="20"/>
          <w:szCs w:val="20"/>
          <w:color w:val="auto"/>
        </w:rPr>
      </w:pPr>
    </w:p>
    <w:p>
      <w:pPr>
        <w:ind w:right="220" w:firstLine="8"/>
        <w:spacing w:after="0" w:line="249" w:lineRule="auto"/>
        <w:tabs>
          <w:tab w:leader="none" w:pos="258"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model validation that requires a review and approval for pricing, financial statement fair value determination and risk quantification; and (ii) periodic review and substantiation of profit and loss reporting for all derivative instruments. Financial assets and liabilities measured at fair value on a recurring basis at July 31, 2022 are summarized below (amounts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40" w:type="dxa"/>
            <w:vAlign w:val="bottom"/>
          </w:tcPr>
          <w:p>
            <w:pPr>
              <w:spacing w:after="0"/>
              <w:rPr>
                <w:sz w:val="21"/>
                <w:szCs w:val="21"/>
                <w:color w:val="auto"/>
              </w:rPr>
            </w:pPr>
          </w:p>
        </w:tc>
        <w:tc>
          <w:tcPr>
            <w:tcW w:w="1780" w:type="dxa"/>
            <w:vAlign w:val="bottom"/>
            <w:gridSpan w:val="5"/>
          </w:tcPr>
          <w:p>
            <w:pPr>
              <w:jc w:val="right"/>
              <w:ind w:right="280"/>
              <w:spacing w:after="0"/>
              <w:rPr>
                <w:sz w:val="20"/>
                <w:szCs w:val="20"/>
                <w:color w:val="auto"/>
              </w:rPr>
            </w:pPr>
            <w:r>
              <w:rPr>
                <w:rFonts w:ascii="Times New Roman" w:cs="Times New Roman" w:eastAsia="Times New Roman" w:hAnsi="Times New Roman"/>
                <w:sz w:val="22"/>
                <w:szCs w:val="22"/>
                <w:b w:val="1"/>
                <w:bCs w:val="1"/>
                <w:color w:val="auto"/>
              </w:rPr>
              <w:t>Level 1</w:t>
            </w:r>
          </w:p>
        </w:tc>
        <w:tc>
          <w:tcPr>
            <w:tcW w:w="28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Level 2</w:t>
            </w:r>
          </w:p>
        </w:tc>
        <w:tc>
          <w:tcPr>
            <w:tcW w:w="96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Level 3</w:t>
            </w:r>
          </w:p>
        </w:tc>
        <w:tc>
          <w:tcPr>
            <w:tcW w:w="106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Fair Value</w:t>
            </w:r>
          </w:p>
        </w:tc>
        <w:tc>
          <w:tcPr>
            <w:tcW w:w="1680" w:type="dxa"/>
            <w:vAlign w:val="bottom"/>
          </w:tcPr>
          <w:p>
            <w:pPr>
              <w:spacing w:after="0"/>
              <w:rPr>
                <w:sz w:val="21"/>
                <w:szCs w:val="21"/>
                <w:color w:val="auto"/>
              </w:rPr>
            </w:pPr>
          </w:p>
        </w:tc>
      </w:tr>
      <w:tr>
        <w:trPr>
          <w:trHeight w:val="264"/>
        </w:trPr>
        <w:tc>
          <w:tcPr>
            <w:tcW w:w="4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43"/>
        </w:trPr>
        <w:tc>
          <w:tcPr>
            <w:tcW w:w="4340" w:type="dxa"/>
            <w:vAlign w:val="bottom"/>
            <w:shd w:val="clear" w:color="auto" w:fill="E5FFFF"/>
          </w:tcPr>
          <w:p>
            <w:pPr>
              <w:ind w:left="100"/>
              <w:spacing w:after="0" w:line="243" w:lineRule="exact"/>
              <w:rPr>
                <w:sz w:val="20"/>
                <w:szCs w:val="20"/>
                <w:color w:val="auto"/>
              </w:rPr>
            </w:pPr>
            <w:r>
              <w:rPr>
                <w:rFonts w:ascii="Times New Roman" w:cs="Times New Roman" w:eastAsia="Times New Roman" w:hAnsi="Times New Roman"/>
                <w:sz w:val="22"/>
                <w:szCs w:val="22"/>
                <w:color w:val="auto"/>
              </w:rPr>
              <w:t>Investment in cooperative (1)</w:t>
            </w:r>
          </w:p>
        </w:tc>
        <w:tc>
          <w:tcPr>
            <w:tcW w:w="110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680" w:type="dxa"/>
            <w:vAlign w:val="bottom"/>
            <w:gridSpan w:val="2"/>
            <w:shd w:val="clear" w:color="auto" w:fill="E5FFFF"/>
          </w:tcPr>
          <w:p>
            <w:pPr>
              <w:jc w:val="right"/>
              <w:ind w:right="2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gridSpan w:val="2"/>
            <w:shd w:val="clear" w:color="auto" w:fill="E5FFFF"/>
          </w:tcPr>
          <w:p>
            <w:pPr>
              <w:ind w:left="2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5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480" w:type="dxa"/>
            <w:vAlign w:val="bottom"/>
            <w:shd w:val="clear" w:color="auto" w:fill="E5FFFF"/>
          </w:tcPr>
          <w:p>
            <w:pPr>
              <w:spacing w:after="0"/>
              <w:rPr>
                <w:sz w:val="21"/>
                <w:szCs w:val="21"/>
                <w:color w:val="auto"/>
              </w:rPr>
            </w:pPr>
          </w:p>
        </w:tc>
        <w:tc>
          <w:tcPr>
            <w:tcW w:w="28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3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354</w:t>
            </w:r>
          </w:p>
        </w:tc>
        <w:tc>
          <w:tcPr>
            <w:tcW w:w="300" w:type="dxa"/>
            <w:vAlign w:val="bottom"/>
            <w:shd w:val="clear" w:color="auto" w:fill="E5FFFF"/>
          </w:tcPr>
          <w:p>
            <w:pPr>
              <w:spacing w:after="0"/>
              <w:rPr>
                <w:sz w:val="21"/>
                <w:szCs w:val="21"/>
                <w:color w:val="auto"/>
              </w:rPr>
            </w:pPr>
          </w:p>
        </w:tc>
        <w:tc>
          <w:tcPr>
            <w:tcW w:w="4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600" w:type="dxa"/>
            <w:vAlign w:val="bottom"/>
            <w:gridSpan w:val="3"/>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354</w:t>
            </w:r>
          </w:p>
        </w:tc>
        <w:tc>
          <w:tcPr>
            <w:tcW w:w="1680" w:type="dxa"/>
            <w:vAlign w:val="bottom"/>
          </w:tcPr>
          <w:p>
            <w:pPr>
              <w:spacing w:after="0"/>
              <w:rPr>
                <w:sz w:val="21"/>
                <w:szCs w:val="21"/>
                <w:color w:val="auto"/>
              </w:rPr>
            </w:pPr>
          </w:p>
        </w:tc>
      </w:tr>
      <w:tr>
        <w:trPr>
          <w:trHeight w:val="256"/>
        </w:trPr>
        <w:tc>
          <w:tcPr>
            <w:tcW w:w="4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Commodity futures asset (2)</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3,501</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color w:val="auto"/>
                <w:w w:val="96"/>
              </w:rPr>
              <w:t>3,501</w:t>
            </w:r>
          </w:p>
        </w:tc>
        <w:tc>
          <w:tcPr>
            <w:tcW w:w="1680" w:type="dxa"/>
            <w:vAlign w:val="bottom"/>
          </w:tcPr>
          <w:p>
            <w:pPr>
              <w:spacing w:after="0"/>
              <w:rPr>
                <w:sz w:val="22"/>
                <w:szCs w:val="22"/>
                <w:color w:val="auto"/>
              </w:rPr>
            </w:pPr>
          </w:p>
        </w:tc>
      </w:tr>
      <w:tr>
        <w:trPr>
          <w:trHeight w:val="250"/>
        </w:trPr>
        <w:tc>
          <w:tcPr>
            <w:tcW w:w="4340" w:type="dxa"/>
            <w:vAlign w:val="bottom"/>
            <w:tcBorders>
              <w:top w:val="single" w:sz="8" w:color="E5FFFF"/>
              <w:bottom w:val="single" w:sz="8" w:color="E5FFFF"/>
            </w:tcBorders>
            <w:shd w:val="clear" w:color="auto" w:fill="E5FFFF"/>
          </w:tcPr>
          <w:p>
            <w:pPr>
              <w:ind w:left="100"/>
              <w:spacing w:after="0" w:line="250" w:lineRule="exact"/>
              <w:rPr>
                <w:sz w:val="20"/>
                <w:szCs w:val="20"/>
                <w:color w:val="auto"/>
              </w:rPr>
            </w:pPr>
            <w:r>
              <w:rPr>
                <w:rFonts w:ascii="Times New Roman" w:cs="Times New Roman" w:eastAsia="Times New Roman" w:hAnsi="Times New Roman"/>
                <w:sz w:val="22"/>
                <w:szCs w:val="22"/>
                <w:color w:val="auto"/>
              </w:rPr>
              <w:t>Total assets</w:t>
            </w:r>
          </w:p>
        </w:tc>
        <w:tc>
          <w:tcPr>
            <w:tcW w:w="840" w:type="dxa"/>
            <w:vAlign w:val="bottom"/>
            <w:tcBorders>
              <w:top w:val="single" w:sz="8" w:color="E5FFFF"/>
              <w:bottom w:val="single" w:sz="8" w:color="E5FFFF"/>
            </w:tcBorders>
            <w:shd w:val="clear" w:color="auto" w:fill="E5FFFF"/>
          </w:tcPr>
          <w:p>
            <w:pPr>
              <w:spacing w:after="0"/>
              <w:rPr>
                <w:sz w:val="21"/>
                <w:szCs w:val="21"/>
                <w:color w:val="auto"/>
              </w:rPr>
            </w:pP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4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5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3,501</w:t>
            </w:r>
          </w:p>
        </w:tc>
        <w:tc>
          <w:tcPr>
            <w:tcW w:w="480" w:type="dxa"/>
            <w:vAlign w:val="bottom"/>
            <w:tcBorders>
              <w:top w:val="single" w:sz="8" w:color="E5FFFF"/>
              <w:bottom w:val="single" w:sz="8" w:color="E5FFFF"/>
            </w:tcBorders>
            <w:shd w:val="clear" w:color="auto" w:fill="E5FFFF"/>
          </w:tcPr>
          <w:p>
            <w:pPr>
              <w:spacing w:after="0"/>
              <w:rPr>
                <w:sz w:val="21"/>
                <w:szCs w:val="21"/>
                <w:color w:val="auto"/>
              </w:rPr>
            </w:pP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3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354</w:t>
            </w:r>
          </w:p>
        </w:tc>
        <w:tc>
          <w:tcPr>
            <w:tcW w:w="300" w:type="dxa"/>
            <w:vAlign w:val="bottom"/>
            <w:tcBorders>
              <w:top w:val="single" w:sz="8" w:color="E5FFFF"/>
              <w:bottom w:val="single" w:sz="8" w:color="E5FFFF"/>
            </w:tcBorders>
            <w:shd w:val="clear" w:color="auto" w:fill="E5FFFF"/>
          </w:tcPr>
          <w:p>
            <w:pPr>
              <w:spacing w:after="0"/>
              <w:rPr>
                <w:sz w:val="21"/>
                <w:szCs w:val="21"/>
                <w:color w:val="auto"/>
              </w:rPr>
            </w:pPr>
          </w:p>
        </w:tc>
        <w:tc>
          <w:tcPr>
            <w:tcW w:w="360" w:type="dxa"/>
            <w:vAlign w:val="bottom"/>
            <w:tcBorders>
              <w:top w:val="single" w:sz="8" w:color="E5FFFF"/>
              <w:bottom w:val="single" w:sz="8" w:color="E5FFFF"/>
            </w:tcBorders>
            <w:shd w:val="clear" w:color="auto" w:fill="E5FFFF"/>
          </w:tcPr>
          <w:p>
            <w:pPr>
              <w:spacing w:after="0"/>
              <w:rPr>
                <w:sz w:val="21"/>
                <w:szCs w:val="21"/>
                <w:color w:val="auto"/>
              </w:rPr>
            </w:pPr>
          </w:p>
        </w:tc>
        <w:tc>
          <w:tcPr>
            <w:tcW w:w="1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auto"/>
                <w:w w:val="72"/>
              </w:rPr>
              <w:t>$</w:t>
            </w:r>
          </w:p>
        </w:tc>
        <w:tc>
          <w:tcPr>
            <w:tcW w:w="5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6"/>
              </w:rPr>
              <w:t>3,855</w:t>
            </w: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1680" w:type="dxa"/>
            <w:vAlign w:val="bottom"/>
          </w:tcPr>
          <w:p>
            <w:pPr>
              <w:spacing w:after="0"/>
              <w:rPr>
                <w:sz w:val="21"/>
                <w:szCs w:val="21"/>
                <w:color w:val="auto"/>
              </w:rPr>
            </w:pPr>
          </w:p>
        </w:tc>
      </w:tr>
      <w:tr>
        <w:trPr>
          <w:trHeight w:val="20"/>
        </w:trPr>
        <w:tc>
          <w:tcPr>
            <w:tcW w:w="4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4"/>
        </w:trPr>
        <w:tc>
          <w:tcPr>
            <w:tcW w:w="4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70"/>
        </w:trPr>
        <w:tc>
          <w:tcPr>
            <w:tcW w:w="4340" w:type="dxa"/>
            <w:vAlign w:val="bottom"/>
            <w:shd w:val="clear" w:color="auto" w:fill="E5FFFF"/>
          </w:tcPr>
          <w:p>
            <w:pPr>
              <w:ind w:left="100"/>
              <w:spacing w:after="0"/>
              <w:rPr>
                <w:sz w:val="20"/>
                <w:szCs w:val="20"/>
                <w:color w:val="auto"/>
              </w:rPr>
            </w:pPr>
            <w:r>
              <w:rPr>
                <w:rFonts w:ascii="Times New Roman" w:cs="Times New Roman" w:eastAsia="Times New Roman" w:hAnsi="Times New Roman"/>
                <w:sz w:val="22"/>
                <w:szCs w:val="22"/>
                <w:color w:val="auto"/>
              </w:rPr>
              <w:t>Forward purchase contracts liability (3)</w:t>
            </w:r>
          </w:p>
        </w:tc>
        <w:tc>
          <w:tcPr>
            <w:tcW w:w="110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8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gridSpan w:val="2"/>
            <w:shd w:val="clear" w:color="auto" w:fill="E5FFFF"/>
          </w:tcPr>
          <w:p>
            <w:pPr>
              <w:ind w:left="280"/>
              <w:spacing w:after="0"/>
              <w:rPr>
                <w:sz w:val="20"/>
                <w:szCs w:val="20"/>
                <w:color w:val="auto"/>
              </w:rPr>
            </w:pPr>
            <w:r>
              <w:rPr>
                <w:rFonts w:ascii="Times New Roman" w:cs="Times New Roman" w:eastAsia="Times New Roman" w:hAnsi="Times New Roman"/>
                <w:sz w:val="22"/>
                <w:szCs w:val="22"/>
                <w:color w:val="auto"/>
              </w:rPr>
              <w:t>$</w:t>
            </w:r>
          </w:p>
        </w:tc>
        <w:tc>
          <w:tcPr>
            <w:tcW w:w="5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3,461</w:t>
            </w:r>
          </w:p>
        </w:tc>
        <w:tc>
          <w:tcPr>
            <w:tcW w:w="480" w:type="dxa"/>
            <w:vAlign w:val="bottom"/>
            <w:shd w:val="clear" w:color="auto" w:fill="E5FFFF"/>
          </w:tcPr>
          <w:p>
            <w:pPr>
              <w:spacing w:after="0"/>
              <w:rPr>
                <w:sz w:val="23"/>
                <w:szCs w:val="23"/>
                <w:color w:val="auto"/>
              </w:rPr>
            </w:pPr>
          </w:p>
        </w:tc>
        <w:tc>
          <w:tcPr>
            <w:tcW w:w="2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shd w:val="clear" w:color="auto" w:fill="E5FFFF"/>
          </w:tcPr>
          <w:p>
            <w:pPr>
              <w:spacing w:after="0"/>
              <w:rPr>
                <w:sz w:val="23"/>
                <w:szCs w:val="23"/>
                <w:color w:val="auto"/>
              </w:rPr>
            </w:pPr>
          </w:p>
        </w:tc>
        <w:tc>
          <w:tcPr>
            <w:tcW w:w="4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22"/>
                <w:szCs w:val="22"/>
                <w:u w:val="single" w:color="auto"/>
                <w:color w:val="auto"/>
              </w:rPr>
              <w:t>$</w:t>
            </w:r>
          </w:p>
        </w:tc>
        <w:tc>
          <w:tcPr>
            <w:tcW w:w="60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w w:val="96"/>
              </w:rPr>
              <w:t>3,461</w:t>
            </w:r>
          </w:p>
        </w:tc>
        <w:tc>
          <w:tcPr>
            <w:tcW w:w="1680" w:type="dxa"/>
            <w:vAlign w:val="bottom"/>
          </w:tcPr>
          <w:p>
            <w:pPr>
              <w:spacing w:after="0"/>
              <w:rPr>
                <w:sz w:val="23"/>
                <w:szCs w:val="23"/>
                <w:color w:val="auto"/>
              </w:rPr>
            </w:pPr>
          </w:p>
        </w:tc>
      </w:tr>
      <w:tr>
        <w:trPr>
          <w:trHeight w:val="20"/>
        </w:trPr>
        <w:tc>
          <w:tcPr>
            <w:tcW w:w="4340" w:type="dxa"/>
            <w:vAlign w:val="bottom"/>
            <w:tcBorders>
              <w:top w:val="single" w:sz="8" w:color="E5FFFF"/>
            </w:tcBorders>
          </w:tcPr>
          <w:p>
            <w:pPr>
              <w:spacing w:after="0" w:line="20" w:lineRule="exact"/>
              <w:rPr>
                <w:sz w:val="1"/>
                <w:szCs w:val="1"/>
                <w:color w:val="auto"/>
              </w:rPr>
            </w:pPr>
          </w:p>
        </w:tc>
        <w:tc>
          <w:tcPr>
            <w:tcW w:w="84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25"/>
        </w:trPr>
        <w:tc>
          <w:tcPr>
            <w:tcW w:w="4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8"/>
        </w:trPr>
        <w:tc>
          <w:tcPr>
            <w:tcW w:w="434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48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16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16" w:name="page17"/>
    <w:bookmarkEnd w:id="16"/>
    <w:p>
      <w:pPr>
        <w:ind w:right="520" w:firstLine="648"/>
        <w:spacing w:after="0" w:line="258" w:lineRule="auto"/>
        <w:rPr>
          <w:sz w:val="20"/>
          <w:szCs w:val="20"/>
          <w:color w:val="auto"/>
        </w:rPr>
      </w:pPr>
      <w:r>
        <w:rPr>
          <w:rFonts w:ascii="Times New Roman" w:cs="Times New Roman" w:eastAsia="Times New Roman" w:hAnsi="Times New Roman"/>
          <w:sz w:val="22"/>
          <w:szCs w:val="22"/>
          <w:color w:val="auto"/>
        </w:rPr>
        <w:t>Financial assets and liabilities measured at fair value on a recurring basis at January 31, 2022 are summarized below (amounts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60" w:type="dxa"/>
            <w:vAlign w:val="bottom"/>
          </w:tcPr>
          <w:p>
            <w:pPr>
              <w:spacing w:after="0"/>
              <w:rPr>
                <w:sz w:val="22"/>
                <w:szCs w:val="22"/>
                <w:color w:val="auto"/>
              </w:rPr>
            </w:pPr>
          </w:p>
        </w:tc>
        <w:tc>
          <w:tcPr>
            <w:tcW w:w="1140" w:type="dxa"/>
            <w:vAlign w:val="bottom"/>
            <w:gridSpan w:val="4"/>
          </w:tcPr>
          <w:p>
            <w:pPr>
              <w:jc w:val="right"/>
              <w:ind w:right="460"/>
              <w:spacing w:after="0"/>
              <w:rPr>
                <w:sz w:val="20"/>
                <w:szCs w:val="20"/>
                <w:color w:val="auto"/>
              </w:rPr>
            </w:pPr>
            <w:r>
              <w:rPr>
                <w:rFonts w:ascii="Times New Roman" w:cs="Times New Roman" w:eastAsia="Times New Roman" w:hAnsi="Times New Roman"/>
                <w:sz w:val="22"/>
                <w:szCs w:val="22"/>
                <w:b w:val="1"/>
                <w:bCs w:val="1"/>
                <w:color w:val="auto"/>
                <w:w w:val="97"/>
              </w:rPr>
              <w:t>Level 1</w:t>
            </w:r>
          </w:p>
        </w:tc>
        <w:tc>
          <w:tcPr>
            <w:tcW w:w="114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Level 2</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w w:val="94"/>
              </w:rPr>
              <w:t>Level 3</w:t>
            </w:r>
          </w:p>
        </w:tc>
        <w:tc>
          <w:tcPr>
            <w:tcW w:w="300" w:type="dxa"/>
            <w:vAlign w:val="bottom"/>
          </w:tcPr>
          <w:p>
            <w:pPr>
              <w:spacing w:after="0"/>
              <w:rPr>
                <w:sz w:val="22"/>
                <w:szCs w:val="22"/>
                <w:color w:val="auto"/>
              </w:rPr>
            </w:pPr>
          </w:p>
        </w:tc>
        <w:tc>
          <w:tcPr>
            <w:tcW w:w="106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Fair Value</w:t>
            </w: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E5FFFF"/>
          </w:tcPr>
          <w:p>
            <w:pPr>
              <w:ind w:left="100"/>
              <w:spacing w:after="0" w:line="243" w:lineRule="exact"/>
              <w:rPr>
                <w:sz w:val="20"/>
                <w:szCs w:val="20"/>
                <w:color w:val="auto"/>
              </w:rPr>
            </w:pPr>
            <w:r>
              <w:rPr>
                <w:rFonts w:ascii="Times New Roman" w:cs="Times New Roman" w:eastAsia="Times New Roman" w:hAnsi="Times New Roman"/>
                <w:sz w:val="22"/>
                <w:szCs w:val="22"/>
                <w:color w:val="auto"/>
              </w:rPr>
              <w:t>Investment in cooperative (1)</w:t>
            </w:r>
          </w:p>
        </w:tc>
        <w:tc>
          <w:tcPr>
            <w:tcW w:w="400" w:type="dxa"/>
            <w:vAlign w:val="bottom"/>
            <w:gridSpan w:val="2"/>
            <w:shd w:val="clear" w:color="auto" w:fill="E5FFFF"/>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460" w:type="dxa"/>
            <w:vAlign w:val="bottom"/>
            <w:shd w:val="clear" w:color="auto" w:fill="E5FFFF"/>
          </w:tcPr>
          <w:p>
            <w:pPr>
              <w:spacing w:after="0"/>
              <w:rPr>
                <w:sz w:val="21"/>
                <w:szCs w:val="21"/>
                <w:color w:val="auto"/>
              </w:rPr>
            </w:pPr>
          </w:p>
        </w:tc>
        <w:tc>
          <w:tcPr>
            <w:tcW w:w="28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3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480" w:type="dxa"/>
            <w:vAlign w:val="bottom"/>
            <w:shd w:val="clear" w:color="auto" w:fill="E5FFFF"/>
          </w:tcPr>
          <w:p>
            <w:pPr>
              <w:spacing w:after="0"/>
              <w:rPr>
                <w:sz w:val="21"/>
                <w:szCs w:val="21"/>
                <w:color w:val="auto"/>
              </w:rPr>
            </w:pPr>
          </w:p>
        </w:tc>
        <w:tc>
          <w:tcPr>
            <w:tcW w:w="28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3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354</w:t>
            </w:r>
          </w:p>
        </w:tc>
        <w:tc>
          <w:tcPr>
            <w:tcW w:w="760" w:type="dxa"/>
            <w:vAlign w:val="bottom"/>
            <w:gridSpan w:val="4"/>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520" w:type="dxa"/>
            <w:vAlign w:val="bottom"/>
            <w:gridSpan w:val="2"/>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354</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Forward purchase contracts (2)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993</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993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E5FFFF"/>
              <w:bottom w:val="single" w:sz="8" w:color="E5FFFF"/>
            </w:tcBorders>
            <w:shd w:val="clear" w:color="auto" w:fill="E5FFFF"/>
          </w:tcPr>
          <w:p>
            <w:pPr>
              <w:ind w:left="100"/>
              <w:spacing w:after="0" w:line="250" w:lineRule="exact"/>
              <w:rPr>
                <w:sz w:val="20"/>
                <w:szCs w:val="20"/>
                <w:color w:val="auto"/>
              </w:rPr>
            </w:pPr>
            <w:r>
              <w:rPr>
                <w:rFonts w:ascii="Times New Roman" w:cs="Times New Roman" w:eastAsia="Times New Roman" w:hAnsi="Times New Roman"/>
                <w:sz w:val="22"/>
                <w:szCs w:val="22"/>
                <w:color w:val="auto"/>
              </w:rPr>
              <w:t>Total assets</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300" w:type="dxa"/>
            <w:vAlign w:val="bottom"/>
            <w:tcBorders>
              <w:top w:val="single" w:sz="8" w:color="auto"/>
              <w:bottom w:val="single" w:sz="8" w:color="auto"/>
            </w:tcBorders>
            <w:shd w:val="clear" w:color="auto" w:fill="E5FFFF"/>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2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3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993</w:t>
            </w:r>
          </w:p>
        </w:tc>
        <w:tc>
          <w:tcPr>
            <w:tcW w:w="480" w:type="dxa"/>
            <w:vAlign w:val="bottom"/>
            <w:tcBorders>
              <w:top w:val="single" w:sz="8" w:color="E5FFFF"/>
              <w:bottom w:val="single" w:sz="8" w:color="E5FFFF"/>
            </w:tcBorders>
            <w:shd w:val="clear" w:color="auto" w:fill="E5FFFF"/>
          </w:tcPr>
          <w:p>
            <w:pPr>
              <w:spacing w:after="0"/>
              <w:rPr>
                <w:sz w:val="21"/>
                <w:szCs w:val="21"/>
                <w:color w:val="auto"/>
              </w:rPr>
            </w:pP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3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354</w:t>
            </w:r>
          </w:p>
        </w:tc>
        <w:tc>
          <w:tcPr>
            <w:tcW w:w="300" w:type="dxa"/>
            <w:vAlign w:val="bottom"/>
            <w:tcBorders>
              <w:top w:val="single" w:sz="8" w:color="E5FFFF"/>
              <w:bottom w:val="single" w:sz="8" w:color="E5FFFF"/>
            </w:tcBorders>
            <w:shd w:val="clear" w:color="auto" w:fill="E5FFFF"/>
          </w:tcPr>
          <w:p>
            <w:pPr>
              <w:spacing w:after="0"/>
              <w:rPr>
                <w:sz w:val="21"/>
                <w:szCs w:val="21"/>
                <w:color w:val="auto"/>
              </w:rPr>
            </w:pPr>
          </w:p>
        </w:tc>
        <w:tc>
          <w:tcPr>
            <w:tcW w:w="380" w:type="dxa"/>
            <w:vAlign w:val="bottom"/>
            <w:tcBorders>
              <w:top w:val="single" w:sz="8" w:color="E5FFFF"/>
              <w:bottom w:val="single" w:sz="8" w:color="E5FFFF"/>
            </w:tcBorders>
            <w:gridSpan w:val="2"/>
            <w:shd w:val="clear" w:color="auto" w:fill="E5FFFF"/>
          </w:tcPr>
          <w:p>
            <w:pPr>
              <w:spacing w:after="0"/>
              <w:rPr>
                <w:sz w:val="21"/>
                <w:szCs w:val="21"/>
                <w:color w:val="auto"/>
              </w:rPr>
            </w:pPr>
          </w:p>
        </w:tc>
        <w:tc>
          <w:tcPr>
            <w:tcW w:w="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6"/>
              </w:rPr>
              <w:t>1,347</w:t>
            </w: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Commodity futures liability (3)</w:t>
            </w: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260" w:type="dxa"/>
            <w:vAlign w:val="bottom"/>
            <w:vMerge w:val="continue"/>
          </w:tcPr>
          <w:p>
            <w:pPr>
              <w:spacing w:after="0"/>
              <w:rPr>
                <w:sz w:val="24"/>
                <w:szCs w:val="24"/>
                <w:color w:val="auto"/>
              </w:rPr>
            </w:pPr>
          </w:p>
        </w:tc>
        <w:tc>
          <w:tcPr>
            <w:tcW w:w="40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933</w:t>
            </w:r>
          </w:p>
        </w:tc>
        <w:tc>
          <w:tcPr>
            <w:tcW w:w="4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933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560" w:hanging="309"/>
        <w:spacing w:after="0"/>
        <w:tabs>
          <w:tab w:leader="none" w:pos="5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investment in cooperative is included in “Other assets” on the accompanying Consolidated Condensed Balance Sheets.</w:t>
      </w:r>
    </w:p>
    <w:p>
      <w:pPr>
        <w:spacing w:after="0" w:line="25" w:lineRule="exact"/>
        <w:rPr>
          <w:rFonts w:ascii="Times New Roman" w:cs="Times New Roman" w:eastAsia="Times New Roman" w:hAnsi="Times New Roman"/>
          <w:sz w:val="21"/>
          <w:szCs w:val="21"/>
          <w:color w:val="auto"/>
        </w:rPr>
      </w:pPr>
    </w:p>
    <w:p>
      <w:pPr>
        <w:ind w:left="260" w:right="20" w:hanging="9"/>
        <w:spacing w:after="0" w:line="230" w:lineRule="auto"/>
        <w:tabs>
          <w:tab w:leader="none" w:pos="57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forward purchase contracts and commodity futures assets are included in “Prepaid expenses and other current assets” on the accompanying Consolidated Condensed Balance Sheets.</w:t>
      </w:r>
    </w:p>
    <w:p>
      <w:pPr>
        <w:spacing w:after="0" w:line="1" w:lineRule="exact"/>
        <w:rPr>
          <w:rFonts w:ascii="Times New Roman" w:cs="Times New Roman" w:eastAsia="Times New Roman" w:hAnsi="Times New Roman"/>
          <w:sz w:val="22"/>
          <w:szCs w:val="22"/>
          <w:color w:val="auto"/>
        </w:rPr>
      </w:pPr>
    </w:p>
    <w:p>
      <w:pPr>
        <w:ind w:left="260" w:right="20" w:hanging="9"/>
        <w:spacing w:after="0" w:line="237" w:lineRule="auto"/>
        <w:tabs>
          <w:tab w:leader="none" w:pos="59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commodity futures and forward purchase contracts liabilities are included in “Accrued expenses and other current liabilities” on the accompanying Consolidated Condensed Balance Sheets.</w:t>
      </w:r>
    </w:p>
    <w:p>
      <w:pPr>
        <w:spacing w:after="0" w:line="205"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The Company determined the fair value of the investment in cooperative by using a discounted cash flow analysis on the expected cash flows. Inputs used in the analysis include the face value of the allocated equity amount, the projected term for repayment based upon a historical trend and a risk adjusted discount rate based on the expected compensation participants would demand because of the uncertainty of the future cash flows. The inherent risk and uncertainty associated with unobservable inputs could have a significant effect on the actual fair value of the investment.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There were no assets measured at fair value on a non-recurring basis at July 31, 2022 or January 31,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6. </w:t>
      </w:r>
      <w:r>
        <w:rPr>
          <w:rFonts w:ascii="Times New Roman" w:cs="Times New Roman" w:eastAsia="Times New Roman" w:hAnsi="Times New Roman"/>
          <w:sz w:val="22"/>
          <w:szCs w:val="22"/>
          <w:b w:val="1"/>
          <w:bCs w:val="1"/>
          <w:i w:val="1"/>
          <w:iCs w:val="1"/>
          <w:color w:val="auto"/>
        </w:rPr>
        <w:t>Property and Equipment</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components of property and equipment are as follows for the periods presented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gridSpan w:val="5"/>
          </w:tcPr>
          <w:p>
            <w:pPr>
              <w:jc w:val="right"/>
              <w:ind w:right="620"/>
              <w:spacing w:after="0"/>
              <w:rPr>
                <w:sz w:val="20"/>
                <w:szCs w:val="20"/>
                <w:color w:val="auto"/>
              </w:rPr>
            </w:pPr>
            <w:r>
              <w:rPr>
                <w:rFonts w:ascii="Times New Roman" w:cs="Times New Roman" w:eastAsia="Times New Roman" w:hAnsi="Times New Roman"/>
                <w:sz w:val="22"/>
                <w:szCs w:val="22"/>
                <w:b w:val="1"/>
                <w:bCs w:val="1"/>
                <w:color w:val="auto"/>
                <w:w w:val="98"/>
              </w:rPr>
              <w:t>July 31,</w:t>
            </w:r>
          </w:p>
        </w:tc>
        <w:tc>
          <w:tcPr>
            <w:tcW w:w="1400" w:type="dxa"/>
            <w:vAlign w:val="bottom"/>
            <w:gridSpan w:val="5"/>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January 31,</w:t>
            </w:r>
          </w:p>
        </w:tc>
        <w:tc>
          <w:tcPr>
            <w:tcW w:w="3940" w:type="dxa"/>
            <w:vAlign w:val="bottom"/>
          </w:tcPr>
          <w:p>
            <w:pPr>
              <w:spacing w:after="0"/>
              <w:rPr>
                <w:sz w:val="21"/>
                <w:szCs w:val="21"/>
                <w:color w:val="auto"/>
              </w:rPr>
            </w:pPr>
          </w:p>
        </w:tc>
      </w:tr>
      <w:tr>
        <w:trPr>
          <w:trHeight w:val="234"/>
        </w:trPr>
        <w:tc>
          <w:tcPr>
            <w:tcW w:w="3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400"/>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9"/>
              </w:rPr>
              <w:t>2022</w:t>
            </w:r>
          </w:p>
        </w:tc>
        <w:tc>
          <w:tcPr>
            <w:tcW w:w="48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264"/>
        </w:trPr>
        <w:tc>
          <w:tcPr>
            <w:tcW w:w="3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43"/>
        </w:trPr>
        <w:tc>
          <w:tcPr>
            <w:tcW w:w="3840" w:type="dxa"/>
            <w:vAlign w:val="bottom"/>
            <w:shd w:val="clear" w:color="auto" w:fill="E5FFFF"/>
          </w:tcPr>
          <w:p>
            <w:pPr>
              <w:ind w:left="120"/>
              <w:spacing w:after="0" w:line="243" w:lineRule="exact"/>
              <w:rPr>
                <w:sz w:val="20"/>
                <w:szCs w:val="20"/>
                <w:color w:val="auto"/>
              </w:rPr>
            </w:pPr>
            <w:r>
              <w:rPr>
                <w:rFonts w:ascii="Times New Roman" w:cs="Times New Roman" w:eastAsia="Times New Roman" w:hAnsi="Times New Roman"/>
                <w:sz w:val="22"/>
                <w:szCs w:val="22"/>
                <w:color w:val="auto"/>
              </w:rPr>
              <w:t>Land and improvements</w:t>
            </w:r>
          </w:p>
        </w:tc>
        <w:tc>
          <w:tcPr>
            <w:tcW w:w="8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40" w:type="dxa"/>
            <w:vAlign w:val="bottom"/>
            <w:gridSpan w:val="4"/>
            <w:shd w:val="clear" w:color="auto" w:fill="E5FFFF"/>
          </w:tcPr>
          <w:p>
            <w:pPr>
              <w:jc w:val="right"/>
              <w:ind w:right="360"/>
              <w:spacing w:after="0" w:line="243" w:lineRule="exact"/>
              <w:rPr>
                <w:sz w:val="20"/>
                <w:szCs w:val="20"/>
                <w:color w:val="auto"/>
              </w:rPr>
            </w:pPr>
            <w:r>
              <w:rPr>
                <w:rFonts w:ascii="Times New Roman" w:cs="Times New Roman" w:eastAsia="Times New Roman" w:hAnsi="Times New Roman"/>
                <w:sz w:val="22"/>
                <w:szCs w:val="22"/>
                <w:color w:val="auto"/>
              </w:rPr>
              <w:t>27,461</w:t>
            </w:r>
          </w:p>
        </w:tc>
        <w:tc>
          <w:tcPr>
            <w:tcW w:w="4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tcBorders>
              <w:right w:val="single" w:sz="8" w:color="E5FFFF"/>
            </w:tcBorders>
            <w:gridSpan w:val="3"/>
            <w:shd w:val="clear" w:color="auto" w:fill="E5FF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27,329</w:t>
            </w:r>
          </w:p>
        </w:tc>
        <w:tc>
          <w:tcPr>
            <w:tcW w:w="3940" w:type="dxa"/>
            <w:vAlign w:val="bottom"/>
          </w:tcPr>
          <w:p>
            <w:pPr>
              <w:spacing w:after="0"/>
              <w:rPr>
                <w:sz w:val="21"/>
                <w:szCs w:val="21"/>
                <w:color w:val="auto"/>
              </w:rPr>
            </w:pPr>
          </w:p>
        </w:tc>
      </w:tr>
      <w:tr>
        <w:trPr>
          <w:trHeight w:val="243"/>
        </w:trPr>
        <w:tc>
          <w:tcPr>
            <w:tcW w:w="38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Buildings and improvements</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4"/>
          </w:tcPr>
          <w:p>
            <w:pPr>
              <w:jc w:val="right"/>
              <w:ind w:right="360"/>
              <w:spacing w:after="0" w:line="243" w:lineRule="exact"/>
              <w:rPr>
                <w:sz w:val="20"/>
                <w:szCs w:val="20"/>
                <w:color w:val="auto"/>
              </w:rPr>
            </w:pPr>
            <w:r>
              <w:rPr>
                <w:rFonts w:ascii="Times New Roman" w:cs="Times New Roman" w:eastAsia="Times New Roman" w:hAnsi="Times New Roman"/>
                <w:sz w:val="22"/>
                <w:szCs w:val="22"/>
                <w:color w:val="auto"/>
              </w:rPr>
              <w:t>23,617</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3"/>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23,617</w:t>
            </w:r>
          </w:p>
        </w:tc>
        <w:tc>
          <w:tcPr>
            <w:tcW w:w="3940" w:type="dxa"/>
            <w:vAlign w:val="bottom"/>
          </w:tcPr>
          <w:p>
            <w:pPr>
              <w:spacing w:after="0"/>
              <w:rPr>
                <w:sz w:val="21"/>
                <w:szCs w:val="21"/>
                <w:color w:val="auto"/>
              </w:rPr>
            </w:pPr>
          </w:p>
        </w:tc>
      </w:tr>
      <w:tr>
        <w:trPr>
          <w:trHeight w:val="243"/>
        </w:trPr>
        <w:tc>
          <w:tcPr>
            <w:tcW w:w="3840" w:type="dxa"/>
            <w:vAlign w:val="bottom"/>
            <w:shd w:val="clear" w:color="auto" w:fill="E5FFFF"/>
          </w:tcPr>
          <w:p>
            <w:pPr>
              <w:ind w:left="120"/>
              <w:spacing w:after="0" w:line="243" w:lineRule="exact"/>
              <w:rPr>
                <w:sz w:val="20"/>
                <w:szCs w:val="20"/>
                <w:color w:val="auto"/>
              </w:rPr>
            </w:pPr>
            <w:r>
              <w:rPr>
                <w:rFonts w:ascii="Times New Roman" w:cs="Times New Roman" w:eastAsia="Times New Roman" w:hAnsi="Times New Roman"/>
                <w:sz w:val="22"/>
                <w:szCs w:val="22"/>
                <w:color w:val="auto"/>
              </w:rPr>
              <w:t>Machinery, equipment and fixtures</w:t>
            </w:r>
          </w:p>
        </w:tc>
        <w:tc>
          <w:tcPr>
            <w:tcW w:w="7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40" w:type="dxa"/>
            <w:vAlign w:val="bottom"/>
            <w:gridSpan w:val="4"/>
            <w:shd w:val="clear" w:color="auto" w:fill="E5FFFF"/>
          </w:tcPr>
          <w:p>
            <w:pPr>
              <w:jc w:val="right"/>
              <w:ind w:right="360"/>
              <w:spacing w:after="0" w:line="243" w:lineRule="exact"/>
              <w:rPr>
                <w:sz w:val="20"/>
                <w:szCs w:val="20"/>
                <w:color w:val="auto"/>
              </w:rPr>
            </w:pPr>
            <w:r>
              <w:rPr>
                <w:rFonts w:ascii="Times New Roman" w:cs="Times New Roman" w:eastAsia="Times New Roman" w:hAnsi="Times New Roman"/>
                <w:sz w:val="22"/>
                <w:szCs w:val="22"/>
                <w:color w:val="auto"/>
              </w:rPr>
              <w:t>298,427</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tcBorders>
              <w:right w:val="single" w:sz="8" w:color="E5FFFF"/>
            </w:tcBorders>
            <w:gridSpan w:val="3"/>
            <w:shd w:val="clear" w:color="auto" w:fill="E5FF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296,243</w:t>
            </w:r>
          </w:p>
        </w:tc>
        <w:tc>
          <w:tcPr>
            <w:tcW w:w="3940" w:type="dxa"/>
            <w:vAlign w:val="bottom"/>
          </w:tcPr>
          <w:p>
            <w:pPr>
              <w:spacing w:after="0"/>
              <w:rPr>
                <w:sz w:val="21"/>
                <w:szCs w:val="21"/>
                <w:color w:val="auto"/>
              </w:rPr>
            </w:pPr>
          </w:p>
        </w:tc>
      </w:tr>
      <w:tr>
        <w:trPr>
          <w:trHeight w:val="257"/>
        </w:trPr>
        <w:tc>
          <w:tcPr>
            <w:tcW w:w="3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Construction in progress</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4"/>
          </w:tcPr>
          <w:p>
            <w:pPr>
              <w:jc w:val="right"/>
              <w:ind w:right="360"/>
              <w:spacing w:after="0"/>
              <w:rPr>
                <w:sz w:val="20"/>
                <w:szCs w:val="20"/>
                <w:color w:val="auto"/>
              </w:rPr>
            </w:pPr>
            <w:r>
              <w:rPr>
                <w:rFonts w:ascii="Times New Roman" w:cs="Times New Roman" w:eastAsia="Times New Roman" w:hAnsi="Times New Roman"/>
                <w:sz w:val="22"/>
                <w:szCs w:val="22"/>
                <w:color w:val="auto"/>
              </w:rPr>
              <w:t>2,106</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22"/>
                <w:szCs w:val="22"/>
                <w:color w:val="auto"/>
              </w:rPr>
              <w:t>1,515</w:t>
            </w:r>
          </w:p>
        </w:tc>
        <w:tc>
          <w:tcPr>
            <w:tcW w:w="3940" w:type="dxa"/>
            <w:vAlign w:val="bottom"/>
          </w:tcPr>
          <w:p>
            <w:pPr>
              <w:spacing w:after="0"/>
              <w:rPr>
                <w:sz w:val="22"/>
                <w:szCs w:val="22"/>
                <w:color w:val="auto"/>
              </w:rPr>
            </w:pPr>
          </w:p>
        </w:tc>
      </w:tr>
      <w:tr>
        <w:trPr>
          <w:trHeight w:val="236"/>
        </w:trPr>
        <w:tc>
          <w:tcPr>
            <w:tcW w:w="3840" w:type="dxa"/>
            <w:vAlign w:val="bottom"/>
            <w:tcBorders>
              <w:top w:val="single" w:sz="8" w:color="E5FFFF"/>
            </w:tcBorders>
            <w:shd w:val="clear" w:color="auto" w:fill="E5FFFF"/>
          </w:tcPr>
          <w:p>
            <w:pPr>
              <w:spacing w:after="0"/>
              <w:rPr>
                <w:sz w:val="20"/>
                <w:szCs w:val="20"/>
                <w:color w:val="auto"/>
              </w:rPr>
            </w:pPr>
          </w:p>
        </w:tc>
        <w:tc>
          <w:tcPr>
            <w:tcW w:w="700" w:type="dxa"/>
            <w:vAlign w:val="bottom"/>
            <w:tcBorders>
              <w:top w:val="single" w:sz="8" w:color="E5FFFF"/>
            </w:tcBorders>
            <w:shd w:val="clear" w:color="auto" w:fill="E5FFFF"/>
          </w:tcPr>
          <w:p>
            <w:pPr>
              <w:spacing w:after="0"/>
              <w:rPr>
                <w:sz w:val="20"/>
                <w:szCs w:val="20"/>
                <w:color w:val="auto"/>
              </w:rPr>
            </w:pPr>
          </w:p>
        </w:tc>
        <w:tc>
          <w:tcPr>
            <w:tcW w:w="120" w:type="dxa"/>
            <w:vAlign w:val="bottom"/>
            <w:tcBorders>
              <w:top w:val="single" w:sz="8" w:color="auto"/>
            </w:tcBorders>
            <w:shd w:val="clear" w:color="auto" w:fill="E5FFFF"/>
          </w:tcPr>
          <w:p>
            <w:pPr>
              <w:spacing w:after="0"/>
              <w:rPr>
                <w:sz w:val="20"/>
                <w:szCs w:val="20"/>
                <w:color w:val="auto"/>
              </w:rPr>
            </w:pPr>
          </w:p>
        </w:tc>
        <w:tc>
          <w:tcPr>
            <w:tcW w:w="880" w:type="dxa"/>
            <w:vAlign w:val="bottom"/>
            <w:tcBorders>
              <w:top w:val="single" w:sz="8" w:color="auto"/>
            </w:tcBorders>
            <w:gridSpan w:val="3"/>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351,611</w:t>
            </w:r>
          </w:p>
        </w:tc>
        <w:tc>
          <w:tcPr>
            <w:tcW w:w="360" w:type="dxa"/>
            <w:vAlign w:val="bottom"/>
            <w:tcBorders>
              <w:top w:val="single" w:sz="8" w:color="E5FFFF"/>
            </w:tcBorders>
            <w:shd w:val="clear" w:color="auto" w:fill="E5FFFF"/>
          </w:tcPr>
          <w:p>
            <w:pPr>
              <w:spacing w:after="0"/>
              <w:rPr>
                <w:sz w:val="20"/>
                <w:szCs w:val="20"/>
                <w:color w:val="auto"/>
              </w:rPr>
            </w:pPr>
          </w:p>
        </w:tc>
        <w:tc>
          <w:tcPr>
            <w:tcW w:w="320" w:type="dxa"/>
            <w:vAlign w:val="bottom"/>
            <w:tcBorders>
              <w:top w:val="single" w:sz="8" w:color="E5FFFF"/>
            </w:tcBorders>
            <w:shd w:val="clear" w:color="auto" w:fill="E5FFFF"/>
          </w:tcPr>
          <w:p>
            <w:pPr>
              <w:spacing w:after="0"/>
              <w:rPr>
                <w:sz w:val="20"/>
                <w:szCs w:val="20"/>
                <w:color w:val="auto"/>
              </w:rPr>
            </w:pPr>
          </w:p>
        </w:tc>
        <w:tc>
          <w:tcPr>
            <w:tcW w:w="140" w:type="dxa"/>
            <w:vAlign w:val="bottom"/>
            <w:tcBorders>
              <w:top w:val="single" w:sz="8" w:color="auto"/>
            </w:tcBorders>
            <w:shd w:val="clear" w:color="auto" w:fill="E5FFFF"/>
          </w:tcPr>
          <w:p>
            <w:pPr>
              <w:spacing w:after="0"/>
              <w:rPr>
                <w:sz w:val="20"/>
                <w:szCs w:val="20"/>
                <w:color w:val="auto"/>
              </w:rPr>
            </w:pPr>
          </w:p>
        </w:tc>
        <w:tc>
          <w:tcPr>
            <w:tcW w:w="940" w:type="dxa"/>
            <w:vAlign w:val="bottom"/>
            <w:tcBorders>
              <w:top w:val="single" w:sz="8" w:color="auto"/>
              <w:right w:val="single" w:sz="8" w:color="E5FFFF"/>
            </w:tcBorders>
            <w:gridSpan w:val="3"/>
            <w:shd w:val="clear" w:color="auto" w:fill="E5FFFF"/>
          </w:tcPr>
          <w:p>
            <w:pPr>
              <w:jc w:val="right"/>
              <w:ind w:right="60"/>
              <w:spacing w:after="0" w:line="237" w:lineRule="exact"/>
              <w:rPr>
                <w:sz w:val="20"/>
                <w:szCs w:val="20"/>
                <w:color w:val="auto"/>
              </w:rPr>
            </w:pPr>
            <w:r>
              <w:rPr>
                <w:rFonts w:ascii="Times New Roman" w:cs="Times New Roman" w:eastAsia="Times New Roman" w:hAnsi="Times New Roman"/>
                <w:sz w:val="22"/>
                <w:szCs w:val="22"/>
                <w:color w:val="auto"/>
              </w:rPr>
              <w:t>348,704</w:t>
            </w:r>
          </w:p>
        </w:tc>
        <w:tc>
          <w:tcPr>
            <w:tcW w:w="3940" w:type="dxa"/>
            <w:vAlign w:val="bottom"/>
          </w:tcPr>
          <w:p>
            <w:pPr>
              <w:spacing w:after="0"/>
              <w:rPr>
                <w:sz w:val="20"/>
                <w:szCs w:val="20"/>
                <w:color w:val="auto"/>
              </w:rPr>
            </w:pPr>
          </w:p>
        </w:tc>
      </w:tr>
      <w:tr>
        <w:trPr>
          <w:trHeight w:val="257"/>
        </w:trPr>
        <w:tc>
          <w:tcPr>
            <w:tcW w:w="3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Less: Accumulated depreciation</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4"/>
          </w:tcPr>
          <w:p>
            <w:pPr>
              <w:jc w:val="right"/>
              <w:ind w:right="360"/>
              <w:spacing w:after="0"/>
              <w:rPr>
                <w:sz w:val="20"/>
                <w:szCs w:val="20"/>
                <w:color w:val="auto"/>
              </w:rPr>
            </w:pPr>
            <w:r>
              <w:rPr>
                <w:rFonts w:ascii="Times New Roman" w:cs="Times New Roman" w:eastAsia="Times New Roman" w:hAnsi="Times New Roman"/>
                <w:sz w:val="22"/>
                <w:szCs w:val="22"/>
                <w:color w:val="auto"/>
                <w:w w:val="99"/>
              </w:rPr>
              <w:t>(220,031)</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22"/>
                <w:szCs w:val="22"/>
                <w:color w:val="auto"/>
                <w:w w:val="99"/>
              </w:rPr>
              <w:t>(211,150)</w:t>
            </w:r>
          </w:p>
        </w:tc>
        <w:tc>
          <w:tcPr>
            <w:tcW w:w="3940" w:type="dxa"/>
            <w:vAlign w:val="bottom"/>
          </w:tcPr>
          <w:p>
            <w:pPr>
              <w:spacing w:after="0"/>
              <w:rPr>
                <w:sz w:val="22"/>
                <w:szCs w:val="22"/>
                <w:color w:val="auto"/>
              </w:rPr>
            </w:pPr>
          </w:p>
        </w:tc>
      </w:tr>
      <w:tr>
        <w:trPr>
          <w:trHeight w:val="250"/>
        </w:trPr>
        <w:tc>
          <w:tcPr>
            <w:tcW w:w="3840" w:type="dxa"/>
            <w:vAlign w:val="bottom"/>
            <w:tcBorders>
              <w:top w:val="single" w:sz="8" w:color="E5FFFF"/>
              <w:bottom w:val="single" w:sz="8" w:color="E5FFFF"/>
            </w:tcBorders>
            <w:shd w:val="clear" w:color="auto" w:fill="E5FFFF"/>
          </w:tcPr>
          <w:p>
            <w:pPr>
              <w:ind w:left="120"/>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70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8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131,580</w:t>
            </w:r>
          </w:p>
        </w:tc>
        <w:tc>
          <w:tcPr>
            <w:tcW w:w="360" w:type="dxa"/>
            <w:vAlign w:val="bottom"/>
            <w:tcBorders>
              <w:top w:val="single" w:sz="8" w:color="E5FFFF"/>
              <w:bottom w:val="single" w:sz="8" w:color="E5FFFF"/>
            </w:tcBorders>
            <w:shd w:val="clear" w:color="auto" w:fill="E5FFFF"/>
          </w:tcPr>
          <w:p>
            <w:pPr>
              <w:spacing w:after="0"/>
              <w:rPr>
                <w:sz w:val="21"/>
                <w:szCs w:val="21"/>
                <w:color w:val="auto"/>
              </w:rPr>
            </w:pPr>
          </w:p>
        </w:tc>
        <w:tc>
          <w:tcPr>
            <w:tcW w:w="32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40" w:type="dxa"/>
            <w:vAlign w:val="bottom"/>
            <w:tcBorders>
              <w:top w:val="single" w:sz="8" w:color="auto"/>
              <w:bottom w:val="single" w:sz="8" w:color="auto"/>
              <w:right w:val="single" w:sz="8" w:color="E5FFFF"/>
            </w:tcBorders>
            <w:gridSpan w:val="3"/>
            <w:shd w:val="clear" w:color="auto" w:fill="E5FFFF"/>
          </w:tcPr>
          <w:p>
            <w:pPr>
              <w:jc w:val="right"/>
              <w:ind w:right="60"/>
              <w:spacing w:after="0" w:line="250" w:lineRule="exact"/>
              <w:rPr>
                <w:sz w:val="20"/>
                <w:szCs w:val="20"/>
                <w:color w:val="auto"/>
              </w:rPr>
            </w:pPr>
            <w:r>
              <w:rPr>
                <w:rFonts w:ascii="Times New Roman" w:cs="Times New Roman" w:eastAsia="Times New Roman" w:hAnsi="Times New Roman"/>
                <w:sz w:val="22"/>
                <w:szCs w:val="22"/>
                <w:color w:val="auto"/>
              </w:rPr>
              <w:t>137,554</w:t>
            </w:r>
          </w:p>
        </w:tc>
        <w:tc>
          <w:tcPr>
            <w:tcW w:w="3940" w:type="dxa"/>
            <w:vAlign w:val="bottom"/>
          </w:tcPr>
          <w:p>
            <w:pPr>
              <w:spacing w:after="0"/>
              <w:rPr>
                <w:sz w:val="21"/>
                <w:szCs w:val="21"/>
                <w:color w:val="auto"/>
              </w:rPr>
            </w:pPr>
          </w:p>
        </w:tc>
      </w:tr>
      <w:tr>
        <w:trPr>
          <w:trHeight w:val="20"/>
        </w:trPr>
        <w:tc>
          <w:tcPr>
            <w:tcW w:w="3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424"/>
        </w:trPr>
        <w:tc>
          <w:tcPr>
            <w:tcW w:w="3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4"/>
          </w:tcPr>
          <w:p>
            <w:pPr>
              <w:jc w:val="right"/>
              <w:ind w:right="160"/>
              <w:spacing w:after="0"/>
              <w:rPr>
                <w:sz w:val="20"/>
                <w:szCs w:val="20"/>
                <w:color w:val="auto"/>
              </w:rPr>
            </w:pPr>
            <w:r>
              <w:rPr>
                <w:rFonts w:ascii="Times New Roman" w:cs="Times New Roman" w:eastAsia="Times New Roman" w:hAnsi="Times New Roman"/>
                <w:sz w:val="22"/>
                <w:szCs w:val="22"/>
                <w:color w:val="auto"/>
              </w:rPr>
              <w:t>17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38"/>
        </w:trPr>
        <w:tc>
          <w:tcPr>
            <w:tcW w:w="384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480" w:type="dxa"/>
            <w:vAlign w:val="bottom"/>
            <w:tcBorders>
              <w:bottom w:val="single" w:sz="8" w:color="C0C0C0"/>
            </w:tcBorders>
          </w:tcPr>
          <w:p>
            <w:pPr>
              <w:spacing w:after="0"/>
              <w:rPr>
                <w:sz w:val="20"/>
                <w:szCs w:val="20"/>
                <w:color w:val="auto"/>
              </w:rPr>
            </w:pPr>
          </w:p>
        </w:tc>
        <w:tc>
          <w:tcPr>
            <w:tcW w:w="39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color w:val="auto"/>
        </w:rPr>
        <w:t xml:space="preserve">Note 7. </w:t>
      </w:r>
      <w:r>
        <w:rPr>
          <w:rFonts w:ascii="Times New Roman" w:cs="Times New Roman" w:eastAsia="Times New Roman" w:hAnsi="Times New Roman"/>
          <w:sz w:val="22"/>
          <w:szCs w:val="22"/>
          <w:b w:val="1"/>
          <w:bCs w:val="1"/>
          <w:i w:val="1"/>
          <w:iCs w:val="1"/>
          <w:color w:val="auto"/>
        </w:rPr>
        <w:t>Accrued Expenses and Other Current Liabilities</w:t>
      </w:r>
    </w:p>
    <w:p>
      <w:pPr>
        <w:spacing w:after="0" w:line="239"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22"/>
          <w:szCs w:val="22"/>
          <w:color w:val="auto"/>
        </w:rPr>
        <w:t>The components of accrued expenses and other current liabilities are as follows for the periods presented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20" w:type="dxa"/>
            <w:vAlign w:val="bottom"/>
          </w:tcPr>
          <w:p>
            <w:pPr>
              <w:spacing w:after="0"/>
              <w:rPr>
                <w:sz w:val="22"/>
                <w:szCs w:val="22"/>
                <w:color w:val="auto"/>
              </w:rPr>
            </w:pPr>
          </w:p>
        </w:tc>
        <w:tc>
          <w:tcPr>
            <w:tcW w:w="1620" w:type="dxa"/>
            <w:vAlign w:val="bottom"/>
            <w:gridSpan w:val="5"/>
          </w:tcPr>
          <w:p>
            <w:pPr>
              <w:jc w:val="center"/>
              <w:ind w:left="512"/>
              <w:spacing w:after="0"/>
              <w:rPr>
                <w:sz w:val="20"/>
                <w:szCs w:val="20"/>
                <w:color w:val="auto"/>
              </w:rPr>
            </w:pPr>
            <w:r>
              <w:rPr>
                <w:rFonts w:ascii="Times New Roman" w:cs="Times New Roman" w:eastAsia="Times New Roman" w:hAnsi="Times New Roman"/>
                <w:sz w:val="22"/>
                <w:szCs w:val="22"/>
                <w:b w:val="1"/>
                <w:bCs w:val="1"/>
                <w:color w:val="auto"/>
                <w:w w:val="98"/>
              </w:rPr>
              <w:t>July 31,</w:t>
            </w:r>
          </w:p>
        </w:tc>
        <w:tc>
          <w:tcPr>
            <w:tcW w:w="1660" w:type="dxa"/>
            <w:vAlign w:val="bottom"/>
            <w:gridSpan w:val="6"/>
          </w:tcPr>
          <w:p>
            <w:pPr>
              <w:ind w:left="480"/>
              <w:spacing w:after="0"/>
              <w:rPr>
                <w:sz w:val="20"/>
                <w:szCs w:val="20"/>
                <w:color w:val="auto"/>
              </w:rPr>
            </w:pPr>
            <w:r>
              <w:rPr>
                <w:rFonts w:ascii="Times New Roman" w:cs="Times New Roman" w:eastAsia="Times New Roman" w:hAnsi="Times New Roman"/>
                <w:sz w:val="22"/>
                <w:szCs w:val="22"/>
                <w:b w:val="1"/>
                <w:bCs w:val="1"/>
                <w:color w:val="auto"/>
              </w:rPr>
              <w:t>January 31,</w:t>
            </w:r>
          </w:p>
        </w:tc>
      </w:tr>
      <w:tr>
        <w:trPr>
          <w:trHeight w:val="234"/>
        </w:trPr>
        <w:tc>
          <w:tcPr>
            <w:tcW w:w="4020" w:type="dxa"/>
            <w:vAlign w:val="bottom"/>
          </w:tcPr>
          <w:p>
            <w:pPr>
              <w:spacing w:after="0"/>
              <w:rPr>
                <w:sz w:val="20"/>
                <w:szCs w:val="20"/>
                <w:color w:val="auto"/>
              </w:rPr>
            </w:pPr>
          </w:p>
        </w:tc>
        <w:tc>
          <w:tcPr>
            <w:tcW w:w="1320" w:type="dxa"/>
            <w:vAlign w:val="bottom"/>
            <w:gridSpan w:val="4"/>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300" w:type="dxa"/>
            <w:vAlign w:val="bottom"/>
          </w:tcPr>
          <w:p>
            <w:pPr>
              <w:spacing w:after="0"/>
              <w:rPr>
                <w:sz w:val="20"/>
                <w:szCs w:val="20"/>
                <w:color w:val="auto"/>
              </w:rPr>
            </w:pPr>
          </w:p>
        </w:tc>
        <w:tc>
          <w:tcPr>
            <w:tcW w:w="1600" w:type="dxa"/>
            <w:vAlign w:val="bottom"/>
            <w:gridSpan w:val="5"/>
          </w:tcPr>
          <w:p>
            <w:pPr>
              <w:jc w:val="right"/>
              <w:ind w:right="360"/>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60" w:type="dxa"/>
            <w:vAlign w:val="bottom"/>
          </w:tcPr>
          <w:p>
            <w:pPr>
              <w:spacing w:after="0"/>
              <w:rPr>
                <w:sz w:val="20"/>
                <w:szCs w:val="20"/>
                <w:color w:val="auto"/>
              </w:rPr>
            </w:pPr>
          </w:p>
        </w:tc>
      </w:tr>
      <w:tr>
        <w:trPr>
          <w:trHeight w:val="263"/>
        </w:trPr>
        <w:tc>
          <w:tcPr>
            <w:tcW w:w="40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4020" w:type="dxa"/>
            <w:vAlign w:val="bottom"/>
            <w:shd w:val="clear" w:color="auto" w:fill="E5FFFF"/>
          </w:tcPr>
          <w:p>
            <w:pPr>
              <w:ind w:left="100"/>
              <w:spacing w:after="0" w:line="243" w:lineRule="exact"/>
              <w:rPr>
                <w:sz w:val="20"/>
                <w:szCs w:val="20"/>
                <w:color w:val="auto"/>
              </w:rPr>
            </w:pPr>
            <w:r>
              <w:rPr>
                <w:rFonts w:ascii="Times New Roman" w:cs="Times New Roman" w:eastAsia="Times New Roman" w:hAnsi="Times New Roman"/>
                <w:sz w:val="22"/>
                <w:szCs w:val="22"/>
                <w:color w:val="auto"/>
              </w:rPr>
              <w:t>Accrued payroll and related items</w:t>
            </w:r>
          </w:p>
        </w:tc>
        <w:tc>
          <w:tcPr>
            <w:tcW w:w="1000" w:type="dxa"/>
            <w:vAlign w:val="bottom"/>
            <w:gridSpan w:val="3"/>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2,759</w:t>
            </w:r>
          </w:p>
        </w:tc>
        <w:tc>
          <w:tcPr>
            <w:tcW w:w="96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5,407</w:t>
            </w:r>
          </w:p>
        </w:tc>
        <w:tc>
          <w:tcPr>
            <w:tcW w:w="60" w:type="dxa"/>
            <w:vAlign w:val="bottom"/>
            <w:shd w:val="clear" w:color="auto" w:fill="E5FFFF"/>
          </w:tcPr>
          <w:p>
            <w:pPr>
              <w:spacing w:after="0"/>
              <w:rPr>
                <w:sz w:val="21"/>
                <w:szCs w:val="21"/>
                <w:color w:val="auto"/>
              </w:rPr>
            </w:pPr>
          </w:p>
        </w:tc>
      </w:tr>
      <w:tr>
        <w:trPr>
          <w:trHeight w:val="243"/>
        </w:trPr>
        <w:tc>
          <w:tcPr>
            <w:tcW w:w="40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Accrued utility charges</w:t>
            </w: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5,041</w:t>
            </w: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4,297</w:t>
            </w:r>
          </w:p>
        </w:tc>
        <w:tc>
          <w:tcPr>
            <w:tcW w:w="60" w:type="dxa"/>
            <w:vAlign w:val="bottom"/>
          </w:tcPr>
          <w:p>
            <w:pPr>
              <w:spacing w:after="0"/>
              <w:rPr>
                <w:sz w:val="21"/>
                <w:szCs w:val="21"/>
                <w:color w:val="auto"/>
              </w:rPr>
            </w:pPr>
          </w:p>
        </w:tc>
      </w:tr>
      <w:tr>
        <w:trPr>
          <w:trHeight w:val="243"/>
        </w:trPr>
        <w:tc>
          <w:tcPr>
            <w:tcW w:w="4020" w:type="dxa"/>
            <w:vAlign w:val="bottom"/>
            <w:shd w:val="clear" w:color="auto" w:fill="E5FFFF"/>
          </w:tcPr>
          <w:p>
            <w:pPr>
              <w:ind w:left="100"/>
              <w:spacing w:after="0" w:line="243" w:lineRule="exact"/>
              <w:rPr>
                <w:sz w:val="20"/>
                <w:szCs w:val="20"/>
                <w:color w:val="auto"/>
              </w:rPr>
            </w:pPr>
            <w:r>
              <w:rPr>
                <w:rFonts w:ascii="Times New Roman" w:cs="Times New Roman" w:eastAsia="Times New Roman" w:hAnsi="Times New Roman"/>
                <w:sz w:val="22"/>
                <w:szCs w:val="22"/>
                <w:color w:val="auto"/>
              </w:rPr>
              <w:t>Accrued transportation related items</w:t>
            </w:r>
          </w:p>
        </w:tc>
        <w:tc>
          <w:tcPr>
            <w:tcW w:w="8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952</w:t>
            </w:r>
          </w:p>
        </w:tc>
        <w:tc>
          <w:tcPr>
            <w:tcW w:w="8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593</w:t>
            </w:r>
          </w:p>
        </w:tc>
        <w:tc>
          <w:tcPr>
            <w:tcW w:w="60" w:type="dxa"/>
            <w:vAlign w:val="bottom"/>
            <w:shd w:val="clear" w:color="auto" w:fill="E5FFFF"/>
          </w:tcPr>
          <w:p>
            <w:pPr>
              <w:spacing w:after="0"/>
              <w:rPr>
                <w:sz w:val="21"/>
                <w:szCs w:val="21"/>
                <w:color w:val="auto"/>
              </w:rPr>
            </w:pPr>
          </w:p>
        </w:tc>
      </w:tr>
      <w:tr>
        <w:trPr>
          <w:trHeight w:val="243"/>
        </w:trPr>
        <w:tc>
          <w:tcPr>
            <w:tcW w:w="40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Accrued real estate taxes</w:t>
            </w: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2,482</w:t>
            </w: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1,857</w:t>
            </w:r>
          </w:p>
        </w:tc>
        <w:tc>
          <w:tcPr>
            <w:tcW w:w="60" w:type="dxa"/>
            <w:vAlign w:val="bottom"/>
          </w:tcPr>
          <w:p>
            <w:pPr>
              <w:spacing w:after="0"/>
              <w:rPr>
                <w:sz w:val="21"/>
                <w:szCs w:val="21"/>
                <w:color w:val="auto"/>
              </w:rPr>
            </w:pPr>
          </w:p>
        </w:tc>
      </w:tr>
      <w:tr>
        <w:trPr>
          <w:trHeight w:val="243"/>
        </w:trPr>
        <w:tc>
          <w:tcPr>
            <w:tcW w:w="4020" w:type="dxa"/>
            <w:vAlign w:val="bottom"/>
            <w:shd w:val="clear" w:color="auto" w:fill="E5FFFF"/>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Commodity futures</w:t>
            </w:r>
          </w:p>
        </w:tc>
        <w:tc>
          <w:tcPr>
            <w:tcW w:w="8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933</w:t>
            </w:r>
          </w:p>
        </w:tc>
        <w:tc>
          <w:tcPr>
            <w:tcW w:w="60" w:type="dxa"/>
            <w:vAlign w:val="bottom"/>
            <w:shd w:val="clear" w:color="auto" w:fill="E5FFFF"/>
          </w:tcPr>
          <w:p>
            <w:pPr>
              <w:spacing w:after="0"/>
              <w:rPr>
                <w:sz w:val="21"/>
                <w:szCs w:val="21"/>
                <w:color w:val="auto"/>
              </w:rPr>
            </w:pPr>
          </w:p>
        </w:tc>
      </w:tr>
      <w:tr>
        <w:trPr>
          <w:trHeight w:val="243"/>
        </w:trPr>
        <w:tc>
          <w:tcPr>
            <w:tcW w:w="40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Forward purchase contracts</w:t>
            </w: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3,461</w:t>
            </w: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60" w:type="dxa"/>
            <w:vAlign w:val="bottom"/>
          </w:tcPr>
          <w:p>
            <w:pPr>
              <w:spacing w:after="0"/>
              <w:rPr>
                <w:sz w:val="21"/>
                <w:szCs w:val="21"/>
                <w:color w:val="auto"/>
              </w:rPr>
            </w:pPr>
          </w:p>
        </w:tc>
      </w:tr>
      <w:tr>
        <w:trPr>
          <w:trHeight w:val="243"/>
        </w:trPr>
        <w:tc>
          <w:tcPr>
            <w:tcW w:w="4020" w:type="dxa"/>
            <w:vAlign w:val="bottom"/>
            <w:shd w:val="clear" w:color="auto" w:fill="E5FFFF"/>
          </w:tcPr>
          <w:p>
            <w:pPr>
              <w:ind w:left="100"/>
              <w:spacing w:after="0" w:line="243" w:lineRule="exact"/>
              <w:rPr>
                <w:sz w:val="20"/>
                <w:szCs w:val="20"/>
                <w:color w:val="auto"/>
              </w:rPr>
            </w:pPr>
            <w:r>
              <w:rPr>
                <w:rFonts w:ascii="Times New Roman" w:cs="Times New Roman" w:eastAsia="Times New Roman" w:hAnsi="Times New Roman"/>
                <w:sz w:val="22"/>
                <w:szCs w:val="22"/>
                <w:color w:val="auto"/>
              </w:rPr>
              <w:t>Accrued income taxes</w:t>
            </w:r>
          </w:p>
        </w:tc>
        <w:tc>
          <w:tcPr>
            <w:tcW w:w="8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69</w:t>
            </w:r>
          </w:p>
        </w:tc>
        <w:tc>
          <w:tcPr>
            <w:tcW w:w="8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95</w:t>
            </w:r>
          </w:p>
        </w:tc>
        <w:tc>
          <w:tcPr>
            <w:tcW w:w="60" w:type="dxa"/>
            <w:vAlign w:val="bottom"/>
            <w:shd w:val="clear" w:color="auto" w:fill="E5FFFF"/>
          </w:tcPr>
          <w:p>
            <w:pPr>
              <w:spacing w:after="0"/>
              <w:rPr>
                <w:sz w:val="21"/>
                <w:szCs w:val="21"/>
                <w:color w:val="auto"/>
              </w:rPr>
            </w:pPr>
          </w:p>
        </w:tc>
      </w:tr>
      <w:tr>
        <w:trPr>
          <w:trHeight w:val="257"/>
        </w:trPr>
        <w:tc>
          <w:tcPr>
            <w:tcW w:w="4020" w:type="dxa"/>
            <w:vAlign w:val="bottom"/>
            <w:tcBorders>
              <w:bottom w:val="single" w:sz="8" w:color="E5FFFF"/>
            </w:tcBorders>
          </w:tcPr>
          <w:p>
            <w:pPr>
              <w:ind w:left="100"/>
              <w:spacing w:after="0"/>
              <w:rPr>
                <w:sz w:val="20"/>
                <w:szCs w:val="20"/>
                <w:color w:val="auto"/>
              </w:rPr>
            </w:pPr>
            <w:r>
              <w:rPr>
                <w:rFonts w:ascii="Times New Roman" w:cs="Times New Roman" w:eastAsia="Times New Roman" w:hAnsi="Times New Roman"/>
                <w:sz w:val="22"/>
                <w:szCs w:val="22"/>
                <w:color w:val="auto"/>
              </w:rPr>
              <w:t>Other</w:t>
            </w:r>
          </w:p>
        </w:tc>
        <w:tc>
          <w:tcPr>
            <w:tcW w:w="860" w:type="dxa"/>
            <w:vAlign w:val="bottom"/>
            <w:tcBorders>
              <w:bottom w:val="single" w:sz="8" w:color="E5FF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1,619</w:t>
            </w:r>
          </w:p>
        </w:tc>
        <w:tc>
          <w:tcPr>
            <w:tcW w:w="800" w:type="dxa"/>
            <w:vAlign w:val="bottom"/>
            <w:tcBorders>
              <w:bottom w:val="single" w:sz="8" w:color="E5FFFF"/>
            </w:tcBorders>
          </w:tcPr>
          <w:p>
            <w:pPr>
              <w:spacing w:after="0"/>
              <w:rPr>
                <w:sz w:val="22"/>
                <w:szCs w:val="22"/>
                <w:color w:val="auto"/>
              </w:rPr>
            </w:pPr>
          </w:p>
        </w:tc>
        <w:tc>
          <w:tcPr>
            <w:tcW w:w="40" w:type="dxa"/>
            <w:vAlign w:val="bottom"/>
            <w:tcBorders>
              <w:bottom w:val="single" w:sz="8" w:color="E5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435</w:t>
            </w:r>
          </w:p>
        </w:tc>
        <w:tc>
          <w:tcPr>
            <w:tcW w:w="60" w:type="dxa"/>
            <w:vAlign w:val="bottom"/>
            <w:tcBorders>
              <w:bottom w:val="single" w:sz="8" w:color="E5FFFF"/>
            </w:tcBorders>
          </w:tcPr>
          <w:p>
            <w:pPr>
              <w:spacing w:after="0"/>
              <w:rPr>
                <w:sz w:val="22"/>
                <w:szCs w:val="22"/>
                <w:color w:val="auto"/>
              </w:rPr>
            </w:pPr>
          </w:p>
        </w:tc>
      </w:tr>
      <w:tr>
        <w:trPr>
          <w:trHeight w:val="250"/>
        </w:trPr>
        <w:tc>
          <w:tcPr>
            <w:tcW w:w="4020" w:type="dxa"/>
            <w:vAlign w:val="bottom"/>
            <w:tcBorders>
              <w:bottom w:val="single" w:sz="8" w:color="E5FFFF"/>
            </w:tcBorders>
            <w:shd w:val="clear" w:color="auto" w:fill="E5FFFF"/>
          </w:tcPr>
          <w:p>
            <w:pPr>
              <w:ind w:left="100"/>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860" w:type="dxa"/>
            <w:vAlign w:val="bottom"/>
            <w:tcBorders>
              <w:bottom w:val="single" w:sz="8" w:color="E5FFFF"/>
            </w:tcBorders>
            <w:shd w:val="clear" w:color="auto" w:fill="E5FFFF"/>
          </w:tcPr>
          <w:p>
            <w:pPr>
              <w:spacing w:after="0"/>
              <w:rPr>
                <w:sz w:val="21"/>
                <w:szCs w:val="21"/>
                <w:color w:val="auto"/>
              </w:rPr>
            </w:pPr>
          </w:p>
        </w:tc>
        <w:tc>
          <w:tcPr>
            <w:tcW w:w="140" w:type="dxa"/>
            <w:vAlign w:val="bottom"/>
            <w:tcBorders>
              <w:bottom w:val="single" w:sz="8" w:color="auto"/>
            </w:tcBorders>
            <w:gridSpan w:val="2"/>
            <w:shd w:val="clear" w:color="auto" w:fill="E5FFFF"/>
          </w:tcPr>
          <w:p>
            <w:pPr>
              <w:jc w:val="right"/>
              <w:ind w:right="40"/>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620" w:type="dxa"/>
            <w:vAlign w:val="bottom"/>
            <w:tcBorders>
              <w:bottom w:val="single" w:sz="8" w:color="auto"/>
            </w:tcBorders>
            <w:gridSpan w:val="2"/>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9"/>
              </w:rPr>
              <w:t>16,383</w:t>
            </w:r>
          </w:p>
        </w:tc>
        <w:tc>
          <w:tcPr>
            <w:tcW w:w="800" w:type="dxa"/>
            <w:vAlign w:val="bottom"/>
            <w:tcBorders>
              <w:bottom w:val="single" w:sz="8" w:color="E5FFFF"/>
            </w:tcBorders>
            <w:shd w:val="clear" w:color="auto" w:fill="E5FFFF"/>
          </w:tcPr>
          <w:p>
            <w:pPr>
              <w:spacing w:after="0"/>
              <w:rPr>
                <w:sz w:val="21"/>
                <w:szCs w:val="21"/>
                <w:color w:val="auto"/>
              </w:rPr>
            </w:pPr>
          </w:p>
        </w:tc>
        <w:tc>
          <w:tcPr>
            <w:tcW w:w="40" w:type="dxa"/>
            <w:vAlign w:val="bottom"/>
            <w:tcBorders>
              <w:bottom w:val="single" w:sz="8" w:color="E5FFFF"/>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640" w:type="dxa"/>
            <w:vAlign w:val="bottom"/>
            <w:tcBorders>
              <w:bottom w:val="single" w:sz="8" w:color="auto"/>
            </w:tcBorders>
            <w:gridSpan w:val="2"/>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13,617</w:t>
            </w:r>
          </w:p>
        </w:tc>
        <w:tc>
          <w:tcPr>
            <w:tcW w:w="60" w:type="dxa"/>
            <w:vAlign w:val="bottom"/>
            <w:tcBorders>
              <w:bottom w:val="single" w:sz="8" w:color="E5FFFF"/>
            </w:tcBorders>
            <w:shd w:val="clear" w:color="auto" w:fill="E5FFFF"/>
          </w:tcPr>
          <w:p>
            <w:pPr>
              <w:spacing w:after="0"/>
              <w:rPr>
                <w:sz w:val="21"/>
                <w:szCs w:val="21"/>
                <w:color w:val="auto"/>
              </w:rPr>
            </w:pPr>
          </w:p>
        </w:tc>
      </w:tr>
      <w:tr>
        <w:trPr>
          <w:trHeight w:val="20"/>
        </w:trPr>
        <w:tc>
          <w:tcPr>
            <w:tcW w:w="4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8. </w:t>
      </w:r>
      <w:r>
        <w:rPr>
          <w:rFonts w:ascii="Times New Roman" w:cs="Times New Roman" w:eastAsia="Times New Roman" w:hAnsi="Times New Roman"/>
          <w:sz w:val="22"/>
          <w:szCs w:val="22"/>
          <w:b w:val="1"/>
          <w:bCs w:val="1"/>
          <w:i w:val="1"/>
          <w:iCs w:val="1"/>
          <w:color w:val="auto"/>
        </w:rPr>
        <w:t>Derivative Financial Instruments</w:t>
      </w:r>
    </w:p>
    <w:p>
      <w:pPr>
        <w:spacing w:after="0" w:line="23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The Company is exposed to various market risks, including changes in commodity prices (raw materials and finished goods). To manage risks associated with the volatility of these natural business exposures, the Company enters into commodity agreements and forward purchase (corn and natural gas) and sale (ethanol, distillers grains and non-food grade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 The changes in fair value of these derivative financial instruments are recognized in current period earnings as the Company does not use hedge accounting.</w:t>
      </w:r>
    </w:p>
    <w:p>
      <w:pPr>
        <w:spacing w:after="0" w:line="210"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The following table provides information about the fair values of the Company’s derivative financial instruments (that are not accounted for under the “normal purchases and normal sales” scope exemption of ASC 815) and the line items on the Consolidated Condensed Balance Sheets in which the fair values are reflected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gridSpan w:val="5"/>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Asset Derivatives</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40" w:type="dxa"/>
            <w:vAlign w:val="bottom"/>
            <w:gridSpan w:val="6"/>
          </w:tcPr>
          <w:p>
            <w:pPr>
              <w:jc w:val="center"/>
              <w:ind w:right="40"/>
              <w:spacing w:after="0"/>
              <w:rPr>
                <w:sz w:val="20"/>
                <w:szCs w:val="20"/>
                <w:color w:val="auto"/>
              </w:rPr>
            </w:pPr>
            <w:r>
              <w:rPr>
                <w:rFonts w:ascii="Times New Roman" w:cs="Times New Roman" w:eastAsia="Times New Roman" w:hAnsi="Times New Roman"/>
                <w:sz w:val="22"/>
                <w:szCs w:val="22"/>
                <w:b w:val="1"/>
                <w:bCs w:val="1"/>
                <w:color w:val="auto"/>
                <w:w w:val="98"/>
              </w:rPr>
              <w:t>Liability Derivatives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gridSpan w:val="4"/>
          </w:tcPr>
          <w:p>
            <w:pPr>
              <w:jc w:val="center"/>
              <w:ind w:right="4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Fair Value</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gridSpan w:val="5"/>
          </w:tcPr>
          <w:p>
            <w:pPr>
              <w:jc w:val="center"/>
              <w:ind w:right="4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Fair Value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192"/>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460" w:type="dxa"/>
            <w:vAlign w:val="bottom"/>
          </w:tcPr>
          <w:p>
            <w:pPr>
              <w:spacing w:after="0"/>
              <w:rPr>
                <w:sz w:val="21"/>
                <w:szCs w:val="21"/>
                <w:color w:val="auto"/>
              </w:rPr>
            </w:pPr>
          </w:p>
        </w:tc>
        <w:tc>
          <w:tcPr>
            <w:tcW w:w="1680" w:type="dxa"/>
            <w:vAlign w:val="bottom"/>
            <w:gridSpan w:val="4"/>
          </w:tcPr>
          <w:p>
            <w:pPr>
              <w:jc w:val="center"/>
              <w:ind w:right="4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January 31,</w:t>
            </w:r>
          </w:p>
        </w:tc>
        <w:tc>
          <w:tcPr>
            <w:tcW w:w="180" w:type="dxa"/>
            <w:vAlign w:val="bottom"/>
          </w:tcPr>
          <w:p>
            <w:pPr>
              <w:spacing w:after="0"/>
              <w:rPr>
                <w:sz w:val="21"/>
                <w:szCs w:val="21"/>
                <w:color w:val="auto"/>
              </w:rPr>
            </w:pPr>
          </w:p>
        </w:tc>
        <w:tc>
          <w:tcPr>
            <w:tcW w:w="1060" w:type="dxa"/>
            <w:vAlign w:val="bottom"/>
            <w:gridSpan w:val="3"/>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July 31,</w:t>
            </w:r>
          </w:p>
        </w:tc>
        <w:tc>
          <w:tcPr>
            <w:tcW w:w="420" w:type="dxa"/>
            <w:vAlign w:val="bottom"/>
          </w:tcPr>
          <w:p>
            <w:pPr>
              <w:spacing w:after="0"/>
              <w:rPr>
                <w:sz w:val="21"/>
                <w:szCs w:val="21"/>
                <w:color w:val="auto"/>
              </w:rPr>
            </w:pPr>
          </w:p>
        </w:tc>
        <w:tc>
          <w:tcPr>
            <w:tcW w:w="1340" w:type="dxa"/>
            <w:vAlign w:val="bottom"/>
            <w:gridSpan w:val="5"/>
          </w:tcPr>
          <w:p>
            <w:pPr>
              <w:jc w:val="center"/>
              <w:ind w:right="1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January 31,</w:t>
            </w:r>
          </w:p>
        </w:tc>
      </w:tr>
      <w:tr>
        <w:trPr>
          <w:trHeight w:val="234"/>
        </w:trPr>
        <w:tc>
          <w:tcPr>
            <w:tcW w:w="4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312"/>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1300" w:type="dxa"/>
            <w:vAlign w:val="bottom"/>
            <w:gridSpan w:val="3"/>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400" w:type="dxa"/>
            <w:vAlign w:val="bottom"/>
          </w:tcPr>
          <w:p>
            <w:pPr>
              <w:spacing w:after="0"/>
              <w:rPr>
                <w:sz w:val="20"/>
                <w:szCs w:val="20"/>
                <w:color w:val="auto"/>
              </w:rPr>
            </w:pPr>
          </w:p>
        </w:tc>
        <w:tc>
          <w:tcPr>
            <w:tcW w:w="1300" w:type="dxa"/>
            <w:vAlign w:val="bottom"/>
            <w:gridSpan w:val="4"/>
          </w:tcPr>
          <w:p>
            <w:pPr>
              <w:jc w:val="right"/>
              <w:ind w:right="40"/>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4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840" w:type="dxa"/>
            <w:vAlign w:val="bottom"/>
            <w:shd w:val="clear" w:color="auto" w:fill="E5FFFF"/>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Commodity futures (1)</w:t>
            </w: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3,501</w:t>
            </w:r>
          </w:p>
        </w:tc>
        <w:tc>
          <w:tcPr>
            <w:tcW w:w="860" w:type="dxa"/>
            <w:vAlign w:val="bottom"/>
            <w:gridSpan w:val="2"/>
            <w:shd w:val="clear" w:color="auto" w:fill="E5FFFF"/>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44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gridSpan w:val="2"/>
            <w:shd w:val="clear" w:color="auto" w:fill="E5FFFF"/>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4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6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933</w:t>
            </w:r>
          </w:p>
        </w:tc>
      </w:tr>
      <w:tr>
        <w:trPr>
          <w:trHeight w:val="256"/>
        </w:trPr>
        <w:tc>
          <w:tcPr>
            <w:tcW w:w="4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Forward purchase contracts (2)</w:t>
            </w:r>
          </w:p>
        </w:tc>
        <w:tc>
          <w:tcPr>
            <w:tcW w:w="180" w:type="dxa"/>
            <w:vAlign w:val="bottom"/>
          </w:tcPr>
          <w:p>
            <w:pPr>
              <w:spacing w:after="0"/>
              <w:rPr>
                <w:sz w:val="22"/>
                <w:szCs w:val="2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993</w:t>
            </w:r>
          </w:p>
        </w:tc>
        <w:tc>
          <w:tcPr>
            <w:tcW w:w="18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3,461</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r>
      <w:tr>
        <w:trPr>
          <w:trHeight w:val="250"/>
        </w:trPr>
        <w:tc>
          <w:tcPr>
            <w:tcW w:w="4840" w:type="dxa"/>
            <w:vAlign w:val="bottom"/>
            <w:tcBorders>
              <w:top w:val="single" w:sz="8" w:color="E5FFFF"/>
              <w:bottom w:val="single" w:sz="8" w:color="E5FFFF"/>
            </w:tcBorders>
            <w:shd w:val="clear" w:color="auto" w:fill="E5FFFF"/>
          </w:tcPr>
          <w:p>
            <w:pPr>
              <w:ind w:left="100"/>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3,501</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400" w:type="dxa"/>
            <w:vAlign w:val="bottom"/>
            <w:tcBorders>
              <w:top w:val="single" w:sz="8" w:color="auto"/>
              <w:bottom w:val="single" w:sz="8" w:color="auto"/>
            </w:tcBorders>
            <w:shd w:val="clear" w:color="auto" w:fill="E5FFFF"/>
          </w:tcPr>
          <w:p>
            <w:pPr>
              <w:jc w:val="right"/>
              <w:ind w:right="19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440" w:type="dxa"/>
            <w:vAlign w:val="bottom"/>
            <w:tcBorders>
              <w:top w:val="single" w:sz="8" w:color="auto"/>
              <w:bottom w:val="single" w:sz="8" w:color="auto"/>
            </w:tcBorders>
            <w:shd w:val="clear" w:color="auto" w:fill="E5FFFF"/>
          </w:tcPr>
          <w:p>
            <w:pPr>
              <w:spacing w:after="0"/>
              <w:rPr>
                <w:sz w:val="21"/>
                <w:szCs w:val="21"/>
                <w:color w:val="auto"/>
              </w:rPr>
            </w:pPr>
          </w:p>
        </w:tc>
        <w:tc>
          <w:tcPr>
            <w:tcW w:w="4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993</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3,461</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400" w:type="dxa"/>
            <w:vAlign w:val="bottom"/>
            <w:tcBorders>
              <w:top w:val="single" w:sz="8" w:color="auto"/>
              <w:bottom w:val="single" w:sz="8" w:color="auto"/>
            </w:tcBorders>
            <w:shd w:val="clear" w:color="auto" w:fill="E5FFFF"/>
          </w:tcPr>
          <w:p>
            <w:pPr>
              <w:jc w:val="right"/>
              <w:ind w:right="17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440" w:type="dxa"/>
            <w:vAlign w:val="bottom"/>
            <w:tcBorders>
              <w:top w:val="single" w:sz="8" w:color="auto"/>
              <w:bottom w:val="single" w:sz="8" w:color="auto"/>
            </w:tcBorders>
            <w:shd w:val="clear" w:color="auto" w:fill="E5FFFF"/>
          </w:tcPr>
          <w:p>
            <w:pPr>
              <w:spacing w:after="0"/>
              <w:rPr>
                <w:sz w:val="21"/>
                <w:szCs w:val="21"/>
                <w:color w:val="auto"/>
              </w:rPr>
            </w:pPr>
          </w:p>
        </w:tc>
        <w:tc>
          <w:tcPr>
            <w:tcW w:w="40" w:type="dxa"/>
            <w:vAlign w:val="bottom"/>
            <w:tcBorders>
              <w:top w:val="single" w:sz="8" w:color="auto"/>
              <w:bottom w:val="single" w:sz="8" w:color="auto"/>
            </w:tcBorders>
            <w:shd w:val="clear" w:color="auto" w:fill="E5FFFF"/>
          </w:tcPr>
          <w:p>
            <w:pPr>
              <w:spacing w:after="0"/>
              <w:rPr>
                <w:sz w:val="21"/>
                <w:szCs w:val="21"/>
                <w:color w:val="auto"/>
              </w:rPr>
            </w:pPr>
          </w:p>
        </w:tc>
        <w:tc>
          <w:tcPr>
            <w:tcW w:w="3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933</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4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ind w:left="260" w:hanging="9"/>
        <w:spacing w:after="0" w:line="258" w:lineRule="auto"/>
        <w:tabs>
          <w:tab w:leader="none" w:pos="57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Commodity futures assets are included in “Prepaid expenses and other current assets” on the accompanying Consolidated Condensed Balance Sheets. These contracts included short/sell positions and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18" w:name="page19"/>
    <w:bookmarkEnd w:id="18"/>
    <w:p>
      <w:pPr>
        <w:jc w:val="both"/>
        <w:ind w:left="260"/>
        <w:spacing w:after="0" w:line="244" w:lineRule="auto"/>
        <w:rPr>
          <w:sz w:val="20"/>
          <w:szCs w:val="20"/>
          <w:color w:val="auto"/>
        </w:rPr>
      </w:pPr>
      <w:r>
        <w:rPr>
          <w:rFonts w:ascii="Times New Roman" w:cs="Times New Roman" w:eastAsia="Times New Roman" w:hAnsi="Times New Roman"/>
          <w:sz w:val="22"/>
          <w:szCs w:val="22"/>
          <w:color w:val="auto"/>
        </w:rPr>
        <w:t>long/buy positions for approximately 7.4 million bushels and 25,000 bushels, respectively at July 31, 2022. Commodity futures liabilities are included in accrued expenses and other current liabilities. These contracts include short/sell positions for approximately 7.4 million bushels of corn at January 31, 2022.</w:t>
      </w:r>
    </w:p>
    <w:p>
      <w:pPr>
        <w:spacing w:after="0" w:line="200" w:lineRule="exact"/>
        <w:rPr>
          <w:sz w:val="20"/>
          <w:szCs w:val="20"/>
          <w:color w:val="auto"/>
        </w:rPr>
      </w:pPr>
    </w:p>
    <w:p>
      <w:pPr>
        <w:jc w:val="both"/>
        <w:ind w:left="260" w:hanging="9"/>
        <w:spacing w:after="0" w:line="239" w:lineRule="auto"/>
        <w:tabs>
          <w:tab w:leader="none" w:pos="62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Forward contract liabilities, are included in “Accrued expenses and other current liabilities” on the accompanying Consolidated Condensed Balance Sheets. These contracts were for purchases of approximately 12.3 million bushels of corn at July 31, 2022. Forward purchase contracts assets are included in prepaid expenses and other current assets. These contracts were for purchases of approximately 19.2 million bushels of corn at January 31, 2022.</w:t>
      </w:r>
    </w:p>
    <w:p>
      <w:pPr>
        <w:spacing w:after="0" w:line="207"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As of July 31, 2022, and January 31, 2022, all of the derivative financial instruments held by the Company were subject to enforceable master netting arrangements with the counterparty. The Company’s accounting policy is to offset positions and amounts owed or owing with the same counterparty. As of July 31, 2022, and January 31, 2022, the gross positions of the enforceable master netting agreements were not significantly different from the net positions presented in the table above. Depending on the amount of an unrealized loss on a derivative contract held by the Company, the counterparty may require collateral to secure the Company’s derivative contract position. The Company was required to maintain collateral in the amount of approximately $3,332,000 and approximately $2,222,000 to secure the Company’s derivative liability position at July 31, 2022 and January 31, 2022, respectively, which is recorded as “Restricted cash” on the accompanying Consolidated Condensed Balance Sheets.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See Note 5 which contains fair value information related to derivative financial instruments.</w:t>
      </w:r>
    </w:p>
    <w:p>
      <w:pPr>
        <w:spacing w:after="0" w:line="233"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The Company recognized losses, which are included in “Net sales and revenue” in the accompanying Consolidated Condensed Statement of Operations, on derivative financial instruments of approximately $1,474,000 and $1,638,000 for the second quarter of fiscal years 2022 and 2021, respectively. The Company recognized losses on derivative financial instruments of approximately $1,152,000 and $2,764,000 for the first six months of fiscal years 2022 and 2021, respectively.</w:t>
      </w:r>
    </w:p>
    <w:p>
      <w:pPr>
        <w:spacing w:after="0" w:line="207"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The Company recognized losses, which are included in “Cost of sales” in the accompanying Consolidated Condensed Statement of Operations, on derivative financial instruments of approximately $1,152,000 and $6,142,000 for the second quarter of fiscal years 2022 and 2021, respectively. The Company recognized losses on derivative financial instruments of approximately $12,928,000 and $8,036,000 for the first six months of fiscal years 2022 and 2021,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9. </w:t>
      </w:r>
      <w:r>
        <w:rPr>
          <w:rFonts w:ascii="Times New Roman" w:cs="Times New Roman" w:eastAsia="Times New Roman" w:hAnsi="Times New Roman"/>
          <w:sz w:val="22"/>
          <w:szCs w:val="22"/>
          <w:b w:val="1"/>
          <w:bCs w:val="1"/>
          <w:i w:val="1"/>
          <w:iCs w:val="1"/>
          <w:color w:val="auto"/>
        </w:rPr>
        <w:t>Investments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Method Investment in Big River</w:t>
      </w:r>
    </w:p>
    <w:p>
      <w:pPr>
        <w:spacing w:after="0" w:line="23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 summarizes the Company’s equity method investment at July 31, 2022 and January 31, 2022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60" w:type="dxa"/>
            <w:vAlign w:val="bottom"/>
            <w:gridSpan w:val="5"/>
          </w:tcPr>
          <w:p>
            <w:pPr>
              <w:jc w:val="right"/>
              <w:ind w:right="3440"/>
              <w:spacing w:after="0"/>
              <w:rPr>
                <w:sz w:val="20"/>
                <w:szCs w:val="20"/>
                <w:color w:val="auto"/>
              </w:rPr>
            </w:pPr>
            <w:r>
              <w:rPr>
                <w:rFonts w:ascii="Times New Roman" w:cs="Times New Roman" w:eastAsia="Times New Roman" w:hAnsi="Times New Roman"/>
                <w:sz w:val="22"/>
                <w:szCs w:val="22"/>
                <w:b w:val="1"/>
                <w:bCs w:val="1"/>
                <w:color w:val="auto"/>
              </w:rPr>
              <w:t>Carrying Amount</w:t>
            </w:r>
          </w:p>
        </w:tc>
      </w:tr>
      <w:tr>
        <w:trPr>
          <w:trHeight w:val="234"/>
        </w:trPr>
        <w:tc>
          <w:tcPr>
            <w:tcW w:w="100" w:type="dxa"/>
            <w:vAlign w:val="bottom"/>
          </w:tcPr>
          <w:p>
            <w:pPr>
              <w:spacing w:after="0"/>
              <w:rPr>
                <w:sz w:val="20"/>
                <w:szCs w:val="20"/>
                <w:color w:val="auto"/>
              </w:rPr>
            </w:pPr>
          </w:p>
        </w:tc>
        <w:tc>
          <w:tcPr>
            <w:tcW w:w="2520" w:type="dxa"/>
            <w:vAlign w:val="bottom"/>
            <w:gridSpan w:val="2"/>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Entity</w:t>
            </w:r>
          </w:p>
        </w:tc>
        <w:tc>
          <w:tcPr>
            <w:tcW w:w="2500" w:type="dxa"/>
            <w:vAlign w:val="bottom"/>
            <w:gridSpan w:val="2"/>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Ownership Percentage</w:t>
            </w:r>
          </w:p>
        </w:tc>
        <w:tc>
          <w:tcPr>
            <w:tcW w:w="1940" w:type="dxa"/>
            <w:vAlign w:val="bottom"/>
            <w:gridSpan w:val="3"/>
          </w:tcPr>
          <w:p>
            <w:pPr>
              <w:jc w:val="right"/>
              <w:ind w:right="280"/>
              <w:spacing w:after="0" w:line="233" w:lineRule="exact"/>
              <w:rPr>
                <w:sz w:val="20"/>
                <w:szCs w:val="20"/>
                <w:color w:val="auto"/>
              </w:rPr>
            </w:pPr>
            <w:r>
              <w:rPr>
                <w:rFonts w:ascii="Times New Roman" w:cs="Times New Roman" w:eastAsia="Times New Roman" w:hAnsi="Times New Roman"/>
                <w:sz w:val="22"/>
                <w:szCs w:val="22"/>
                <w:b w:val="1"/>
                <w:bCs w:val="1"/>
                <w:color w:val="auto"/>
              </w:rPr>
              <w:t>July 31, 2022</w:t>
            </w:r>
          </w:p>
        </w:tc>
        <w:tc>
          <w:tcPr>
            <w:tcW w:w="4180" w:type="dxa"/>
            <w:vAlign w:val="bottom"/>
            <w:gridSpan w:val="3"/>
          </w:tcPr>
          <w:p>
            <w:pPr>
              <w:jc w:val="right"/>
              <w:ind w:right="2340"/>
              <w:spacing w:after="0" w:line="233" w:lineRule="exact"/>
              <w:rPr>
                <w:sz w:val="20"/>
                <w:szCs w:val="20"/>
                <w:color w:val="auto"/>
              </w:rPr>
            </w:pPr>
            <w:r>
              <w:rPr>
                <w:rFonts w:ascii="Times New Roman" w:cs="Times New Roman" w:eastAsia="Times New Roman" w:hAnsi="Times New Roman"/>
                <w:sz w:val="22"/>
                <w:szCs w:val="22"/>
                <w:b w:val="1"/>
                <w:bCs w:val="1"/>
                <w:color w:val="auto"/>
              </w:rPr>
              <w:t>January 31, 2022</w:t>
            </w:r>
          </w:p>
        </w:tc>
      </w:tr>
      <w:tr>
        <w:trPr>
          <w:trHeight w:val="20"/>
        </w:trPr>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518"/>
        </w:trPr>
        <w:tc>
          <w:tcPr>
            <w:tcW w:w="10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Big River</w:t>
            </w:r>
          </w:p>
        </w:tc>
        <w:tc>
          <w:tcPr>
            <w:tcW w:w="210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10.3%</w:t>
            </w:r>
          </w:p>
        </w:tc>
        <w:tc>
          <w:tcPr>
            <w:tcW w:w="400" w:type="dxa"/>
            <w:vAlign w:val="bottom"/>
          </w:tcPr>
          <w:p>
            <w:pPr>
              <w:spacing w:after="0"/>
              <w:rPr>
                <w:sz w:val="24"/>
                <w:szCs w:val="24"/>
                <w:color w:val="auto"/>
              </w:rPr>
            </w:pPr>
          </w:p>
        </w:tc>
        <w:tc>
          <w:tcPr>
            <w:tcW w:w="1940" w:type="dxa"/>
            <w:vAlign w:val="bottom"/>
            <w:gridSpan w:val="3"/>
          </w:tcPr>
          <w:p>
            <w:pPr>
              <w:jc w:val="right"/>
              <w:ind w:right="280"/>
              <w:spacing w:after="0"/>
              <w:rPr>
                <w:sz w:val="20"/>
                <w:szCs w:val="20"/>
                <w:color w:val="auto"/>
              </w:rPr>
            </w:pPr>
            <w:r>
              <w:rPr>
                <w:rFonts w:ascii="Times New Roman" w:cs="Times New Roman" w:eastAsia="Times New Roman" w:hAnsi="Times New Roman"/>
                <w:sz w:val="22"/>
                <w:szCs w:val="22"/>
                <w:color w:val="auto"/>
              </w:rPr>
              <w:t>$36,115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$30,566</w:t>
            </w:r>
          </w:p>
        </w:tc>
        <w:tc>
          <w:tcPr>
            <w:tcW w:w="234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gridSpan w:val="2"/>
          </w:tcPr>
          <w:p>
            <w:pPr>
              <w:jc w:val="right"/>
              <w:ind w:right="932"/>
              <w:spacing w:after="0"/>
              <w:rPr>
                <w:sz w:val="20"/>
                <w:szCs w:val="20"/>
                <w:color w:val="auto"/>
              </w:rPr>
            </w:pPr>
            <w:r>
              <w:rPr>
                <w:rFonts w:ascii="Times New Roman" w:cs="Times New Roman" w:eastAsia="Times New Roman" w:hAnsi="Times New Roman"/>
                <w:sz w:val="22"/>
                <w:szCs w:val="22"/>
                <w:color w:val="auto"/>
              </w:rPr>
              <w:t>19</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38"/>
        </w:trPr>
        <w:tc>
          <w:tcPr>
            <w:tcW w:w="100" w:type="dxa"/>
            <w:vAlign w:val="bottom"/>
            <w:tcBorders>
              <w:bottom w:val="single" w:sz="8" w:color="C0C0C0"/>
            </w:tcBorders>
          </w:tcPr>
          <w:p>
            <w:pPr>
              <w:spacing w:after="0"/>
              <w:rPr>
                <w:sz w:val="20"/>
                <w:szCs w:val="20"/>
                <w:color w:val="auto"/>
              </w:rPr>
            </w:pPr>
          </w:p>
        </w:tc>
        <w:tc>
          <w:tcPr>
            <w:tcW w:w="580" w:type="dxa"/>
            <w:vAlign w:val="bottom"/>
            <w:tcBorders>
              <w:bottom w:val="single" w:sz="8" w:color="C0C0C0"/>
            </w:tcBorders>
          </w:tcPr>
          <w:p>
            <w:pPr>
              <w:spacing w:after="0"/>
              <w:rPr>
                <w:sz w:val="20"/>
                <w:szCs w:val="20"/>
                <w:color w:val="auto"/>
              </w:rPr>
            </w:pPr>
          </w:p>
        </w:tc>
        <w:tc>
          <w:tcPr>
            <w:tcW w:w="1940" w:type="dxa"/>
            <w:vAlign w:val="bottom"/>
            <w:tcBorders>
              <w:bottom w:val="single" w:sz="8" w:color="C0C0C0"/>
            </w:tcBorders>
          </w:tcPr>
          <w:p>
            <w:pPr>
              <w:spacing w:after="0"/>
              <w:rPr>
                <w:sz w:val="20"/>
                <w:szCs w:val="20"/>
                <w:color w:val="auto"/>
              </w:rPr>
            </w:pPr>
          </w:p>
        </w:tc>
        <w:tc>
          <w:tcPr>
            <w:tcW w:w="210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120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580" w:type="dxa"/>
            <w:vAlign w:val="bottom"/>
            <w:tcBorders>
              <w:bottom w:val="single" w:sz="8" w:color="C0C0C0"/>
            </w:tcBorders>
          </w:tcPr>
          <w:p>
            <w:pPr>
              <w:spacing w:after="0"/>
              <w:rPr>
                <w:sz w:val="20"/>
                <w:szCs w:val="20"/>
                <w:color w:val="auto"/>
              </w:rPr>
            </w:pPr>
          </w:p>
        </w:tc>
        <w:tc>
          <w:tcPr>
            <w:tcW w:w="23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19" w:name="page20"/>
    <w:bookmarkEnd w:id="19"/>
    <w:p>
      <w:pPr>
        <w:ind w:right="100" w:firstLine="648"/>
        <w:spacing w:after="0" w:line="244" w:lineRule="auto"/>
        <w:rPr>
          <w:sz w:val="20"/>
          <w:szCs w:val="20"/>
          <w:color w:val="auto"/>
        </w:rPr>
      </w:pPr>
      <w:r>
        <w:rPr>
          <w:rFonts w:ascii="Times New Roman" w:cs="Times New Roman" w:eastAsia="Times New Roman" w:hAnsi="Times New Roman"/>
          <w:sz w:val="22"/>
          <w:szCs w:val="22"/>
          <w:color w:val="auto"/>
        </w:rPr>
        <w:t>Undistributed earnings of the Company’s equity method investee totaled approximately $16.1 million and approximately $10.5 million at July 31, 2022 and January 31, 2022, respectively. The Company did not receive any dividends from its equity method investee in the first six months of fiscal year 2022 and 2021.</w:t>
      </w:r>
    </w:p>
    <w:p>
      <w:pPr>
        <w:spacing w:after="0" w:line="200"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2"/>
          <w:szCs w:val="22"/>
          <w:color w:val="auto"/>
        </w:rPr>
        <w:t>Summarized financial information for the Company’s equity method investee is presented in the following table for the periods presented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80" w:type="dxa"/>
            <w:vAlign w:val="bottom"/>
            <w:gridSpan w:val="7"/>
          </w:tcPr>
          <w:p>
            <w:pPr>
              <w:jc w:val="right"/>
              <w:ind w:right="44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80" w:type="dxa"/>
            <w:vAlign w:val="bottom"/>
            <w:gridSpan w:val="6"/>
          </w:tcPr>
          <w:p>
            <w:pPr>
              <w:jc w:val="right"/>
              <w:ind w:right="500"/>
              <w:spacing w:after="0"/>
              <w:rPr>
                <w:sz w:val="20"/>
                <w:szCs w:val="20"/>
                <w:color w:val="auto"/>
              </w:rPr>
            </w:pPr>
            <w:r>
              <w:rPr>
                <w:rFonts w:ascii="Times New Roman" w:cs="Times New Roman" w:eastAsia="Times New Roman" w:hAnsi="Times New Roman"/>
                <w:sz w:val="22"/>
                <w:szCs w:val="22"/>
                <w:b w:val="1"/>
                <w:bCs w:val="1"/>
                <w:color w:val="auto"/>
              </w:rPr>
              <w:t>Six Months Ended</w:t>
            </w:r>
          </w:p>
        </w:tc>
      </w:tr>
      <w:tr>
        <w:trPr>
          <w:trHeight w:val="243"/>
        </w:trPr>
        <w:tc>
          <w:tcPr>
            <w:tcW w:w="3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34"/>
        </w:trPr>
        <w:tc>
          <w:tcPr>
            <w:tcW w:w="3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gridSpan w:val="3"/>
          </w:tcPr>
          <w:p>
            <w:pPr>
              <w:jc w:val="right"/>
              <w:ind w:right="200"/>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420" w:type="dxa"/>
            <w:vAlign w:val="bottom"/>
          </w:tcPr>
          <w:p>
            <w:pPr>
              <w:spacing w:after="0"/>
              <w:rPr>
                <w:sz w:val="20"/>
                <w:szCs w:val="20"/>
                <w:color w:val="auto"/>
              </w:rPr>
            </w:pPr>
          </w:p>
        </w:tc>
        <w:tc>
          <w:tcPr>
            <w:tcW w:w="50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2021</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2021</w:t>
            </w:r>
          </w:p>
        </w:tc>
        <w:tc>
          <w:tcPr>
            <w:tcW w:w="420" w:type="dxa"/>
            <w:vAlign w:val="bottom"/>
          </w:tcPr>
          <w:p>
            <w:pPr>
              <w:spacing w:after="0"/>
              <w:rPr>
                <w:sz w:val="20"/>
                <w:szCs w:val="20"/>
                <w:color w:val="auto"/>
              </w:rPr>
            </w:pPr>
          </w:p>
        </w:tc>
      </w:tr>
      <w:tr>
        <w:trPr>
          <w:trHeight w:val="263"/>
        </w:trPr>
        <w:tc>
          <w:tcPr>
            <w:tcW w:w="3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r>
      <w:tr>
        <w:trPr>
          <w:trHeight w:val="243"/>
        </w:trPr>
        <w:tc>
          <w:tcPr>
            <w:tcW w:w="3640" w:type="dxa"/>
            <w:vAlign w:val="bottom"/>
            <w:shd w:val="clear" w:color="auto" w:fill="E5FFFF"/>
          </w:tcPr>
          <w:p>
            <w:pPr>
              <w:ind w:left="120"/>
              <w:spacing w:after="0" w:line="243" w:lineRule="exact"/>
              <w:rPr>
                <w:sz w:val="20"/>
                <w:szCs w:val="20"/>
                <w:color w:val="auto"/>
              </w:rPr>
            </w:pPr>
            <w:r>
              <w:rPr>
                <w:rFonts w:ascii="Times New Roman" w:cs="Times New Roman" w:eastAsia="Times New Roman" w:hAnsi="Times New Roman"/>
                <w:sz w:val="22"/>
                <w:szCs w:val="22"/>
                <w:color w:val="auto"/>
              </w:rPr>
              <w:t>Net sales and revenue</w:t>
            </w:r>
          </w:p>
        </w:tc>
        <w:tc>
          <w:tcPr>
            <w:tcW w:w="6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3"/>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450,396</w:t>
            </w:r>
          </w:p>
        </w:tc>
        <w:tc>
          <w:tcPr>
            <w:tcW w:w="42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gridSpan w:val="3"/>
            <w:shd w:val="clear" w:color="auto" w:fill="E5FF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363,383</w:t>
            </w:r>
          </w:p>
        </w:tc>
        <w:tc>
          <w:tcPr>
            <w:tcW w:w="4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gridSpan w:val="3"/>
            <w:shd w:val="clear" w:color="auto" w:fill="E5FFFF"/>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802,142</w:t>
            </w:r>
          </w:p>
        </w:tc>
        <w:tc>
          <w:tcPr>
            <w:tcW w:w="42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3"/>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619,799</w:t>
            </w:r>
          </w:p>
        </w:tc>
      </w:tr>
      <w:tr>
        <w:trPr>
          <w:trHeight w:val="243"/>
        </w:trPr>
        <w:tc>
          <w:tcPr>
            <w:tcW w:w="36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Gross profit</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3"/>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27,137</w:t>
            </w:r>
          </w:p>
        </w:tc>
        <w:tc>
          <w:tcPr>
            <w:tcW w:w="4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gridSpan w:val="3"/>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19,357</w:t>
            </w: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gridSpan w:val="3"/>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49,161</w:t>
            </w:r>
          </w:p>
        </w:tc>
        <w:tc>
          <w:tcPr>
            <w:tcW w:w="4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3"/>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20,901</w:t>
            </w:r>
          </w:p>
        </w:tc>
      </w:tr>
      <w:tr>
        <w:trPr>
          <w:trHeight w:val="243"/>
        </w:trPr>
        <w:tc>
          <w:tcPr>
            <w:tcW w:w="3640" w:type="dxa"/>
            <w:vAlign w:val="bottom"/>
            <w:shd w:val="clear" w:color="auto" w:fill="E5FFFF"/>
          </w:tcPr>
          <w:p>
            <w:pPr>
              <w:ind w:left="120"/>
              <w:spacing w:after="0" w:line="243" w:lineRule="exact"/>
              <w:rPr>
                <w:sz w:val="20"/>
                <w:szCs w:val="20"/>
                <w:color w:val="auto"/>
              </w:rPr>
            </w:pPr>
            <w:r>
              <w:rPr>
                <w:rFonts w:ascii="Times New Roman" w:cs="Times New Roman" w:eastAsia="Times New Roman" w:hAnsi="Times New Roman"/>
                <w:sz w:val="22"/>
                <w:szCs w:val="22"/>
                <w:color w:val="auto"/>
              </w:rPr>
              <w:t>Income from continuing operations</w:t>
            </w:r>
          </w:p>
        </w:tc>
        <w:tc>
          <w:tcPr>
            <w:tcW w:w="6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3"/>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34,891</w:t>
            </w:r>
          </w:p>
        </w:tc>
        <w:tc>
          <w:tcPr>
            <w:tcW w:w="42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gridSpan w:val="3"/>
            <w:shd w:val="clear" w:color="auto" w:fill="E5FF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17,877</w:t>
            </w:r>
          </w:p>
        </w:tc>
        <w:tc>
          <w:tcPr>
            <w:tcW w:w="4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gridSpan w:val="3"/>
            <w:shd w:val="clear" w:color="auto" w:fill="E5FFFF"/>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53,816</w:t>
            </w:r>
          </w:p>
        </w:tc>
        <w:tc>
          <w:tcPr>
            <w:tcW w:w="42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3"/>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23,412</w:t>
            </w:r>
          </w:p>
        </w:tc>
      </w:tr>
      <w:tr>
        <w:trPr>
          <w:trHeight w:val="282"/>
        </w:trPr>
        <w:tc>
          <w:tcPr>
            <w:tcW w:w="36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22"/>
                <w:szCs w:val="22"/>
                <w:color w:val="auto"/>
              </w:rPr>
              <w:t>34,891</w:t>
            </w: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22"/>
                <w:szCs w:val="22"/>
                <w:color w:val="auto"/>
              </w:rPr>
              <w:t>17,877</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gridSpan w:val="3"/>
          </w:tcPr>
          <w:p>
            <w:pPr>
              <w:jc w:val="right"/>
              <w:ind w:right="92"/>
              <w:spacing w:after="0"/>
              <w:rPr>
                <w:sz w:val="20"/>
                <w:szCs w:val="20"/>
                <w:color w:val="auto"/>
              </w:rPr>
            </w:pPr>
            <w:r>
              <w:rPr>
                <w:rFonts w:ascii="Times New Roman" w:cs="Times New Roman" w:eastAsia="Times New Roman" w:hAnsi="Times New Roman"/>
                <w:sz w:val="22"/>
                <w:szCs w:val="22"/>
                <w:color w:val="auto"/>
              </w:rPr>
              <w:t>53,816</w:t>
            </w: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23,412</w:t>
            </w: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Short-term Investments</w:t>
      </w:r>
    </w:p>
    <w:p>
      <w:pPr>
        <w:spacing w:after="0" w:line="237" w:lineRule="exact"/>
        <w:rPr>
          <w:sz w:val="20"/>
          <w:szCs w:val="20"/>
          <w:color w:val="auto"/>
        </w:rPr>
      </w:pPr>
    </w:p>
    <w:p>
      <w:pPr>
        <w:ind w:right="260" w:firstLine="648"/>
        <w:spacing w:after="0" w:line="244" w:lineRule="auto"/>
        <w:rPr>
          <w:sz w:val="20"/>
          <w:szCs w:val="20"/>
          <w:color w:val="auto"/>
        </w:rPr>
      </w:pPr>
      <w:r>
        <w:rPr>
          <w:rFonts w:ascii="Times New Roman" w:cs="Times New Roman" w:eastAsia="Times New Roman" w:hAnsi="Times New Roman"/>
          <w:sz w:val="22"/>
          <w:szCs w:val="22"/>
          <w:color w:val="auto"/>
        </w:rPr>
        <w:t>At July 31, 2022, the Company owned United States Treasury Bills that had an amortized cost, or carrying value, of approximately $190.5 million. The contractual maturity of these investments was less than one year. The yield to maturity rate was approximately 0.9%. Unrealized gains or losses were insignificant.</w:t>
      </w:r>
    </w:p>
    <w:p>
      <w:pPr>
        <w:spacing w:after="0" w:line="200"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At January 31, 2022, the Company owned certificates of deposit that had an amortized cost, or carrying value, of approximately $25,877,000. The contractual maturity of these investments was less than one year. The yield to maturity rate was approximately 0.1%. Unrealized gains or losses were insignificant.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10. </w:t>
      </w:r>
      <w:r>
        <w:rPr>
          <w:rFonts w:ascii="Times New Roman" w:cs="Times New Roman" w:eastAsia="Times New Roman" w:hAnsi="Times New Roman"/>
          <w:sz w:val="22"/>
          <w:szCs w:val="22"/>
          <w:b w:val="1"/>
          <w:bCs w:val="1"/>
          <w:i w:val="1"/>
          <w:iCs w:val="1"/>
          <w:color w:val="auto"/>
        </w:rPr>
        <w:t>Employee Benefits</w:t>
      </w:r>
    </w:p>
    <w:p>
      <w:pPr>
        <w:spacing w:after="0" w:line="23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The Company maintains the REX 2015 Incentive Plan, approved by its shareholders, which reserves a total of 1,650,000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Until the current year, the Company had only granted restricted stock awards. In May 2022, the Company issued restricted stock units to certain officers of the Company which vest based on the Company’s Total Shareholder Return (TSR) compared to the TSRs of companies that comprise the Russell 2000 Index over a three year performance period. The Company measures share-based compensation grants at fair value on the grant date, adjusted for estimated forfeitures. The Company records noncash compensation expense related to liability and equity awards in its consolidated financial statements over the requisite service period on a straight-line basis. At July 31, 2022, 1,342,392 shares remain available for issuance under the Plan.</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6"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b w:val="1"/>
          <w:bCs w:val="1"/>
          <w:color w:val="auto"/>
        </w:rPr>
        <w:t>Restricted Stock Awards</w:t>
      </w:r>
    </w:p>
    <w:p>
      <w:pPr>
        <w:spacing w:after="0" w:line="237"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As a component of their compensation, restricted stock has been granted to directors at the closing market price of REX common stock on the grant date. In addition, one quarter (one third prior to 2022) of executives’ incentive compensation is payable by an award of restricted stock based on the then closing market price of REX common stock on the grant date. The</w:t>
      </w:r>
    </w:p>
    <w:p>
      <w:pPr>
        <w:spacing w:after="0" w:line="2" w:lineRule="exact"/>
        <w:rPr>
          <w:sz w:val="20"/>
          <w:szCs w:val="20"/>
          <w:color w:val="auto"/>
        </w:rPr>
      </w:pPr>
    </w:p>
    <w:p>
      <w:pPr>
        <w:jc w:val="both"/>
        <w:ind w:right="40"/>
        <w:spacing w:after="0" w:line="201" w:lineRule="auto"/>
        <w:rPr>
          <w:sz w:val="20"/>
          <w:szCs w:val="20"/>
          <w:color w:val="auto"/>
        </w:rPr>
      </w:pPr>
      <w:r>
        <w:rPr>
          <w:rFonts w:ascii="Times New Roman" w:cs="Times New Roman" w:eastAsia="Times New Roman" w:hAnsi="Times New Roman"/>
          <w:sz w:val="22"/>
          <w:szCs w:val="22"/>
          <w:color w:val="auto"/>
        </w:rPr>
        <w:t>Company’s board of directors has determined that the grant date will be June 15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or the next business day if June 15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is not a business day, for all grants of restricted stock.</w:t>
      </w:r>
    </w:p>
    <w:p>
      <w:pPr>
        <w:spacing w:after="0" w:line="205"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At July 31, 2022 and January 31, 2022, unrecognized compensation cost related to nonvested restricted stock was approximately $621,000 and $97,000 respectively. The following tables summarize non-vested restricted stock award activity for the periods presented: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80" w:type="dxa"/>
            <w:vAlign w:val="bottom"/>
            <w:gridSpan w:val="12"/>
          </w:tcPr>
          <w:p>
            <w:pPr>
              <w:ind w:left="120"/>
              <w:spacing w:after="0"/>
              <w:rPr>
                <w:sz w:val="20"/>
                <w:szCs w:val="20"/>
                <w:color w:val="auto"/>
              </w:rPr>
            </w:pPr>
            <w:r>
              <w:rPr>
                <w:rFonts w:ascii="Times New Roman" w:cs="Times New Roman" w:eastAsia="Times New Roman" w:hAnsi="Times New Roman"/>
                <w:sz w:val="22"/>
                <w:szCs w:val="22"/>
                <w:b w:val="1"/>
                <w:bCs w:val="1"/>
                <w:color w:val="auto"/>
              </w:rPr>
              <w:t>Six Months Ended July 31, 2022</w:t>
            </w:r>
          </w:p>
        </w:tc>
      </w:tr>
      <w:tr>
        <w:trPr>
          <w:trHeight w:val="443"/>
        </w:trPr>
        <w:tc>
          <w:tcPr>
            <w:tcW w:w="4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5"/>
          </w:tcPr>
          <w:p>
            <w:pPr>
              <w:jc w:val="center"/>
              <w:ind w:right="540"/>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2180" w:type="dxa"/>
            <w:vAlign w:val="bottom"/>
            <w:gridSpan w:val="4"/>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Weighted</w:t>
            </w:r>
          </w:p>
        </w:tc>
      </w:tr>
      <w:tr>
        <w:trPr>
          <w:trHeight w:val="243"/>
        </w:trPr>
        <w:tc>
          <w:tcPr>
            <w:tcW w:w="40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gridSpan w:val="6"/>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Grant</w:t>
            </w:r>
          </w:p>
        </w:tc>
        <w:tc>
          <w:tcPr>
            <w:tcW w:w="2180" w:type="dxa"/>
            <w:vAlign w:val="bottom"/>
            <w:gridSpan w:val="4"/>
          </w:tcPr>
          <w:p>
            <w:pPr>
              <w:jc w:val="center"/>
              <w:ind w:left="2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Remaining</w:t>
            </w:r>
          </w:p>
        </w:tc>
      </w:tr>
      <w:tr>
        <w:trPr>
          <w:trHeight w:val="243"/>
        </w:trPr>
        <w:tc>
          <w:tcPr>
            <w:tcW w:w="4040" w:type="dxa"/>
            <w:vAlign w:val="bottom"/>
          </w:tcPr>
          <w:p>
            <w:pPr>
              <w:spacing w:after="0"/>
              <w:rPr>
                <w:sz w:val="21"/>
                <w:szCs w:val="21"/>
                <w:color w:val="auto"/>
              </w:rPr>
            </w:pPr>
          </w:p>
        </w:tc>
        <w:tc>
          <w:tcPr>
            <w:tcW w:w="2440" w:type="dxa"/>
            <w:vAlign w:val="bottom"/>
            <w:gridSpan w:val="5"/>
          </w:tcPr>
          <w:p>
            <w:pPr>
              <w:jc w:val="center"/>
              <w:ind w:left="10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Non-Vested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gridSpan w:val="6"/>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Fair Value</w:t>
            </w:r>
          </w:p>
        </w:tc>
        <w:tc>
          <w:tcPr>
            <w:tcW w:w="2180" w:type="dxa"/>
            <w:vAlign w:val="bottom"/>
            <w:gridSpan w:val="4"/>
          </w:tcPr>
          <w:p>
            <w:pPr>
              <w:jc w:val="center"/>
              <w:ind w:left="252"/>
              <w:spacing w:after="0" w:line="243" w:lineRule="exact"/>
              <w:rPr>
                <w:sz w:val="20"/>
                <w:szCs w:val="20"/>
                <w:color w:val="auto"/>
              </w:rPr>
            </w:pPr>
            <w:r>
              <w:rPr>
                <w:rFonts w:ascii="Times New Roman" w:cs="Times New Roman" w:eastAsia="Times New Roman" w:hAnsi="Times New Roman"/>
                <w:sz w:val="22"/>
                <w:szCs w:val="22"/>
                <w:b w:val="1"/>
                <w:bCs w:val="1"/>
                <w:color w:val="auto"/>
                <w:w w:val="94"/>
              </w:rPr>
              <w:t>Vesting Term</w:t>
            </w:r>
          </w:p>
        </w:tc>
      </w:tr>
      <w:tr>
        <w:trPr>
          <w:trHeight w:val="234"/>
        </w:trPr>
        <w:tc>
          <w:tcPr>
            <w:tcW w:w="4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60" w:type="dxa"/>
            <w:vAlign w:val="bottom"/>
            <w:gridSpan w:val="4"/>
          </w:tcPr>
          <w:p>
            <w:pPr>
              <w:jc w:val="center"/>
              <w:ind w:right="300"/>
              <w:spacing w:after="0" w:line="233" w:lineRule="exact"/>
              <w:rPr>
                <w:sz w:val="20"/>
                <w:szCs w:val="20"/>
                <w:color w:val="auto"/>
              </w:rPr>
            </w:pPr>
            <w:r>
              <w:rPr>
                <w:rFonts w:ascii="Times New Roman" w:cs="Times New Roman" w:eastAsia="Times New Roman" w:hAnsi="Times New Roman"/>
                <w:sz w:val="22"/>
                <w:szCs w:val="22"/>
                <w:b w:val="1"/>
                <w:bCs w:val="1"/>
                <w:color w:val="auto"/>
                <w:w w:val="97"/>
              </w:rPr>
              <w:t>Shares</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4"/>
          </w:tcPr>
          <w:p>
            <w:pPr>
              <w:jc w:val="center"/>
              <w:ind w:right="780"/>
              <w:spacing w:after="0" w:line="233" w:lineRule="exact"/>
              <w:rPr>
                <w:sz w:val="20"/>
                <w:szCs w:val="20"/>
                <w:color w:val="auto"/>
              </w:rPr>
            </w:pPr>
            <w:r>
              <w:rPr>
                <w:rFonts w:ascii="Times New Roman" w:cs="Times New Roman" w:eastAsia="Times New Roman" w:hAnsi="Times New Roman"/>
                <w:sz w:val="22"/>
                <w:szCs w:val="22"/>
                <w:b w:val="1"/>
                <w:bCs w:val="1"/>
                <w:color w:val="auto"/>
                <w:w w:val="97"/>
              </w:rPr>
              <w:t>(000’s)</w:t>
            </w:r>
          </w:p>
        </w:tc>
        <w:tc>
          <w:tcPr>
            <w:tcW w:w="2180" w:type="dxa"/>
            <w:vAlign w:val="bottom"/>
            <w:gridSpan w:val="4"/>
          </w:tcPr>
          <w:p>
            <w:pPr>
              <w:jc w:val="center"/>
              <w:ind w:left="232"/>
              <w:spacing w:after="0" w:line="233" w:lineRule="exact"/>
              <w:rPr>
                <w:sz w:val="20"/>
                <w:szCs w:val="20"/>
                <w:color w:val="auto"/>
              </w:rPr>
            </w:pPr>
            <w:r>
              <w:rPr>
                <w:rFonts w:ascii="Times New Roman" w:cs="Times New Roman" w:eastAsia="Times New Roman" w:hAnsi="Times New Roman"/>
                <w:sz w:val="22"/>
                <w:szCs w:val="22"/>
                <w:b w:val="1"/>
                <w:bCs w:val="1"/>
                <w:color w:val="auto"/>
                <w:w w:val="99"/>
              </w:rPr>
              <w:t>(in years)</w:t>
            </w:r>
          </w:p>
        </w:tc>
      </w:tr>
      <w:tr>
        <w:trPr>
          <w:trHeight w:val="264"/>
        </w:trPr>
        <w:tc>
          <w:tcPr>
            <w:tcW w:w="40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40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Non-Vested at January 31, 2022</w:t>
            </w:r>
          </w:p>
        </w:tc>
        <w:tc>
          <w:tcPr>
            <w:tcW w:w="2120" w:type="dxa"/>
            <w:vAlign w:val="bottom"/>
            <w:gridSpan w:val="4"/>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30,167</w:t>
            </w:r>
          </w:p>
        </w:tc>
        <w:tc>
          <w:tcPr>
            <w:tcW w:w="320" w:type="dxa"/>
            <w:vAlign w:val="bottom"/>
            <w:shd w:val="clear" w:color="auto" w:fill="E5FFFF"/>
          </w:tcPr>
          <w:p>
            <w:pPr>
              <w:spacing w:after="0"/>
              <w:rPr>
                <w:sz w:val="21"/>
                <w:szCs w:val="21"/>
                <w:color w:val="auto"/>
              </w:rPr>
            </w:pPr>
          </w:p>
        </w:tc>
        <w:tc>
          <w:tcPr>
            <w:tcW w:w="94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gridSpan w:val="4"/>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773</w:t>
            </w:r>
          </w:p>
        </w:tc>
        <w:tc>
          <w:tcPr>
            <w:tcW w:w="460" w:type="dxa"/>
            <w:vAlign w:val="bottom"/>
            <w:shd w:val="clear" w:color="auto" w:fill="E5FFFF"/>
          </w:tcPr>
          <w:p>
            <w:pPr>
              <w:spacing w:after="0"/>
              <w:rPr>
                <w:sz w:val="21"/>
                <w:szCs w:val="21"/>
                <w:color w:val="auto"/>
              </w:rPr>
            </w:pPr>
          </w:p>
        </w:tc>
        <w:tc>
          <w:tcPr>
            <w:tcW w:w="2160" w:type="dxa"/>
            <w:vAlign w:val="bottom"/>
            <w:gridSpan w:val="3"/>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1</w:t>
            </w:r>
          </w:p>
        </w:tc>
        <w:tc>
          <w:tcPr>
            <w:tcW w:w="20" w:type="dxa"/>
            <w:vAlign w:val="bottom"/>
          </w:tcPr>
          <w:p>
            <w:pPr>
              <w:spacing w:after="0"/>
              <w:rPr>
                <w:sz w:val="21"/>
                <w:szCs w:val="21"/>
                <w:color w:val="auto"/>
              </w:rPr>
            </w:pPr>
          </w:p>
        </w:tc>
      </w:tr>
      <w:tr>
        <w:trPr>
          <w:trHeight w:val="243"/>
        </w:trPr>
        <w:tc>
          <w:tcPr>
            <w:tcW w:w="4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2120" w:type="dxa"/>
            <w:vAlign w:val="bottom"/>
            <w:gridSpan w:val="4"/>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70,689</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4"/>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2,032</w:t>
            </w: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2120" w:type="dxa"/>
            <w:vAlign w:val="bottom"/>
            <w:gridSpan w:val="4"/>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00" w:type="dxa"/>
            <w:vAlign w:val="bottom"/>
            <w:gridSpan w:val="4"/>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46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4040" w:type="dxa"/>
            <w:vAlign w:val="bottom"/>
          </w:tcPr>
          <w:p>
            <w:pPr>
              <w:spacing w:after="0"/>
              <w:rPr>
                <w:sz w:val="20"/>
                <w:szCs w:val="20"/>
                <w:color w:val="auto"/>
              </w:rPr>
            </w:pPr>
            <w:r>
              <w:rPr>
                <w:rFonts w:ascii="Times New Roman" w:cs="Times New Roman" w:eastAsia="Times New Roman" w:hAnsi="Times New Roman"/>
                <w:sz w:val="22"/>
                <w:szCs w:val="22"/>
                <w:color w:val="auto"/>
              </w:rPr>
              <w:t>Vested</w:t>
            </w:r>
          </w:p>
        </w:tc>
        <w:tc>
          <w:tcPr>
            <w:tcW w:w="212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auto"/>
              </w:rPr>
              <w:t>18,403</w:t>
            </w: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auto"/>
              </w:rPr>
              <w:t>451</w:t>
            </w: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4040" w:type="dxa"/>
            <w:vAlign w:val="bottom"/>
            <w:tcBorders>
              <w:top w:val="single" w:sz="8" w:color="E5FFFF"/>
            </w:tcBorders>
            <w:shd w:val="clear" w:color="auto" w:fill="E5FFFF"/>
          </w:tcPr>
          <w:p>
            <w:pPr>
              <w:spacing w:after="0"/>
              <w:rPr>
                <w:sz w:val="20"/>
                <w:szCs w:val="20"/>
                <w:color w:val="auto"/>
              </w:rPr>
            </w:pPr>
          </w:p>
        </w:tc>
        <w:tc>
          <w:tcPr>
            <w:tcW w:w="1480" w:type="dxa"/>
            <w:vAlign w:val="bottom"/>
            <w:tcBorders>
              <w:top w:val="single" w:sz="8" w:color="E5FFFF"/>
            </w:tcBorders>
            <w:shd w:val="clear" w:color="auto" w:fill="E5FFFF"/>
          </w:tcPr>
          <w:p>
            <w:pPr>
              <w:spacing w:after="0"/>
              <w:rPr>
                <w:sz w:val="20"/>
                <w:szCs w:val="20"/>
                <w:color w:val="auto"/>
              </w:rPr>
            </w:pPr>
          </w:p>
        </w:tc>
        <w:tc>
          <w:tcPr>
            <w:tcW w:w="20" w:type="dxa"/>
            <w:vAlign w:val="bottom"/>
            <w:tcBorders>
              <w:top w:val="single" w:sz="8" w:color="E5FFFF"/>
            </w:tcBorders>
            <w:shd w:val="clear" w:color="auto" w:fill="E5FFFF"/>
          </w:tcPr>
          <w:p>
            <w:pPr>
              <w:spacing w:after="0"/>
              <w:rPr>
                <w:sz w:val="20"/>
                <w:szCs w:val="20"/>
                <w:color w:val="auto"/>
              </w:rPr>
            </w:pPr>
          </w:p>
        </w:tc>
        <w:tc>
          <w:tcPr>
            <w:tcW w:w="600" w:type="dxa"/>
            <w:vAlign w:val="bottom"/>
            <w:tcBorders>
              <w:top w:val="single" w:sz="8" w:color="auto"/>
            </w:tcBorders>
            <w:shd w:val="clear" w:color="auto" w:fill="E5FFFF"/>
          </w:tcPr>
          <w:p>
            <w:pPr>
              <w:spacing w:after="0"/>
              <w:rPr>
                <w:sz w:val="20"/>
                <w:szCs w:val="20"/>
                <w:color w:val="auto"/>
              </w:rPr>
            </w:pPr>
          </w:p>
        </w:tc>
        <w:tc>
          <w:tcPr>
            <w:tcW w:w="20" w:type="dxa"/>
            <w:vAlign w:val="bottom"/>
            <w:tcBorders>
              <w:top w:val="single" w:sz="8" w:color="E5FFFF"/>
            </w:tcBorders>
            <w:shd w:val="clear" w:color="auto" w:fill="E5FFFF"/>
          </w:tcPr>
          <w:p>
            <w:pPr>
              <w:spacing w:after="0"/>
              <w:rPr>
                <w:sz w:val="20"/>
                <w:szCs w:val="20"/>
                <w:color w:val="auto"/>
              </w:rPr>
            </w:pPr>
          </w:p>
        </w:tc>
        <w:tc>
          <w:tcPr>
            <w:tcW w:w="320" w:type="dxa"/>
            <w:vAlign w:val="bottom"/>
            <w:tcBorders>
              <w:top w:val="single" w:sz="8" w:color="E5FFFF"/>
            </w:tcBorders>
            <w:shd w:val="clear" w:color="auto" w:fill="E5FFFF"/>
          </w:tcPr>
          <w:p>
            <w:pPr>
              <w:spacing w:after="0"/>
              <w:rPr>
                <w:sz w:val="20"/>
                <w:szCs w:val="20"/>
                <w:color w:val="auto"/>
              </w:rPr>
            </w:pPr>
          </w:p>
        </w:tc>
        <w:tc>
          <w:tcPr>
            <w:tcW w:w="720" w:type="dxa"/>
            <w:vAlign w:val="bottom"/>
            <w:tcBorders>
              <w:top w:val="single" w:sz="8" w:color="E5FFFF"/>
            </w:tcBorders>
            <w:shd w:val="clear" w:color="auto" w:fill="E5FFFF"/>
          </w:tcPr>
          <w:p>
            <w:pPr>
              <w:spacing w:after="0"/>
              <w:rPr>
                <w:sz w:val="20"/>
                <w:szCs w:val="20"/>
                <w:color w:val="auto"/>
              </w:rPr>
            </w:pPr>
          </w:p>
        </w:tc>
        <w:tc>
          <w:tcPr>
            <w:tcW w:w="20" w:type="dxa"/>
            <w:vAlign w:val="bottom"/>
            <w:tcBorders>
              <w:top w:val="single" w:sz="8" w:color="E5FFFF"/>
            </w:tcBorders>
            <w:shd w:val="clear" w:color="auto" w:fill="E5FFFF"/>
          </w:tcPr>
          <w:p>
            <w:pPr>
              <w:spacing w:after="0"/>
              <w:rPr>
                <w:sz w:val="20"/>
                <w:szCs w:val="20"/>
                <w:color w:val="auto"/>
              </w:rPr>
            </w:pPr>
          </w:p>
        </w:tc>
        <w:tc>
          <w:tcPr>
            <w:tcW w:w="200" w:type="dxa"/>
            <w:vAlign w:val="bottom"/>
            <w:tcBorders>
              <w:top w:val="single" w:sz="8" w:color="auto"/>
            </w:tcBorders>
            <w:shd w:val="clear" w:color="auto" w:fill="E5FFFF"/>
          </w:tcPr>
          <w:p>
            <w:pPr>
              <w:spacing w:after="0"/>
              <w:rPr>
                <w:sz w:val="20"/>
                <w:szCs w:val="20"/>
                <w:color w:val="auto"/>
              </w:rPr>
            </w:pPr>
          </w:p>
        </w:tc>
        <w:tc>
          <w:tcPr>
            <w:tcW w:w="260" w:type="dxa"/>
            <w:vAlign w:val="bottom"/>
            <w:tcBorders>
              <w:top w:val="single" w:sz="8" w:color="auto"/>
            </w:tcBorders>
            <w:shd w:val="clear" w:color="auto" w:fill="E5FFFF"/>
          </w:tcPr>
          <w:p>
            <w:pPr>
              <w:spacing w:after="0"/>
              <w:rPr>
                <w:sz w:val="20"/>
                <w:szCs w:val="20"/>
                <w:color w:val="auto"/>
              </w:rPr>
            </w:pPr>
          </w:p>
        </w:tc>
        <w:tc>
          <w:tcPr>
            <w:tcW w:w="620" w:type="dxa"/>
            <w:vAlign w:val="bottom"/>
            <w:tcBorders>
              <w:top w:val="single" w:sz="8" w:color="auto"/>
            </w:tcBorders>
            <w:shd w:val="clear" w:color="auto" w:fill="E5FFFF"/>
          </w:tcPr>
          <w:p>
            <w:pPr>
              <w:spacing w:after="0"/>
              <w:rPr>
                <w:sz w:val="20"/>
                <w:szCs w:val="20"/>
                <w:color w:val="auto"/>
              </w:rPr>
            </w:pPr>
          </w:p>
        </w:tc>
        <w:tc>
          <w:tcPr>
            <w:tcW w:w="300" w:type="dxa"/>
            <w:vAlign w:val="bottom"/>
            <w:tcBorders>
              <w:top w:val="single" w:sz="8" w:color="auto"/>
            </w:tcBorders>
            <w:shd w:val="clear" w:color="auto" w:fill="E5FFFF"/>
          </w:tcPr>
          <w:p>
            <w:pPr>
              <w:spacing w:after="0"/>
              <w:rPr>
                <w:sz w:val="20"/>
                <w:szCs w:val="20"/>
                <w:color w:val="auto"/>
              </w:rPr>
            </w:pPr>
          </w:p>
        </w:tc>
        <w:tc>
          <w:tcPr>
            <w:tcW w:w="20" w:type="dxa"/>
            <w:vAlign w:val="bottom"/>
            <w:tcBorders>
              <w:top w:val="single" w:sz="8" w:color="E5FFFF"/>
            </w:tcBorders>
            <w:shd w:val="clear" w:color="auto" w:fill="E5FFFF"/>
          </w:tcPr>
          <w:p>
            <w:pPr>
              <w:spacing w:after="0"/>
              <w:rPr>
                <w:sz w:val="20"/>
                <w:szCs w:val="20"/>
                <w:color w:val="auto"/>
              </w:rPr>
            </w:pPr>
          </w:p>
        </w:tc>
        <w:tc>
          <w:tcPr>
            <w:tcW w:w="460" w:type="dxa"/>
            <w:vAlign w:val="bottom"/>
            <w:tcBorders>
              <w:top w:val="single" w:sz="8" w:color="E5FFFF"/>
            </w:tcBorders>
            <w:shd w:val="clear" w:color="auto" w:fill="E5FFFF"/>
          </w:tcPr>
          <w:p>
            <w:pPr>
              <w:spacing w:after="0"/>
              <w:rPr>
                <w:sz w:val="20"/>
                <w:szCs w:val="20"/>
                <w:color w:val="auto"/>
              </w:rPr>
            </w:pPr>
          </w:p>
        </w:tc>
        <w:tc>
          <w:tcPr>
            <w:tcW w:w="820" w:type="dxa"/>
            <w:vAlign w:val="bottom"/>
            <w:tcBorders>
              <w:top w:val="single" w:sz="8" w:color="E5FFFF"/>
            </w:tcBorders>
            <w:shd w:val="clear" w:color="auto" w:fill="E5FFFF"/>
          </w:tcPr>
          <w:p>
            <w:pPr>
              <w:spacing w:after="0"/>
              <w:rPr>
                <w:sz w:val="20"/>
                <w:szCs w:val="20"/>
                <w:color w:val="auto"/>
              </w:rPr>
            </w:pPr>
          </w:p>
        </w:tc>
        <w:tc>
          <w:tcPr>
            <w:tcW w:w="880" w:type="dxa"/>
            <w:vAlign w:val="bottom"/>
            <w:tcBorders>
              <w:top w:val="single" w:sz="8" w:color="E5FFFF"/>
            </w:tcBorders>
            <w:shd w:val="clear" w:color="auto" w:fill="E5FFFF"/>
          </w:tcPr>
          <w:p>
            <w:pPr>
              <w:spacing w:after="0"/>
              <w:rPr>
                <w:sz w:val="20"/>
                <w:szCs w:val="20"/>
                <w:color w:val="auto"/>
              </w:rPr>
            </w:pPr>
          </w:p>
        </w:tc>
        <w:tc>
          <w:tcPr>
            <w:tcW w:w="460" w:type="dxa"/>
            <w:vAlign w:val="bottom"/>
            <w:tcBorders>
              <w:top w:val="single" w:sz="8" w:color="E5FFFF"/>
            </w:tcBorders>
            <w:shd w:val="clear" w:color="auto" w:fill="E5FFFF"/>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22"/>
                <w:szCs w:val="22"/>
                <w:color w:val="auto"/>
              </w:rPr>
              <w:t>Non-Vested at July 31, 2022</w:t>
            </w:r>
          </w:p>
        </w:tc>
        <w:tc>
          <w:tcPr>
            <w:tcW w:w="1500" w:type="dxa"/>
            <w:vAlign w:val="bottom"/>
            <w:gridSpan w:val="2"/>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5"/>
              </w:rPr>
              <w:t>82,453</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2"/>
                <w:szCs w:val="22"/>
                <w:color w:val="auto"/>
              </w:rPr>
              <w:t>2,354</w:t>
            </w:r>
          </w:p>
        </w:tc>
        <w:tc>
          <w:tcPr>
            <w:tcW w:w="460" w:type="dxa"/>
            <w:vAlign w:val="bottom"/>
          </w:tcPr>
          <w:p>
            <w:pPr>
              <w:spacing w:after="0"/>
              <w:rPr>
                <w:sz w:val="23"/>
                <w:szCs w:val="23"/>
                <w:color w:val="auto"/>
              </w:rPr>
            </w:pPr>
          </w:p>
        </w:tc>
        <w:tc>
          <w:tcPr>
            <w:tcW w:w="2160" w:type="dxa"/>
            <w:vAlign w:val="bottom"/>
            <w:gridSpan w:val="3"/>
          </w:tcPr>
          <w:p>
            <w:pPr>
              <w:jc w:val="right"/>
              <w:ind w:right="220"/>
              <w:spacing w:after="0"/>
              <w:rPr>
                <w:sz w:val="20"/>
                <w:szCs w:val="20"/>
                <w:color w:val="auto"/>
              </w:rPr>
            </w:pPr>
            <w:r>
              <w:rPr>
                <w:rFonts w:ascii="Times New Roman" w:cs="Times New Roman" w:eastAsia="Times New Roman" w:hAnsi="Times New Roman"/>
                <w:sz w:val="22"/>
                <w:szCs w:val="22"/>
                <w:color w:val="auto"/>
              </w:rPr>
              <w:t>3</w:t>
            </w:r>
          </w:p>
        </w:tc>
        <w:tc>
          <w:tcPr>
            <w:tcW w:w="20" w:type="dxa"/>
            <w:vAlign w:val="bottom"/>
          </w:tcPr>
          <w:p>
            <w:pPr>
              <w:spacing w:after="0"/>
              <w:rPr>
                <w:sz w:val="23"/>
                <w:szCs w:val="23"/>
                <w:color w:val="auto"/>
              </w:rPr>
            </w:pPr>
          </w:p>
        </w:tc>
      </w:tr>
      <w:tr>
        <w:trPr>
          <w:trHeight w:val="20"/>
        </w:trPr>
        <w:tc>
          <w:tcPr>
            <w:tcW w:w="4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451"/>
        </w:trPr>
        <w:tc>
          <w:tcPr>
            <w:tcW w:w="4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80" w:type="dxa"/>
            <w:vAlign w:val="bottom"/>
            <w:gridSpan w:val="12"/>
          </w:tcPr>
          <w:p>
            <w:pPr>
              <w:ind w:left="120"/>
              <w:spacing w:after="0"/>
              <w:rPr>
                <w:sz w:val="20"/>
                <w:szCs w:val="20"/>
                <w:color w:val="auto"/>
              </w:rPr>
            </w:pPr>
            <w:r>
              <w:rPr>
                <w:rFonts w:ascii="Times New Roman" w:cs="Times New Roman" w:eastAsia="Times New Roman" w:hAnsi="Times New Roman"/>
                <w:sz w:val="22"/>
                <w:szCs w:val="22"/>
                <w:b w:val="1"/>
                <w:bCs w:val="1"/>
                <w:color w:val="auto"/>
              </w:rPr>
              <w:t>Six Months Ended July 31, 2021</w:t>
            </w:r>
          </w:p>
        </w:tc>
      </w:tr>
      <w:tr>
        <w:trPr>
          <w:trHeight w:val="443"/>
        </w:trPr>
        <w:tc>
          <w:tcPr>
            <w:tcW w:w="4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5"/>
          </w:tcPr>
          <w:p>
            <w:pPr>
              <w:jc w:val="center"/>
              <w:ind w:right="540"/>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2180" w:type="dxa"/>
            <w:vAlign w:val="bottom"/>
            <w:gridSpan w:val="4"/>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Weighted</w:t>
            </w:r>
          </w:p>
        </w:tc>
      </w:tr>
      <w:tr>
        <w:trPr>
          <w:trHeight w:val="243"/>
        </w:trPr>
        <w:tc>
          <w:tcPr>
            <w:tcW w:w="40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gridSpan w:val="6"/>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Grant</w:t>
            </w:r>
          </w:p>
        </w:tc>
        <w:tc>
          <w:tcPr>
            <w:tcW w:w="2180" w:type="dxa"/>
            <w:vAlign w:val="bottom"/>
            <w:gridSpan w:val="4"/>
          </w:tcPr>
          <w:p>
            <w:pPr>
              <w:jc w:val="center"/>
              <w:ind w:left="2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Remaining</w:t>
            </w:r>
          </w:p>
        </w:tc>
      </w:tr>
      <w:tr>
        <w:trPr>
          <w:trHeight w:val="243"/>
        </w:trPr>
        <w:tc>
          <w:tcPr>
            <w:tcW w:w="4040" w:type="dxa"/>
            <w:vAlign w:val="bottom"/>
          </w:tcPr>
          <w:p>
            <w:pPr>
              <w:spacing w:after="0"/>
              <w:rPr>
                <w:sz w:val="21"/>
                <w:szCs w:val="21"/>
                <w:color w:val="auto"/>
              </w:rPr>
            </w:pPr>
          </w:p>
        </w:tc>
        <w:tc>
          <w:tcPr>
            <w:tcW w:w="2440" w:type="dxa"/>
            <w:vAlign w:val="bottom"/>
            <w:gridSpan w:val="5"/>
          </w:tcPr>
          <w:p>
            <w:pPr>
              <w:jc w:val="center"/>
              <w:ind w:left="10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Non-Vested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gridSpan w:val="6"/>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Fair Value</w:t>
            </w:r>
          </w:p>
        </w:tc>
        <w:tc>
          <w:tcPr>
            <w:tcW w:w="2180" w:type="dxa"/>
            <w:vAlign w:val="bottom"/>
            <w:gridSpan w:val="4"/>
          </w:tcPr>
          <w:p>
            <w:pPr>
              <w:jc w:val="center"/>
              <w:ind w:left="252"/>
              <w:spacing w:after="0" w:line="243" w:lineRule="exact"/>
              <w:rPr>
                <w:sz w:val="20"/>
                <w:szCs w:val="20"/>
                <w:color w:val="auto"/>
              </w:rPr>
            </w:pPr>
            <w:r>
              <w:rPr>
                <w:rFonts w:ascii="Times New Roman" w:cs="Times New Roman" w:eastAsia="Times New Roman" w:hAnsi="Times New Roman"/>
                <w:sz w:val="22"/>
                <w:szCs w:val="22"/>
                <w:b w:val="1"/>
                <w:bCs w:val="1"/>
                <w:color w:val="auto"/>
                <w:w w:val="94"/>
              </w:rPr>
              <w:t>Vesting Term</w:t>
            </w:r>
          </w:p>
        </w:tc>
      </w:tr>
      <w:tr>
        <w:trPr>
          <w:trHeight w:val="234"/>
        </w:trPr>
        <w:tc>
          <w:tcPr>
            <w:tcW w:w="4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60" w:type="dxa"/>
            <w:vAlign w:val="bottom"/>
            <w:gridSpan w:val="4"/>
          </w:tcPr>
          <w:p>
            <w:pPr>
              <w:jc w:val="center"/>
              <w:ind w:right="300"/>
              <w:spacing w:after="0" w:line="233" w:lineRule="exact"/>
              <w:rPr>
                <w:sz w:val="20"/>
                <w:szCs w:val="20"/>
                <w:color w:val="auto"/>
              </w:rPr>
            </w:pPr>
            <w:r>
              <w:rPr>
                <w:rFonts w:ascii="Times New Roman" w:cs="Times New Roman" w:eastAsia="Times New Roman" w:hAnsi="Times New Roman"/>
                <w:sz w:val="22"/>
                <w:szCs w:val="22"/>
                <w:b w:val="1"/>
                <w:bCs w:val="1"/>
                <w:color w:val="auto"/>
                <w:w w:val="97"/>
              </w:rPr>
              <w:t>Shares</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4"/>
          </w:tcPr>
          <w:p>
            <w:pPr>
              <w:jc w:val="center"/>
              <w:ind w:right="780"/>
              <w:spacing w:after="0" w:line="233" w:lineRule="exact"/>
              <w:rPr>
                <w:sz w:val="20"/>
                <w:szCs w:val="20"/>
                <w:color w:val="auto"/>
              </w:rPr>
            </w:pPr>
            <w:r>
              <w:rPr>
                <w:rFonts w:ascii="Times New Roman" w:cs="Times New Roman" w:eastAsia="Times New Roman" w:hAnsi="Times New Roman"/>
                <w:sz w:val="22"/>
                <w:szCs w:val="22"/>
                <w:b w:val="1"/>
                <w:bCs w:val="1"/>
                <w:color w:val="auto"/>
                <w:w w:val="97"/>
              </w:rPr>
              <w:t>(000’s)</w:t>
            </w:r>
          </w:p>
        </w:tc>
        <w:tc>
          <w:tcPr>
            <w:tcW w:w="2180" w:type="dxa"/>
            <w:vAlign w:val="bottom"/>
            <w:gridSpan w:val="4"/>
          </w:tcPr>
          <w:p>
            <w:pPr>
              <w:jc w:val="center"/>
              <w:ind w:left="232"/>
              <w:spacing w:after="0" w:line="233" w:lineRule="exact"/>
              <w:rPr>
                <w:sz w:val="20"/>
                <w:szCs w:val="20"/>
                <w:color w:val="auto"/>
              </w:rPr>
            </w:pPr>
            <w:r>
              <w:rPr>
                <w:rFonts w:ascii="Times New Roman" w:cs="Times New Roman" w:eastAsia="Times New Roman" w:hAnsi="Times New Roman"/>
                <w:sz w:val="22"/>
                <w:szCs w:val="22"/>
                <w:b w:val="1"/>
                <w:bCs w:val="1"/>
                <w:color w:val="auto"/>
                <w:w w:val="99"/>
              </w:rPr>
              <w:t>(in years)</w:t>
            </w:r>
          </w:p>
        </w:tc>
      </w:tr>
      <w:tr>
        <w:trPr>
          <w:trHeight w:val="263"/>
        </w:trPr>
        <w:tc>
          <w:tcPr>
            <w:tcW w:w="40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40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Non-Vested at January 31, 2021</w:t>
            </w:r>
          </w:p>
        </w:tc>
        <w:tc>
          <w:tcPr>
            <w:tcW w:w="2120" w:type="dxa"/>
            <w:vAlign w:val="bottom"/>
            <w:gridSpan w:val="4"/>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59,102</w:t>
            </w:r>
          </w:p>
        </w:tc>
        <w:tc>
          <w:tcPr>
            <w:tcW w:w="320" w:type="dxa"/>
            <w:vAlign w:val="bottom"/>
            <w:shd w:val="clear" w:color="auto" w:fill="E5FFFF"/>
          </w:tcPr>
          <w:p>
            <w:pPr>
              <w:spacing w:after="0"/>
              <w:rPr>
                <w:sz w:val="21"/>
                <w:szCs w:val="21"/>
                <w:color w:val="auto"/>
              </w:rPr>
            </w:pPr>
          </w:p>
        </w:tc>
        <w:tc>
          <w:tcPr>
            <w:tcW w:w="94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gridSpan w:val="4"/>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1,398</w:t>
            </w:r>
          </w:p>
        </w:tc>
        <w:tc>
          <w:tcPr>
            <w:tcW w:w="460" w:type="dxa"/>
            <w:vAlign w:val="bottom"/>
            <w:shd w:val="clear" w:color="auto" w:fill="E5FFFF"/>
          </w:tcPr>
          <w:p>
            <w:pPr>
              <w:spacing w:after="0"/>
              <w:rPr>
                <w:sz w:val="21"/>
                <w:szCs w:val="21"/>
                <w:color w:val="auto"/>
              </w:rPr>
            </w:pPr>
          </w:p>
        </w:tc>
        <w:tc>
          <w:tcPr>
            <w:tcW w:w="2160" w:type="dxa"/>
            <w:vAlign w:val="bottom"/>
            <w:gridSpan w:val="3"/>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1</w:t>
            </w:r>
          </w:p>
        </w:tc>
        <w:tc>
          <w:tcPr>
            <w:tcW w:w="20" w:type="dxa"/>
            <w:vAlign w:val="bottom"/>
          </w:tcPr>
          <w:p>
            <w:pPr>
              <w:spacing w:after="0"/>
              <w:rPr>
                <w:sz w:val="21"/>
                <w:szCs w:val="21"/>
                <w:color w:val="auto"/>
              </w:rPr>
            </w:pPr>
          </w:p>
        </w:tc>
      </w:tr>
      <w:tr>
        <w:trPr>
          <w:trHeight w:val="243"/>
        </w:trPr>
        <w:tc>
          <w:tcPr>
            <w:tcW w:w="4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2120" w:type="dxa"/>
            <w:vAlign w:val="bottom"/>
            <w:gridSpan w:val="4"/>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8,409</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4"/>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275</w:t>
            </w: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2120" w:type="dxa"/>
            <w:vAlign w:val="bottom"/>
            <w:gridSpan w:val="4"/>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00" w:type="dxa"/>
            <w:vAlign w:val="bottom"/>
            <w:gridSpan w:val="4"/>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46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4040" w:type="dxa"/>
            <w:vAlign w:val="bottom"/>
          </w:tcPr>
          <w:p>
            <w:pPr>
              <w:spacing w:after="0"/>
              <w:rPr>
                <w:sz w:val="20"/>
                <w:szCs w:val="20"/>
                <w:color w:val="auto"/>
              </w:rPr>
            </w:pPr>
            <w:r>
              <w:rPr>
                <w:rFonts w:ascii="Times New Roman" w:cs="Times New Roman" w:eastAsia="Times New Roman" w:hAnsi="Times New Roman"/>
                <w:sz w:val="22"/>
                <w:szCs w:val="22"/>
                <w:color w:val="auto"/>
              </w:rPr>
              <w:t>Vested</w:t>
            </w:r>
          </w:p>
        </w:tc>
        <w:tc>
          <w:tcPr>
            <w:tcW w:w="212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auto"/>
              </w:rPr>
              <w:t>37,344</w:t>
            </w: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auto"/>
              </w:rPr>
              <w:t>900</w:t>
            </w: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4040" w:type="dxa"/>
            <w:vAlign w:val="bottom"/>
            <w:tcBorders>
              <w:top w:val="single" w:sz="8" w:color="E5FFFF"/>
            </w:tcBorders>
            <w:shd w:val="clear" w:color="auto" w:fill="E5FFFF"/>
          </w:tcPr>
          <w:p>
            <w:pPr>
              <w:spacing w:after="0"/>
              <w:rPr>
                <w:sz w:val="20"/>
                <w:szCs w:val="20"/>
                <w:color w:val="auto"/>
              </w:rPr>
            </w:pPr>
          </w:p>
        </w:tc>
        <w:tc>
          <w:tcPr>
            <w:tcW w:w="1480" w:type="dxa"/>
            <w:vAlign w:val="bottom"/>
            <w:tcBorders>
              <w:top w:val="single" w:sz="8" w:color="E5FFFF"/>
            </w:tcBorders>
            <w:shd w:val="clear" w:color="auto" w:fill="E5FFFF"/>
          </w:tcPr>
          <w:p>
            <w:pPr>
              <w:spacing w:after="0"/>
              <w:rPr>
                <w:sz w:val="20"/>
                <w:szCs w:val="20"/>
                <w:color w:val="auto"/>
              </w:rPr>
            </w:pPr>
          </w:p>
        </w:tc>
        <w:tc>
          <w:tcPr>
            <w:tcW w:w="20" w:type="dxa"/>
            <w:vAlign w:val="bottom"/>
            <w:tcBorders>
              <w:top w:val="single" w:sz="8" w:color="E5FFFF"/>
            </w:tcBorders>
            <w:shd w:val="clear" w:color="auto" w:fill="E5FFFF"/>
          </w:tcPr>
          <w:p>
            <w:pPr>
              <w:spacing w:after="0"/>
              <w:rPr>
                <w:sz w:val="20"/>
                <w:szCs w:val="20"/>
                <w:color w:val="auto"/>
              </w:rPr>
            </w:pPr>
          </w:p>
        </w:tc>
        <w:tc>
          <w:tcPr>
            <w:tcW w:w="600" w:type="dxa"/>
            <w:vAlign w:val="bottom"/>
            <w:tcBorders>
              <w:top w:val="single" w:sz="8" w:color="auto"/>
            </w:tcBorders>
            <w:shd w:val="clear" w:color="auto" w:fill="E5FFFF"/>
          </w:tcPr>
          <w:p>
            <w:pPr>
              <w:spacing w:after="0"/>
              <w:rPr>
                <w:sz w:val="20"/>
                <w:szCs w:val="20"/>
                <w:color w:val="auto"/>
              </w:rPr>
            </w:pPr>
          </w:p>
        </w:tc>
        <w:tc>
          <w:tcPr>
            <w:tcW w:w="20" w:type="dxa"/>
            <w:vAlign w:val="bottom"/>
            <w:tcBorders>
              <w:top w:val="single" w:sz="8" w:color="E5FFFF"/>
            </w:tcBorders>
            <w:shd w:val="clear" w:color="auto" w:fill="E5FFFF"/>
          </w:tcPr>
          <w:p>
            <w:pPr>
              <w:spacing w:after="0"/>
              <w:rPr>
                <w:sz w:val="20"/>
                <w:szCs w:val="20"/>
                <w:color w:val="auto"/>
              </w:rPr>
            </w:pPr>
          </w:p>
        </w:tc>
        <w:tc>
          <w:tcPr>
            <w:tcW w:w="320" w:type="dxa"/>
            <w:vAlign w:val="bottom"/>
            <w:tcBorders>
              <w:top w:val="single" w:sz="8" w:color="E5FFFF"/>
            </w:tcBorders>
            <w:shd w:val="clear" w:color="auto" w:fill="E5FFFF"/>
          </w:tcPr>
          <w:p>
            <w:pPr>
              <w:spacing w:after="0"/>
              <w:rPr>
                <w:sz w:val="20"/>
                <w:szCs w:val="20"/>
                <w:color w:val="auto"/>
              </w:rPr>
            </w:pPr>
          </w:p>
        </w:tc>
        <w:tc>
          <w:tcPr>
            <w:tcW w:w="720" w:type="dxa"/>
            <w:vAlign w:val="bottom"/>
            <w:tcBorders>
              <w:top w:val="single" w:sz="8" w:color="E5FFFF"/>
            </w:tcBorders>
            <w:shd w:val="clear" w:color="auto" w:fill="E5FFFF"/>
          </w:tcPr>
          <w:p>
            <w:pPr>
              <w:spacing w:after="0"/>
              <w:rPr>
                <w:sz w:val="20"/>
                <w:szCs w:val="20"/>
                <w:color w:val="auto"/>
              </w:rPr>
            </w:pPr>
          </w:p>
        </w:tc>
        <w:tc>
          <w:tcPr>
            <w:tcW w:w="20" w:type="dxa"/>
            <w:vAlign w:val="bottom"/>
            <w:tcBorders>
              <w:top w:val="single" w:sz="8" w:color="E5FFFF"/>
            </w:tcBorders>
            <w:shd w:val="clear" w:color="auto" w:fill="E5FFFF"/>
          </w:tcPr>
          <w:p>
            <w:pPr>
              <w:spacing w:after="0"/>
              <w:rPr>
                <w:sz w:val="20"/>
                <w:szCs w:val="20"/>
                <w:color w:val="auto"/>
              </w:rPr>
            </w:pPr>
          </w:p>
        </w:tc>
        <w:tc>
          <w:tcPr>
            <w:tcW w:w="200" w:type="dxa"/>
            <w:vAlign w:val="bottom"/>
            <w:tcBorders>
              <w:top w:val="single" w:sz="8" w:color="auto"/>
            </w:tcBorders>
            <w:shd w:val="clear" w:color="auto" w:fill="E5FFFF"/>
          </w:tcPr>
          <w:p>
            <w:pPr>
              <w:spacing w:after="0"/>
              <w:rPr>
                <w:sz w:val="20"/>
                <w:szCs w:val="20"/>
                <w:color w:val="auto"/>
              </w:rPr>
            </w:pPr>
          </w:p>
        </w:tc>
        <w:tc>
          <w:tcPr>
            <w:tcW w:w="260" w:type="dxa"/>
            <w:vAlign w:val="bottom"/>
            <w:tcBorders>
              <w:top w:val="single" w:sz="8" w:color="auto"/>
            </w:tcBorders>
            <w:shd w:val="clear" w:color="auto" w:fill="E5FFFF"/>
          </w:tcPr>
          <w:p>
            <w:pPr>
              <w:spacing w:after="0"/>
              <w:rPr>
                <w:sz w:val="20"/>
                <w:szCs w:val="20"/>
                <w:color w:val="auto"/>
              </w:rPr>
            </w:pPr>
          </w:p>
        </w:tc>
        <w:tc>
          <w:tcPr>
            <w:tcW w:w="620" w:type="dxa"/>
            <w:vAlign w:val="bottom"/>
            <w:tcBorders>
              <w:top w:val="single" w:sz="8" w:color="auto"/>
            </w:tcBorders>
            <w:shd w:val="clear" w:color="auto" w:fill="E5FFFF"/>
          </w:tcPr>
          <w:p>
            <w:pPr>
              <w:spacing w:after="0"/>
              <w:rPr>
                <w:sz w:val="20"/>
                <w:szCs w:val="20"/>
                <w:color w:val="auto"/>
              </w:rPr>
            </w:pPr>
          </w:p>
        </w:tc>
        <w:tc>
          <w:tcPr>
            <w:tcW w:w="300" w:type="dxa"/>
            <w:vAlign w:val="bottom"/>
            <w:tcBorders>
              <w:top w:val="single" w:sz="8" w:color="auto"/>
            </w:tcBorders>
            <w:shd w:val="clear" w:color="auto" w:fill="E5FFFF"/>
          </w:tcPr>
          <w:p>
            <w:pPr>
              <w:spacing w:after="0"/>
              <w:rPr>
                <w:sz w:val="20"/>
                <w:szCs w:val="20"/>
                <w:color w:val="auto"/>
              </w:rPr>
            </w:pPr>
          </w:p>
        </w:tc>
        <w:tc>
          <w:tcPr>
            <w:tcW w:w="20" w:type="dxa"/>
            <w:vAlign w:val="bottom"/>
            <w:tcBorders>
              <w:top w:val="single" w:sz="8" w:color="E5FFFF"/>
            </w:tcBorders>
            <w:shd w:val="clear" w:color="auto" w:fill="E5FFFF"/>
          </w:tcPr>
          <w:p>
            <w:pPr>
              <w:spacing w:after="0"/>
              <w:rPr>
                <w:sz w:val="20"/>
                <w:szCs w:val="20"/>
                <w:color w:val="auto"/>
              </w:rPr>
            </w:pPr>
          </w:p>
        </w:tc>
        <w:tc>
          <w:tcPr>
            <w:tcW w:w="460" w:type="dxa"/>
            <w:vAlign w:val="bottom"/>
            <w:tcBorders>
              <w:top w:val="single" w:sz="8" w:color="E5FFFF"/>
            </w:tcBorders>
            <w:shd w:val="clear" w:color="auto" w:fill="E5FFFF"/>
          </w:tcPr>
          <w:p>
            <w:pPr>
              <w:spacing w:after="0"/>
              <w:rPr>
                <w:sz w:val="20"/>
                <w:szCs w:val="20"/>
                <w:color w:val="auto"/>
              </w:rPr>
            </w:pPr>
          </w:p>
        </w:tc>
        <w:tc>
          <w:tcPr>
            <w:tcW w:w="820" w:type="dxa"/>
            <w:vAlign w:val="bottom"/>
            <w:tcBorders>
              <w:top w:val="single" w:sz="8" w:color="E5FFFF"/>
            </w:tcBorders>
            <w:shd w:val="clear" w:color="auto" w:fill="E5FFFF"/>
          </w:tcPr>
          <w:p>
            <w:pPr>
              <w:spacing w:after="0"/>
              <w:rPr>
                <w:sz w:val="20"/>
                <w:szCs w:val="20"/>
                <w:color w:val="auto"/>
              </w:rPr>
            </w:pPr>
          </w:p>
        </w:tc>
        <w:tc>
          <w:tcPr>
            <w:tcW w:w="880" w:type="dxa"/>
            <w:vAlign w:val="bottom"/>
            <w:tcBorders>
              <w:top w:val="single" w:sz="8" w:color="E5FFFF"/>
            </w:tcBorders>
            <w:shd w:val="clear" w:color="auto" w:fill="E5FFFF"/>
          </w:tcPr>
          <w:p>
            <w:pPr>
              <w:spacing w:after="0"/>
              <w:rPr>
                <w:sz w:val="20"/>
                <w:szCs w:val="20"/>
                <w:color w:val="auto"/>
              </w:rPr>
            </w:pPr>
          </w:p>
        </w:tc>
        <w:tc>
          <w:tcPr>
            <w:tcW w:w="460" w:type="dxa"/>
            <w:vAlign w:val="bottom"/>
            <w:tcBorders>
              <w:top w:val="single" w:sz="8" w:color="E5FFFF"/>
            </w:tcBorders>
            <w:shd w:val="clear" w:color="auto" w:fill="E5FFFF"/>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22"/>
                <w:szCs w:val="22"/>
                <w:color w:val="auto"/>
              </w:rPr>
              <w:t>Non-Vested at July 31, 2021</w:t>
            </w:r>
          </w:p>
        </w:tc>
        <w:tc>
          <w:tcPr>
            <w:tcW w:w="212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auto"/>
              </w:rPr>
              <w:t>30,167</w:t>
            </w:r>
          </w:p>
        </w:tc>
        <w:tc>
          <w:tcPr>
            <w:tcW w:w="320" w:type="dxa"/>
            <w:vAlign w:val="bottom"/>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auto"/>
              </w:rPr>
              <w:t>773</w:t>
            </w:r>
          </w:p>
        </w:tc>
        <w:tc>
          <w:tcPr>
            <w:tcW w:w="460" w:type="dxa"/>
            <w:vAlign w:val="bottom"/>
          </w:tcPr>
          <w:p>
            <w:pPr>
              <w:spacing w:after="0"/>
              <w:rPr>
                <w:sz w:val="23"/>
                <w:szCs w:val="23"/>
                <w:color w:val="auto"/>
              </w:rPr>
            </w:pPr>
          </w:p>
        </w:tc>
        <w:tc>
          <w:tcPr>
            <w:tcW w:w="2160" w:type="dxa"/>
            <w:vAlign w:val="bottom"/>
            <w:gridSpan w:val="3"/>
          </w:tcPr>
          <w:p>
            <w:pPr>
              <w:jc w:val="right"/>
              <w:ind w:right="220"/>
              <w:spacing w:after="0"/>
              <w:rPr>
                <w:sz w:val="20"/>
                <w:szCs w:val="20"/>
                <w:color w:val="auto"/>
              </w:rPr>
            </w:pPr>
            <w:r>
              <w:rPr>
                <w:rFonts w:ascii="Times New Roman" w:cs="Times New Roman" w:eastAsia="Times New Roman" w:hAnsi="Times New Roman"/>
                <w:sz w:val="22"/>
                <w:szCs w:val="22"/>
                <w:color w:val="auto"/>
              </w:rPr>
              <w:t>2</w:t>
            </w:r>
          </w:p>
        </w:tc>
        <w:tc>
          <w:tcPr>
            <w:tcW w:w="20" w:type="dxa"/>
            <w:vAlign w:val="bottom"/>
          </w:tcPr>
          <w:p>
            <w:pPr>
              <w:spacing w:after="0"/>
              <w:rPr>
                <w:sz w:val="23"/>
                <w:szCs w:val="23"/>
                <w:color w:val="auto"/>
              </w:rPr>
            </w:pPr>
          </w:p>
        </w:tc>
      </w:tr>
      <w:tr>
        <w:trPr>
          <w:trHeight w:val="20"/>
        </w:trPr>
        <w:tc>
          <w:tcPr>
            <w:tcW w:w="4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4"/>
        </w:trPr>
        <w:tc>
          <w:tcPr>
            <w:tcW w:w="4040" w:type="dxa"/>
            <w:vAlign w:val="bottom"/>
          </w:tcPr>
          <w:p>
            <w:pPr>
              <w:spacing w:after="0"/>
              <w:rPr>
                <w:sz w:val="24"/>
                <w:szCs w:val="24"/>
                <w:color w:val="auto"/>
              </w:rPr>
            </w:pPr>
          </w:p>
        </w:tc>
        <w:tc>
          <w:tcPr>
            <w:tcW w:w="2100" w:type="dxa"/>
            <w:vAlign w:val="bottom"/>
            <w:gridSpan w:val="3"/>
          </w:tcPr>
          <w:p>
            <w:pPr>
              <w:jc w:val="right"/>
              <w:ind w:right="292"/>
              <w:spacing w:after="0"/>
              <w:rPr>
                <w:sz w:val="20"/>
                <w:szCs w:val="20"/>
                <w:color w:val="auto"/>
              </w:rPr>
            </w:pPr>
            <w:r>
              <w:rPr>
                <w:rFonts w:ascii="Times New Roman" w:cs="Times New Roman" w:eastAsia="Times New Roman" w:hAnsi="Times New Roman"/>
                <w:sz w:val="22"/>
                <w:szCs w:val="22"/>
                <w:color w:val="auto"/>
              </w:rPr>
              <w:t>21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4040" w:type="dxa"/>
            <w:vAlign w:val="bottom"/>
            <w:tcBorders>
              <w:bottom w:val="single" w:sz="8" w:color="C0C0C0"/>
            </w:tcBorders>
          </w:tcPr>
          <w:p>
            <w:pPr>
              <w:spacing w:after="0"/>
              <w:rPr>
                <w:sz w:val="20"/>
                <w:szCs w:val="20"/>
                <w:color w:val="auto"/>
              </w:rPr>
            </w:pPr>
          </w:p>
        </w:tc>
        <w:tc>
          <w:tcPr>
            <w:tcW w:w="148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60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20" w:type="dxa"/>
            <w:vAlign w:val="bottom"/>
          </w:tcPr>
          <w:p>
            <w:pPr>
              <w:spacing w:after="0"/>
              <w:rPr>
                <w:sz w:val="20"/>
                <w:szCs w:val="20"/>
                <w:color w:val="auto"/>
              </w:rPr>
            </w:pPr>
          </w:p>
        </w:tc>
      </w:tr>
    </w:tbl>
    <w:p>
      <w:pPr>
        <w:sectPr>
          <w:pgSz w:w="11900" w:h="16838" w:orient="portrait"/>
          <w:cols w:equalWidth="0" w:num="1">
            <w:col w:w="11260"/>
          </w:cols>
          <w:pgMar w:left="320" w:top="392"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color w:val="auto"/>
        </w:rPr>
        <w:t>Restricted Stock Units (RSUs)</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In May 2022, the Company issued a total of 67,500 RSUs to certain officers. The number of RSUs eligible to vest will be determined based on how the Company’s Total Shareholder Return (TSR) compares to that of a peer group of companies that comprise the Russell 2000 Index during the performance period ending December 31, 2024. The number of RSUs eligible to vest ranges from zero percent to two hundred percent, depending on actual performance during the performance period.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For the three and six month period ended July 31, 2022, the Company recognized compensation cost of approximately $188,000 related to the RSUs.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11</w:t>
      </w:r>
      <w:r>
        <w:rPr>
          <w:rFonts w:ascii="Times New Roman" w:cs="Times New Roman" w:eastAsia="Times New Roman" w:hAnsi="Times New Roman"/>
          <w:sz w:val="22"/>
          <w:szCs w:val="22"/>
          <w:b w:val="1"/>
          <w:bCs w:val="1"/>
          <w:i w:val="1"/>
          <w:iCs w:val="1"/>
          <w:color w:val="auto"/>
        </w:rPr>
        <w:t>. Income Taxes</w:t>
      </w:r>
    </w:p>
    <w:p>
      <w:pPr>
        <w:spacing w:after="0" w:line="239"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The Company’s income tax provision from continuing operations was approximately $4.3 million and approximately $1.8 million for the three months ended July 31, 2022 and 2021, respectively. The Company’s income tax provision from continuing operations was approximately $6.2 million and approximately $4.0 million for the six months ended July 31, 2022 and 2021, respectively.</w:t>
      </w:r>
    </w:p>
    <w:p>
      <w:pPr>
        <w:spacing w:after="0" w:line="20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The Company did not have any activity classified as discontinued operations in the current fiscal year and therefore, did not have an income tax provision or benefit from discontinued operations. The Company’s income tax benefit from discontinued operations was approximately $5.4 million and approximately $7.6 million for the three and six months ended July 31, 2021, respectively. The benefit is derived from the level of tax credits generated from the refined coal business and the tax benefit of the loss from operations. Through its refined coal business, the Company earned production tax credits pursuant to IRC Section 45. The credits can be used to reduce future income tax liabilities for up to 20 years.</w:t>
      </w:r>
    </w:p>
    <w:p>
      <w:pPr>
        <w:spacing w:after="0" w:line="20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21"/>
          <w:szCs w:val="21"/>
          <w:color w:val="auto"/>
        </w:rPr>
        <w:t>The Company assessed all available positive and negative evidence to determine whether it expects sufficient future taxable income will be generated to allow for the realization of existing federal deferred tax assets. The Company ceased operation of its refined coal business on November 18, 2021. There is sufficient objectively verifiable income for management to conclude that it is more likely than not that the Company will utilize available federal deferred tax assets prior to their expiration.</w:t>
      </w:r>
    </w:p>
    <w:p>
      <w:pPr>
        <w:spacing w:after="0" w:line="189" w:lineRule="exact"/>
        <w:rPr>
          <w:sz w:val="20"/>
          <w:szCs w:val="20"/>
          <w:color w:val="auto"/>
        </w:rPr>
      </w:pPr>
    </w:p>
    <w:p>
      <w:pPr>
        <w:ind w:right="220" w:firstLine="648"/>
        <w:spacing w:after="0" w:line="239" w:lineRule="auto"/>
        <w:rPr>
          <w:sz w:val="20"/>
          <w:szCs w:val="20"/>
          <w:color w:val="auto"/>
        </w:rPr>
      </w:pPr>
      <w:r>
        <w:rPr>
          <w:rFonts w:ascii="Times New Roman" w:cs="Times New Roman" w:eastAsia="Times New Roman" w:hAnsi="Times New Roman"/>
          <w:sz w:val="22"/>
          <w:szCs w:val="22"/>
          <w:color w:val="auto"/>
        </w:rPr>
        <w:t>The Company files a U.S. federal income tax return and various state income tax returns. In general, the Company is no longer subject to U.S. federal, state or local income tax examinations by tax authorities for years ended January 31, 2014 and prior. The Company is currently undergoing a federal income tax examination for the years ended January 31, 2015 through January 31, 2020.</w:t>
      </w:r>
    </w:p>
    <w:p>
      <w:pPr>
        <w:spacing w:after="0" w:line="207" w:lineRule="exact"/>
        <w:rPr>
          <w:sz w:val="20"/>
          <w:szCs w:val="20"/>
          <w:color w:val="auto"/>
        </w:rPr>
      </w:pPr>
    </w:p>
    <w:p>
      <w:pPr>
        <w:ind w:right="300" w:firstLine="648"/>
        <w:spacing w:after="0" w:line="238" w:lineRule="auto"/>
        <w:rPr>
          <w:sz w:val="20"/>
          <w:szCs w:val="20"/>
          <w:color w:val="auto"/>
        </w:rPr>
      </w:pPr>
      <w:r>
        <w:rPr>
          <w:rFonts w:ascii="Times New Roman" w:cs="Times New Roman" w:eastAsia="Times New Roman" w:hAnsi="Times New Roman"/>
          <w:sz w:val="22"/>
          <w:szCs w:val="22"/>
          <w:color w:val="auto"/>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 the next 12 months; however, the Company does not expect the change to have a material effect on results of operations or financial position. A reconciliation of the beginning and ending amount of unrecognized tax benefits, including interest and penalties, is as follows (amounts in thousands):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53"/>
        </w:trPr>
        <w:tc>
          <w:tcPr>
            <w:tcW w:w="48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20" w:type="dxa"/>
            <w:vAlign w:val="bottom"/>
            <w:gridSpan w:val="6"/>
          </w:tcPr>
          <w:p>
            <w:pPr>
              <w:ind w:left="140"/>
              <w:spacing w:after="0"/>
              <w:rPr>
                <w:sz w:val="20"/>
                <w:szCs w:val="20"/>
                <w:color w:val="auto"/>
              </w:rPr>
            </w:pPr>
            <w:r>
              <w:rPr>
                <w:rFonts w:ascii="Times New Roman" w:cs="Times New Roman" w:eastAsia="Times New Roman" w:hAnsi="Times New Roman"/>
                <w:sz w:val="22"/>
                <w:szCs w:val="22"/>
                <w:b w:val="1"/>
                <w:bCs w:val="1"/>
                <w:color w:val="auto"/>
              </w:rPr>
              <w:t>Six Months Ended</w:t>
            </w:r>
          </w:p>
        </w:tc>
      </w:tr>
      <w:tr>
        <w:trPr>
          <w:trHeight w:val="257"/>
        </w:trPr>
        <w:tc>
          <w:tcPr>
            <w:tcW w:w="48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4"/>
        </w:trPr>
        <w:tc>
          <w:tcPr>
            <w:tcW w:w="48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2022</w:t>
            </w: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2021</w:t>
            </w:r>
          </w:p>
        </w:tc>
        <w:tc>
          <w:tcPr>
            <w:tcW w:w="60" w:type="dxa"/>
            <w:vAlign w:val="bottom"/>
          </w:tcPr>
          <w:p>
            <w:pPr>
              <w:spacing w:after="0"/>
              <w:rPr>
                <w:sz w:val="23"/>
                <w:szCs w:val="23"/>
                <w:color w:val="auto"/>
              </w:rPr>
            </w:pPr>
          </w:p>
        </w:tc>
      </w:tr>
      <w:tr>
        <w:trPr>
          <w:trHeight w:val="237"/>
        </w:trPr>
        <w:tc>
          <w:tcPr>
            <w:tcW w:w="4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820" w:type="dxa"/>
            <w:vAlign w:val="bottom"/>
            <w:shd w:val="clear" w:color="auto" w:fill="E5FFFF"/>
          </w:tcPr>
          <w:p>
            <w:pPr>
              <w:ind w:left="100"/>
              <w:spacing w:after="0" w:line="243" w:lineRule="exact"/>
              <w:rPr>
                <w:sz w:val="20"/>
                <w:szCs w:val="20"/>
                <w:color w:val="auto"/>
              </w:rPr>
            </w:pPr>
            <w:r>
              <w:rPr>
                <w:rFonts w:ascii="Times New Roman" w:cs="Times New Roman" w:eastAsia="Times New Roman" w:hAnsi="Times New Roman"/>
                <w:sz w:val="22"/>
                <w:szCs w:val="22"/>
                <w:color w:val="auto"/>
              </w:rPr>
              <w:t>Unrecognized tax benefits, beginning of period</w:t>
            </w:r>
          </w:p>
        </w:tc>
        <w:tc>
          <w:tcPr>
            <w:tcW w:w="8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16,781</w:t>
            </w:r>
          </w:p>
        </w:tc>
        <w:tc>
          <w:tcPr>
            <w:tcW w:w="460" w:type="dxa"/>
            <w:vAlign w:val="bottom"/>
            <w:shd w:val="clear" w:color="auto" w:fill="E5FFFF"/>
          </w:tcPr>
          <w:p>
            <w:pPr>
              <w:spacing w:after="0"/>
              <w:rPr>
                <w:sz w:val="21"/>
                <w:szCs w:val="21"/>
                <w:color w:val="auto"/>
              </w:rPr>
            </w:pPr>
          </w:p>
        </w:tc>
        <w:tc>
          <w:tcPr>
            <w:tcW w:w="18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8,400</w:t>
            </w:r>
          </w:p>
        </w:tc>
        <w:tc>
          <w:tcPr>
            <w:tcW w:w="60" w:type="dxa"/>
            <w:vAlign w:val="bottom"/>
            <w:shd w:val="clear" w:color="auto" w:fill="E5FFFF"/>
          </w:tcPr>
          <w:p>
            <w:pPr>
              <w:spacing w:after="0"/>
              <w:rPr>
                <w:sz w:val="21"/>
                <w:szCs w:val="21"/>
                <w:color w:val="auto"/>
              </w:rPr>
            </w:pPr>
          </w:p>
        </w:tc>
      </w:tr>
      <w:tr>
        <w:trPr>
          <w:trHeight w:val="243"/>
        </w:trPr>
        <w:tc>
          <w:tcPr>
            <w:tcW w:w="4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Changes for prior years’ tax positions</w:t>
            </w: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93</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60" w:type="dxa"/>
            <w:vAlign w:val="bottom"/>
          </w:tcPr>
          <w:p>
            <w:pPr>
              <w:spacing w:after="0"/>
              <w:rPr>
                <w:sz w:val="21"/>
                <w:szCs w:val="21"/>
                <w:color w:val="auto"/>
              </w:rPr>
            </w:pPr>
          </w:p>
        </w:tc>
      </w:tr>
      <w:tr>
        <w:trPr>
          <w:trHeight w:val="257"/>
        </w:trPr>
        <w:tc>
          <w:tcPr>
            <w:tcW w:w="4820" w:type="dxa"/>
            <w:vAlign w:val="bottom"/>
            <w:shd w:val="clear" w:color="auto" w:fill="E5FFFF"/>
          </w:tcPr>
          <w:p>
            <w:pPr>
              <w:ind w:left="100"/>
              <w:spacing w:after="0"/>
              <w:rPr>
                <w:sz w:val="20"/>
                <w:szCs w:val="20"/>
                <w:color w:val="auto"/>
              </w:rPr>
            </w:pPr>
            <w:r>
              <w:rPr>
                <w:rFonts w:ascii="Times New Roman" w:cs="Times New Roman" w:eastAsia="Times New Roman" w:hAnsi="Times New Roman"/>
                <w:sz w:val="22"/>
                <w:szCs w:val="22"/>
                <w:color w:val="auto"/>
              </w:rPr>
              <w:t>Changes for current year tax positions</w:t>
            </w:r>
          </w:p>
        </w:tc>
        <w:tc>
          <w:tcPr>
            <w:tcW w:w="6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22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275</w:t>
            </w:r>
          </w:p>
        </w:tc>
        <w:tc>
          <w:tcPr>
            <w:tcW w:w="60" w:type="dxa"/>
            <w:vAlign w:val="bottom"/>
            <w:shd w:val="clear" w:color="auto" w:fill="E5FFFF"/>
          </w:tcPr>
          <w:p>
            <w:pPr>
              <w:spacing w:after="0"/>
              <w:rPr>
                <w:sz w:val="22"/>
                <w:szCs w:val="22"/>
                <w:color w:val="auto"/>
              </w:rPr>
            </w:pPr>
          </w:p>
        </w:tc>
      </w:tr>
      <w:tr>
        <w:trPr>
          <w:trHeight w:val="250"/>
        </w:trPr>
        <w:tc>
          <w:tcPr>
            <w:tcW w:w="4820" w:type="dxa"/>
            <w:vAlign w:val="bottom"/>
          </w:tcPr>
          <w:p>
            <w:pPr>
              <w:ind w:left="100"/>
              <w:spacing w:after="0" w:line="250" w:lineRule="exact"/>
              <w:rPr>
                <w:sz w:val="20"/>
                <w:szCs w:val="20"/>
                <w:color w:val="auto"/>
              </w:rPr>
            </w:pPr>
            <w:r>
              <w:rPr>
                <w:rFonts w:ascii="Times New Roman" w:cs="Times New Roman" w:eastAsia="Times New Roman" w:hAnsi="Times New Roman"/>
                <w:sz w:val="22"/>
                <w:szCs w:val="22"/>
                <w:color w:val="auto"/>
              </w:rPr>
              <w:t>Unrecognized tax benefits, end of period</w:t>
            </w:r>
          </w:p>
        </w:tc>
        <w:tc>
          <w:tcPr>
            <w:tcW w:w="6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6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16,874</w:t>
            </w:r>
          </w:p>
        </w:tc>
        <w:tc>
          <w:tcPr>
            <w:tcW w:w="4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8,685</w:t>
            </w:r>
          </w:p>
        </w:tc>
        <w:tc>
          <w:tcPr>
            <w:tcW w:w="60" w:type="dxa"/>
            <w:vAlign w:val="bottom"/>
          </w:tcPr>
          <w:p>
            <w:pPr>
              <w:spacing w:after="0"/>
              <w:rPr>
                <w:sz w:val="21"/>
                <w:szCs w:val="21"/>
                <w:color w:val="auto"/>
              </w:rPr>
            </w:pPr>
          </w:p>
        </w:tc>
      </w:tr>
      <w:tr>
        <w:trPr>
          <w:trHeight w:val="20"/>
        </w:trPr>
        <w:tc>
          <w:tcPr>
            <w:tcW w:w="4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12. </w:t>
      </w:r>
      <w:r>
        <w:rPr>
          <w:rFonts w:ascii="Times New Roman" w:cs="Times New Roman" w:eastAsia="Times New Roman" w:hAnsi="Times New Roman"/>
          <w:sz w:val="22"/>
          <w:szCs w:val="22"/>
          <w:b w:val="1"/>
          <w:bCs w:val="1"/>
          <w:i w:val="1"/>
          <w:iCs w:val="1"/>
          <w:color w:val="auto"/>
        </w:rPr>
        <w:t>Discontinued Operations</w:t>
      </w:r>
    </w:p>
    <w:p>
      <w:pPr>
        <w:spacing w:after="0" w:line="23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21"/>
          <w:szCs w:val="21"/>
          <w:color w:val="auto"/>
        </w:rPr>
        <w:t>On November 18, 2021, the Company ceased operation of its refined coal business as tax credits could no longer be earned on its operation. Beginning in the third quarter of fiscal year 2021, the results of the operation of the refined coal business have been recognized as discontinued operations. Below is a table reflecting certain items of the Consolidated Condensed Statement of Operations that were reclassified as discontinued operations for the periods indicated (amounts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80" w:type="dxa"/>
            <w:vAlign w:val="bottom"/>
          </w:tcPr>
          <w:p>
            <w:pPr>
              <w:spacing w:after="0"/>
              <w:rPr>
                <w:sz w:val="22"/>
                <w:szCs w:val="22"/>
                <w:color w:val="auto"/>
              </w:rPr>
            </w:pPr>
          </w:p>
        </w:tc>
        <w:tc>
          <w:tcPr>
            <w:tcW w:w="2040" w:type="dxa"/>
            <w:vAlign w:val="bottom"/>
            <w:gridSpan w:val="5"/>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7"/>
              </w:rPr>
              <w:t>Three Months</w:t>
            </w:r>
          </w:p>
        </w:tc>
        <w:tc>
          <w:tcPr>
            <w:tcW w:w="2040" w:type="dxa"/>
            <w:vAlign w:val="bottom"/>
            <w:gridSpan w:val="6"/>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9"/>
              </w:rPr>
              <w:t>Six Months</w:t>
            </w:r>
          </w:p>
        </w:tc>
      </w:tr>
      <w:tr>
        <w:trPr>
          <w:trHeight w:val="243"/>
        </w:trPr>
        <w:tc>
          <w:tcPr>
            <w:tcW w:w="5480" w:type="dxa"/>
            <w:vAlign w:val="bottom"/>
          </w:tcPr>
          <w:p>
            <w:pPr>
              <w:spacing w:after="0"/>
              <w:rPr>
                <w:sz w:val="21"/>
                <w:szCs w:val="21"/>
                <w:color w:val="auto"/>
              </w:rPr>
            </w:pPr>
          </w:p>
        </w:tc>
        <w:tc>
          <w:tcPr>
            <w:tcW w:w="2040" w:type="dxa"/>
            <w:vAlign w:val="bottom"/>
            <w:gridSpan w:val="5"/>
          </w:tcPr>
          <w:p>
            <w:pPr>
              <w:jc w:val="center"/>
              <w:ind w:left="5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Ended July 31,</w:t>
            </w:r>
          </w:p>
        </w:tc>
        <w:tc>
          <w:tcPr>
            <w:tcW w:w="2040" w:type="dxa"/>
            <w:vAlign w:val="bottom"/>
            <w:gridSpan w:val="6"/>
          </w:tcPr>
          <w:p>
            <w:pPr>
              <w:jc w:val="center"/>
              <w:ind w:left="2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Ended July 31,</w:t>
            </w:r>
          </w:p>
        </w:tc>
      </w:tr>
      <w:tr>
        <w:trPr>
          <w:trHeight w:val="234"/>
        </w:trPr>
        <w:tc>
          <w:tcPr>
            <w:tcW w:w="5480" w:type="dxa"/>
            <w:vAlign w:val="bottom"/>
          </w:tcPr>
          <w:p>
            <w:pPr>
              <w:spacing w:after="0"/>
              <w:rPr>
                <w:sz w:val="20"/>
                <w:szCs w:val="20"/>
                <w:color w:val="auto"/>
              </w:rPr>
            </w:pPr>
          </w:p>
        </w:tc>
        <w:tc>
          <w:tcPr>
            <w:tcW w:w="1560" w:type="dxa"/>
            <w:vAlign w:val="bottom"/>
            <w:gridSpan w:val="4"/>
          </w:tcPr>
          <w:p>
            <w:pPr>
              <w:jc w:val="center"/>
              <w:ind w:left="1032"/>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2021</w:t>
            </w:r>
          </w:p>
        </w:tc>
        <w:tc>
          <w:tcPr>
            <w:tcW w:w="480" w:type="dxa"/>
            <w:vAlign w:val="bottom"/>
          </w:tcPr>
          <w:p>
            <w:pPr>
              <w:spacing w:after="0"/>
              <w:rPr>
                <w:sz w:val="20"/>
                <w:szCs w:val="20"/>
                <w:color w:val="auto"/>
              </w:rPr>
            </w:pPr>
          </w:p>
        </w:tc>
        <w:tc>
          <w:tcPr>
            <w:tcW w:w="1940" w:type="dxa"/>
            <w:vAlign w:val="bottom"/>
            <w:gridSpan w:val="5"/>
          </w:tcPr>
          <w:p>
            <w:pPr>
              <w:jc w:val="center"/>
              <w:ind w:left="372"/>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2021</w:t>
            </w:r>
          </w:p>
        </w:tc>
        <w:tc>
          <w:tcPr>
            <w:tcW w:w="100" w:type="dxa"/>
            <w:vAlign w:val="bottom"/>
          </w:tcPr>
          <w:p>
            <w:pPr>
              <w:spacing w:after="0"/>
              <w:rPr>
                <w:sz w:val="20"/>
                <w:szCs w:val="20"/>
                <w:color w:val="auto"/>
              </w:rPr>
            </w:pPr>
          </w:p>
        </w:tc>
      </w:tr>
      <w:tr>
        <w:trPr>
          <w:trHeight w:val="263"/>
        </w:trPr>
        <w:tc>
          <w:tcPr>
            <w:tcW w:w="5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97"/>
        </w:trPr>
        <w:tc>
          <w:tcPr>
            <w:tcW w:w="5480" w:type="dxa"/>
            <w:vAlign w:val="bottom"/>
            <w:shd w:val="clear" w:color="auto" w:fill="E5FFFF"/>
          </w:tcPr>
          <w:p>
            <w:pPr>
              <w:ind w:left="120"/>
              <w:spacing w:after="0" w:line="297" w:lineRule="exact"/>
              <w:rPr>
                <w:sz w:val="20"/>
                <w:szCs w:val="20"/>
                <w:color w:val="auto"/>
              </w:rPr>
            </w:pPr>
            <w:r>
              <w:rPr>
                <w:rFonts w:ascii="Times New Roman" w:cs="Times New Roman" w:eastAsia="Times New Roman" w:hAnsi="Times New Roman"/>
                <w:sz w:val="21"/>
                <w:szCs w:val="21"/>
                <w:color w:val="auto"/>
              </w:rPr>
              <w:t>Net sales and revenue</w:t>
            </w:r>
            <w:r>
              <w:rPr>
                <w:rFonts w:ascii="Times New Roman" w:cs="Times New Roman" w:eastAsia="Times New Roman" w:hAnsi="Times New Roman"/>
                <w:sz w:val="34"/>
                <w:szCs w:val="34"/>
                <w:color w:val="auto"/>
                <w:vertAlign w:val="superscript"/>
              </w:rPr>
              <w:t>1</w:t>
            </w:r>
          </w:p>
        </w:tc>
        <w:tc>
          <w:tcPr>
            <w:tcW w:w="1420" w:type="dxa"/>
            <w:vAlign w:val="bottom"/>
            <w:gridSpan w:val="3"/>
            <w:shd w:val="clear" w:color="auto" w:fill="E5FFFF"/>
          </w:tcPr>
          <w:p>
            <w:pPr>
              <w:jc w:val="center"/>
              <w:ind w:left="1192"/>
              <w:spacing w:after="0"/>
              <w:rPr>
                <w:sz w:val="20"/>
                <w:szCs w:val="20"/>
                <w:color w:val="auto"/>
              </w:rPr>
            </w:pPr>
            <w:r>
              <w:rPr>
                <w:rFonts w:ascii="Times New Roman" w:cs="Times New Roman" w:eastAsia="Times New Roman" w:hAnsi="Times New Roman"/>
                <w:sz w:val="22"/>
                <w:szCs w:val="22"/>
                <w:color w:val="auto"/>
              </w:rPr>
              <w:t>$</w:t>
            </w:r>
          </w:p>
        </w:tc>
        <w:tc>
          <w:tcPr>
            <w:tcW w:w="6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165</w:t>
            </w:r>
          </w:p>
        </w:tc>
        <w:tc>
          <w:tcPr>
            <w:tcW w:w="12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227</w:t>
            </w:r>
          </w:p>
        </w:tc>
      </w:tr>
      <w:tr>
        <w:trPr>
          <w:trHeight w:val="257"/>
        </w:trPr>
        <w:tc>
          <w:tcPr>
            <w:tcW w:w="5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Cost of Sales</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3,245</w:t>
            </w: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4,982</w:t>
            </w:r>
          </w:p>
        </w:tc>
      </w:tr>
      <w:tr>
        <w:trPr>
          <w:trHeight w:val="237"/>
        </w:trPr>
        <w:tc>
          <w:tcPr>
            <w:tcW w:w="5480" w:type="dxa"/>
            <w:vAlign w:val="bottom"/>
            <w:tcBorders>
              <w:top w:val="single" w:sz="8" w:color="E5FFFF"/>
            </w:tcBorders>
            <w:shd w:val="clear" w:color="auto" w:fill="E5FFFF"/>
          </w:tcPr>
          <w:p>
            <w:pPr>
              <w:ind w:left="120"/>
              <w:spacing w:after="0" w:line="237" w:lineRule="exact"/>
              <w:rPr>
                <w:sz w:val="20"/>
                <w:szCs w:val="20"/>
                <w:color w:val="auto"/>
              </w:rPr>
            </w:pPr>
            <w:r>
              <w:rPr>
                <w:rFonts w:ascii="Times New Roman" w:cs="Times New Roman" w:eastAsia="Times New Roman" w:hAnsi="Times New Roman"/>
                <w:sz w:val="22"/>
                <w:szCs w:val="22"/>
                <w:color w:val="auto"/>
              </w:rPr>
              <w:t>Gross loss</w:t>
            </w:r>
          </w:p>
        </w:tc>
        <w:tc>
          <w:tcPr>
            <w:tcW w:w="114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E5FFFF"/>
            </w:tcBorders>
            <w:shd w:val="clear" w:color="auto" w:fill="E5FFFF"/>
          </w:tcPr>
          <w:p>
            <w:pPr>
              <w:spacing w:after="0"/>
              <w:rPr>
                <w:sz w:val="20"/>
                <w:szCs w:val="20"/>
                <w:color w:val="auto"/>
              </w:rPr>
            </w:pPr>
          </w:p>
        </w:tc>
        <w:tc>
          <w:tcPr>
            <w:tcW w:w="120" w:type="dxa"/>
            <w:vAlign w:val="bottom"/>
            <w:tcBorders>
              <w:top w:val="single" w:sz="8" w:color="auto"/>
            </w:tcBorders>
            <w:shd w:val="clear" w:color="auto" w:fill="E5FFFF"/>
          </w:tcPr>
          <w:p>
            <w:pPr>
              <w:spacing w:after="0"/>
              <w:rPr>
                <w:sz w:val="20"/>
                <w:szCs w:val="20"/>
                <w:color w:val="auto"/>
              </w:rPr>
            </w:pPr>
          </w:p>
        </w:tc>
        <w:tc>
          <w:tcPr>
            <w:tcW w:w="620" w:type="dxa"/>
            <w:vAlign w:val="bottom"/>
            <w:tcBorders>
              <w:top w:val="single" w:sz="8" w:color="auto"/>
            </w:tcBorders>
            <w:gridSpan w:val="2"/>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3"/>
              </w:rPr>
              <w:t>(3,080)</w:t>
            </w:r>
          </w:p>
        </w:tc>
        <w:tc>
          <w:tcPr>
            <w:tcW w:w="1000" w:type="dxa"/>
            <w:vAlign w:val="bottom"/>
            <w:tcBorders>
              <w:top w:val="single" w:sz="8" w:color="E5FFFF"/>
            </w:tcBorders>
            <w:shd w:val="clear" w:color="auto" w:fill="E5FFFF"/>
          </w:tcPr>
          <w:p>
            <w:pPr>
              <w:spacing w:after="0"/>
              <w:rPr>
                <w:sz w:val="20"/>
                <w:szCs w:val="20"/>
                <w:color w:val="auto"/>
              </w:rPr>
            </w:pPr>
          </w:p>
        </w:tc>
        <w:tc>
          <w:tcPr>
            <w:tcW w:w="8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auto"/>
            </w:tcBorders>
            <w:shd w:val="clear" w:color="auto" w:fill="E5FFFF"/>
          </w:tcPr>
          <w:p>
            <w:pPr>
              <w:spacing w:after="0"/>
              <w:rPr>
                <w:sz w:val="20"/>
                <w:szCs w:val="20"/>
                <w:color w:val="auto"/>
              </w:rPr>
            </w:pPr>
          </w:p>
        </w:tc>
        <w:tc>
          <w:tcPr>
            <w:tcW w:w="700" w:type="dxa"/>
            <w:vAlign w:val="bottom"/>
            <w:tcBorders>
              <w:top w:val="single" w:sz="8" w:color="auto"/>
            </w:tcBorders>
            <w:gridSpan w:val="2"/>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(4,755)</w:t>
            </w:r>
          </w:p>
        </w:tc>
        <w:tc>
          <w:tcPr>
            <w:tcW w:w="100" w:type="dxa"/>
            <w:vAlign w:val="bottom"/>
            <w:tcBorders>
              <w:top w:val="single" w:sz="8" w:color="E5FFFF"/>
            </w:tcBorders>
            <w:shd w:val="clear" w:color="auto" w:fill="E5FFFF"/>
          </w:tcPr>
          <w:p>
            <w:pPr>
              <w:spacing w:after="0"/>
              <w:rPr>
                <w:sz w:val="20"/>
                <w:szCs w:val="20"/>
                <w:color w:val="auto"/>
              </w:rPr>
            </w:pPr>
          </w:p>
        </w:tc>
      </w:tr>
      <w:tr>
        <w:trPr>
          <w:trHeight w:val="257"/>
        </w:trPr>
        <w:tc>
          <w:tcPr>
            <w:tcW w:w="5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Selling, general and administrative</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(351)</w:t>
            </w: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(436)</w:t>
            </w:r>
          </w:p>
        </w:tc>
      </w:tr>
      <w:tr>
        <w:trPr>
          <w:trHeight w:val="236"/>
        </w:trPr>
        <w:tc>
          <w:tcPr>
            <w:tcW w:w="5480" w:type="dxa"/>
            <w:vAlign w:val="bottom"/>
            <w:tcBorders>
              <w:top w:val="single" w:sz="8" w:color="E5FFFF"/>
            </w:tcBorders>
            <w:shd w:val="clear" w:color="auto" w:fill="E5FFFF"/>
          </w:tcPr>
          <w:p>
            <w:pPr>
              <w:ind w:left="120"/>
              <w:spacing w:after="0" w:line="237" w:lineRule="exact"/>
              <w:rPr>
                <w:sz w:val="20"/>
                <w:szCs w:val="20"/>
                <w:color w:val="auto"/>
              </w:rPr>
            </w:pPr>
            <w:r>
              <w:rPr>
                <w:rFonts w:ascii="Times New Roman" w:cs="Times New Roman" w:eastAsia="Times New Roman" w:hAnsi="Times New Roman"/>
                <w:sz w:val="22"/>
                <w:szCs w:val="22"/>
                <w:color w:val="auto"/>
              </w:rPr>
              <w:t>Loss before income taxes</w:t>
            </w:r>
          </w:p>
        </w:tc>
        <w:tc>
          <w:tcPr>
            <w:tcW w:w="114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E5FFFF"/>
            </w:tcBorders>
            <w:shd w:val="clear" w:color="auto" w:fill="E5FFFF"/>
          </w:tcPr>
          <w:p>
            <w:pPr>
              <w:spacing w:after="0"/>
              <w:rPr>
                <w:sz w:val="20"/>
                <w:szCs w:val="20"/>
                <w:color w:val="auto"/>
              </w:rPr>
            </w:pPr>
          </w:p>
        </w:tc>
        <w:tc>
          <w:tcPr>
            <w:tcW w:w="120" w:type="dxa"/>
            <w:vAlign w:val="bottom"/>
            <w:tcBorders>
              <w:top w:val="single" w:sz="8" w:color="auto"/>
            </w:tcBorders>
            <w:shd w:val="clear" w:color="auto" w:fill="E5FFFF"/>
          </w:tcPr>
          <w:p>
            <w:pPr>
              <w:spacing w:after="0"/>
              <w:rPr>
                <w:sz w:val="20"/>
                <w:szCs w:val="20"/>
                <w:color w:val="auto"/>
              </w:rPr>
            </w:pPr>
          </w:p>
        </w:tc>
        <w:tc>
          <w:tcPr>
            <w:tcW w:w="620" w:type="dxa"/>
            <w:vAlign w:val="bottom"/>
            <w:tcBorders>
              <w:top w:val="single" w:sz="8" w:color="auto"/>
            </w:tcBorders>
            <w:gridSpan w:val="2"/>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3"/>
              </w:rPr>
              <w:t>(3,431)</w:t>
            </w:r>
          </w:p>
        </w:tc>
        <w:tc>
          <w:tcPr>
            <w:tcW w:w="1000" w:type="dxa"/>
            <w:vAlign w:val="bottom"/>
            <w:tcBorders>
              <w:top w:val="single" w:sz="8" w:color="E5FFFF"/>
            </w:tcBorders>
            <w:shd w:val="clear" w:color="auto" w:fill="E5FFFF"/>
          </w:tcPr>
          <w:p>
            <w:pPr>
              <w:spacing w:after="0"/>
              <w:rPr>
                <w:sz w:val="20"/>
                <w:szCs w:val="20"/>
                <w:color w:val="auto"/>
              </w:rPr>
            </w:pPr>
          </w:p>
        </w:tc>
        <w:tc>
          <w:tcPr>
            <w:tcW w:w="8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auto"/>
            </w:tcBorders>
            <w:shd w:val="clear" w:color="auto" w:fill="E5FFFF"/>
          </w:tcPr>
          <w:p>
            <w:pPr>
              <w:spacing w:after="0"/>
              <w:rPr>
                <w:sz w:val="20"/>
                <w:szCs w:val="20"/>
                <w:color w:val="auto"/>
              </w:rPr>
            </w:pPr>
          </w:p>
        </w:tc>
        <w:tc>
          <w:tcPr>
            <w:tcW w:w="700" w:type="dxa"/>
            <w:vAlign w:val="bottom"/>
            <w:tcBorders>
              <w:top w:val="single" w:sz="8" w:color="auto"/>
            </w:tcBorders>
            <w:gridSpan w:val="2"/>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(5,191)</w:t>
            </w:r>
          </w:p>
        </w:tc>
        <w:tc>
          <w:tcPr>
            <w:tcW w:w="100" w:type="dxa"/>
            <w:vAlign w:val="bottom"/>
            <w:tcBorders>
              <w:top w:val="single" w:sz="8" w:color="E5FFFF"/>
            </w:tcBorders>
            <w:shd w:val="clear" w:color="auto" w:fill="E5FFFF"/>
          </w:tcPr>
          <w:p>
            <w:pPr>
              <w:spacing w:after="0"/>
              <w:rPr>
                <w:sz w:val="20"/>
                <w:szCs w:val="20"/>
                <w:color w:val="auto"/>
              </w:rPr>
            </w:pPr>
          </w:p>
        </w:tc>
      </w:tr>
      <w:tr>
        <w:trPr>
          <w:trHeight w:val="257"/>
        </w:trPr>
        <w:tc>
          <w:tcPr>
            <w:tcW w:w="5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Benefit for income taxes</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5,444</w:t>
            </w: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7,639</w:t>
            </w:r>
          </w:p>
        </w:tc>
      </w:tr>
      <w:tr>
        <w:trPr>
          <w:trHeight w:val="236"/>
        </w:trPr>
        <w:tc>
          <w:tcPr>
            <w:tcW w:w="5480" w:type="dxa"/>
            <w:vAlign w:val="bottom"/>
            <w:tcBorders>
              <w:top w:val="single" w:sz="8" w:color="E5FFFF"/>
            </w:tcBorders>
            <w:shd w:val="clear" w:color="auto" w:fill="E5FFFF"/>
          </w:tcPr>
          <w:p>
            <w:pPr>
              <w:ind w:left="120"/>
              <w:spacing w:after="0" w:line="237" w:lineRule="exact"/>
              <w:rPr>
                <w:sz w:val="20"/>
                <w:szCs w:val="20"/>
                <w:color w:val="auto"/>
              </w:rPr>
            </w:pPr>
            <w:r>
              <w:rPr>
                <w:rFonts w:ascii="Times New Roman" w:cs="Times New Roman" w:eastAsia="Times New Roman" w:hAnsi="Times New Roman"/>
                <w:sz w:val="22"/>
                <w:szCs w:val="22"/>
                <w:color w:val="auto"/>
              </w:rPr>
              <w:t>Net income from discontinued operations, net of tax</w:t>
            </w:r>
          </w:p>
        </w:tc>
        <w:tc>
          <w:tcPr>
            <w:tcW w:w="114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E5FFFF"/>
            </w:tcBorders>
            <w:shd w:val="clear" w:color="auto" w:fill="E5FFFF"/>
          </w:tcPr>
          <w:p>
            <w:pPr>
              <w:spacing w:after="0"/>
              <w:rPr>
                <w:sz w:val="20"/>
                <w:szCs w:val="20"/>
                <w:color w:val="auto"/>
              </w:rPr>
            </w:pPr>
          </w:p>
        </w:tc>
        <w:tc>
          <w:tcPr>
            <w:tcW w:w="120" w:type="dxa"/>
            <w:vAlign w:val="bottom"/>
            <w:tcBorders>
              <w:top w:val="single" w:sz="8" w:color="auto"/>
            </w:tcBorders>
            <w:shd w:val="clear" w:color="auto" w:fill="E5FFFF"/>
          </w:tcPr>
          <w:p>
            <w:pPr>
              <w:spacing w:after="0"/>
              <w:rPr>
                <w:sz w:val="20"/>
                <w:szCs w:val="20"/>
                <w:color w:val="auto"/>
              </w:rPr>
            </w:pPr>
          </w:p>
        </w:tc>
        <w:tc>
          <w:tcPr>
            <w:tcW w:w="620" w:type="dxa"/>
            <w:vAlign w:val="bottom"/>
            <w:tcBorders>
              <w:top w:val="single" w:sz="8" w:color="auto"/>
            </w:tcBorders>
            <w:gridSpan w:val="2"/>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2,013</w:t>
            </w:r>
          </w:p>
        </w:tc>
        <w:tc>
          <w:tcPr>
            <w:tcW w:w="1000" w:type="dxa"/>
            <w:vAlign w:val="bottom"/>
            <w:tcBorders>
              <w:top w:val="single" w:sz="8" w:color="E5FFFF"/>
            </w:tcBorders>
            <w:shd w:val="clear" w:color="auto" w:fill="E5FFFF"/>
          </w:tcPr>
          <w:p>
            <w:pPr>
              <w:spacing w:after="0"/>
              <w:rPr>
                <w:sz w:val="20"/>
                <w:szCs w:val="20"/>
                <w:color w:val="auto"/>
              </w:rPr>
            </w:pPr>
          </w:p>
        </w:tc>
        <w:tc>
          <w:tcPr>
            <w:tcW w:w="8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auto"/>
            </w:tcBorders>
            <w:shd w:val="clear" w:color="auto" w:fill="E5FFFF"/>
          </w:tcPr>
          <w:p>
            <w:pPr>
              <w:spacing w:after="0"/>
              <w:rPr>
                <w:sz w:val="20"/>
                <w:szCs w:val="20"/>
                <w:color w:val="auto"/>
              </w:rPr>
            </w:pPr>
          </w:p>
        </w:tc>
        <w:tc>
          <w:tcPr>
            <w:tcW w:w="700" w:type="dxa"/>
            <w:vAlign w:val="bottom"/>
            <w:tcBorders>
              <w:top w:val="single" w:sz="8" w:color="auto"/>
            </w:tcBorders>
            <w:gridSpan w:val="2"/>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2,448</w:t>
            </w:r>
          </w:p>
        </w:tc>
        <w:tc>
          <w:tcPr>
            <w:tcW w:w="100" w:type="dxa"/>
            <w:vAlign w:val="bottom"/>
            <w:tcBorders>
              <w:top w:val="single" w:sz="8" w:color="E5FFFF"/>
            </w:tcBorders>
            <w:shd w:val="clear" w:color="auto" w:fill="E5FFFF"/>
          </w:tcPr>
          <w:p>
            <w:pPr>
              <w:spacing w:after="0"/>
              <w:rPr>
                <w:sz w:val="20"/>
                <w:szCs w:val="20"/>
                <w:color w:val="auto"/>
              </w:rPr>
            </w:pPr>
          </w:p>
        </w:tc>
      </w:tr>
      <w:tr>
        <w:trPr>
          <w:trHeight w:val="257"/>
        </w:trPr>
        <w:tc>
          <w:tcPr>
            <w:tcW w:w="5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loss attributable to noncontrolling interests</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153</w:t>
            </w: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233</w:t>
            </w:r>
          </w:p>
        </w:tc>
      </w:tr>
      <w:tr>
        <w:trPr>
          <w:trHeight w:val="250"/>
        </w:trPr>
        <w:tc>
          <w:tcPr>
            <w:tcW w:w="5480" w:type="dxa"/>
            <w:vAlign w:val="bottom"/>
            <w:tcBorders>
              <w:top w:val="single" w:sz="8" w:color="E5FFFF"/>
              <w:bottom w:val="single" w:sz="8" w:color="E5FFFF"/>
            </w:tcBorders>
            <w:shd w:val="clear" w:color="auto" w:fill="E5FFFF"/>
          </w:tcPr>
          <w:p>
            <w:pPr>
              <w:ind w:left="120"/>
              <w:spacing w:after="0" w:line="250" w:lineRule="exact"/>
              <w:rPr>
                <w:sz w:val="20"/>
                <w:szCs w:val="20"/>
                <w:color w:val="auto"/>
              </w:rPr>
            </w:pPr>
            <w:r>
              <w:rPr>
                <w:rFonts w:ascii="Times New Roman" w:cs="Times New Roman" w:eastAsia="Times New Roman" w:hAnsi="Times New Roman"/>
                <w:sz w:val="22"/>
                <w:szCs w:val="22"/>
                <w:color w:val="auto"/>
              </w:rPr>
              <w:t>Net income attributable to REX common shareholders</w:t>
            </w:r>
          </w:p>
        </w:tc>
        <w:tc>
          <w:tcPr>
            <w:tcW w:w="114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jc w:val="center"/>
              <w:spacing w:after="0" w:line="250" w:lineRule="exact"/>
              <w:rPr>
                <w:sz w:val="20"/>
                <w:szCs w:val="20"/>
                <w:color w:val="auto"/>
              </w:rPr>
            </w:pPr>
            <w:r>
              <w:rPr>
                <w:rFonts w:ascii="Times New Roman" w:cs="Times New Roman" w:eastAsia="Times New Roman" w:hAnsi="Times New Roman"/>
                <w:sz w:val="22"/>
                <w:szCs w:val="22"/>
                <w:color w:val="auto"/>
              </w:rPr>
              <w:t>$</w:t>
            </w:r>
          </w:p>
        </w:tc>
        <w:tc>
          <w:tcPr>
            <w:tcW w:w="62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2,166</w:t>
            </w:r>
          </w:p>
        </w:tc>
        <w:tc>
          <w:tcPr>
            <w:tcW w:w="1000" w:type="dxa"/>
            <w:vAlign w:val="bottom"/>
            <w:tcBorders>
              <w:top w:val="single" w:sz="8" w:color="E5FFFF"/>
              <w:bottom w:val="single" w:sz="8" w:color="E5FFFF"/>
            </w:tcBorders>
            <w:shd w:val="clear" w:color="auto" w:fill="E5FFFF"/>
          </w:tcPr>
          <w:p>
            <w:pPr>
              <w:spacing w:after="0"/>
              <w:rPr>
                <w:sz w:val="21"/>
                <w:szCs w:val="21"/>
                <w:color w:val="auto"/>
              </w:rPr>
            </w:pP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2,681</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5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0" w:lineRule="exact"/>
        <w:rPr>
          <w:sz w:val="20"/>
          <w:szCs w:val="20"/>
          <w:color w:val="auto"/>
        </w:rPr>
      </w:pPr>
    </w:p>
    <w:p>
      <w:pPr>
        <w:ind w:firstLine="656"/>
        <w:spacing w:after="0" w:line="189" w:lineRule="auto"/>
        <w:tabs>
          <w:tab w:leader="none" w:pos="783" w:val="left"/>
        </w:tabs>
        <w:numPr>
          <w:ilvl w:val="0"/>
          <w:numId w:val="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Refined coal sales were recorded net of the cost of coal as the Company purchased the coal feedstock from the customer to which the processed refined coal was sold.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13. </w:t>
      </w:r>
      <w:r>
        <w:rPr>
          <w:rFonts w:ascii="Times New Roman" w:cs="Times New Roman" w:eastAsia="Times New Roman" w:hAnsi="Times New Roman"/>
          <w:sz w:val="22"/>
          <w:szCs w:val="22"/>
          <w:b w:val="1"/>
          <w:bCs w:val="1"/>
          <w:i w:val="1"/>
          <w:iCs w:val="1"/>
          <w:color w:val="auto"/>
        </w:rPr>
        <w:t>Commitments and Contingencies</w:t>
      </w:r>
    </w:p>
    <w:p>
      <w:pPr>
        <w:spacing w:after="0" w:line="239" w:lineRule="exact"/>
        <w:rPr>
          <w:sz w:val="20"/>
          <w:szCs w:val="20"/>
          <w:color w:val="auto"/>
        </w:rPr>
      </w:pPr>
    </w:p>
    <w:p>
      <w:pPr>
        <w:jc w:val="both"/>
        <w:ind w:right="100" w:firstLine="648"/>
        <w:spacing w:after="0" w:line="244" w:lineRule="auto"/>
        <w:rPr>
          <w:sz w:val="20"/>
          <w:szCs w:val="20"/>
          <w:color w:val="auto"/>
        </w:rPr>
      </w:pPr>
      <w:r>
        <w:rPr>
          <w:rFonts w:ascii="Times New Roman" w:cs="Times New Roman" w:eastAsia="Times New Roman" w:hAnsi="Times New Roman"/>
          <w:sz w:val="22"/>
          <w:szCs w:val="22"/>
          <w:color w:val="auto"/>
        </w:rPr>
        <w:t>The Company may be involved in various legal actions arising in the normal course of business, from time to time. After taking into consideration legal counsels’ evaluations of any such action(s), management is of the opinion that their outcome will not have a material adverse effect on the Company’s Consolidated Condensed Financial Statements.</w:t>
      </w:r>
    </w:p>
    <w:p>
      <w:pPr>
        <w:spacing w:after="0" w:line="200"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One Earth and NuGen have combined forward purchase contracts for approximately 12.3 million bushels of corn, the principal raw material for their ethanol plants, and they have combined forward purchase contracts for approximately 1.1 million MmBtu (million British thermal unit) of natural gas.</w:t>
      </w:r>
    </w:p>
    <w:p>
      <w:pPr>
        <w:spacing w:after="0" w:line="1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23" w:name="page24"/>
    <w:bookmarkEnd w:id="23"/>
    <w:p>
      <w:pPr>
        <w:ind w:right="1200" w:firstLine="648"/>
        <w:spacing w:after="0" w:line="282" w:lineRule="auto"/>
        <w:rPr>
          <w:sz w:val="20"/>
          <w:szCs w:val="20"/>
          <w:color w:val="auto"/>
        </w:rPr>
      </w:pPr>
      <w:r>
        <w:rPr>
          <w:rFonts w:ascii="Times New Roman" w:cs="Times New Roman" w:eastAsia="Times New Roman" w:hAnsi="Times New Roman"/>
          <w:sz w:val="21"/>
          <w:szCs w:val="21"/>
          <w:color w:val="auto"/>
        </w:rPr>
        <w:t>One Earth and NuGen have combined sales commitments for approximately 36.8 million gallons of ethanol, approximately 82,000 tons of distillers grains and approximately 8.9 million pounds of non-food grade corn oil.</w:t>
      </w:r>
    </w:p>
    <w:p>
      <w:pPr>
        <w:spacing w:after="0" w:line="162" w:lineRule="exact"/>
        <w:rPr>
          <w:sz w:val="20"/>
          <w:szCs w:val="20"/>
          <w:color w:val="auto"/>
        </w:rPr>
      </w:pPr>
    </w:p>
    <w:p>
      <w:pPr>
        <w:jc w:val="both"/>
        <w:ind w:right="140" w:firstLine="648"/>
        <w:spacing w:after="0" w:line="239" w:lineRule="auto"/>
        <w:rPr>
          <w:sz w:val="20"/>
          <w:szCs w:val="20"/>
          <w:color w:val="auto"/>
        </w:rPr>
      </w:pPr>
      <w:r>
        <w:rPr>
          <w:rFonts w:ascii="Times New Roman" w:cs="Times New Roman" w:eastAsia="Times New Roman" w:hAnsi="Times New Roman"/>
          <w:sz w:val="22"/>
          <w:szCs w:val="22"/>
          <w:color w:val="auto"/>
        </w:rPr>
        <w:t>The refined coal entity had various agreements (site license, operating agreements, etc.) containing payment terms based upon production of refined coal under which the Company was required to pay various fees. As production ceased in November 2021, there were no fees paid in fiscal year 2022. These fees totaled approximately $2.2 million and approximately $3.1 million for the three and six months ended July 31, 2021,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14. </w:t>
      </w:r>
      <w:r>
        <w:rPr>
          <w:rFonts w:ascii="Times New Roman" w:cs="Times New Roman" w:eastAsia="Times New Roman" w:hAnsi="Times New Roman"/>
          <w:sz w:val="22"/>
          <w:szCs w:val="22"/>
          <w:b w:val="1"/>
          <w:bCs w:val="1"/>
          <w:i w:val="1"/>
          <w:iCs w:val="1"/>
          <w:color w:val="auto"/>
        </w:rPr>
        <w:t>Related-Party Transactions</w:t>
      </w:r>
    </w:p>
    <w:p>
      <w:pPr>
        <w:spacing w:after="0" w:line="23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During the second quarters of fiscal years 2022 and 2021, One Earth and NuGen purchased approximately $35.3 million and approximately $20.7 million, respectively, of corn (and other supplies) from minority equity investors and board members of those subsidiaries. Such purchases totaled approximately $66.1 million and approximately $37.4 million for the six months ended July 31, 2022 and 2021, respectively. The Company had amounts payable to related parties of approximately $0.6 and approximately $0.5 million at July 31, 2022 and January 31, 2022, respectively.</w:t>
      </w:r>
    </w:p>
    <w:p>
      <w:pPr>
        <w:spacing w:after="0" w:line="204" w:lineRule="exact"/>
        <w:rPr>
          <w:sz w:val="20"/>
          <w:szCs w:val="20"/>
          <w:color w:val="auto"/>
        </w:rPr>
      </w:pPr>
    </w:p>
    <w:p>
      <w:pPr>
        <w:jc w:val="both"/>
        <w:ind w:right="280" w:firstLine="648"/>
        <w:spacing w:after="0" w:line="244" w:lineRule="auto"/>
        <w:rPr>
          <w:sz w:val="20"/>
          <w:szCs w:val="20"/>
          <w:color w:val="auto"/>
        </w:rPr>
      </w:pPr>
      <w:r>
        <w:rPr>
          <w:rFonts w:ascii="Times New Roman" w:cs="Times New Roman" w:eastAsia="Times New Roman" w:hAnsi="Times New Roman"/>
          <w:sz w:val="22"/>
          <w:szCs w:val="22"/>
          <w:color w:val="auto"/>
        </w:rPr>
        <w:t>During the three and six months ended July 31, 2021 the Company recognized commission expense of approximately $0.2 million, payable to the minority investor in the refined coal entity. The commission expense is associated with the refined coal business which is classified within discontinued operations.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b w:val="1"/>
          <w:bCs w:val="1"/>
          <w:i w:val="1"/>
          <w:iCs w:val="1"/>
          <w:color w:val="auto"/>
        </w:rPr>
        <w:t>Management’s Discussion and Analysis of Financial Condition and Results of Operations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Ethanol and By-Products</w:t>
      </w:r>
    </w:p>
    <w:p>
      <w:pPr>
        <w:spacing w:after="0" w:line="237"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22"/>
          <w:szCs w:val="22"/>
          <w:color w:val="auto"/>
        </w:rPr>
        <w:t>At July 31, 2022, we had investments in three ethanol limited liability companies, in two of which we have a majority ownership interest. The following table is a summary of ethanol entity ownership interests at July 31, 2022:</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9900" w:type="dxa"/>
            <w:vAlign w:val="bottom"/>
            <w:tcBorders>
              <w:top w:val="single" w:sz="8" w:color="auto"/>
              <w:left w:val="single" w:sz="8" w:color="auto"/>
              <w:right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jc w:val="center"/>
              <w:spacing w:after="0" w:line="225" w:lineRule="exact"/>
              <w:rPr>
                <w:sz w:val="20"/>
                <w:szCs w:val="20"/>
                <w:color w:val="auto"/>
              </w:rPr>
            </w:pPr>
            <w:r>
              <w:rPr>
                <w:rFonts w:ascii="Times New Roman" w:cs="Times New Roman" w:eastAsia="Times New Roman" w:hAnsi="Times New Roman"/>
                <w:sz w:val="22"/>
                <w:szCs w:val="22"/>
                <w:b w:val="1"/>
                <w:bCs w:val="1"/>
                <w:color w:val="auto"/>
                <w:w w:val="96"/>
              </w:rPr>
              <w:t>REX’s</w:t>
            </w:r>
          </w:p>
        </w:tc>
      </w:tr>
      <w:tr>
        <w:trPr>
          <w:trHeight w:val="243"/>
        </w:trPr>
        <w:tc>
          <w:tcPr>
            <w:tcW w:w="9900" w:type="dxa"/>
            <w:vAlign w:val="bottom"/>
            <w:tcBorders>
              <w:left w:val="single" w:sz="8" w:color="auto"/>
              <w:right w:val="single" w:sz="8" w:color="auto"/>
            </w:tcBorders>
          </w:tcPr>
          <w:p>
            <w:pPr>
              <w:spacing w:after="0"/>
              <w:rPr>
                <w:sz w:val="21"/>
                <w:szCs w:val="21"/>
                <w:color w:val="auto"/>
              </w:rPr>
            </w:pPr>
          </w:p>
        </w:tc>
        <w:tc>
          <w:tcPr>
            <w:tcW w:w="1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Current</w:t>
            </w:r>
          </w:p>
        </w:tc>
      </w:tr>
      <w:tr>
        <w:trPr>
          <w:trHeight w:val="243"/>
        </w:trPr>
        <w:tc>
          <w:tcPr>
            <w:tcW w:w="9900" w:type="dxa"/>
            <w:vAlign w:val="bottom"/>
            <w:tcBorders>
              <w:left w:val="single" w:sz="8" w:color="auto"/>
              <w:right w:val="single" w:sz="8" w:color="auto"/>
            </w:tcBorders>
          </w:tcPr>
          <w:p>
            <w:pPr>
              <w:spacing w:after="0"/>
              <w:rPr>
                <w:sz w:val="21"/>
                <w:szCs w:val="21"/>
                <w:color w:val="auto"/>
              </w:rPr>
            </w:pPr>
          </w:p>
        </w:tc>
        <w:tc>
          <w:tcPr>
            <w:tcW w:w="1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Ownership</w:t>
            </w:r>
          </w:p>
        </w:tc>
      </w:tr>
      <w:tr>
        <w:trPr>
          <w:trHeight w:val="274"/>
        </w:trPr>
        <w:tc>
          <w:tcPr>
            <w:tcW w:w="9900" w:type="dxa"/>
            <w:vAlign w:val="bottom"/>
            <w:tcBorders>
              <w:left w:val="single" w:sz="8" w:color="auto"/>
              <w:bottom w:val="single" w:sz="8" w:color="auto"/>
              <w:right w:val="single" w:sz="8" w:color="auto"/>
            </w:tcBorders>
          </w:tcPr>
          <w:p>
            <w:pPr>
              <w:ind w:left="4660"/>
              <w:spacing w:after="0"/>
              <w:rPr>
                <w:sz w:val="20"/>
                <w:szCs w:val="20"/>
                <w:color w:val="auto"/>
              </w:rPr>
            </w:pPr>
            <w:r>
              <w:rPr>
                <w:rFonts w:ascii="Times New Roman" w:cs="Times New Roman" w:eastAsia="Times New Roman" w:hAnsi="Times New Roman"/>
                <w:sz w:val="22"/>
                <w:szCs w:val="22"/>
                <w:b w:val="1"/>
                <w:bCs w:val="1"/>
                <w:color w:val="auto"/>
              </w:rPr>
              <w:t>Entity</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Interest</w:t>
            </w:r>
          </w:p>
        </w:tc>
      </w:tr>
      <w:tr>
        <w:trPr>
          <w:trHeight w:val="236"/>
        </w:trPr>
        <w:tc>
          <w:tcPr>
            <w:tcW w:w="99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One Earth Energy, LLC</w:t>
            </w:r>
          </w:p>
        </w:tc>
        <w:tc>
          <w:tcPr>
            <w:tcW w:w="1340" w:type="dxa"/>
            <w:vAlign w:val="bottom"/>
            <w:tcBorders>
              <w:bottom w:val="single" w:sz="8" w:color="auto"/>
              <w:right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75.8%</w:t>
            </w:r>
          </w:p>
        </w:tc>
      </w:tr>
      <w:tr>
        <w:trPr>
          <w:trHeight w:val="237"/>
        </w:trPr>
        <w:tc>
          <w:tcPr>
            <w:tcW w:w="99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NuGen Energy, LLC</w:t>
            </w:r>
          </w:p>
        </w:tc>
        <w:tc>
          <w:tcPr>
            <w:tcW w:w="1340" w:type="dxa"/>
            <w:vAlign w:val="bottom"/>
            <w:tcBorders>
              <w:bottom w:val="single" w:sz="8" w:color="auto"/>
              <w:right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99.7%</w:t>
            </w:r>
          </w:p>
        </w:tc>
      </w:tr>
      <w:tr>
        <w:trPr>
          <w:trHeight w:val="209"/>
        </w:trPr>
        <w:tc>
          <w:tcPr>
            <w:tcW w:w="990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Big River Resources, LLC:</w:t>
            </w:r>
          </w:p>
        </w:tc>
        <w:tc>
          <w:tcPr>
            <w:tcW w:w="1340" w:type="dxa"/>
            <w:vAlign w:val="bottom"/>
            <w:tcBorders>
              <w:right w:val="single" w:sz="8" w:color="auto"/>
            </w:tcBorders>
          </w:tcPr>
          <w:p>
            <w:pPr>
              <w:spacing w:after="0"/>
              <w:rPr>
                <w:sz w:val="18"/>
                <w:szCs w:val="18"/>
                <w:color w:val="auto"/>
              </w:rPr>
            </w:pPr>
          </w:p>
        </w:tc>
      </w:tr>
      <w:tr>
        <w:trPr>
          <w:trHeight w:val="243"/>
        </w:trPr>
        <w:tc>
          <w:tcPr>
            <w:tcW w:w="990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Resources W Burlington, LLC</w:t>
            </w:r>
          </w:p>
        </w:tc>
        <w:tc>
          <w:tcPr>
            <w:tcW w:w="1340" w:type="dxa"/>
            <w:vAlign w:val="bottom"/>
            <w:tcBorders>
              <w:right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990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Resources Galva, LLC</w:t>
            </w:r>
          </w:p>
        </w:tc>
        <w:tc>
          <w:tcPr>
            <w:tcW w:w="1340" w:type="dxa"/>
            <w:vAlign w:val="bottom"/>
            <w:tcBorders>
              <w:right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990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United Energy, LLC</w:t>
            </w:r>
          </w:p>
        </w:tc>
        <w:tc>
          <w:tcPr>
            <w:tcW w:w="1340" w:type="dxa"/>
            <w:vAlign w:val="bottom"/>
            <w:tcBorders>
              <w:right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70"/>
        </w:trPr>
        <w:tc>
          <w:tcPr>
            <w:tcW w:w="9900" w:type="dxa"/>
            <w:vAlign w:val="bottom"/>
            <w:tcBorders>
              <w:left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Big River Resources Boyceville, LLC</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10.3%</w:t>
            </w:r>
          </w:p>
        </w:tc>
      </w:tr>
    </w:tbl>
    <w:p>
      <w:pPr>
        <w:spacing w:after="0" w:line="216"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21"/>
          <w:szCs w:val="21"/>
          <w:color w:val="auto"/>
        </w:rPr>
        <w:t>Our ethanol operations and the results thereof are highly dependent on commodity prices, especially prices for corn, ethanol, distillers grains, non-food grade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and foreign trade. Because the market prices of ethanol and distillers grains are not always directly related to corn prices (for example, demand for crude and other energy and related prices, the export market demand for ethanol and distillers grains, soybean meal prices, and the results of federal policy decisions and trade negotiations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198"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We expect our ethanol plants to produce at least 2.8 gallons of denatured ethanol for each bushel of grain processed in the production cycle. We refer to the actual gallons of denatured ethanol produced per bushel of grain processed as the realized yield. We refer to the difference between the price per gallon of ethanol and the price per bushel of grain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208"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22"/>
          <w:szCs w:val="22"/>
          <w:color w:val="auto"/>
        </w:rPr>
        <w:t>We attempt to manage the risk related to the volatility of commodity prices by utilizing forward grain purchase, forward ethanol, distillers grains and corn oil sale contracts and commodity futures agreements, as management deems appropriate. We attempt to match quantities of these sale contracts with an appropriate quantity of grain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 Consequently, we generally execute fixed price ethanol contracts for no more than four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25" w:name="page26"/>
    <w:bookmarkEnd w:id="25"/>
    <w:p>
      <w:pPr>
        <w:ind w:right="100"/>
        <w:spacing w:after="0" w:line="236" w:lineRule="auto"/>
        <w:rPr>
          <w:sz w:val="20"/>
          <w:szCs w:val="20"/>
          <w:color w:val="auto"/>
        </w:rPr>
      </w:pPr>
      <w:r>
        <w:rPr>
          <w:rFonts w:ascii="Times New Roman" w:cs="Times New Roman" w:eastAsia="Times New Roman" w:hAnsi="Times New Roman"/>
          <w:sz w:val="22"/>
          <w:szCs w:val="22"/>
          <w:color w:val="auto"/>
        </w:rPr>
        <w:t>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 We utilize derivative financial instruments, primarily exchange traded commodity future contracts and swap contracts, in conjunction with certain of our grain procurement activities and commodity marketing activities.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Refined Coal</w:t>
      </w:r>
    </w:p>
    <w:p>
      <w:pPr>
        <w:spacing w:after="0" w:line="23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21"/>
          <w:szCs w:val="21"/>
          <w:color w:val="auto"/>
        </w:rPr>
        <w:t>On August 10, 2017, we purchased, through a 95.35% owned subsidiary, for approximately $12.0 million, the entire ownership interest of an entity that owned a refined coal facility. We began operating the refined coal facility immediately after the acquisition. As the plant was no longer eligible to receive federal production tax credits beginning on November 18, 2021, we ceased operations on that date. We began classifying this operation as discontinued operations in the third quarter of fiscal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Carbon Sequestration</w:t>
      </w:r>
    </w:p>
    <w:p>
      <w:pPr>
        <w:spacing w:after="0" w:line="237"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22"/>
          <w:szCs w:val="22"/>
          <w:color w:val="auto"/>
        </w:rPr>
        <w:t>The Company is working with the University of Illinois and is in the exploratory stage of a carbon sequestration project near the One Earth Energy ethanol plant. A test well has been drilled and three-dimensional seismic testing has been performed. We are working on simulation models to predict the movement of carbon dioxide injection into the subsurface, additional testing and completion of a class VI permit application. A front-end engineering design study has been completed for a carbon dioxide liquification facility for the One Earth Energy plant. We have received bids on construction of the facility and are in the review process. At this time we do not know total cost to complete or the feasibility of the project.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Future Energy</w:t>
      </w:r>
    </w:p>
    <w:p>
      <w:pPr>
        <w:spacing w:after="0" w:line="237"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During fiscal year 2013, we entered into a joint venture to file and defend patents for eSteam technology. The patented technology is an enhanced method of heavy oil recovery involving zero emissions downhole steam generation. To date, we have not successfully had a field operation nor demonstrated that the technology is commercially feasible. We own 60% and our partner owns 40% of the entity named Future Energy, LLC, an Ohio limited liability company. We have no current plans to operate this technology and are maintaining patents in limited countries.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 and Estimates</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During the three months ended July 31, 2022, we did not change any of our critical accounting policies as disclosed in our 2021 Annual Report on Form 10-K as filed with the Securities and Exchange Commission on April 6, 2022.</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b w:val="1"/>
          <w:bCs w:val="1"/>
          <w:color w:val="auto"/>
        </w:rPr>
        <w:t>Fiscal Year</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All references in this report to a particular fiscal year are to REX’s fiscal year ended January 31. For example, “fiscal year 2022” means the period February 1, 2022 to January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Trends and Uncertainties</w:t>
      </w:r>
    </w:p>
    <w:p>
      <w:pPr>
        <w:spacing w:after="0" w:line="23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Renewable Fuel Standard II (“RFS II”), established in October 2010, has been an important factor in the growth of ethanol usage in the United States. In recent years, there has been much uncertainty on the enforcement of RFS II. When it was originally established, RFS II required the volume of “conventional” or corn derived ethanol to be blended with gasoline to increase each year until it reached 15.0 billion gallons in 2015 and required that it remain at that level through 2022. There are no established congressional target volumes beginning in 2023. The EPA has the authority to waive the biofuel mandate, in whole or in part, if there is inadequate domestic renewable fuel supply or the requirement severely harms the domestic economy or environment. In addition, under RFS II, a small refiner that processes less than 75,000 barrels of oil per day can petition the EPA for a waiver of their requirement to submit renewable identification numbers (“RINs”). The EPA, through consultation with the Department of Energy and the Department of Agriculture, can grant the refiner a full or partial waiver, or deny the waiver. The EPA issued 85 refinery exemptions for 2016-2018 compliance years, undercutting the statutory renewable fuel volumes by a total of 4.0 billion gallons.</w:t>
      </w:r>
    </w:p>
    <w:p>
      <w:pPr>
        <w:spacing w:after="0" w:line="214"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The EPA has finalized volumes for 2021 and 2022 and reduced the previously finalized volumes for 2020 to account for challenges for that year including the COVID-19 pandemic. The volumes for conventional biofuels are 13.8 billion gallons and 15.0 billion gallons for 2021 and 2022, respectively. The 2020 volumes were reduced to 12.5 billion gallons, down from the previously finalized 15.0 billion gallons. In addition, the EPA at the same time denied all pending applications for Small Refinery Exemptions (SREs). The EPA also added 250 million gallons of “supplemental obligation” to the 2022 proposed volumes and stated its intent to add another 250 million gallons to 2023 to address the remand of the 2016 waiver by the D.C Circuit. There are multiple legal challenges to how the EPA has handled SREs and RFS II rulemakings.</w:t>
      </w:r>
    </w:p>
    <w:p>
      <w:pPr>
        <w:spacing w:after="0" w:line="21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Due to the Russian-Ukraine conflict, the corn and natural gas supplies worldwide have been adversely affected, and have had a negative impact on prices for both commodities and corn availability in the United States.</w:t>
      </w:r>
    </w:p>
    <w:p>
      <w:pPr>
        <w:spacing w:after="0" w:line="18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The recently enacted Inflation Reduction Act of 2022 has numerous potential impacts on our business which we are still evaluating. The economics for carbon sequestration will benefit from raising the carbon capture tax credit from $50 per metric ton to $85 per metric ton. The credit will be “direct pay”, meaning it would be a refundable credit, for the first five years, starting with the year the facility is placed in service, but not beyond December 31, 2032. In addition, the law would provide other potential impacts to our business or industry, such as (a) creating a new Clean Fuel Production Credit that would be dependent on the level of greenhouse gas emissions reduction for each gallon; (b) extending the biodiesel tax credit, which could impact our renewable corn oil values, as this co-product serves as a low-carbon feedstock for renewable diesel and biomass based diesel production; (c) creating a new tax credit for</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2" w:right="379" w:bottom="1440" w:gutter="0" w:footer="0" w:header="0"/>
        </w:sectPr>
      </w:pPr>
    </w:p>
    <w:bookmarkStart w:id="27" w:name="page28"/>
    <w:bookmarkEnd w:id="27"/>
    <w:p>
      <w:pPr>
        <w:jc w:val="both"/>
        <w:ind w:right="60"/>
        <w:spacing w:after="0" w:line="261" w:lineRule="auto"/>
        <w:rPr>
          <w:sz w:val="20"/>
          <w:szCs w:val="20"/>
          <w:color w:val="auto"/>
        </w:rPr>
      </w:pPr>
      <w:r>
        <w:rPr>
          <w:rFonts w:ascii="Times New Roman" w:cs="Times New Roman" w:eastAsia="Times New Roman" w:hAnsi="Times New Roman"/>
          <w:sz w:val="21"/>
          <w:szCs w:val="21"/>
          <w:color w:val="auto"/>
        </w:rPr>
        <w:t>sustainable aviation fuel; (d) funding biofuel refueling infrastructure which could impact the availability of higher level ethanol blended fuel; and (e) providing for the production and purchase credits for electric vehicles, which could impact the amount of internal combustion engines on the road over time, and ultimately reduce the demand for gasoline, diesel fuels and ethanol.</w:t>
      </w:r>
    </w:p>
    <w:p>
      <w:pPr>
        <w:spacing w:after="0" w:line="1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21"/>
          <w:szCs w:val="21"/>
          <w:color w:val="auto"/>
        </w:rPr>
        <w:t>On August 25, 2022, the California Air Resources Board approved the Advanced Clean Cars II rule that requires all new cars and light trucks sold in the state be zero-emissions vehicles, including plug-in hybrid electric vehicles beginning in 2035.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Should these trends and uncertainties continue, our future operating results could be negatively impacted.</w:t>
      </w:r>
    </w:p>
    <w:p>
      <w:pPr>
        <w:spacing w:after="0" w:line="17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80"/>
          </w:cols>
          <w:pgMar w:left="320" w:top="396" w:right="4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86"/>
        </w:trPr>
        <w:tc>
          <w:tcPr>
            <w:tcW w:w="690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Comparison of Three and Six Months Ended July 31, 2022 and 2021</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480" w:type="dxa"/>
            <w:vAlign w:val="bottom"/>
            <w:gridSpan w:val="9"/>
          </w:tcPr>
          <w:p>
            <w:pPr>
              <w:ind w:left="660"/>
              <w:spacing w:after="0"/>
              <w:rPr>
                <w:sz w:val="20"/>
                <w:szCs w:val="20"/>
                <w:color w:val="auto"/>
              </w:rPr>
            </w:pPr>
            <w:r>
              <w:rPr>
                <w:rFonts w:ascii="Times New Roman" w:cs="Times New Roman" w:eastAsia="Times New Roman" w:hAnsi="Times New Roman"/>
                <w:sz w:val="22"/>
                <w:szCs w:val="22"/>
                <w:color w:val="auto"/>
              </w:rPr>
              <w:t>The following table summarizes our results from operations (amounts in thousands):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5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20" w:type="dxa"/>
            <w:vAlign w:val="bottom"/>
            <w:gridSpan w:val="7"/>
          </w:tcPr>
          <w:p>
            <w:pPr>
              <w:jc w:val="right"/>
              <w:ind w:right="84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9"/>
          </w:tcPr>
          <w:p>
            <w:pPr>
              <w:jc w:val="center"/>
              <w:ind w:right="320"/>
              <w:spacing w:after="0"/>
              <w:rPr>
                <w:sz w:val="20"/>
                <w:szCs w:val="20"/>
                <w:color w:val="auto"/>
              </w:rPr>
            </w:pPr>
            <w:r>
              <w:rPr>
                <w:rFonts w:ascii="Times New Roman" w:cs="Times New Roman" w:eastAsia="Times New Roman" w:hAnsi="Times New Roman"/>
                <w:sz w:val="22"/>
                <w:szCs w:val="22"/>
                <w:b w:val="1"/>
                <w:bCs w:val="1"/>
                <w:color w:val="auto"/>
                <w:w w:val="97"/>
              </w:rPr>
              <w:t>Six Months Ended</w:t>
            </w: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3"/>
          </w:tcPr>
          <w:p>
            <w:pPr>
              <w:jc w:val="right"/>
              <w:ind w:right="112"/>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4"/>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July 31,</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gridSpan w:val="2"/>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w w:val="90"/>
              </w:rPr>
              <w:t>2022</w:t>
            </w: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b w:val="1"/>
                <w:bCs w:val="1"/>
                <w:color w:val="auto"/>
                <w:w w:val="95"/>
              </w:rPr>
              <w:t>2021</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2022</w:t>
            </w: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2021</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sales and revenue</w:t>
            </w:r>
          </w:p>
        </w:tc>
        <w:tc>
          <w:tcPr>
            <w:tcW w:w="360" w:type="dxa"/>
            <w:vAlign w:val="bottom"/>
            <w:shd w:val="clear" w:color="auto" w:fill="E5FFFF"/>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3"/>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240,328</w:t>
            </w:r>
          </w:p>
        </w:tc>
        <w:tc>
          <w:tcPr>
            <w:tcW w:w="340" w:type="dxa"/>
            <w:vAlign w:val="bottom"/>
            <w:shd w:val="clear" w:color="auto" w:fill="E5FFFF"/>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3"/>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195,678</w:t>
            </w:r>
          </w:p>
        </w:tc>
        <w:tc>
          <w:tcPr>
            <w:tcW w:w="2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gridSpan w:val="4"/>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434,556</w:t>
            </w:r>
          </w:p>
        </w:tc>
        <w:tc>
          <w:tcPr>
            <w:tcW w:w="280" w:type="dxa"/>
            <w:vAlign w:val="bottom"/>
            <w:gridSpan w:val="2"/>
            <w:shd w:val="clear" w:color="auto" w:fill="E5FFFF"/>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gridSpan w:val="4"/>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359,720</w:t>
            </w:r>
          </w:p>
        </w:tc>
        <w:tc>
          <w:tcPr>
            <w:tcW w:w="0" w:type="dxa"/>
            <w:vAlign w:val="bottom"/>
          </w:tcPr>
          <w:p>
            <w:pPr>
              <w:spacing w:after="0"/>
              <w:rPr>
                <w:sz w:val="1"/>
                <w:szCs w:val="1"/>
                <w:color w:val="auto"/>
              </w:rPr>
            </w:pPr>
          </w:p>
        </w:tc>
      </w:tr>
      <w:tr>
        <w:trPr>
          <w:trHeight w:val="243"/>
        </w:trPr>
        <w:tc>
          <w:tcPr>
            <w:tcW w:w="5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Cost of sales</w:t>
            </w:r>
          </w:p>
        </w:tc>
        <w:tc>
          <w:tcPr>
            <w:tcW w:w="360" w:type="dxa"/>
            <w:vAlign w:val="bottom"/>
          </w:tcPr>
          <w:p>
            <w:pPr>
              <w:spacing w:after="0"/>
              <w:rPr>
                <w:sz w:val="21"/>
                <w:szCs w:val="21"/>
                <w:color w:val="auto"/>
              </w:rPr>
            </w:pPr>
          </w:p>
        </w:tc>
        <w:tc>
          <w:tcPr>
            <w:tcW w:w="1240" w:type="dxa"/>
            <w:vAlign w:val="bottom"/>
            <w:gridSpan w:val="3"/>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223,744</w:t>
            </w:r>
          </w:p>
        </w:tc>
        <w:tc>
          <w:tcPr>
            <w:tcW w:w="340" w:type="dxa"/>
            <w:vAlign w:val="bottom"/>
          </w:tcPr>
          <w:p>
            <w:pPr>
              <w:spacing w:after="0"/>
              <w:rPr>
                <w:sz w:val="21"/>
                <w:szCs w:val="21"/>
                <w:color w:val="auto"/>
              </w:rPr>
            </w:pPr>
          </w:p>
        </w:tc>
        <w:tc>
          <w:tcPr>
            <w:tcW w:w="1240" w:type="dxa"/>
            <w:vAlign w:val="bottom"/>
            <w:gridSpan w:val="3"/>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181,524</w:t>
            </w:r>
          </w:p>
        </w:tc>
        <w:tc>
          <w:tcPr>
            <w:tcW w:w="220" w:type="dxa"/>
            <w:vAlign w:val="bottom"/>
          </w:tcPr>
          <w:p>
            <w:pPr>
              <w:spacing w:after="0"/>
              <w:rPr>
                <w:sz w:val="21"/>
                <w:szCs w:val="21"/>
                <w:color w:val="auto"/>
              </w:rPr>
            </w:pPr>
          </w:p>
        </w:tc>
        <w:tc>
          <w:tcPr>
            <w:tcW w:w="1320" w:type="dxa"/>
            <w:vAlign w:val="bottom"/>
            <w:gridSpan w:val="4"/>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406,060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4"/>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326,089</w:t>
            </w:r>
          </w:p>
        </w:tc>
        <w:tc>
          <w:tcPr>
            <w:tcW w:w="0" w:type="dxa"/>
            <w:vAlign w:val="bottom"/>
          </w:tcPr>
          <w:p>
            <w:pPr>
              <w:spacing w:after="0"/>
              <w:rPr>
                <w:sz w:val="1"/>
                <w:szCs w:val="1"/>
                <w:color w:val="auto"/>
              </w:rPr>
            </w:pPr>
          </w:p>
        </w:tc>
      </w:tr>
      <w:tr>
        <w:trPr>
          <w:trHeight w:val="237"/>
        </w:trPr>
        <w:tc>
          <w:tcPr>
            <w:tcW w:w="530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Gross profit</w:t>
            </w:r>
          </w:p>
        </w:tc>
        <w:tc>
          <w:tcPr>
            <w:tcW w:w="360" w:type="dxa"/>
            <w:vAlign w:val="bottom"/>
            <w:tcBorders>
              <w:top w:val="single" w:sz="8" w:color="auto"/>
              <w:bottom w:val="single" w:sz="8" w:color="auto"/>
            </w:tcBorders>
            <w:shd w:val="clear" w:color="auto" w:fill="E5FFFF"/>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80" w:type="dxa"/>
            <w:vAlign w:val="bottom"/>
            <w:tcBorders>
              <w:top w:val="single" w:sz="8" w:color="auto"/>
              <w:bottom w:val="single" w:sz="8" w:color="auto"/>
            </w:tcBorders>
            <w:gridSpan w:val="2"/>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16,584</w:t>
            </w:r>
          </w:p>
        </w:tc>
        <w:tc>
          <w:tcPr>
            <w:tcW w:w="460" w:type="dxa"/>
            <w:vAlign w:val="bottom"/>
            <w:tcBorders>
              <w:top w:val="single" w:sz="8" w:color="E5FFFF"/>
              <w:bottom w:val="single" w:sz="8" w:color="E5FFFF"/>
            </w:tcBorders>
            <w:shd w:val="clear" w:color="auto" w:fill="E5FFFF"/>
          </w:tcPr>
          <w:p>
            <w:pPr>
              <w:spacing w:after="0"/>
              <w:rPr>
                <w:sz w:val="20"/>
                <w:szCs w:val="20"/>
                <w:color w:val="auto"/>
              </w:rPr>
            </w:pPr>
          </w:p>
        </w:tc>
        <w:tc>
          <w:tcPr>
            <w:tcW w:w="340" w:type="dxa"/>
            <w:vAlign w:val="bottom"/>
            <w:tcBorders>
              <w:top w:val="single" w:sz="8" w:color="auto"/>
              <w:bottom w:val="single" w:sz="8" w:color="auto"/>
            </w:tcBorders>
            <w:shd w:val="clear" w:color="auto" w:fill="E5FFFF"/>
          </w:tcPr>
          <w:p>
            <w:pPr>
              <w:jc w:val="right"/>
              <w:ind w:right="13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80" w:type="dxa"/>
            <w:vAlign w:val="bottom"/>
            <w:tcBorders>
              <w:top w:val="single" w:sz="8" w:color="auto"/>
              <w:bottom w:val="single" w:sz="8" w:color="auto"/>
            </w:tcBorders>
            <w:gridSpan w:val="2"/>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14,154</w:t>
            </w:r>
          </w:p>
        </w:tc>
        <w:tc>
          <w:tcPr>
            <w:tcW w:w="460" w:type="dxa"/>
            <w:vAlign w:val="bottom"/>
            <w:tcBorders>
              <w:top w:val="single" w:sz="8" w:color="E5FFFF"/>
              <w:bottom w:val="single" w:sz="8" w:color="E5FFFF"/>
            </w:tcBorders>
            <w:shd w:val="clear" w:color="auto" w:fill="E5FFFF"/>
          </w:tcPr>
          <w:p>
            <w:pPr>
              <w:spacing w:after="0"/>
              <w:rPr>
                <w:sz w:val="20"/>
                <w:szCs w:val="20"/>
                <w:color w:val="auto"/>
              </w:rPr>
            </w:pPr>
          </w:p>
        </w:tc>
        <w:tc>
          <w:tcPr>
            <w:tcW w:w="2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28,496</w:t>
            </w:r>
          </w:p>
        </w:tc>
        <w:tc>
          <w:tcPr>
            <w:tcW w:w="420" w:type="dxa"/>
            <w:vAlign w:val="bottom"/>
            <w:tcBorders>
              <w:top w:val="single" w:sz="8" w:color="E5FFFF"/>
              <w:bottom w:val="single" w:sz="8" w:color="E5FFFF"/>
            </w:tcBorders>
            <w:shd w:val="clear" w:color="auto" w:fill="E5FFFF"/>
          </w:tcPr>
          <w:p>
            <w:pPr>
              <w:spacing w:after="0"/>
              <w:rPr>
                <w:sz w:val="20"/>
                <w:szCs w:val="20"/>
                <w:color w:val="auto"/>
              </w:rPr>
            </w:pPr>
          </w:p>
        </w:tc>
        <w:tc>
          <w:tcPr>
            <w:tcW w:w="280" w:type="dxa"/>
            <w:vAlign w:val="bottom"/>
            <w:tcBorders>
              <w:top w:val="single" w:sz="8" w:color="auto"/>
              <w:bottom w:val="single" w:sz="8" w:color="auto"/>
            </w:tcBorders>
            <w:gridSpan w:val="2"/>
            <w:shd w:val="clear" w:color="auto" w:fill="E5FFFF"/>
          </w:tcPr>
          <w:p>
            <w:pPr>
              <w:jc w:val="right"/>
              <w:ind w:right="160"/>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33,631</w:t>
            </w:r>
          </w:p>
        </w:tc>
        <w:tc>
          <w:tcPr>
            <w:tcW w:w="100" w:type="dxa"/>
            <w:vAlign w:val="bottom"/>
            <w:tcBorders>
              <w:top w:val="single" w:sz="8" w:color="E5FFFF"/>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300" w:type="dxa"/>
            <w:vAlign w:val="bottom"/>
          </w:tcPr>
          <w:p>
            <w:pPr>
              <w:spacing w:after="0"/>
              <w:rPr>
                <w:sz w:val="20"/>
                <w:szCs w:val="20"/>
                <w:color w:val="auto"/>
              </w:rPr>
            </w:pPr>
            <w:r>
              <w:rPr>
                <w:rFonts w:ascii="Times New Roman" w:cs="Times New Roman" w:eastAsia="Times New Roman" w:hAnsi="Times New Roman"/>
                <w:sz w:val="22"/>
                <w:szCs w:val="22"/>
                <w:color w:val="auto"/>
              </w:rPr>
              <w:t>Income before income taxes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22"/>
                <w:szCs w:val="22"/>
                <w:color w:val="auto"/>
              </w:rPr>
              <w:t>19,215</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22"/>
                <w:szCs w:val="22"/>
                <w:color w:val="auto"/>
              </w:rPr>
              <w:t>9,806</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gridSpan w:val="4"/>
          </w:tcPr>
          <w:p>
            <w:pPr>
              <w:jc w:val="right"/>
              <w:ind w:right="420"/>
              <w:spacing w:after="0"/>
              <w:rPr>
                <w:sz w:val="20"/>
                <w:szCs w:val="20"/>
                <w:color w:val="auto"/>
              </w:rPr>
            </w:pPr>
            <w:r>
              <w:rPr>
                <w:rFonts w:ascii="Times New Roman" w:cs="Times New Roman" w:eastAsia="Times New Roman" w:hAnsi="Times New Roman"/>
                <w:sz w:val="22"/>
                <w:szCs w:val="22"/>
                <w:color w:val="auto"/>
              </w:rPr>
              <w:t>28,049</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22"/>
                <w:szCs w:val="22"/>
                <w:color w:val="auto"/>
              </w:rPr>
              <w:t>19,993</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Provision for income taxes</w:t>
            </w:r>
          </w:p>
        </w:tc>
        <w:tc>
          <w:tcPr>
            <w:tcW w:w="360" w:type="dxa"/>
            <w:vAlign w:val="bottom"/>
            <w:shd w:val="clear" w:color="auto" w:fill="E5FFFF"/>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3"/>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(4,330)</w:t>
            </w:r>
          </w:p>
        </w:tc>
        <w:tc>
          <w:tcPr>
            <w:tcW w:w="340" w:type="dxa"/>
            <w:vAlign w:val="bottom"/>
            <w:shd w:val="clear" w:color="auto" w:fill="E5FFFF"/>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3"/>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(1,767)</w:t>
            </w:r>
          </w:p>
        </w:tc>
        <w:tc>
          <w:tcPr>
            <w:tcW w:w="2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gridSpan w:val="4"/>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(6,178)</w:t>
            </w:r>
          </w:p>
        </w:tc>
        <w:tc>
          <w:tcPr>
            <w:tcW w:w="280" w:type="dxa"/>
            <w:vAlign w:val="bottom"/>
            <w:gridSpan w:val="2"/>
            <w:shd w:val="clear" w:color="auto" w:fill="E5FFFF"/>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gridSpan w:val="4"/>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(3,991)</w:t>
            </w:r>
          </w:p>
        </w:tc>
        <w:tc>
          <w:tcPr>
            <w:tcW w:w="0" w:type="dxa"/>
            <w:vAlign w:val="bottom"/>
          </w:tcPr>
          <w:p>
            <w:pPr>
              <w:spacing w:after="0"/>
              <w:rPr>
                <w:sz w:val="1"/>
                <w:szCs w:val="1"/>
                <w:color w:val="auto"/>
              </w:rPr>
            </w:pPr>
          </w:p>
        </w:tc>
      </w:tr>
      <w:tr>
        <w:trPr>
          <w:trHeight w:val="20"/>
        </w:trPr>
        <w:tc>
          <w:tcPr>
            <w:tcW w:w="530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22"/>
                <w:szCs w:val="22"/>
                <w:color w:val="auto"/>
              </w:rPr>
              <w:t>Net income attributable to REX common shareholders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300" w:type="dxa"/>
            <w:vAlign w:val="bottom"/>
            <w:vMerge w:val="continue"/>
          </w:tcPr>
          <w:p>
            <w:pPr>
              <w:spacing w:after="0"/>
              <w:rPr>
                <w:sz w:val="24"/>
                <w:szCs w:val="24"/>
                <w:color w:val="auto"/>
              </w:rPr>
            </w:pPr>
          </w:p>
        </w:tc>
        <w:tc>
          <w:tcPr>
            <w:tcW w:w="36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22"/>
                <w:szCs w:val="22"/>
                <w:color w:val="auto"/>
              </w:rPr>
              <w:t>11,170</w:t>
            </w:r>
          </w:p>
        </w:tc>
        <w:tc>
          <w:tcPr>
            <w:tcW w:w="34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22"/>
                <w:szCs w:val="22"/>
                <w:color w:val="auto"/>
              </w:rPr>
              <w:t>5,710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gridSpan w:val="4"/>
            <w:vMerge w:val="restart"/>
          </w:tcPr>
          <w:p>
            <w:pPr>
              <w:jc w:val="right"/>
              <w:ind w:right="420"/>
              <w:spacing w:after="0"/>
              <w:rPr>
                <w:sz w:val="20"/>
                <w:szCs w:val="20"/>
                <w:color w:val="auto"/>
              </w:rPr>
            </w:pPr>
            <w:r>
              <w:rPr>
                <w:rFonts w:ascii="Times New Roman" w:cs="Times New Roman" w:eastAsia="Times New Roman" w:hAnsi="Times New Roman"/>
                <w:sz w:val="22"/>
                <w:szCs w:val="22"/>
                <w:color w:val="auto"/>
              </w:rPr>
              <w:t>16,352</w:t>
            </w:r>
          </w:p>
        </w:tc>
        <w:tc>
          <w:tcPr>
            <w:tcW w:w="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22"/>
                <w:szCs w:val="22"/>
                <w:color w:val="auto"/>
              </w:rPr>
              <w:t>12,979</w:t>
            </w:r>
          </w:p>
        </w:tc>
        <w:tc>
          <w:tcPr>
            <w:tcW w:w="0" w:type="dxa"/>
            <w:vAlign w:val="bottom"/>
          </w:tcPr>
          <w:p>
            <w:pPr>
              <w:spacing w:after="0"/>
              <w:rPr>
                <w:sz w:val="1"/>
                <w:szCs w:val="1"/>
                <w:color w:val="auto"/>
              </w:rPr>
            </w:pPr>
          </w:p>
        </w:tc>
      </w:tr>
      <w:tr>
        <w:trPr>
          <w:trHeight w:val="257"/>
        </w:trPr>
        <w:tc>
          <w:tcPr>
            <w:tcW w:w="5300" w:type="dxa"/>
            <w:vAlign w:val="bottom"/>
          </w:tcPr>
          <w:p>
            <w:pPr>
              <w:spacing w:after="0"/>
              <w:rPr>
                <w:sz w:val="20"/>
                <w:szCs w:val="20"/>
                <w:color w:val="auto"/>
              </w:rPr>
            </w:pPr>
            <w:r>
              <w:rPr>
                <w:rFonts w:ascii="Times New Roman" w:cs="Times New Roman" w:eastAsia="Times New Roman" w:hAnsi="Times New Roman"/>
                <w:sz w:val="22"/>
                <w:szCs w:val="22"/>
                <w:color w:val="auto"/>
              </w:rPr>
              <w:t>(continuing operations)</w:t>
            </w:r>
          </w:p>
        </w:tc>
        <w:tc>
          <w:tcPr>
            <w:tcW w:w="360" w:type="dxa"/>
            <w:vAlign w:val="bottom"/>
            <w:vMerge w:val="continue"/>
          </w:tcPr>
          <w:p>
            <w:pPr>
              <w:spacing w:after="0"/>
              <w:rPr>
                <w:sz w:val="22"/>
                <w:szCs w:val="22"/>
                <w:color w:val="auto"/>
              </w:rPr>
            </w:pPr>
          </w:p>
        </w:tc>
        <w:tc>
          <w:tcPr>
            <w:tcW w:w="1240" w:type="dxa"/>
            <w:vAlign w:val="bottom"/>
            <w:gridSpan w:val="3"/>
            <w:vMerge w:val="continue"/>
          </w:tcPr>
          <w:p>
            <w:pPr>
              <w:spacing w:after="0"/>
              <w:rPr>
                <w:sz w:val="22"/>
                <w:szCs w:val="22"/>
                <w:color w:val="auto"/>
              </w:rPr>
            </w:pPr>
          </w:p>
        </w:tc>
        <w:tc>
          <w:tcPr>
            <w:tcW w:w="340" w:type="dxa"/>
            <w:vAlign w:val="bottom"/>
            <w:vMerge w:val="continue"/>
          </w:tcPr>
          <w:p>
            <w:pPr>
              <w:spacing w:after="0"/>
              <w:rPr>
                <w:sz w:val="22"/>
                <w:szCs w:val="22"/>
                <w:color w:val="auto"/>
              </w:rPr>
            </w:pPr>
          </w:p>
        </w:tc>
        <w:tc>
          <w:tcPr>
            <w:tcW w:w="1240" w:type="dxa"/>
            <w:vAlign w:val="bottom"/>
            <w:gridSpan w:val="3"/>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1320" w:type="dxa"/>
            <w:vAlign w:val="bottom"/>
            <w:gridSpan w:val="4"/>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940" w:type="dxa"/>
            <w:vAlign w:val="bottom"/>
            <w:gridSpan w:val="4"/>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22"/>
                <w:szCs w:val="22"/>
                <w:color w:val="auto"/>
              </w:rPr>
              <w:t>Net income attributable to REX common shareholders</w:t>
            </w:r>
          </w:p>
        </w:tc>
        <w:tc>
          <w:tcPr>
            <w:tcW w:w="360" w:type="dxa"/>
            <w:vAlign w:val="bottom"/>
            <w:vMerge w:val="restart"/>
            <w:shd w:val="clear" w:color="auto" w:fill="E5FFFF"/>
          </w:tcPr>
          <w:p>
            <w:pPr>
              <w:jc w:val="right"/>
              <w:ind w:right="152"/>
              <w:spacing w:after="0"/>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3"/>
            <w:vMerge w:val="restart"/>
            <w:shd w:val="clear" w:color="auto" w:fill="E5FFFF"/>
          </w:tcPr>
          <w:p>
            <w:pPr>
              <w:jc w:val="right"/>
              <w:ind w:right="460"/>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vMerge w:val="restart"/>
            <w:shd w:val="clear" w:color="auto" w:fill="E5FFFF"/>
          </w:tcPr>
          <w:p>
            <w:pPr>
              <w:jc w:val="right"/>
              <w:ind w:right="132"/>
              <w:spacing w:after="0"/>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3"/>
            <w:vMerge w:val="restart"/>
            <w:shd w:val="clear" w:color="auto" w:fill="E5FFFF"/>
          </w:tcPr>
          <w:p>
            <w:pPr>
              <w:jc w:val="right"/>
              <w:ind w:right="460"/>
              <w:spacing w:after="0"/>
              <w:rPr>
                <w:sz w:val="20"/>
                <w:szCs w:val="20"/>
                <w:color w:val="auto"/>
              </w:rPr>
            </w:pPr>
            <w:r>
              <w:rPr>
                <w:rFonts w:ascii="Times New Roman" w:cs="Times New Roman" w:eastAsia="Times New Roman" w:hAnsi="Times New Roman"/>
                <w:sz w:val="22"/>
                <w:szCs w:val="22"/>
                <w:color w:val="auto"/>
              </w:rPr>
              <w:t>2,166</w:t>
            </w:r>
          </w:p>
        </w:tc>
        <w:tc>
          <w:tcPr>
            <w:tcW w:w="220" w:type="dxa"/>
            <w:vAlign w:val="bottom"/>
            <w:vMerge w:val="restart"/>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gridSpan w:val="4"/>
            <w:vMerge w:val="restart"/>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gridSpan w:val="2"/>
            <w:vMerge w:val="restart"/>
            <w:shd w:val="clear" w:color="auto" w:fill="E5FFFF"/>
          </w:tcPr>
          <w:p>
            <w:pPr>
              <w:jc w:val="right"/>
              <w:ind w:right="160"/>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gridSpan w:val="4"/>
            <w:vMerge w:val="restart"/>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2,681</w:t>
            </w:r>
          </w:p>
        </w:tc>
        <w:tc>
          <w:tcPr>
            <w:tcW w:w="0" w:type="dxa"/>
            <w:vAlign w:val="bottom"/>
          </w:tcPr>
          <w:p>
            <w:pPr>
              <w:spacing w:after="0"/>
              <w:rPr>
                <w:sz w:val="1"/>
                <w:szCs w:val="1"/>
                <w:color w:val="auto"/>
              </w:rPr>
            </w:pPr>
          </w:p>
        </w:tc>
      </w:tr>
      <w:tr>
        <w:trPr>
          <w:trHeight w:val="257"/>
        </w:trPr>
        <w:tc>
          <w:tcPr>
            <w:tcW w:w="530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(discontinued operations)</w:t>
            </w:r>
          </w:p>
        </w:tc>
        <w:tc>
          <w:tcPr>
            <w:tcW w:w="360" w:type="dxa"/>
            <w:vAlign w:val="bottom"/>
            <w:vMerge w:val="continue"/>
            <w:shd w:val="clear" w:color="auto" w:fill="E5FFFF"/>
          </w:tcPr>
          <w:p>
            <w:pPr>
              <w:spacing w:after="0"/>
              <w:rPr>
                <w:sz w:val="22"/>
                <w:szCs w:val="22"/>
                <w:color w:val="auto"/>
              </w:rPr>
            </w:pPr>
          </w:p>
        </w:tc>
        <w:tc>
          <w:tcPr>
            <w:tcW w:w="1240" w:type="dxa"/>
            <w:vAlign w:val="bottom"/>
            <w:gridSpan w:val="3"/>
            <w:vMerge w:val="continue"/>
            <w:shd w:val="clear" w:color="auto" w:fill="E5FFFF"/>
          </w:tcPr>
          <w:p>
            <w:pPr>
              <w:spacing w:after="0"/>
              <w:rPr>
                <w:sz w:val="22"/>
                <w:szCs w:val="22"/>
                <w:color w:val="auto"/>
              </w:rPr>
            </w:pPr>
          </w:p>
        </w:tc>
        <w:tc>
          <w:tcPr>
            <w:tcW w:w="340" w:type="dxa"/>
            <w:vAlign w:val="bottom"/>
            <w:vMerge w:val="continue"/>
            <w:shd w:val="clear" w:color="auto" w:fill="E5FFFF"/>
          </w:tcPr>
          <w:p>
            <w:pPr>
              <w:spacing w:after="0"/>
              <w:rPr>
                <w:sz w:val="22"/>
                <w:szCs w:val="22"/>
                <w:color w:val="auto"/>
              </w:rPr>
            </w:pPr>
          </w:p>
        </w:tc>
        <w:tc>
          <w:tcPr>
            <w:tcW w:w="1240" w:type="dxa"/>
            <w:vAlign w:val="bottom"/>
            <w:gridSpan w:val="3"/>
            <w:vMerge w:val="continue"/>
            <w:shd w:val="clear" w:color="auto" w:fill="E5FFFF"/>
          </w:tcPr>
          <w:p>
            <w:pPr>
              <w:spacing w:after="0"/>
              <w:rPr>
                <w:sz w:val="22"/>
                <w:szCs w:val="22"/>
                <w:color w:val="auto"/>
              </w:rPr>
            </w:pPr>
          </w:p>
        </w:tc>
        <w:tc>
          <w:tcPr>
            <w:tcW w:w="220" w:type="dxa"/>
            <w:vAlign w:val="bottom"/>
            <w:vMerge w:val="continue"/>
            <w:shd w:val="clear" w:color="auto" w:fill="E5FFFF"/>
          </w:tcPr>
          <w:p>
            <w:pPr>
              <w:spacing w:after="0"/>
              <w:rPr>
                <w:sz w:val="22"/>
                <w:szCs w:val="22"/>
                <w:color w:val="auto"/>
              </w:rPr>
            </w:pPr>
          </w:p>
        </w:tc>
        <w:tc>
          <w:tcPr>
            <w:tcW w:w="1320" w:type="dxa"/>
            <w:vAlign w:val="bottom"/>
            <w:gridSpan w:val="4"/>
            <w:vMerge w:val="continue"/>
            <w:shd w:val="clear" w:color="auto" w:fill="E5FFFF"/>
          </w:tcPr>
          <w:p>
            <w:pPr>
              <w:spacing w:after="0"/>
              <w:rPr>
                <w:sz w:val="22"/>
                <w:szCs w:val="22"/>
                <w:color w:val="auto"/>
              </w:rPr>
            </w:pPr>
          </w:p>
        </w:tc>
        <w:tc>
          <w:tcPr>
            <w:tcW w:w="280" w:type="dxa"/>
            <w:vAlign w:val="bottom"/>
            <w:gridSpan w:val="2"/>
            <w:vMerge w:val="continue"/>
            <w:shd w:val="clear" w:color="auto" w:fill="E5FFFF"/>
          </w:tcPr>
          <w:p>
            <w:pPr>
              <w:spacing w:after="0"/>
              <w:rPr>
                <w:sz w:val="22"/>
                <w:szCs w:val="22"/>
                <w:color w:val="auto"/>
              </w:rPr>
            </w:pPr>
          </w:p>
        </w:tc>
        <w:tc>
          <w:tcPr>
            <w:tcW w:w="940" w:type="dxa"/>
            <w:vAlign w:val="bottom"/>
            <w:gridSpan w:val="4"/>
            <w:vMerge w:val="continue"/>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summarizes net sales and revenue by product group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20" w:type="dxa"/>
            <w:vAlign w:val="bottom"/>
            <w:gridSpan w:val="7"/>
          </w:tcPr>
          <w:p>
            <w:pPr>
              <w:jc w:val="right"/>
              <w:ind w:right="84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9"/>
          </w:tcPr>
          <w:p>
            <w:pPr>
              <w:ind w:left="200"/>
              <w:spacing w:after="0"/>
              <w:rPr>
                <w:sz w:val="20"/>
                <w:szCs w:val="20"/>
                <w:color w:val="auto"/>
              </w:rPr>
            </w:pPr>
            <w:r>
              <w:rPr>
                <w:rFonts w:ascii="Times New Roman" w:cs="Times New Roman" w:eastAsia="Times New Roman" w:hAnsi="Times New Roman"/>
                <w:sz w:val="22"/>
                <w:szCs w:val="22"/>
                <w:b w:val="1"/>
                <w:bCs w:val="1"/>
                <w:color w:val="auto"/>
              </w:rPr>
              <w:t>Six Months Ended</w:t>
            </w: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3"/>
          </w:tcPr>
          <w:p>
            <w:pPr>
              <w:jc w:val="right"/>
              <w:ind w:right="112"/>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gridSpan w:val="2"/>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w w:val="90"/>
              </w:rPr>
              <w:t>2022</w:t>
            </w: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b w:val="1"/>
                <w:bCs w:val="1"/>
                <w:color w:val="auto"/>
                <w:w w:val="95"/>
              </w:rPr>
              <w:t>2021</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2022</w:t>
            </w: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2021</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w:t>
            </w:r>
          </w:p>
        </w:tc>
        <w:tc>
          <w:tcPr>
            <w:tcW w:w="360" w:type="dxa"/>
            <w:vAlign w:val="bottom"/>
            <w:shd w:val="clear" w:color="auto" w:fill="E5FFFF"/>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3"/>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190,807</w:t>
            </w:r>
          </w:p>
        </w:tc>
        <w:tc>
          <w:tcPr>
            <w:tcW w:w="340" w:type="dxa"/>
            <w:vAlign w:val="bottom"/>
            <w:shd w:val="clear" w:color="auto" w:fill="E5FFFF"/>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3"/>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153,990</w:t>
            </w:r>
          </w:p>
        </w:tc>
        <w:tc>
          <w:tcPr>
            <w:tcW w:w="2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gridSpan w:val="4"/>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337,269</w:t>
            </w:r>
          </w:p>
        </w:tc>
        <w:tc>
          <w:tcPr>
            <w:tcW w:w="280" w:type="dxa"/>
            <w:vAlign w:val="bottom"/>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gridSpan w:val="4"/>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280,059</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Dried distillers grains</w:t>
            </w:r>
          </w:p>
        </w:tc>
        <w:tc>
          <w:tcPr>
            <w:tcW w:w="360" w:type="dxa"/>
            <w:vAlign w:val="bottom"/>
          </w:tcPr>
          <w:p>
            <w:pPr>
              <w:spacing w:after="0"/>
              <w:rPr>
                <w:sz w:val="21"/>
                <w:szCs w:val="21"/>
                <w:color w:val="auto"/>
              </w:rPr>
            </w:pPr>
          </w:p>
        </w:tc>
        <w:tc>
          <w:tcPr>
            <w:tcW w:w="1240" w:type="dxa"/>
            <w:vAlign w:val="bottom"/>
            <w:gridSpan w:val="3"/>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34,261</w:t>
            </w:r>
          </w:p>
        </w:tc>
        <w:tc>
          <w:tcPr>
            <w:tcW w:w="340" w:type="dxa"/>
            <w:vAlign w:val="bottom"/>
          </w:tcPr>
          <w:p>
            <w:pPr>
              <w:spacing w:after="0"/>
              <w:rPr>
                <w:sz w:val="21"/>
                <w:szCs w:val="21"/>
                <w:color w:val="auto"/>
              </w:rPr>
            </w:pPr>
          </w:p>
        </w:tc>
        <w:tc>
          <w:tcPr>
            <w:tcW w:w="1240" w:type="dxa"/>
            <w:vAlign w:val="bottom"/>
            <w:gridSpan w:val="3"/>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31,573</w:t>
            </w:r>
          </w:p>
        </w:tc>
        <w:tc>
          <w:tcPr>
            <w:tcW w:w="220" w:type="dxa"/>
            <w:vAlign w:val="bottom"/>
          </w:tcPr>
          <w:p>
            <w:pPr>
              <w:spacing w:after="0"/>
              <w:rPr>
                <w:sz w:val="21"/>
                <w:szCs w:val="21"/>
                <w:color w:val="auto"/>
              </w:rPr>
            </w:pPr>
          </w:p>
        </w:tc>
        <w:tc>
          <w:tcPr>
            <w:tcW w:w="1320" w:type="dxa"/>
            <w:vAlign w:val="bottom"/>
            <w:gridSpan w:val="4"/>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66,158</w:t>
            </w:r>
          </w:p>
        </w:tc>
        <w:tc>
          <w:tcPr>
            <w:tcW w:w="280" w:type="dxa"/>
            <w:vAlign w:val="bottom"/>
          </w:tcPr>
          <w:p>
            <w:pPr>
              <w:spacing w:after="0"/>
              <w:rPr>
                <w:sz w:val="21"/>
                <w:szCs w:val="21"/>
                <w:color w:val="auto"/>
              </w:rPr>
            </w:pPr>
          </w:p>
        </w:tc>
        <w:tc>
          <w:tcPr>
            <w:tcW w:w="860" w:type="dxa"/>
            <w:vAlign w:val="bottom"/>
            <w:gridSpan w:val="4"/>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62,691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Non-food grade corn oil</w:t>
            </w:r>
          </w:p>
        </w:tc>
        <w:tc>
          <w:tcPr>
            <w:tcW w:w="360" w:type="dxa"/>
            <w:vAlign w:val="bottom"/>
            <w:shd w:val="clear" w:color="auto" w:fill="E5FFFF"/>
          </w:tcPr>
          <w:p>
            <w:pPr>
              <w:spacing w:after="0"/>
              <w:rPr>
                <w:sz w:val="21"/>
                <w:szCs w:val="21"/>
                <w:color w:val="auto"/>
              </w:rPr>
            </w:pPr>
          </w:p>
        </w:tc>
        <w:tc>
          <w:tcPr>
            <w:tcW w:w="1240" w:type="dxa"/>
            <w:vAlign w:val="bottom"/>
            <w:gridSpan w:val="3"/>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14,223</w:t>
            </w:r>
          </w:p>
        </w:tc>
        <w:tc>
          <w:tcPr>
            <w:tcW w:w="340" w:type="dxa"/>
            <w:vAlign w:val="bottom"/>
            <w:shd w:val="clear" w:color="auto" w:fill="E5FFFF"/>
          </w:tcPr>
          <w:p>
            <w:pPr>
              <w:spacing w:after="0"/>
              <w:rPr>
                <w:sz w:val="21"/>
                <w:szCs w:val="21"/>
                <w:color w:val="auto"/>
              </w:rPr>
            </w:pPr>
          </w:p>
        </w:tc>
        <w:tc>
          <w:tcPr>
            <w:tcW w:w="1240" w:type="dxa"/>
            <w:vAlign w:val="bottom"/>
            <w:gridSpan w:val="3"/>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9,813</w:t>
            </w:r>
          </w:p>
        </w:tc>
        <w:tc>
          <w:tcPr>
            <w:tcW w:w="220" w:type="dxa"/>
            <w:vAlign w:val="bottom"/>
            <w:shd w:val="clear" w:color="auto" w:fill="E5FFFF"/>
          </w:tcPr>
          <w:p>
            <w:pPr>
              <w:spacing w:after="0"/>
              <w:rPr>
                <w:sz w:val="21"/>
                <w:szCs w:val="21"/>
                <w:color w:val="auto"/>
              </w:rPr>
            </w:pPr>
          </w:p>
        </w:tc>
        <w:tc>
          <w:tcPr>
            <w:tcW w:w="1320" w:type="dxa"/>
            <w:vAlign w:val="bottom"/>
            <w:gridSpan w:val="4"/>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25,325</w:t>
            </w:r>
          </w:p>
        </w:tc>
        <w:tc>
          <w:tcPr>
            <w:tcW w:w="280" w:type="dxa"/>
            <w:vAlign w:val="bottom"/>
            <w:shd w:val="clear" w:color="auto" w:fill="E5FFFF"/>
          </w:tcPr>
          <w:p>
            <w:pPr>
              <w:spacing w:after="0"/>
              <w:rPr>
                <w:sz w:val="21"/>
                <w:szCs w:val="21"/>
                <w:color w:val="auto"/>
              </w:rPr>
            </w:pPr>
          </w:p>
        </w:tc>
        <w:tc>
          <w:tcPr>
            <w:tcW w:w="860" w:type="dxa"/>
            <w:vAlign w:val="bottom"/>
            <w:gridSpan w:val="4"/>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15,407</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Modified distillers grains</w:t>
            </w:r>
          </w:p>
        </w:tc>
        <w:tc>
          <w:tcPr>
            <w:tcW w:w="360" w:type="dxa"/>
            <w:vAlign w:val="bottom"/>
          </w:tcPr>
          <w:p>
            <w:pPr>
              <w:spacing w:after="0"/>
              <w:rPr>
                <w:sz w:val="21"/>
                <w:szCs w:val="21"/>
                <w:color w:val="auto"/>
              </w:rPr>
            </w:pPr>
          </w:p>
        </w:tc>
        <w:tc>
          <w:tcPr>
            <w:tcW w:w="1240" w:type="dxa"/>
            <w:vAlign w:val="bottom"/>
            <w:gridSpan w:val="3"/>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2,456</w:t>
            </w:r>
          </w:p>
        </w:tc>
        <w:tc>
          <w:tcPr>
            <w:tcW w:w="340" w:type="dxa"/>
            <w:vAlign w:val="bottom"/>
          </w:tcPr>
          <w:p>
            <w:pPr>
              <w:spacing w:after="0"/>
              <w:rPr>
                <w:sz w:val="21"/>
                <w:szCs w:val="21"/>
                <w:color w:val="auto"/>
              </w:rPr>
            </w:pPr>
          </w:p>
        </w:tc>
        <w:tc>
          <w:tcPr>
            <w:tcW w:w="1240" w:type="dxa"/>
            <w:vAlign w:val="bottom"/>
            <w:gridSpan w:val="3"/>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1,934</w:t>
            </w:r>
          </w:p>
        </w:tc>
        <w:tc>
          <w:tcPr>
            <w:tcW w:w="220" w:type="dxa"/>
            <w:vAlign w:val="bottom"/>
          </w:tcPr>
          <w:p>
            <w:pPr>
              <w:spacing w:after="0"/>
              <w:rPr>
                <w:sz w:val="21"/>
                <w:szCs w:val="21"/>
                <w:color w:val="auto"/>
              </w:rPr>
            </w:pPr>
          </w:p>
        </w:tc>
        <w:tc>
          <w:tcPr>
            <w:tcW w:w="1320" w:type="dxa"/>
            <w:vAlign w:val="bottom"/>
            <w:gridSpan w:val="4"/>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6,811</w:t>
            </w:r>
          </w:p>
        </w:tc>
        <w:tc>
          <w:tcPr>
            <w:tcW w:w="280" w:type="dxa"/>
            <w:vAlign w:val="bottom"/>
          </w:tcPr>
          <w:p>
            <w:pPr>
              <w:spacing w:after="0"/>
              <w:rPr>
                <w:sz w:val="21"/>
                <w:szCs w:val="21"/>
                <w:color w:val="auto"/>
              </w:rPr>
            </w:pPr>
          </w:p>
        </w:tc>
        <w:tc>
          <w:tcPr>
            <w:tcW w:w="860" w:type="dxa"/>
            <w:vAlign w:val="bottom"/>
            <w:gridSpan w:val="4"/>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4,227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Derivative financial instruments losses</w:t>
            </w:r>
          </w:p>
        </w:tc>
        <w:tc>
          <w:tcPr>
            <w:tcW w:w="360" w:type="dxa"/>
            <w:vAlign w:val="bottom"/>
            <w:shd w:val="clear" w:color="auto" w:fill="E5FFFF"/>
          </w:tcPr>
          <w:p>
            <w:pPr>
              <w:spacing w:after="0"/>
              <w:rPr>
                <w:sz w:val="21"/>
                <w:szCs w:val="21"/>
                <w:color w:val="auto"/>
              </w:rPr>
            </w:pPr>
          </w:p>
        </w:tc>
        <w:tc>
          <w:tcPr>
            <w:tcW w:w="1240" w:type="dxa"/>
            <w:vAlign w:val="bottom"/>
            <w:gridSpan w:val="3"/>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(1,474)</w:t>
            </w:r>
          </w:p>
        </w:tc>
        <w:tc>
          <w:tcPr>
            <w:tcW w:w="340" w:type="dxa"/>
            <w:vAlign w:val="bottom"/>
            <w:shd w:val="clear" w:color="auto" w:fill="E5FFFF"/>
          </w:tcPr>
          <w:p>
            <w:pPr>
              <w:spacing w:after="0"/>
              <w:rPr>
                <w:sz w:val="21"/>
                <w:szCs w:val="21"/>
                <w:color w:val="auto"/>
              </w:rPr>
            </w:pPr>
          </w:p>
        </w:tc>
        <w:tc>
          <w:tcPr>
            <w:tcW w:w="1240" w:type="dxa"/>
            <w:vAlign w:val="bottom"/>
            <w:gridSpan w:val="3"/>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(1,638)</w:t>
            </w:r>
          </w:p>
        </w:tc>
        <w:tc>
          <w:tcPr>
            <w:tcW w:w="220" w:type="dxa"/>
            <w:vAlign w:val="bottom"/>
            <w:shd w:val="clear" w:color="auto" w:fill="E5FFFF"/>
          </w:tcPr>
          <w:p>
            <w:pPr>
              <w:spacing w:after="0"/>
              <w:rPr>
                <w:sz w:val="21"/>
                <w:szCs w:val="21"/>
                <w:color w:val="auto"/>
              </w:rPr>
            </w:pPr>
          </w:p>
        </w:tc>
        <w:tc>
          <w:tcPr>
            <w:tcW w:w="1320" w:type="dxa"/>
            <w:vAlign w:val="bottom"/>
            <w:gridSpan w:val="4"/>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(1,152)</w:t>
            </w:r>
          </w:p>
        </w:tc>
        <w:tc>
          <w:tcPr>
            <w:tcW w:w="280" w:type="dxa"/>
            <w:vAlign w:val="bottom"/>
            <w:shd w:val="clear" w:color="auto" w:fill="E5FFFF"/>
          </w:tcPr>
          <w:p>
            <w:pPr>
              <w:spacing w:after="0"/>
              <w:rPr>
                <w:sz w:val="21"/>
                <w:szCs w:val="21"/>
                <w:color w:val="auto"/>
              </w:rPr>
            </w:pPr>
          </w:p>
        </w:tc>
        <w:tc>
          <w:tcPr>
            <w:tcW w:w="860" w:type="dxa"/>
            <w:vAlign w:val="bottom"/>
            <w:gridSpan w:val="4"/>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(2,764)</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360" w:type="dxa"/>
            <w:vAlign w:val="bottom"/>
          </w:tcPr>
          <w:p>
            <w:pPr>
              <w:spacing w:after="0"/>
              <w:rPr>
                <w:sz w:val="21"/>
                <w:szCs w:val="21"/>
                <w:color w:val="auto"/>
              </w:rPr>
            </w:pPr>
          </w:p>
        </w:tc>
        <w:tc>
          <w:tcPr>
            <w:tcW w:w="1240" w:type="dxa"/>
            <w:vAlign w:val="bottom"/>
            <w:gridSpan w:val="3"/>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55</w:t>
            </w:r>
          </w:p>
        </w:tc>
        <w:tc>
          <w:tcPr>
            <w:tcW w:w="340" w:type="dxa"/>
            <w:vAlign w:val="bottom"/>
          </w:tcPr>
          <w:p>
            <w:pPr>
              <w:spacing w:after="0"/>
              <w:rPr>
                <w:sz w:val="21"/>
                <w:szCs w:val="21"/>
                <w:color w:val="auto"/>
              </w:rPr>
            </w:pPr>
          </w:p>
        </w:tc>
        <w:tc>
          <w:tcPr>
            <w:tcW w:w="1240" w:type="dxa"/>
            <w:vAlign w:val="bottom"/>
            <w:gridSpan w:val="3"/>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220" w:type="dxa"/>
            <w:vAlign w:val="bottom"/>
          </w:tcPr>
          <w:p>
            <w:pPr>
              <w:spacing w:after="0"/>
              <w:rPr>
                <w:sz w:val="21"/>
                <w:szCs w:val="21"/>
                <w:color w:val="auto"/>
              </w:rPr>
            </w:pPr>
          </w:p>
        </w:tc>
        <w:tc>
          <w:tcPr>
            <w:tcW w:w="1320" w:type="dxa"/>
            <w:vAlign w:val="bottom"/>
            <w:gridSpan w:val="4"/>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145</w:t>
            </w:r>
          </w:p>
        </w:tc>
        <w:tc>
          <w:tcPr>
            <w:tcW w:w="280" w:type="dxa"/>
            <w:vAlign w:val="bottom"/>
          </w:tcPr>
          <w:p>
            <w:pPr>
              <w:spacing w:after="0"/>
              <w:rPr>
                <w:sz w:val="21"/>
                <w:szCs w:val="21"/>
                <w:color w:val="auto"/>
              </w:rPr>
            </w:pPr>
          </w:p>
        </w:tc>
        <w:tc>
          <w:tcPr>
            <w:tcW w:w="860" w:type="dxa"/>
            <w:vAlign w:val="bottom"/>
            <w:gridSpan w:val="4"/>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0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 continuing operations</w:t>
            </w:r>
          </w:p>
        </w:tc>
        <w:tc>
          <w:tcPr>
            <w:tcW w:w="360" w:type="dxa"/>
            <w:vAlign w:val="bottom"/>
            <w:tcBorders>
              <w:top w:val="single" w:sz="8" w:color="auto"/>
              <w:bottom w:val="single" w:sz="8" w:color="auto"/>
            </w:tcBorders>
            <w:shd w:val="clear" w:color="auto" w:fill="E5FFFF"/>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80" w:type="dxa"/>
            <w:vAlign w:val="bottom"/>
            <w:tcBorders>
              <w:top w:val="single" w:sz="8" w:color="auto"/>
              <w:bottom w:val="single" w:sz="8" w:color="auto"/>
            </w:tcBorders>
            <w:gridSpan w:val="2"/>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240,328</w:t>
            </w:r>
          </w:p>
        </w:tc>
        <w:tc>
          <w:tcPr>
            <w:tcW w:w="460" w:type="dxa"/>
            <w:vAlign w:val="bottom"/>
            <w:tcBorders>
              <w:top w:val="single" w:sz="8" w:color="E5FFFF"/>
              <w:bottom w:val="single" w:sz="8" w:color="E5FFFF"/>
            </w:tcBorders>
            <w:shd w:val="clear" w:color="auto" w:fill="E5FFFF"/>
          </w:tcPr>
          <w:p>
            <w:pPr>
              <w:spacing w:after="0"/>
              <w:rPr>
                <w:sz w:val="20"/>
                <w:szCs w:val="20"/>
                <w:color w:val="auto"/>
              </w:rPr>
            </w:pPr>
          </w:p>
        </w:tc>
        <w:tc>
          <w:tcPr>
            <w:tcW w:w="340" w:type="dxa"/>
            <w:vAlign w:val="bottom"/>
            <w:tcBorders>
              <w:top w:val="single" w:sz="8" w:color="auto"/>
              <w:bottom w:val="single" w:sz="8" w:color="auto"/>
            </w:tcBorders>
            <w:shd w:val="clear" w:color="auto" w:fill="E5FFFF"/>
          </w:tcPr>
          <w:p>
            <w:pPr>
              <w:jc w:val="right"/>
              <w:ind w:right="13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80" w:type="dxa"/>
            <w:vAlign w:val="bottom"/>
            <w:tcBorders>
              <w:top w:val="single" w:sz="8" w:color="auto"/>
              <w:bottom w:val="single" w:sz="8" w:color="auto"/>
            </w:tcBorders>
            <w:gridSpan w:val="2"/>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195,678</w:t>
            </w:r>
          </w:p>
        </w:tc>
        <w:tc>
          <w:tcPr>
            <w:tcW w:w="460" w:type="dxa"/>
            <w:vAlign w:val="bottom"/>
            <w:tcBorders>
              <w:top w:val="single" w:sz="8" w:color="E5FFFF"/>
              <w:bottom w:val="single" w:sz="8" w:color="E5FFFF"/>
            </w:tcBorders>
            <w:shd w:val="clear" w:color="auto" w:fill="E5FFFF"/>
          </w:tcPr>
          <w:p>
            <w:pPr>
              <w:spacing w:after="0"/>
              <w:rPr>
                <w:sz w:val="20"/>
                <w:szCs w:val="20"/>
                <w:color w:val="auto"/>
              </w:rPr>
            </w:pPr>
          </w:p>
        </w:tc>
        <w:tc>
          <w:tcPr>
            <w:tcW w:w="2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434,556</w:t>
            </w:r>
          </w:p>
        </w:tc>
        <w:tc>
          <w:tcPr>
            <w:tcW w:w="420" w:type="dxa"/>
            <w:vAlign w:val="bottom"/>
            <w:tcBorders>
              <w:top w:val="single" w:sz="8" w:color="E5FFFF"/>
              <w:bottom w:val="single" w:sz="8" w:color="E5FFFF"/>
            </w:tcBorders>
            <w:shd w:val="clear" w:color="auto" w:fill="E5FFFF"/>
          </w:tcPr>
          <w:p>
            <w:pPr>
              <w:spacing w:after="0"/>
              <w:rPr>
                <w:sz w:val="20"/>
                <w:szCs w:val="20"/>
                <w:color w:val="auto"/>
              </w:rPr>
            </w:pPr>
          </w:p>
        </w:tc>
        <w:tc>
          <w:tcPr>
            <w:tcW w:w="280" w:type="dxa"/>
            <w:vAlign w:val="bottom"/>
            <w:tcBorders>
              <w:top w:val="single" w:sz="8" w:color="auto"/>
              <w:bottom w:val="single" w:sz="8" w:color="auto"/>
            </w:tcBorders>
            <w:shd w:val="clear" w:color="auto" w:fill="E5FFFF"/>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359,720</w:t>
            </w:r>
          </w:p>
        </w:tc>
        <w:tc>
          <w:tcPr>
            <w:tcW w:w="20" w:type="dxa"/>
            <w:vAlign w:val="bottom"/>
            <w:tcBorders>
              <w:top w:val="single" w:sz="8" w:color="E5FFFF"/>
              <w:bottom w:val="single" w:sz="8" w:color="E5FFFF"/>
            </w:tcBorders>
            <w:shd w:val="clear" w:color="auto" w:fill="E5FFFF"/>
          </w:tcPr>
          <w:p>
            <w:pPr>
              <w:spacing w:after="0"/>
              <w:rPr>
                <w:sz w:val="20"/>
                <w:szCs w:val="20"/>
                <w:color w:val="auto"/>
              </w:rPr>
            </w:pPr>
          </w:p>
        </w:tc>
        <w:tc>
          <w:tcPr>
            <w:tcW w:w="80" w:type="dxa"/>
            <w:vAlign w:val="bottom"/>
            <w:tcBorders>
              <w:top w:val="single" w:sz="8" w:color="E5FFFF"/>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xml:space="preserve">Refined coal (discontinued operations) </w:t>
            </w:r>
            <w:r>
              <w:rPr>
                <w:rFonts w:ascii="Times New Roman" w:cs="Times New Roman" w:eastAsia="Times New Roman" w:hAnsi="Times New Roman"/>
                <w:sz w:val="35"/>
                <w:szCs w:val="35"/>
                <w:color w:val="auto"/>
                <w:vertAlign w:val="superscript"/>
              </w:rPr>
              <w:t>1</w:t>
            </w: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300" w:type="dxa"/>
            <w:vAlign w:val="bottom"/>
            <w:vMerge w:val="continue"/>
          </w:tcPr>
          <w:p>
            <w:pPr>
              <w:spacing w:after="0"/>
              <w:rPr>
                <w:sz w:val="24"/>
                <w:szCs w:val="24"/>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22"/>
                <w:szCs w:val="22"/>
                <w:color w:val="auto"/>
              </w:rPr>
              <w:t>165</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gridSpan w:val="4"/>
          </w:tcPr>
          <w:p>
            <w:pPr>
              <w:jc w:val="right"/>
              <w:ind w:right="420"/>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auto"/>
              </w:rPr>
              <w:t>227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right="40" w:firstLine="656"/>
        <w:spacing w:after="0" w:line="189" w:lineRule="auto"/>
        <w:tabs>
          <w:tab w:leader="none" w:pos="783" w:val="left"/>
        </w:tabs>
        <w:numPr>
          <w:ilvl w:val="0"/>
          <w:numId w:val="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Refined coal sales were recorded net of the cost of coal as the Company purchased the coal feedstock from the customer to which the processed refined coal was sold.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22"/>
          <w:szCs w:val="22"/>
          <w:color w:val="auto"/>
        </w:rPr>
        <w:t>The following table summarizes selected operating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0" w:type="dxa"/>
            <w:vAlign w:val="bottom"/>
            <w:gridSpan w:val="5"/>
          </w:tcPr>
          <w:p>
            <w:pPr>
              <w:jc w:val="right"/>
              <w:ind w:right="62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20" w:type="dxa"/>
            <w:vAlign w:val="bottom"/>
            <w:gridSpan w:val="6"/>
          </w:tcPr>
          <w:p>
            <w:pPr>
              <w:jc w:val="right"/>
              <w:ind w:right="580"/>
              <w:spacing w:after="0"/>
              <w:rPr>
                <w:sz w:val="20"/>
                <w:szCs w:val="20"/>
                <w:color w:val="auto"/>
              </w:rPr>
            </w:pPr>
            <w:r>
              <w:rPr>
                <w:rFonts w:ascii="Times New Roman" w:cs="Times New Roman" w:eastAsia="Times New Roman" w:hAnsi="Times New Roman"/>
                <w:sz w:val="22"/>
                <w:szCs w:val="22"/>
                <w:b w:val="1"/>
                <w:bCs w:val="1"/>
                <w:color w:val="auto"/>
              </w:rPr>
              <w:t>Six Months Ended</w:t>
            </w:r>
          </w:p>
        </w:tc>
      </w:tr>
      <w:tr>
        <w:trPr>
          <w:trHeight w:val="243"/>
        </w:trPr>
        <w:tc>
          <w:tcPr>
            <w:tcW w:w="5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112"/>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61"/>
        </w:trPr>
        <w:tc>
          <w:tcPr>
            <w:tcW w:w="5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gridSpan w:val="2"/>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w w:val="90"/>
              </w:rPr>
              <w:t>2022</w:t>
            </w:r>
          </w:p>
        </w:tc>
        <w:tc>
          <w:tcPr>
            <w:tcW w:w="580" w:type="dxa"/>
            <w:vAlign w:val="bottom"/>
          </w:tcPr>
          <w:p>
            <w:pPr>
              <w:spacing w:after="0"/>
              <w:rPr>
                <w:sz w:val="22"/>
                <w:szCs w:val="22"/>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22"/>
                <w:szCs w:val="22"/>
                <w:b w:val="1"/>
                <w:bCs w:val="1"/>
                <w:color w:val="auto"/>
                <w:w w:val="95"/>
              </w:rPr>
              <w:t>2021</w:t>
            </w:r>
          </w:p>
        </w:tc>
        <w:tc>
          <w:tcPr>
            <w:tcW w:w="44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2022</w:t>
            </w: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2021</w:t>
            </w:r>
          </w:p>
        </w:tc>
        <w:tc>
          <w:tcPr>
            <w:tcW w:w="440" w:type="dxa"/>
            <w:vAlign w:val="bottom"/>
          </w:tcPr>
          <w:p>
            <w:pPr>
              <w:spacing w:after="0"/>
              <w:rPr>
                <w:sz w:val="22"/>
                <w:szCs w:val="22"/>
                <w:color w:val="auto"/>
              </w:rPr>
            </w:pPr>
          </w:p>
        </w:tc>
      </w:tr>
      <w:tr>
        <w:trPr>
          <w:trHeight w:val="237"/>
        </w:trPr>
        <w:tc>
          <w:tcPr>
            <w:tcW w:w="5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r>
      <w:tr>
        <w:trPr>
          <w:trHeight w:val="216"/>
        </w:trPr>
        <w:tc>
          <w:tcPr>
            <w:tcW w:w="512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22"/>
                <w:szCs w:val="22"/>
                <w:color w:val="auto"/>
              </w:rPr>
              <w:t>Average selling price per gallon of ethanol (net of</w:t>
            </w:r>
          </w:p>
        </w:tc>
        <w:tc>
          <w:tcPr>
            <w:tcW w:w="54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r>
      <w:tr>
        <w:trPr>
          <w:trHeight w:val="270"/>
        </w:trPr>
        <w:tc>
          <w:tcPr>
            <w:tcW w:w="512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hedging)</w:t>
            </w:r>
          </w:p>
        </w:tc>
        <w:tc>
          <w:tcPr>
            <w:tcW w:w="540" w:type="dxa"/>
            <w:vAlign w:val="bottom"/>
            <w:shd w:val="clear" w:color="auto" w:fill="E5FFFF"/>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gridSpan w:val="2"/>
            <w:shd w:val="clear" w:color="auto" w:fill="E5FFFF"/>
          </w:tcPr>
          <w:p>
            <w:pPr>
              <w:jc w:val="right"/>
              <w:ind w:right="112"/>
              <w:spacing w:after="0"/>
              <w:rPr>
                <w:sz w:val="20"/>
                <w:szCs w:val="20"/>
                <w:color w:val="auto"/>
              </w:rPr>
            </w:pPr>
            <w:r>
              <w:rPr>
                <w:rFonts w:ascii="Times New Roman" w:cs="Times New Roman" w:eastAsia="Times New Roman" w:hAnsi="Times New Roman"/>
                <w:sz w:val="22"/>
                <w:szCs w:val="22"/>
                <w:color w:val="auto"/>
              </w:rPr>
              <w:t>2.65</w:t>
            </w:r>
          </w:p>
        </w:tc>
        <w:tc>
          <w:tcPr>
            <w:tcW w:w="580" w:type="dxa"/>
            <w:vAlign w:val="bottom"/>
            <w:shd w:val="clear" w:color="auto" w:fill="E5FFFF"/>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22"/>
                <w:szCs w:val="22"/>
                <w:color w:val="auto"/>
              </w:rPr>
              <w:t>2.21</w:t>
            </w:r>
          </w:p>
        </w:tc>
        <w:tc>
          <w:tcPr>
            <w:tcW w:w="4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3"/>
            <w:shd w:val="clear" w:color="auto" w:fill="E5FFFF"/>
          </w:tcPr>
          <w:p>
            <w:pPr>
              <w:jc w:val="right"/>
              <w:ind w:right="92"/>
              <w:spacing w:after="0"/>
              <w:rPr>
                <w:sz w:val="20"/>
                <w:szCs w:val="20"/>
                <w:color w:val="auto"/>
              </w:rPr>
            </w:pPr>
            <w:r>
              <w:rPr>
                <w:rFonts w:ascii="Times New Roman" w:cs="Times New Roman" w:eastAsia="Times New Roman" w:hAnsi="Times New Roman"/>
                <w:sz w:val="22"/>
                <w:szCs w:val="22"/>
                <w:color w:val="auto"/>
              </w:rPr>
              <w:t>2.47</w:t>
            </w:r>
          </w:p>
        </w:tc>
        <w:tc>
          <w:tcPr>
            <w:tcW w:w="460" w:type="dxa"/>
            <w:vAlign w:val="bottom"/>
            <w:shd w:val="clear" w:color="auto" w:fill="E5FFFF"/>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2.02</w:t>
            </w:r>
          </w:p>
        </w:tc>
      </w:tr>
      <w:tr>
        <w:trPr>
          <w:trHeight w:val="243"/>
        </w:trPr>
        <w:tc>
          <w:tcPr>
            <w:tcW w:w="5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Gallons of ethanol sold (in millions)</w:t>
            </w:r>
          </w:p>
        </w:tc>
        <w:tc>
          <w:tcPr>
            <w:tcW w:w="540" w:type="dxa"/>
            <w:vAlign w:val="bottom"/>
          </w:tcPr>
          <w:p>
            <w:pPr>
              <w:spacing w:after="0"/>
              <w:rPr>
                <w:sz w:val="21"/>
                <w:szCs w:val="21"/>
                <w:color w:val="auto"/>
              </w:rPr>
            </w:pPr>
          </w:p>
        </w:tc>
        <w:tc>
          <w:tcPr>
            <w:tcW w:w="1000" w:type="dxa"/>
            <w:vAlign w:val="bottom"/>
            <w:gridSpan w:val="2"/>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71.4</w:t>
            </w:r>
          </w:p>
        </w:tc>
        <w:tc>
          <w:tcPr>
            <w:tcW w:w="580" w:type="dxa"/>
            <w:vAlign w:val="bottom"/>
          </w:tcPr>
          <w:p>
            <w:pPr>
              <w:spacing w:after="0"/>
              <w:rPr>
                <w:sz w:val="21"/>
                <w:szCs w:val="21"/>
                <w:color w:val="auto"/>
              </w:rPr>
            </w:pPr>
          </w:p>
        </w:tc>
        <w:tc>
          <w:tcPr>
            <w:tcW w:w="102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69.0</w:t>
            </w:r>
          </w:p>
        </w:tc>
        <w:tc>
          <w:tcPr>
            <w:tcW w:w="440" w:type="dxa"/>
            <w:vAlign w:val="bottom"/>
          </w:tcPr>
          <w:p>
            <w:pPr>
              <w:spacing w:after="0"/>
              <w:rPr>
                <w:sz w:val="21"/>
                <w:szCs w:val="21"/>
                <w:color w:val="auto"/>
              </w:rPr>
            </w:pPr>
          </w:p>
        </w:tc>
        <w:tc>
          <w:tcPr>
            <w:tcW w:w="1100" w:type="dxa"/>
            <w:vAlign w:val="bottom"/>
            <w:gridSpan w:val="3"/>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135.9</w:t>
            </w:r>
          </w:p>
        </w:tc>
        <w:tc>
          <w:tcPr>
            <w:tcW w:w="460" w:type="dxa"/>
            <w:vAlign w:val="bottom"/>
          </w:tcPr>
          <w:p>
            <w:pPr>
              <w:spacing w:after="0"/>
              <w:rPr>
                <w:sz w:val="21"/>
                <w:szCs w:val="21"/>
                <w:color w:val="auto"/>
              </w:rPr>
            </w:pPr>
          </w:p>
        </w:tc>
        <w:tc>
          <w:tcPr>
            <w:tcW w:w="980" w:type="dxa"/>
            <w:vAlign w:val="bottom"/>
            <w:gridSpan w:val="3"/>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139.0</w:t>
            </w:r>
          </w:p>
        </w:tc>
      </w:tr>
      <w:tr>
        <w:trPr>
          <w:trHeight w:val="243"/>
        </w:trPr>
        <w:tc>
          <w:tcPr>
            <w:tcW w:w="51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selling price per ton of dried distillers grains</w:t>
            </w:r>
          </w:p>
        </w:tc>
        <w:tc>
          <w:tcPr>
            <w:tcW w:w="540" w:type="dxa"/>
            <w:vAlign w:val="bottom"/>
            <w:shd w:val="clear" w:color="auto" w:fill="E5FFFF"/>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gridSpan w:val="2"/>
            <w:shd w:val="clear" w:color="auto" w:fill="E5FFFF"/>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249.62</w:t>
            </w:r>
          </w:p>
        </w:tc>
        <w:tc>
          <w:tcPr>
            <w:tcW w:w="580" w:type="dxa"/>
            <w:vAlign w:val="bottom"/>
            <w:shd w:val="clear" w:color="auto" w:fill="E5FFFF"/>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gridSpan w:val="2"/>
            <w:shd w:val="clear" w:color="auto" w:fill="E5FFFF"/>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206.78</w:t>
            </w:r>
          </w:p>
        </w:tc>
        <w:tc>
          <w:tcPr>
            <w:tcW w:w="4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3"/>
            <w:shd w:val="clear" w:color="auto" w:fill="E5FFFF"/>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233.80</w:t>
            </w:r>
          </w:p>
        </w:tc>
        <w:tc>
          <w:tcPr>
            <w:tcW w:w="46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3"/>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207.84</w:t>
            </w:r>
          </w:p>
        </w:tc>
      </w:tr>
      <w:tr>
        <w:trPr>
          <w:trHeight w:val="243"/>
        </w:trPr>
        <w:tc>
          <w:tcPr>
            <w:tcW w:w="5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Tons of dried distillers grains sold</w:t>
            </w:r>
          </w:p>
        </w:tc>
        <w:tc>
          <w:tcPr>
            <w:tcW w:w="540" w:type="dxa"/>
            <w:vAlign w:val="bottom"/>
          </w:tcPr>
          <w:p>
            <w:pPr>
              <w:spacing w:after="0"/>
              <w:rPr>
                <w:sz w:val="21"/>
                <w:szCs w:val="21"/>
                <w:color w:val="auto"/>
              </w:rPr>
            </w:pPr>
          </w:p>
        </w:tc>
        <w:tc>
          <w:tcPr>
            <w:tcW w:w="1000" w:type="dxa"/>
            <w:vAlign w:val="bottom"/>
            <w:gridSpan w:val="2"/>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137,250</w:t>
            </w:r>
          </w:p>
        </w:tc>
        <w:tc>
          <w:tcPr>
            <w:tcW w:w="580" w:type="dxa"/>
            <w:vAlign w:val="bottom"/>
          </w:tcPr>
          <w:p>
            <w:pPr>
              <w:spacing w:after="0"/>
              <w:rPr>
                <w:sz w:val="21"/>
                <w:szCs w:val="21"/>
                <w:color w:val="auto"/>
              </w:rPr>
            </w:pPr>
          </w:p>
        </w:tc>
        <w:tc>
          <w:tcPr>
            <w:tcW w:w="102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152,689</w:t>
            </w:r>
          </w:p>
        </w:tc>
        <w:tc>
          <w:tcPr>
            <w:tcW w:w="440" w:type="dxa"/>
            <w:vAlign w:val="bottom"/>
          </w:tcPr>
          <w:p>
            <w:pPr>
              <w:spacing w:after="0"/>
              <w:rPr>
                <w:sz w:val="21"/>
                <w:szCs w:val="21"/>
                <w:color w:val="auto"/>
              </w:rPr>
            </w:pPr>
          </w:p>
        </w:tc>
        <w:tc>
          <w:tcPr>
            <w:tcW w:w="1100" w:type="dxa"/>
            <w:vAlign w:val="bottom"/>
            <w:gridSpan w:val="3"/>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282,964</w:t>
            </w:r>
          </w:p>
        </w:tc>
        <w:tc>
          <w:tcPr>
            <w:tcW w:w="460" w:type="dxa"/>
            <w:vAlign w:val="bottom"/>
          </w:tcPr>
          <w:p>
            <w:pPr>
              <w:spacing w:after="0"/>
              <w:rPr>
                <w:sz w:val="21"/>
                <w:szCs w:val="21"/>
                <w:color w:val="auto"/>
              </w:rPr>
            </w:pPr>
          </w:p>
        </w:tc>
        <w:tc>
          <w:tcPr>
            <w:tcW w:w="980" w:type="dxa"/>
            <w:vAlign w:val="bottom"/>
            <w:gridSpan w:val="3"/>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301,640</w:t>
            </w:r>
          </w:p>
        </w:tc>
      </w:tr>
      <w:tr>
        <w:trPr>
          <w:trHeight w:val="216"/>
        </w:trPr>
        <w:tc>
          <w:tcPr>
            <w:tcW w:w="512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22"/>
                <w:szCs w:val="22"/>
                <w:color w:val="auto"/>
              </w:rPr>
              <w:t>Average selling price per pound of non-food grade corn</w:t>
            </w:r>
          </w:p>
        </w:tc>
        <w:tc>
          <w:tcPr>
            <w:tcW w:w="54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r>
      <w:tr>
        <w:trPr>
          <w:trHeight w:val="270"/>
        </w:trPr>
        <w:tc>
          <w:tcPr>
            <w:tcW w:w="512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oil</w:t>
            </w:r>
          </w:p>
        </w:tc>
        <w:tc>
          <w:tcPr>
            <w:tcW w:w="540" w:type="dxa"/>
            <w:vAlign w:val="bottom"/>
            <w:shd w:val="clear" w:color="auto" w:fill="E5FFFF"/>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gridSpan w:val="2"/>
            <w:shd w:val="clear" w:color="auto" w:fill="E5FFFF"/>
          </w:tcPr>
          <w:p>
            <w:pPr>
              <w:jc w:val="right"/>
              <w:ind w:right="112"/>
              <w:spacing w:after="0"/>
              <w:rPr>
                <w:sz w:val="20"/>
                <w:szCs w:val="20"/>
                <w:color w:val="auto"/>
              </w:rPr>
            </w:pPr>
            <w:r>
              <w:rPr>
                <w:rFonts w:ascii="Times New Roman" w:cs="Times New Roman" w:eastAsia="Times New Roman" w:hAnsi="Times New Roman"/>
                <w:sz w:val="22"/>
                <w:szCs w:val="22"/>
                <w:color w:val="auto"/>
              </w:rPr>
              <w:t>0.72</w:t>
            </w:r>
          </w:p>
        </w:tc>
        <w:tc>
          <w:tcPr>
            <w:tcW w:w="580" w:type="dxa"/>
            <w:vAlign w:val="bottom"/>
            <w:shd w:val="clear" w:color="auto" w:fill="E5FFFF"/>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22"/>
                <w:szCs w:val="22"/>
                <w:color w:val="auto"/>
              </w:rPr>
              <w:t>0.47</w:t>
            </w:r>
          </w:p>
        </w:tc>
        <w:tc>
          <w:tcPr>
            <w:tcW w:w="4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3"/>
            <w:shd w:val="clear" w:color="auto" w:fill="E5FFFF"/>
          </w:tcPr>
          <w:p>
            <w:pPr>
              <w:jc w:val="right"/>
              <w:ind w:right="92"/>
              <w:spacing w:after="0"/>
              <w:rPr>
                <w:sz w:val="20"/>
                <w:szCs w:val="20"/>
                <w:color w:val="auto"/>
              </w:rPr>
            </w:pPr>
            <w:r>
              <w:rPr>
                <w:rFonts w:ascii="Times New Roman" w:cs="Times New Roman" w:eastAsia="Times New Roman" w:hAnsi="Times New Roman"/>
                <w:sz w:val="22"/>
                <w:szCs w:val="22"/>
                <w:color w:val="auto"/>
              </w:rPr>
              <w:t>0.68</w:t>
            </w:r>
          </w:p>
        </w:tc>
        <w:tc>
          <w:tcPr>
            <w:tcW w:w="460" w:type="dxa"/>
            <w:vAlign w:val="bottom"/>
            <w:shd w:val="clear" w:color="auto" w:fill="E5FFFF"/>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0.41</w:t>
            </w:r>
          </w:p>
        </w:tc>
      </w:tr>
      <w:tr>
        <w:trPr>
          <w:trHeight w:val="243"/>
        </w:trPr>
        <w:tc>
          <w:tcPr>
            <w:tcW w:w="5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Pounds of non-food grade corn oil sold (in millions)</w:t>
            </w:r>
          </w:p>
        </w:tc>
        <w:tc>
          <w:tcPr>
            <w:tcW w:w="540" w:type="dxa"/>
            <w:vAlign w:val="bottom"/>
          </w:tcPr>
          <w:p>
            <w:pPr>
              <w:spacing w:after="0"/>
              <w:rPr>
                <w:sz w:val="21"/>
                <w:szCs w:val="21"/>
                <w:color w:val="auto"/>
              </w:rPr>
            </w:pPr>
          </w:p>
        </w:tc>
        <w:tc>
          <w:tcPr>
            <w:tcW w:w="1000" w:type="dxa"/>
            <w:vAlign w:val="bottom"/>
            <w:gridSpan w:val="2"/>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19.7</w:t>
            </w:r>
          </w:p>
        </w:tc>
        <w:tc>
          <w:tcPr>
            <w:tcW w:w="580" w:type="dxa"/>
            <w:vAlign w:val="bottom"/>
          </w:tcPr>
          <w:p>
            <w:pPr>
              <w:spacing w:after="0"/>
              <w:rPr>
                <w:sz w:val="21"/>
                <w:szCs w:val="21"/>
                <w:color w:val="auto"/>
              </w:rPr>
            </w:pPr>
          </w:p>
        </w:tc>
        <w:tc>
          <w:tcPr>
            <w:tcW w:w="102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20.7</w:t>
            </w:r>
          </w:p>
        </w:tc>
        <w:tc>
          <w:tcPr>
            <w:tcW w:w="440" w:type="dxa"/>
            <w:vAlign w:val="bottom"/>
          </w:tcPr>
          <w:p>
            <w:pPr>
              <w:spacing w:after="0"/>
              <w:rPr>
                <w:sz w:val="21"/>
                <w:szCs w:val="21"/>
                <w:color w:val="auto"/>
              </w:rPr>
            </w:pPr>
          </w:p>
        </w:tc>
        <w:tc>
          <w:tcPr>
            <w:tcW w:w="1100" w:type="dxa"/>
            <w:vAlign w:val="bottom"/>
            <w:gridSpan w:val="3"/>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37.4</w:t>
            </w:r>
          </w:p>
        </w:tc>
        <w:tc>
          <w:tcPr>
            <w:tcW w:w="460" w:type="dxa"/>
            <w:vAlign w:val="bottom"/>
          </w:tcPr>
          <w:p>
            <w:pPr>
              <w:spacing w:after="0"/>
              <w:rPr>
                <w:sz w:val="21"/>
                <w:szCs w:val="21"/>
                <w:color w:val="auto"/>
              </w:rPr>
            </w:pPr>
          </w:p>
        </w:tc>
        <w:tc>
          <w:tcPr>
            <w:tcW w:w="980" w:type="dxa"/>
            <w:vAlign w:val="bottom"/>
            <w:gridSpan w:val="3"/>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37.8</w:t>
            </w:r>
          </w:p>
        </w:tc>
      </w:tr>
      <w:tr>
        <w:trPr>
          <w:trHeight w:val="243"/>
        </w:trPr>
        <w:tc>
          <w:tcPr>
            <w:tcW w:w="51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selling price per ton of modified distillers grains</w:t>
            </w:r>
          </w:p>
        </w:tc>
        <w:tc>
          <w:tcPr>
            <w:tcW w:w="540" w:type="dxa"/>
            <w:vAlign w:val="bottom"/>
            <w:shd w:val="clear" w:color="auto" w:fill="E5FFFF"/>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gridSpan w:val="2"/>
            <w:shd w:val="clear" w:color="auto" w:fill="E5FFFF"/>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128.50</w:t>
            </w:r>
          </w:p>
        </w:tc>
        <w:tc>
          <w:tcPr>
            <w:tcW w:w="580" w:type="dxa"/>
            <w:vAlign w:val="bottom"/>
            <w:shd w:val="clear" w:color="auto" w:fill="E5FFFF"/>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gridSpan w:val="2"/>
            <w:shd w:val="clear" w:color="auto" w:fill="E5FFFF"/>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90.54</w:t>
            </w:r>
          </w:p>
        </w:tc>
        <w:tc>
          <w:tcPr>
            <w:tcW w:w="4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3"/>
            <w:shd w:val="clear" w:color="auto" w:fill="E5FFFF"/>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121.65</w:t>
            </w:r>
          </w:p>
        </w:tc>
        <w:tc>
          <w:tcPr>
            <w:tcW w:w="46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3"/>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79.13</w:t>
            </w:r>
          </w:p>
        </w:tc>
      </w:tr>
      <w:tr>
        <w:trPr>
          <w:trHeight w:val="243"/>
        </w:trPr>
        <w:tc>
          <w:tcPr>
            <w:tcW w:w="5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Tons of modified distillers grains sold</w:t>
            </w:r>
          </w:p>
        </w:tc>
        <w:tc>
          <w:tcPr>
            <w:tcW w:w="540" w:type="dxa"/>
            <w:vAlign w:val="bottom"/>
          </w:tcPr>
          <w:p>
            <w:pPr>
              <w:spacing w:after="0"/>
              <w:rPr>
                <w:sz w:val="21"/>
                <w:szCs w:val="21"/>
                <w:color w:val="auto"/>
              </w:rPr>
            </w:pPr>
          </w:p>
        </w:tc>
        <w:tc>
          <w:tcPr>
            <w:tcW w:w="1000" w:type="dxa"/>
            <w:vAlign w:val="bottom"/>
            <w:gridSpan w:val="2"/>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19,110</w:t>
            </w:r>
          </w:p>
        </w:tc>
        <w:tc>
          <w:tcPr>
            <w:tcW w:w="580" w:type="dxa"/>
            <w:vAlign w:val="bottom"/>
          </w:tcPr>
          <w:p>
            <w:pPr>
              <w:spacing w:after="0"/>
              <w:rPr>
                <w:sz w:val="21"/>
                <w:szCs w:val="21"/>
                <w:color w:val="auto"/>
              </w:rPr>
            </w:pPr>
          </w:p>
        </w:tc>
        <w:tc>
          <w:tcPr>
            <w:tcW w:w="102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21,361</w:t>
            </w:r>
          </w:p>
        </w:tc>
        <w:tc>
          <w:tcPr>
            <w:tcW w:w="440" w:type="dxa"/>
            <w:vAlign w:val="bottom"/>
          </w:tcPr>
          <w:p>
            <w:pPr>
              <w:spacing w:after="0"/>
              <w:rPr>
                <w:sz w:val="21"/>
                <w:szCs w:val="21"/>
                <w:color w:val="auto"/>
              </w:rPr>
            </w:pPr>
          </w:p>
        </w:tc>
        <w:tc>
          <w:tcPr>
            <w:tcW w:w="1100" w:type="dxa"/>
            <w:vAlign w:val="bottom"/>
            <w:gridSpan w:val="3"/>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55,989</w:t>
            </w:r>
          </w:p>
        </w:tc>
        <w:tc>
          <w:tcPr>
            <w:tcW w:w="460" w:type="dxa"/>
            <w:vAlign w:val="bottom"/>
          </w:tcPr>
          <w:p>
            <w:pPr>
              <w:spacing w:after="0"/>
              <w:rPr>
                <w:sz w:val="21"/>
                <w:szCs w:val="21"/>
                <w:color w:val="auto"/>
              </w:rPr>
            </w:pPr>
          </w:p>
        </w:tc>
        <w:tc>
          <w:tcPr>
            <w:tcW w:w="980" w:type="dxa"/>
            <w:vAlign w:val="bottom"/>
            <w:gridSpan w:val="3"/>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53,421</w:t>
            </w:r>
          </w:p>
        </w:tc>
      </w:tr>
      <w:tr>
        <w:trPr>
          <w:trHeight w:val="243"/>
        </w:trPr>
        <w:tc>
          <w:tcPr>
            <w:tcW w:w="51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cost per bushel of grain</w:t>
            </w:r>
          </w:p>
        </w:tc>
        <w:tc>
          <w:tcPr>
            <w:tcW w:w="540" w:type="dxa"/>
            <w:vAlign w:val="bottom"/>
            <w:shd w:val="clear" w:color="auto" w:fill="E5FFFF"/>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gridSpan w:val="2"/>
            <w:shd w:val="clear" w:color="auto" w:fill="E5FFFF"/>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7.78</w:t>
            </w:r>
          </w:p>
        </w:tc>
        <w:tc>
          <w:tcPr>
            <w:tcW w:w="580" w:type="dxa"/>
            <w:vAlign w:val="bottom"/>
            <w:shd w:val="clear" w:color="auto" w:fill="E5FFFF"/>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gridSpan w:val="2"/>
            <w:shd w:val="clear" w:color="auto" w:fill="E5FFFF"/>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6.45</w:t>
            </w:r>
          </w:p>
        </w:tc>
        <w:tc>
          <w:tcPr>
            <w:tcW w:w="4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3"/>
            <w:shd w:val="clear" w:color="auto" w:fill="E5FFFF"/>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7.18</w:t>
            </w:r>
          </w:p>
        </w:tc>
        <w:tc>
          <w:tcPr>
            <w:tcW w:w="46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3"/>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5.86</w:t>
            </w:r>
          </w:p>
        </w:tc>
      </w:tr>
      <w:tr>
        <w:trPr>
          <w:trHeight w:val="282"/>
        </w:trPr>
        <w:tc>
          <w:tcPr>
            <w:tcW w:w="5120" w:type="dxa"/>
            <w:vAlign w:val="bottom"/>
          </w:tcPr>
          <w:p>
            <w:pPr>
              <w:spacing w:after="0"/>
              <w:rPr>
                <w:sz w:val="20"/>
                <w:szCs w:val="20"/>
                <w:color w:val="auto"/>
              </w:rPr>
            </w:pPr>
            <w:r>
              <w:rPr>
                <w:rFonts w:ascii="Times New Roman" w:cs="Times New Roman" w:eastAsia="Times New Roman" w:hAnsi="Times New Roman"/>
                <w:sz w:val="22"/>
                <w:szCs w:val="22"/>
                <w:color w:val="auto"/>
              </w:rPr>
              <w:t>Average cost of natural gas (per MmBtu)</w:t>
            </w:r>
          </w:p>
        </w:tc>
        <w:tc>
          <w:tcPr>
            <w:tcW w:w="5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7.04</w:t>
            </w: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3.30</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3"/>
          </w:tcPr>
          <w:p>
            <w:pPr>
              <w:jc w:val="right"/>
              <w:ind w:right="92"/>
              <w:spacing w:after="0"/>
              <w:rPr>
                <w:sz w:val="20"/>
                <w:szCs w:val="20"/>
                <w:color w:val="auto"/>
              </w:rPr>
            </w:pPr>
            <w:r>
              <w:rPr>
                <w:rFonts w:ascii="Times New Roman" w:cs="Times New Roman" w:eastAsia="Times New Roman" w:hAnsi="Times New Roman"/>
                <w:sz w:val="22"/>
                <w:szCs w:val="22"/>
                <w:color w:val="auto"/>
              </w:rPr>
              <w:t>6.48</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3.24</w:t>
            </w:r>
          </w:p>
        </w:tc>
      </w:tr>
    </w:tbl>
    <w:p>
      <w:pPr>
        <w:spacing w:after="0" w:line="176" w:lineRule="exact"/>
        <w:rPr>
          <w:sz w:val="20"/>
          <w:szCs w:val="20"/>
          <w:color w:val="auto"/>
        </w:rPr>
      </w:pPr>
    </w:p>
    <w:p>
      <w:pPr>
        <w:ind w:right="180" w:firstLine="648"/>
        <w:spacing w:after="0" w:line="238" w:lineRule="auto"/>
        <w:rPr>
          <w:sz w:val="20"/>
          <w:szCs w:val="20"/>
          <w:color w:val="auto"/>
        </w:rPr>
      </w:pPr>
      <w:r>
        <w:rPr>
          <w:rFonts w:ascii="Times New Roman" w:cs="Times New Roman" w:eastAsia="Times New Roman" w:hAnsi="Times New Roman"/>
          <w:sz w:val="22"/>
          <w:szCs w:val="22"/>
          <w:color w:val="auto"/>
        </w:rPr>
        <w:t>Net sales and revenue in the quarter ended July 31, 2022 increased approximately 23% compared to the prior year’s second quarter. Net sales and revenue in the first six months ended July 31, 2022 increased approximately 21% compared to the first six months of fiscal year 2021. Quantities sold at our consolidated plants during the second quarter of fiscal year 2022 and the first six months of 2022 did not change significantly from the prior year comparable periods. The increase in net sales and revenue was driven primarily by stronger commodity pricing in the second quarter and first six months of 2022.</w:t>
      </w:r>
    </w:p>
    <w:p>
      <w:pPr>
        <w:spacing w:after="0" w:line="204"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Ethanol sales increased in the second quarter of fiscal year 2022 compared to the second quarter of fiscal year 2021 as the average price per gallon sold increased 20%, along with a slight increase in gallons sold of 3%. Ethanol sales increased in the first six months of fiscal year 2022 compared to the first six months of fiscal year 2021 as the average price per gallon sold increased 22%, offset slightly by a decrease in gallons sold of 2%. The increase in the ethanol selling price resulted primarily from an increase in commodity prices.</w:t>
      </w:r>
    </w:p>
    <w:p>
      <w:pPr>
        <w:spacing w:after="0" w:line="204"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22"/>
          <w:szCs w:val="22"/>
          <w:color w:val="auto"/>
        </w:rPr>
        <w:t>Dried distillers grains sales increased in the second quarter of fiscal year 2022 compared to the second quarter of fiscal year 2021 as the average price per ton sold increased 21%, offset partially by a 10% decrease in tons sold. Dried distillers grains sales increased in the first six months of fiscal year 2022 compared to the first six months of fiscal year 2021 as the average price per ton sold increased 12%, offset slightly by a 6% decrease in tons sold. The increase in the dried distillers grains selling price resulted primarily from an increase in corn prices as dried distillers grains prices often correlate with corn pricing. Logistics issues contributed to the decrease in tons sold.</w:t>
      </w:r>
    </w:p>
    <w:p>
      <w:pPr>
        <w:spacing w:after="0" w:line="20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Non-food grade corn oil sales increased in the second quarter of fiscal year 2022 compared to the second quarter of fiscal year 2021 as the average selling price per pound increased 53% over the prior year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0" w:name="page31"/>
    <w:bookmarkEnd w:id="30"/>
    <w:p>
      <w:pPr>
        <w:ind w:right="80"/>
        <w:spacing w:after="0" w:line="239" w:lineRule="auto"/>
        <w:rPr>
          <w:sz w:val="20"/>
          <w:szCs w:val="20"/>
          <w:color w:val="auto"/>
        </w:rPr>
      </w:pPr>
      <w:r>
        <w:rPr>
          <w:rFonts w:ascii="Times New Roman" w:cs="Times New Roman" w:eastAsia="Times New Roman" w:hAnsi="Times New Roman"/>
          <w:sz w:val="22"/>
          <w:szCs w:val="22"/>
          <w:color w:val="auto"/>
        </w:rPr>
        <w:t>second quarter, offset slightly by a decrease in pounds sold of 5%. Non-food grade corn oil sales increased in the first six months of fiscal year 2022 compared to the first six months of fiscal year 2021 as the average selling price per pound increased 66%, offset slightly by a decrease in pounds sold of 1%. The increase in the non-food grade corn oil selling price resulted primarily from an increase in demand from the biodiesel industry.</w:t>
      </w:r>
    </w:p>
    <w:p>
      <w:pPr>
        <w:spacing w:after="0" w:line="20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Modified distillers grains sales increased in the second quarter of fiscal year 2022 compared to the second quarter of fiscal year 2021 as the average price per ton sold increased 42%, offset partially by an 11% decrease in tons sold. Modified distillers grains sales increased in the first six months of fiscal year 2022 compared to the first six months of fiscal year 2021 as the average price per ton sold increased 54%, coupled with a 5% increase in tons sold. The increase in the modified distillers grains selling price resulted primarily from an increase in corn prices.</w:t>
      </w:r>
    </w:p>
    <w:p>
      <w:pPr>
        <w:spacing w:after="0" w:line="204"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1"/>
          <w:szCs w:val="21"/>
          <w:color w:val="auto"/>
        </w:rPr>
        <w:t>Losses on derivative financial instruments, included in net sales and revenue, of approximately $1.5 million in the second quarter of fiscal year 2022 related to our risk management activities and were impacted by the increase in ethanol prices during that quarter. There were losses on derivative financial instruments of approximately $1.6 million during the second quarter of fiscal year 2021. Losses on derivative financial instruments, included in net sales and revenue, were approximately $1.2 million in the first six months of fiscal year 2022 compared to $2.8 million in the first six months of fiscal year 2021.</w:t>
      </w:r>
    </w:p>
    <w:p>
      <w:pPr>
        <w:spacing w:after="0" w:line="195" w:lineRule="exact"/>
        <w:rPr>
          <w:sz w:val="20"/>
          <w:szCs w:val="20"/>
          <w:color w:val="auto"/>
        </w:rPr>
      </w:pPr>
    </w:p>
    <w:p>
      <w:pPr>
        <w:ind w:right="140" w:firstLine="648"/>
        <w:spacing w:after="0" w:line="235" w:lineRule="auto"/>
        <w:rPr>
          <w:sz w:val="20"/>
          <w:szCs w:val="20"/>
          <w:color w:val="auto"/>
        </w:rPr>
      </w:pPr>
      <w:r>
        <w:rPr>
          <w:rFonts w:ascii="Times New Roman" w:cs="Times New Roman" w:eastAsia="Times New Roman" w:hAnsi="Times New Roman"/>
          <w:sz w:val="22"/>
          <w:szCs w:val="22"/>
          <w:color w:val="auto"/>
        </w:rPr>
        <w:t>Gross profit for the second quarter of fiscal year 2022 increased approximately $2.4 million compared to the prior year’s second quarter. Selling prices overall increased significantly year over year, but were offset by a significant increase in the price of corn and natural gas. The crush spread decreased slightly from break-even in the second quarter of 2021 to $(0.02) in the second quarter of 2022. In addition, fewer ethanol contracts were sold net of freight in the second quarter of fiscal year 2022 compared to fiscal year 2021, which increased revenue in fiscal year 2022. The selling price per gallon of ethanol sold increased 20% for the second quarter of fiscal year 2022 compared to the second quarter of fiscal year 2021. There was a 21% increase in the cost per bushel of corn during the same periods.</w:t>
      </w:r>
    </w:p>
    <w:p>
      <w:pPr>
        <w:spacing w:after="0" w:line="210"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Grain accounted for approximately 84% ($186.9 million) of our cost of sales during the second quarter of fiscal year 2022 compared to approximately 86% ($156.2 million) during the second quarter of fiscal year 2021. Natural gas accounted for approximately 6% ($12.8 million) of our cost of sales during the second quarter of fiscal year 2022 compared to approximately 3% ($6.2 million) during the second quarter of fiscal year 2021. The grain and natural gas expenditure increases were primarily attributable to the higher costs of both corn and natural gas with stable production levels in the second quarter of fiscal year 2022 compared to the second quarter of fiscal year 2021.</w:t>
      </w:r>
    </w:p>
    <w:p>
      <w:pPr>
        <w:spacing w:after="0" w:line="208" w:lineRule="exact"/>
        <w:rPr>
          <w:sz w:val="20"/>
          <w:szCs w:val="20"/>
          <w:color w:val="auto"/>
        </w:rPr>
      </w:pPr>
    </w:p>
    <w:p>
      <w:pPr>
        <w:ind w:right="100" w:firstLine="648"/>
        <w:spacing w:after="0" w:line="235" w:lineRule="auto"/>
        <w:rPr>
          <w:sz w:val="20"/>
          <w:szCs w:val="20"/>
          <w:color w:val="auto"/>
        </w:rPr>
      </w:pPr>
      <w:r>
        <w:rPr>
          <w:rFonts w:ascii="Times New Roman" w:cs="Times New Roman" w:eastAsia="Times New Roman" w:hAnsi="Times New Roman"/>
          <w:sz w:val="22"/>
          <w:szCs w:val="22"/>
          <w:color w:val="auto"/>
        </w:rPr>
        <w:t>Gross profit for the first six months of fiscal year 2022 decreased approximately $5.1 million compared to the first six months of fiscal year 2021. Selling prices increased significantly year over year, but were offset by the significant increase in the cost of corn. The crush spread did not change from $0.02 over the first six months of fiscal year 2021 compared to the first six months of fiscal year 2022. However, more ethanol contracts were sold net of freight in the first six months of fiscal year 2022 compared to fiscal year 2021, which reduced revenue in fiscal year 2022. The selling price per gallon of ethanol sold increased 22% for the first six months of fiscal year 2022 compared to the first half of fiscal year 2021. There was a 23% increase in the cost per bushel of corn during the same periods.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1" w:name="page32"/>
    <w:bookmarkEnd w:id="31"/>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Grain accounted for approximately 84% ($339.6 million) of our cost of sales during the first six months of fiscal year 2022 compared to approximately 85% ($278.2 million) during the first six months of fiscal year 2021. Natural gas accounted for approximately 6% ($23.7 million) of our cost of sales during the first six months of fiscal year 2022 compared to approximately 3% ($9.9 million) during the first six months of fiscal year 2021. The grain and natural gas expenditure increases were primarily attributable to the higher costs of both corn and natural gas with stable production levels in the first six months of fiscal year 2022 compared to the first six months of fiscal year 2021.</w:t>
      </w:r>
    </w:p>
    <w:p>
      <w:pPr>
        <w:spacing w:after="0" w:line="208"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We attempt to match quantities of ethanol, distillers grains and non-food grade corn oil sales contracts with an appropriate quantity of grain purchase contracts over a given time period when we can obtain a satisfactory margin resulting from the crush spread inherent in the contracts we have executed. However, the market for future ethanol sales contracts generally lags the spot market with respect to ethanol price. Consequently, we generally execute fixed price sales contracts for no more than four months into the future at any given time and we may lock in our corn or ethanol price without having a corresponding locked in ethanol or corn price for short durations of time. As a result of the relatively short period of time our contracts cover, we generally cannot predict the future movements in our realized crush spread for more than four months.</w:t>
      </w:r>
    </w:p>
    <w:p>
      <w:pPr>
        <w:spacing w:after="0" w:line="210"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SG&amp;A expenses were approximately $9.1 million for the second quarter of fiscal year 2022, higher than the approximately $6.2 million of expenses for the second quarter of fiscal year 2021. Higher shipping costs of $1.1 million contributed to a portion of the increase in the second quarter of fiscal year 2022 as more sales contracts provided for shipping to be paid by us compared to the second quarter of fiscal year 2021. In addition, performance bonuses increased approximately $0.9 million in the second quarter of fiscal year 2022 compared to the second quarter of fiscal year 2021. SG&amp;A expenses were approximately $14.4 million for the first six months of fiscal year 2022, slightly lower than the approximately $16.1 million of expenses for the first six months of fiscal year 2021. Shipping costs declined approximately $4.3 million for the six months ended July 31, 2022 comparted to the prior year as fewer ethanol contracts required us to pay the freight. This was offset by increases in railcar lease expense of approximately $0.7 million and performance bonus of approximately $0.9 million in the first six months of fiscal year 2022 compared to the first six months of fiscal year 2021.</w:t>
      </w:r>
    </w:p>
    <w:p>
      <w:pPr>
        <w:spacing w:after="0" w:line="206"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22"/>
          <w:szCs w:val="22"/>
          <w:color w:val="auto"/>
        </w:rPr>
        <w:t>During the second quarter of fiscal year 2022, we recognized income of approximately $3.6 million compared to income of approximately $1.8 million for the second quarter of fiscal year 2021, from our equity investment in Big River. We recognized income of approximately $5.5 million during the first six months of fiscal year 2022 compared to income of approximately $2.4 million during the first six months of fiscal year 2021. During the second quarter of 2022, COVID-19 relief grants from the U.S. Department of Agriculture (USDA) received by Big River contributed $1.6 million to the increase in income we recognized in 2022. Big River has interests in four ethanol production plants that shipped approximately 429 million gallons in the trailing twelve months ended July 31, 2022 and has an effective ownership of ethanol gallons shipped for the same period of approximately 372 million gallons. Big River’s operations also include agricultural elevators. Due to the inherent volatility of commodity prices within the ethanol industry, we cannot predict the likelihood of future operating results from Big River being similar to historical results.</w:t>
      </w:r>
    </w:p>
    <w:p>
      <w:pPr>
        <w:spacing w:after="0" w:line="20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Interest and other income was approximately $8.2 million for the second quarter of fiscal year 2022 versus approximately $39,000 for the second quarter of fiscal year 2021. Interest and other income was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2" w:name="page33"/>
    <w:bookmarkEnd w:id="32"/>
    <w:p>
      <w:pPr>
        <w:spacing w:after="0" w:line="238" w:lineRule="auto"/>
        <w:rPr>
          <w:sz w:val="20"/>
          <w:szCs w:val="20"/>
          <w:color w:val="auto"/>
        </w:rPr>
      </w:pPr>
      <w:r>
        <w:rPr>
          <w:rFonts w:ascii="Times New Roman" w:cs="Times New Roman" w:eastAsia="Times New Roman" w:hAnsi="Times New Roman"/>
          <w:sz w:val="22"/>
          <w:szCs w:val="22"/>
          <w:color w:val="auto"/>
        </w:rPr>
        <w:t>approximately $8.4 million for the first six months of fiscal year 2022 versus approximately $82,000 for the first six months of fiscal year 2021. During the second quarter of 2022, the Company’s consolidated plants received COVID-19 relief grants from the USDA totaling approximately $7.8 million based on reduced production in 2020. The remaining increase is due to an increase in interest income as yields on our excess cash increased in the second quarter and first six months of fiscal year 2022 compared to the second quarter and first six months of fiscal year 2021.</w:t>
      </w:r>
    </w:p>
    <w:p>
      <w:pPr>
        <w:spacing w:after="0" w:line="204"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As a result of the foregoing, income before income taxes was approximately $19.2 million for the second quarter of fiscal year 2022 versus approximately $9.8 million for the second quarter of fiscal year 2021. Income before income taxes was approximately $28.0 million for the first six months of fiscal year 2022 versus approximately $20.0 million for the first six months of fiscal year 2021.</w:t>
      </w:r>
    </w:p>
    <w:p>
      <w:pPr>
        <w:spacing w:after="0" w:line="20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Prior to the third quarter of fiscal year 2021, the Company determined that small changes in estimated “ordinary” income would result in significant changes in the estimated annual effective tax rate. Thus, the Company used a discrete effective tax rate method to calculate the provision or benefit for income taxes for the three and six months ended July 31, 2021. Beginning on November 18, 2021, we are unable to earn tax credit related to the refined coal business, and as such, have ceased operation of that business. As earning these credits is what had caused the significant changes in the estimated annual effective tax rate from small changes in estimated “ordinary” income and we have now classified the refined coal business as discontinued operations, we have returned to using the annual effective tax rate method to calculate the provision or benefit for income taxes from continuing operations beginning in the three and nine month periods ending October 31, 2021. Our income tax provision from continuing operations was approximately $4.3 million and approximately $1.8 million for the three months ended July 31, 2022 and 2021, respectively. Our income tax provision from continuing operations was approximately $6.2 millions and approximately $4.0 million for the six months ended July 31, 2022 and 2021, respectively.</w:t>
      </w:r>
    </w:p>
    <w:p>
      <w:pPr>
        <w:spacing w:after="0" w:line="214" w:lineRule="exact"/>
        <w:rPr>
          <w:sz w:val="20"/>
          <w:szCs w:val="20"/>
          <w:color w:val="auto"/>
        </w:rPr>
      </w:pPr>
    </w:p>
    <w:p>
      <w:pPr>
        <w:ind w:right="220" w:firstLine="648"/>
        <w:spacing w:after="0" w:line="239" w:lineRule="auto"/>
        <w:rPr>
          <w:sz w:val="20"/>
          <w:szCs w:val="20"/>
          <w:color w:val="auto"/>
        </w:rPr>
      </w:pPr>
      <w:r>
        <w:rPr>
          <w:rFonts w:ascii="Times New Roman" w:cs="Times New Roman" w:eastAsia="Times New Roman" w:hAnsi="Times New Roman"/>
          <w:sz w:val="22"/>
          <w:szCs w:val="22"/>
          <w:color w:val="auto"/>
        </w:rPr>
        <w:t>As a result of the foregoing, net income from continuing operations was approximately $14.9 million for the second quarter of fiscal year 2022 compared to approximately $8.0 million for the second quarter of fiscal year 2021. Net income from continuing operations was approximately $21.9 million for the first six months of fiscal year 2022 compared to approximately $16.0 million for the first six months of fiscal year 2021.</w:t>
      </w:r>
    </w:p>
    <w:p>
      <w:pPr>
        <w:spacing w:after="0" w:line="207" w:lineRule="exact"/>
        <w:rPr>
          <w:sz w:val="20"/>
          <w:szCs w:val="20"/>
          <w:color w:val="auto"/>
        </w:rPr>
      </w:pPr>
    </w:p>
    <w:p>
      <w:pPr>
        <w:ind w:right="380" w:firstLine="648"/>
        <w:spacing w:after="0" w:line="236" w:lineRule="auto"/>
        <w:rPr>
          <w:sz w:val="20"/>
          <w:szCs w:val="20"/>
          <w:color w:val="auto"/>
        </w:rPr>
      </w:pPr>
      <w:r>
        <w:rPr>
          <w:rFonts w:ascii="Times New Roman" w:cs="Times New Roman" w:eastAsia="Times New Roman" w:hAnsi="Times New Roman"/>
          <w:sz w:val="22"/>
          <w:szCs w:val="22"/>
          <w:color w:val="auto"/>
        </w:rPr>
        <w:t>Income from continuing operations related to noncontrolling interests was approximately $3.7 million for the second quarter of fiscal year 2022 compared to $2.3 million for the second quarter of fiscal year 2021. Income from continuing operations related to noncontrolling interests was approximately $5.5 million for the first six months of fiscal year 2022 compared to $3.0 million for the first six months of fiscal year 2021. These amounts represent the other owners’ share of the income or loss of NuGen and One Earth. Noncontrolling interests related to the refined coal entity is included in discontinued operations.</w:t>
      </w:r>
    </w:p>
    <w:p>
      <w:pPr>
        <w:spacing w:after="0" w:line="208" w:lineRule="exact"/>
        <w:rPr>
          <w:sz w:val="20"/>
          <w:szCs w:val="20"/>
          <w:color w:val="auto"/>
        </w:rPr>
      </w:pPr>
    </w:p>
    <w:p>
      <w:pPr>
        <w:ind w:right="200" w:firstLine="648"/>
        <w:spacing w:after="0" w:line="238" w:lineRule="auto"/>
        <w:rPr>
          <w:sz w:val="20"/>
          <w:szCs w:val="20"/>
          <w:color w:val="auto"/>
        </w:rPr>
      </w:pPr>
      <w:r>
        <w:rPr>
          <w:rFonts w:ascii="Times New Roman" w:cs="Times New Roman" w:eastAsia="Times New Roman" w:hAnsi="Times New Roman"/>
          <w:sz w:val="22"/>
          <w:szCs w:val="22"/>
          <w:color w:val="auto"/>
        </w:rPr>
        <w:t>As a result of the foregoing, net income attributable to REX common shareholders from continuing operations for the second quarter of fiscal year 2022 was approximately $11.2 million, an increase of approximately $5.5 million from net income attributable to REX common shareholders from continuing operations of approximately $5.7 million for the second quarter of fiscal year 2021. Net income attributable to REX common shareholders from continuing operations for the first six months of fiscal year 2022 was approximately $16.4 million, an increase of approximately $3.4 million from net income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3" w:name="page34"/>
    <w:bookmarkEnd w:id="33"/>
    <w:p>
      <w:pPr>
        <w:ind w:right="120"/>
        <w:spacing w:after="0" w:line="258" w:lineRule="auto"/>
        <w:rPr>
          <w:sz w:val="20"/>
          <w:szCs w:val="20"/>
          <w:color w:val="auto"/>
        </w:rPr>
      </w:pPr>
      <w:r>
        <w:rPr>
          <w:rFonts w:ascii="Times New Roman" w:cs="Times New Roman" w:eastAsia="Times New Roman" w:hAnsi="Times New Roman"/>
          <w:sz w:val="22"/>
          <w:szCs w:val="22"/>
          <w:color w:val="auto"/>
        </w:rPr>
        <w:t>attributable to REX common shareholders from continuing operations of approximately $13.0 million for the first six months of fiscal year 2021.</w:t>
      </w:r>
    </w:p>
    <w:p>
      <w:pPr>
        <w:spacing w:after="0" w:line="185"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22"/>
          <w:szCs w:val="22"/>
          <w:color w:val="auto"/>
        </w:rPr>
        <w:t>The Company ceased operation of its refined coal business as tax credits could no longer be earned on its operation beginning November 18, 2021. Beginning in the third quarter of fiscal year 2021, the results of the operation of the refined coal business have been recognized as discontinued operations. The refined coal business operated at a pre-tax loss but generated tax credits that normally exceeded the operating loss. There was no activity related to discontinued operations in the first six months of fiscal year 2022. Net income attributable to REX common shareholders from discontinued operations, net of tax, for the three and six months ended July 31, 2021 was approximately $2.2 million and $2.7 million, respectively.</w:t>
      </w:r>
    </w:p>
    <w:p>
      <w:pPr>
        <w:spacing w:after="0" w:line="208"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21"/>
          <w:szCs w:val="21"/>
          <w:color w:val="auto"/>
        </w:rPr>
        <w:t>Through its refined coal operation, the Company earned production tax credits pursuant to IRC Section 45. The credits can be used to reduce future income tax liabilities for up to 20 years. The income tax benefit generated from discontinued operations was approximately $5.4 million and approximately $7.6 million for the three and six months ended July 31,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37"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1"/>
          <w:szCs w:val="21"/>
          <w:color w:val="auto"/>
        </w:rPr>
        <w:t>Net cash provided by operating activities was approximately $0.8 million for the first six months of fiscal year 2022, compared to cash provided by operating activities of approximately $17.2 million for the first six months of fiscal year 2021. For the first six months of fiscal year 2022, cash was provided by net income from continuing operations of approximately $21.9 million, adjusted for non-cash items of approximately $10.8 million, which consisted of depreciation, amortization of operating lease right-of-use assets, income from equity method investments, interest income from short-term investments, the deferred income tax provision and stock based compensation expense. An increase in the balance of accounts receivable used cash of approximately $12.7 million, primarily a result of the timing of products shipped and the receipt of customer payments at One Earth and NuGen in addition to higher sales and pricing. Inventories increased by approximately $7.7 million, primarily a result of the timing of receipt of raw materials and the shipment of finished goods, as well as an increase in commodity prices. An increase in the balance of other assets of approximately $2.2 million primarily relates to changes in the carrying value of forward purchase contracts recorded at fair value. A decrease in the balance of refundable income taxes of approximately $0.8 million primarily relates to amount currently payable on income from the first three months of the fiscal year. A decrease in the balance of accounts payable used cash of approximately $11.3 million, which was primarily a result of the timing of inventory receipts and vendor payments. An increase in the balance of other liabilities provided cash of approximately $1.2 million.</w:t>
      </w:r>
    </w:p>
    <w:p>
      <w:pPr>
        <w:spacing w:after="0" w:line="208"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Net cash provided by operating activities was approximately $17.2 million for the first six months of fiscal year 2021. For the first six months of fiscal year 2021, cash was provided by net income from continuing operations of approximately $16.0 million, adjusted for non-cash items of approximately $13.1 million, which consisted of depreciation, amortization of operating lease right-of-use assets, income from equity method investments, interest income from short-term investments, the deferred income tax provision and stock based compensation expense. An increase in the balance of accounts receivable used cash of approximately $9.8 million, primarily a result of the timing of products shipped and the receipt of customer payments at One Earth and NuGen in addition to higher sales and pricing. Inventories increased by approximately $3.9 million, primarily a result of the timing of receipt of raw materials and the shipment of</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6" w:right="379" w:bottom="1440" w:gutter="0" w:footer="0" w:header="0"/>
        </w:sectPr>
      </w:pPr>
    </w:p>
    <w:bookmarkStart w:id="34" w:name="page35"/>
    <w:bookmarkEnd w:id="34"/>
    <w:p>
      <w:pPr>
        <w:spacing w:after="0" w:line="235" w:lineRule="auto"/>
        <w:rPr>
          <w:sz w:val="20"/>
          <w:szCs w:val="20"/>
          <w:color w:val="auto"/>
        </w:rPr>
      </w:pPr>
      <w:r>
        <w:rPr>
          <w:rFonts w:ascii="Times New Roman" w:cs="Times New Roman" w:eastAsia="Times New Roman" w:hAnsi="Times New Roman"/>
          <w:sz w:val="22"/>
          <w:szCs w:val="22"/>
          <w:color w:val="auto"/>
        </w:rPr>
        <w:t>finished goods, as well as an increase in the pricing of raw materials. A decrease in the balance of other assets of approximately $0.3 million primarily relates to changes in the carrying value of forward purchase contracts recorded at fair value. An increase in the balance of refundable income taxes of approximately $1.1 million primarily relates to estimated federal and state income tax payments made during fiscal year 2021. An increase in the balance of accounts payable provided cash of approximately $4.8 million, which was primarily a result of the timing of inventory receipts and vendor payments. An increase in the balance of other liabilities provided cash of approximately $0.9 million, which was primarily a result of operating lease payments. Discontinued operations used cash of $3.1 million during the first six months of 2021.</w:t>
      </w:r>
    </w:p>
    <w:p>
      <w:pPr>
        <w:spacing w:after="0" w:line="21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21"/>
          <w:szCs w:val="21"/>
          <w:color w:val="auto"/>
        </w:rPr>
        <w:t>At July 31, 2022, working capital was approximately $315.4 million, compared to approximately $294.7 million at January 31, 2022. The ratio of current assets to current liabilities was 8.5 to 1 at July 31, 2022 and 6.8 to 1 at January 31, 2022.</w:t>
      </w:r>
    </w:p>
    <w:p>
      <w:pPr>
        <w:spacing w:after="0" w:line="162"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Cash of approximately $167.0 million was used in investing activities for the first six months of fiscal year 2022, compared to approximately $0.3 million provided by investing activities during the first six months of fiscal year 2021. During the first six months of fiscal year 2022, we had capital expenditures of approximately $2.9 million, primarily for improvements at the One Earth and NuGen facilities. We expect capital expenditures to be in the range of approximately $10.0 million to $15.0 million for the remainder of fiscal year 2022. During the first six months of fiscal year 2022, we purchased short-term U.S. Treasury Bills of approximately $190.0 million while certificates of deposit of approximately $25.9 million matured. The certificates of deposit and U.S Treasury Bills had maturities of less than one year and we classified them as short-term investments. Depending on investment options available, we may elect to retain the funds, or a portion thereof, in cash, short-term investments or long-term investments.</w:t>
      </w:r>
    </w:p>
    <w:p>
      <w:pPr>
        <w:spacing w:after="0" w:line="210"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Cash of approximately $0.3 million was provided by investing activities for the first six months of fiscal year 2021. During the first six months of fiscal year 2021, we had capital expenditures of approximately $2.7 million, primarily for improvements at the One Earth and NuGen facilities. During the first six months of fiscal year 2021, we purchased certificates of deposit (classified as short-term investments) of approximately $49.3 million. During the first six months of fiscal year 2021, certificates of deposit (classified as short-term investments) of approximately $52.2 million matured.</w:t>
      </w:r>
    </w:p>
    <w:p>
      <w:pPr>
        <w:spacing w:after="0" w:line="204" w:lineRule="exact"/>
        <w:rPr>
          <w:sz w:val="20"/>
          <w:szCs w:val="20"/>
          <w:color w:val="auto"/>
        </w:rPr>
      </w:pPr>
    </w:p>
    <w:p>
      <w:pPr>
        <w:jc w:val="both"/>
        <w:ind w:right="40" w:firstLine="648"/>
        <w:spacing w:after="0" w:line="239" w:lineRule="auto"/>
        <w:rPr>
          <w:sz w:val="20"/>
          <w:szCs w:val="20"/>
          <w:color w:val="auto"/>
        </w:rPr>
      </w:pPr>
      <w:r>
        <w:rPr>
          <w:rFonts w:ascii="Times New Roman" w:cs="Times New Roman" w:eastAsia="Times New Roman" w:hAnsi="Times New Roman"/>
          <w:sz w:val="22"/>
          <w:szCs w:val="22"/>
          <w:color w:val="auto"/>
        </w:rPr>
        <w:t>Cash of approximately $7.8 million was used in financing activities for the first six months of fiscal year 2022, compared to approximately $2.7 million for the first six months of fiscal year 2021. During the first six months of fiscal year 2022, we used cash of approximately $6.2 million to purchase approximately 222,000 shares of our common stock in open market transactions. We also made payments of $1.6 million to noncontrolling interests holders.</w:t>
      </w:r>
    </w:p>
    <w:p>
      <w:pPr>
        <w:spacing w:after="0" w:line="207"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22"/>
          <w:szCs w:val="22"/>
          <w:color w:val="auto"/>
        </w:rPr>
        <w:t>Cash of approximately $2.7 million was used in financing activities from continuing operations in the first six months of 2021 as we used cash of approximately $1.4 million to purchase approximately 52,000 shares of our common stock in open market transactions and we made payments of approximately $1.3 million to noncontrolling interests holders.</w:t>
      </w:r>
    </w:p>
    <w:p>
      <w:pPr>
        <w:spacing w:after="0" w:line="200"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We are investigating various uses for our excess cash and short-term investments. We have a stock buyback program, and given our current authorization level, can repurchase a total of approximately 1,126,000 shares at July 31, 2022. We typically repurchase our common stock when our stock price is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5" w:name="page36"/>
    <w:bookmarkEnd w:id="35"/>
    <w:p>
      <w:pPr>
        <w:ind w:right="160"/>
        <w:spacing w:after="0" w:line="244" w:lineRule="auto"/>
        <w:rPr>
          <w:sz w:val="20"/>
          <w:szCs w:val="20"/>
          <w:color w:val="auto"/>
        </w:rPr>
      </w:pPr>
      <w:r>
        <w:rPr>
          <w:rFonts w:ascii="Times New Roman" w:cs="Times New Roman" w:eastAsia="Times New Roman" w:hAnsi="Times New Roman"/>
          <w:sz w:val="22"/>
          <w:szCs w:val="22"/>
          <w:color w:val="auto"/>
        </w:rPr>
        <w:t>trading at a price we deem to be a discount to the underlying value of our net assets. We plan to seek and evaluate various investment opportunities including ethanol and/or energy related, carbon sequestration related, agricultural or other ventures we believe fit our investment criteria.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This Form 10-Q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effect of pandemics such as COVID-19 on the Company’s business operations, including impacts on supplies, demand, personnel and other factors, the impact of legislative and regulatory changes, the price volatility and availability of corn, distillers grains, ethanol, non-food grade corn oil, gasoline and natural gas, commodity market risk, ethanol plants operating efficiently and according to forecasts and projections, logistical interruptions, changes in the international, national or regional economies, the impact of inflation, the ability to attract employees, weather, results of income tax audits, changes in income tax laws or regulations, the impact of U.S. foreign trade policy, changes in foreign currency exchange rates and the effects of terrorism or acts of war. The Company does not intend to update publicly any forward-looking statements except as required by law. Other factors that could cause actual results to differ materially from those in the forward-looking statements are set forth in Item 1A of the Company’s Annual Report on Form 10-K for the fiscal year ended January 31, 2022 (File No. 001-09097).</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b w:val="1"/>
          <w:bCs w:val="1"/>
          <w:color w:val="auto"/>
        </w:rPr>
        <w:t xml:space="preserve">Item 3. </w:t>
      </w:r>
      <w:r>
        <w:rPr>
          <w:rFonts w:ascii="Times New Roman" w:cs="Times New Roman" w:eastAsia="Times New Roman" w:hAnsi="Times New Roman"/>
          <w:sz w:val="22"/>
          <w:szCs w:val="22"/>
          <w:b w:val="1"/>
          <w:bCs w:val="1"/>
          <w:i w:val="1"/>
          <w:iCs w:val="1"/>
          <w:color w:val="auto"/>
        </w:rPr>
        <w:t>Quantitative and Qualitative Disclosures About Market Risk</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We are exposed to the impact of market fluctuations associated with commodity prices as discussed below.</w:t>
      </w:r>
    </w:p>
    <w:p>
      <w:pPr>
        <w:spacing w:after="0" w:line="233"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We manage a portion of our risk with respect to the volatility of commodity prices inherent in the ethanol industry by using forward purchase and sale contracts and exchange traded commodity futures contracts. Our exposure to market risk, which includes the impact of our risk management activities, is based on the estimated effect on pre-tax income starting on July 31, 2022 is as follows, assuming normal operating capacity (amounts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0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Estimated Total</w:t>
            </w:r>
          </w:p>
        </w:tc>
        <w:tc>
          <w:tcPr>
            <w:tcW w:w="1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Decrease in Pre-tax</w:t>
            </w:r>
          </w:p>
        </w:tc>
      </w:tr>
      <w:tr>
        <w:trPr>
          <w:trHeight w:val="243"/>
        </w:trPr>
        <w:tc>
          <w:tcPr>
            <w:tcW w:w="11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3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Volume for</w:t>
            </w:r>
          </w:p>
        </w:tc>
        <w:tc>
          <w:tcPr>
            <w:tcW w:w="1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Income From a 10%</w:t>
            </w:r>
          </w:p>
        </w:tc>
      </w:tr>
      <w:tr>
        <w:trPr>
          <w:trHeight w:val="234"/>
        </w:trPr>
        <w:tc>
          <w:tcPr>
            <w:tcW w:w="4280" w:type="dxa"/>
            <w:vAlign w:val="bottom"/>
            <w:gridSpan w:val="2"/>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Commodity</w:t>
            </w:r>
          </w:p>
        </w:tc>
        <w:tc>
          <w:tcPr>
            <w:tcW w:w="2320" w:type="dxa"/>
            <w:vAlign w:val="bottom"/>
            <w:gridSpan w:val="2"/>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12 Months</w:t>
            </w:r>
          </w:p>
        </w:tc>
        <w:tc>
          <w:tcPr>
            <w:tcW w:w="1880" w:type="dxa"/>
            <w:vAlign w:val="bottom"/>
            <w:gridSpan w:val="2"/>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Unit of Measure</w:t>
            </w:r>
          </w:p>
        </w:tc>
        <w:tc>
          <w:tcPr>
            <w:tcW w:w="2760" w:type="dxa"/>
            <w:vAlign w:val="bottom"/>
            <w:gridSpan w:val="3"/>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Adverse Change in Price</w:t>
            </w:r>
          </w:p>
        </w:tc>
      </w:tr>
      <w:tr>
        <w:trPr>
          <w:trHeight w:val="263"/>
        </w:trPr>
        <w:tc>
          <w:tcPr>
            <w:tcW w:w="1100" w:type="dxa"/>
            <w:vAlign w:val="bottom"/>
            <w:tcBorders>
              <w:top w:val="single" w:sz="8" w:color="auto"/>
            </w:tcBorders>
          </w:tcPr>
          <w:p>
            <w:pPr>
              <w:spacing w:after="0"/>
              <w:rPr>
                <w:sz w:val="22"/>
                <w:szCs w:val="22"/>
                <w:color w:val="auto"/>
              </w:rPr>
            </w:pPr>
          </w:p>
        </w:tc>
        <w:tc>
          <w:tcPr>
            <w:tcW w:w="318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34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r>
      <w:tr>
        <w:trPr>
          <w:trHeight w:val="243"/>
        </w:trPr>
        <w:tc>
          <w:tcPr>
            <w:tcW w:w="428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w:t>
            </w:r>
          </w:p>
        </w:tc>
        <w:tc>
          <w:tcPr>
            <w:tcW w:w="2320" w:type="dxa"/>
            <w:vAlign w:val="bottom"/>
            <w:gridSpan w:val="2"/>
            <w:shd w:val="clear" w:color="auto" w:fill="E5FFFF"/>
          </w:tcPr>
          <w:p>
            <w:pPr>
              <w:jc w:val="right"/>
              <w:ind w:right="660"/>
              <w:spacing w:after="0" w:line="243" w:lineRule="exact"/>
              <w:rPr>
                <w:sz w:val="20"/>
                <w:szCs w:val="20"/>
                <w:color w:val="auto"/>
              </w:rPr>
            </w:pPr>
            <w:r>
              <w:rPr>
                <w:rFonts w:ascii="Times New Roman" w:cs="Times New Roman" w:eastAsia="Times New Roman" w:hAnsi="Times New Roman"/>
                <w:sz w:val="22"/>
                <w:szCs w:val="22"/>
                <w:color w:val="auto"/>
              </w:rPr>
              <w:t>280,000</w:t>
            </w:r>
          </w:p>
        </w:tc>
        <w:tc>
          <w:tcPr>
            <w:tcW w:w="188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Gallons</w:t>
            </w:r>
          </w:p>
        </w:tc>
        <w:tc>
          <w:tcPr>
            <w:tcW w:w="10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shd w:val="clear" w:color="auto" w:fill="E5FFFF"/>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w w:val="95"/>
              </w:rPr>
              <w:t>66,933</w:t>
            </w:r>
          </w:p>
        </w:tc>
        <w:tc>
          <w:tcPr>
            <w:tcW w:w="460" w:type="dxa"/>
            <w:vAlign w:val="bottom"/>
            <w:shd w:val="clear" w:color="auto" w:fill="E5FFFF"/>
          </w:tcPr>
          <w:p>
            <w:pPr>
              <w:spacing w:after="0"/>
              <w:rPr>
                <w:sz w:val="21"/>
                <w:szCs w:val="21"/>
                <w:color w:val="auto"/>
              </w:rPr>
            </w:pPr>
          </w:p>
        </w:tc>
      </w:tr>
      <w:tr>
        <w:trPr>
          <w:trHeight w:val="243"/>
        </w:trPr>
        <w:tc>
          <w:tcPr>
            <w:tcW w:w="42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Corn</w:t>
            </w:r>
          </w:p>
        </w:tc>
        <w:tc>
          <w:tcPr>
            <w:tcW w:w="2320" w:type="dxa"/>
            <w:vAlign w:val="bottom"/>
            <w:gridSpan w:val="2"/>
          </w:tcPr>
          <w:p>
            <w:pPr>
              <w:jc w:val="right"/>
              <w:ind w:right="660"/>
              <w:spacing w:after="0" w:line="243" w:lineRule="exact"/>
              <w:rPr>
                <w:sz w:val="20"/>
                <w:szCs w:val="20"/>
                <w:color w:val="auto"/>
              </w:rPr>
            </w:pPr>
            <w:r>
              <w:rPr>
                <w:rFonts w:ascii="Times New Roman" w:cs="Times New Roman" w:eastAsia="Times New Roman" w:hAnsi="Times New Roman"/>
                <w:sz w:val="22"/>
                <w:szCs w:val="22"/>
                <w:color w:val="auto"/>
              </w:rPr>
              <w:t>100,000</w:t>
            </w:r>
          </w:p>
        </w:tc>
        <w:tc>
          <w:tcPr>
            <w:tcW w:w="18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Bushels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w w:val="95"/>
              </w:rPr>
              <w:t>67,382</w:t>
            </w:r>
          </w:p>
        </w:tc>
        <w:tc>
          <w:tcPr>
            <w:tcW w:w="460" w:type="dxa"/>
            <w:vAlign w:val="bottom"/>
          </w:tcPr>
          <w:p>
            <w:pPr>
              <w:spacing w:after="0"/>
              <w:rPr>
                <w:sz w:val="21"/>
                <w:szCs w:val="21"/>
                <w:color w:val="auto"/>
              </w:rPr>
            </w:pPr>
          </w:p>
        </w:tc>
      </w:tr>
      <w:tr>
        <w:trPr>
          <w:trHeight w:val="243"/>
        </w:trPr>
        <w:tc>
          <w:tcPr>
            <w:tcW w:w="428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Grains</w:t>
            </w:r>
          </w:p>
        </w:tc>
        <w:tc>
          <w:tcPr>
            <w:tcW w:w="2320" w:type="dxa"/>
            <w:vAlign w:val="bottom"/>
            <w:gridSpan w:val="2"/>
            <w:shd w:val="clear" w:color="auto" w:fill="E5FFFF"/>
          </w:tcPr>
          <w:p>
            <w:pPr>
              <w:jc w:val="right"/>
              <w:ind w:right="660"/>
              <w:spacing w:after="0" w:line="243" w:lineRule="exact"/>
              <w:rPr>
                <w:sz w:val="20"/>
                <w:szCs w:val="20"/>
                <w:color w:val="auto"/>
              </w:rPr>
            </w:pPr>
            <w:r>
              <w:rPr>
                <w:rFonts w:ascii="Times New Roman" w:cs="Times New Roman" w:eastAsia="Times New Roman" w:hAnsi="Times New Roman"/>
                <w:sz w:val="22"/>
                <w:szCs w:val="22"/>
                <w:color w:val="auto"/>
              </w:rPr>
              <w:t>705</w:t>
            </w:r>
          </w:p>
        </w:tc>
        <w:tc>
          <w:tcPr>
            <w:tcW w:w="188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Tons</w:t>
            </w:r>
          </w:p>
        </w:tc>
        <w:tc>
          <w:tcPr>
            <w:tcW w:w="10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shd w:val="clear" w:color="auto" w:fill="E5FFFF"/>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w w:val="95"/>
              </w:rPr>
              <w:t>13,473</w:t>
            </w:r>
          </w:p>
        </w:tc>
        <w:tc>
          <w:tcPr>
            <w:tcW w:w="460" w:type="dxa"/>
            <w:vAlign w:val="bottom"/>
            <w:shd w:val="clear" w:color="auto" w:fill="E5FFFF"/>
          </w:tcPr>
          <w:p>
            <w:pPr>
              <w:spacing w:after="0"/>
              <w:rPr>
                <w:sz w:val="21"/>
                <w:szCs w:val="21"/>
                <w:color w:val="auto"/>
              </w:rPr>
            </w:pPr>
          </w:p>
        </w:tc>
      </w:tr>
      <w:tr>
        <w:trPr>
          <w:trHeight w:val="243"/>
        </w:trPr>
        <w:tc>
          <w:tcPr>
            <w:tcW w:w="42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Non-food grade Corn Oil</w:t>
            </w:r>
          </w:p>
        </w:tc>
        <w:tc>
          <w:tcPr>
            <w:tcW w:w="2320" w:type="dxa"/>
            <w:vAlign w:val="bottom"/>
            <w:gridSpan w:val="2"/>
          </w:tcPr>
          <w:p>
            <w:pPr>
              <w:jc w:val="right"/>
              <w:ind w:right="660"/>
              <w:spacing w:after="0" w:line="243" w:lineRule="exact"/>
              <w:rPr>
                <w:sz w:val="20"/>
                <w:szCs w:val="20"/>
                <w:color w:val="auto"/>
              </w:rPr>
            </w:pPr>
            <w:r>
              <w:rPr>
                <w:rFonts w:ascii="Times New Roman" w:cs="Times New Roman" w:eastAsia="Times New Roman" w:hAnsi="Times New Roman"/>
                <w:sz w:val="22"/>
                <w:szCs w:val="22"/>
                <w:color w:val="auto"/>
              </w:rPr>
              <w:t>76,000</w:t>
            </w:r>
          </w:p>
        </w:tc>
        <w:tc>
          <w:tcPr>
            <w:tcW w:w="18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Pounds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rPr>
              <w:t>4,929</w:t>
            </w:r>
          </w:p>
        </w:tc>
        <w:tc>
          <w:tcPr>
            <w:tcW w:w="460" w:type="dxa"/>
            <w:vAlign w:val="bottom"/>
          </w:tcPr>
          <w:p>
            <w:pPr>
              <w:spacing w:after="0"/>
              <w:rPr>
                <w:sz w:val="21"/>
                <w:szCs w:val="21"/>
                <w:color w:val="auto"/>
              </w:rPr>
            </w:pPr>
          </w:p>
        </w:tc>
      </w:tr>
      <w:tr>
        <w:trPr>
          <w:trHeight w:val="243"/>
        </w:trPr>
        <w:tc>
          <w:tcPr>
            <w:tcW w:w="428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Natural Gas</w:t>
            </w:r>
          </w:p>
        </w:tc>
        <w:tc>
          <w:tcPr>
            <w:tcW w:w="2320" w:type="dxa"/>
            <w:vAlign w:val="bottom"/>
            <w:gridSpan w:val="2"/>
            <w:shd w:val="clear" w:color="auto" w:fill="E5FFFF"/>
          </w:tcPr>
          <w:p>
            <w:pPr>
              <w:jc w:val="right"/>
              <w:ind w:right="660"/>
              <w:spacing w:after="0" w:line="243" w:lineRule="exact"/>
              <w:rPr>
                <w:sz w:val="20"/>
                <w:szCs w:val="20"/>
                <w:color w:val="auto"/>
              </w:rPr>
            </w:pPr>
            <w:r>
              <w:rPr>
                <w:rFonts w:ascii="Times New Roman" w:cs="Times New Roman" w:eastAsia="Times New Roman" w:hAnsi="Times New Roman"/>
                <w:sz w:val="22"/>
                <w:szCs w:val="22"/>
                <w:color w:val="auto"/>
              </w:rPr>
              <w:t>7,400</w:t>
            </w:r>
          </w:p>
        </w:tc>
        <w:tc>
          <w:tcPr>
            <w:tcW w:w="188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MmBtu</w:t>
            </w:r>
          </w:p>
        </w:tc>
        <w:tc>
          <w:tcPr>
            <w:tcW w:w="10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shd w:val="clear" w:color="auto" w:fill="E5FFFF"/>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rPr>
              <w:t>4,004</w:t>
            </w:r>
          </w:p>
        </w:tc>
        <w:tc>
          <w:tcPr>
            <w:tcW w:w="460" w:type="dxa"/>
            <w:vAlign w:val="bottom"/>
            <w:shd w:val="clear" w:color="auto" w:fill="E5FFFF"/>
          </w:tcPr>
          <w:p>
            <w:pPr>
              <w:spacing w:after="0"/>
              <w:rPr>
                <w:sz w:val="21"/>
                <w:szCs w:val="2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i w:val="1"/>
          <w:iCs w:val="1"/>
          <w:color w:val="auto"/>
        </w:rPr>
        <w:t>Controls and Procedures</w:t>
      </w:r>
    </w:p>
    <w:p>
      <w:pPr>
        <w:spacing w:after="0" w:line="239" w:lineRule="exact"/>
        <w:rPr>
          <w:sz w:val="20"/>
          <w:szCs w:val="20"/>
          <w:color w:val="auto"/>
        </w:rPr>
      </w:pPr>
    </w:p>
    <w:p>
      <w:pPr>
        <w:ind w:right="320" w:firstLine="648"/>
        <w:spacing w:after="0" w:line="248" w:lineRule="auto"/>
        <w:rPr>
          <w:sz w:val="20"/>
          <w:szCs w:val="20"/>
          <w:color w:val="auto"/>
        </w:rPr>
      </w:pPr>
      <w:r>
        <w:rPr>
          <w:rFonts w:ascii="Times New Roman" w:cs="Times New Roman" w:eastAsia="Times New Roman" w:hAnsi="Times New Roman"/>
          <w:sz w:val="21"/>
          <w:szCs w:val="21"/>
          <w:color w:val="auto"/>
        </w:rPr>
        <w:t>Our management evaluated, with the participation of our Chief Executive Officer and Chief Financial Officer, the effectiveness of our disclosure controls and procedures, as of the end of the period covered by this report. Based on that evaluation, the Chief Executive Officer and Chief Financial Officer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9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 </w:t>
      </w:r>
      <w:r>
        <w:rPr>
          <w:rFonts w:ascii="Times New Roman" w:cs="Times New Roman" w:eastAsia="Times New Roman" w:hAnsi="Times New Roman"/>
          <w:sz w:val="22"/>
          <w:szCs w:val="22"/>
          <w:b w:val="1"/>
          <w:bCs w:val="1"/>
          <w:i w:val="1"/>
          <w:iCs w:val="1"/>
          <w:color w:val="auto"/>
        </w:rPr>
        <w:t>Legal Proceedings</w:t>
      </w:r>
    </w:p>
    <w:p>
      <w:pPr>
        <w:spacing w:after="0" w:line="23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We are not party to any legal proceedings that we believe would, individually or in the aggregate, have a material adverse effect on our financial condition, results of operations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1A. </w:t>
      </w:r>
      <w:r>
        <w:rPr>
          <w:rFonts w:ascii="Times New Roman" w:cs="Times New Roman" w:eastAsia="Times New Roman" w:hAnsi="Times New Roman"/>
          <w:sz w:val="22"/>
          <w:szCs w:val="22"/>
          <w:b w:val="1"/>
          <w:bCs w:val="1"/>
          <w:i w:val="1"/>
          <w:iCs w:val="1"/>
          <w:color w:val="auto"/>
        </w:rPr>
        <w:t>Risk Factors</w:t>
      </w:r>
    </w:p>
    <w:p>
      <w:pPr>
        <w:spacing w:after="0" w:line="23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There have been no material changes to the risk factors discussed in our Annual Report on Form 10-K for the year ended January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b w:val="1"/>
          <w:bCs w:val="1"/>
          <w:i w:val="1"/>
          <w:iCs w:val="1"/>
          <w:color w:val="auto"/>
        </w:rPr>
        <w:t>Unregistered Sales of Equity Securities and Use of Proceeds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3. </w:t>
      </w:r>
      <w:r>
        <w:rPr>
          <w:rFonts w:ascii="Times New Roman" w:cs="Times New Roman" w:eastAsia="Times New Roman" w:hAnsi="Times New Roman"/>
          <w:sz w:val="22"/>
          <w:szCs w:val="22"/>
          <w:b w:val="1"/>
          <w:bCs w:val="1"/>
          <w:i w:val="1"/>
          <w:iCs w:val="1"/>
          <w:color w:val="auto"/>
        </w:rPr>
        <w:t>Defaults upon Senior Securities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i w:val="1"/>
          <w:iCs w:val="1"/>
          <w:color w:val="auto"/>
        </w:rPr>
        <w:t>Mine Safety Disclosures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5. </w:t>
      </w:r>
      <w:r>
        <w:rPr>
          <w:rFonts w:ascii="Times New Roman" w:cs="Times New Roman" w:eastAsia="Times New Roman" w:hAnsi="Times New Roman"/>
          <w:sz w:val="22"/>
          <w:szCs w:val="22"/>
          <w:b w:val="1"/>
          <w:bCs w:val="1"/>
          <w:i w:val="1"/>
          <w:iCs w:val="1"/>
          <w:color w:val="auto"/>
        </w:rPr>
        <w:t>Other Information</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6. </w:t>
      </w:r>
      <w:r>
        <w:rPr>
          <w:rFonts w:ascii="Times New Roman" w:cs="Times New Roman" w:eastAsia="Times New Roman" w:hAnsi="Times New Roman"/>
          <w:sz w:val="22"/>
          <w:szCs w:val="22"/>
          <w:b w:val="1"/>
          <w:bCs w:val="1"/>
          <w:i w:val="1"/>
          <w:iCs w:val="1"/>
          <w:color w:val="auto"/>
        </w:rPr>
        <w:t>Exhibits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exhibits are filed with this report:</w:t>
      </w:r>
    </w:p>
    <w:p>
      <w:pPr>
        <w:spacing w:after="0" w:line="233" w:lineRule="exact"/>
        <w:rPr>
          <w:sz w:val="20"/>
          <w:szCs w:val="20"/>
          <w:color w:val="auto"/>
        </w:rPr>
      </w:pPr>
    </w:p>
    <w:p>
      <w:pPr>
        <w:ind w:left="1580" w:hanging="641"/>
        <w:spacing w:after="0"/>
        <w:tabs>
          <w:tab w:leader="none" w:pos="15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Rule 13a-14(a)/15d-14(a) Certifications</w:t>
      </w:r>
    </w:p>
    <w:p>
      <w:pPr>
        <w:spacing w:after="0" w:line="233" w:lineRule="exact"/>
        <w:rPr>
          <w:rFonts w:ascii="Times New Roman" w:cs="Times New Roman" w:eastAsia="Times New Roman" w:hAnsi="Times New Roman"/>
          <w:sz w:val="22"/>
          <w:szCs w:val="22"/>
          <w:color w:val="auto"/>
        </w:rPr>
      </w:pPr>
    </w:p>
    <w:p>
      <w:pPr>
        <w:ind w:left="1580" w:hanging="641"/>
        <w:spacing w:after="0"/>
        <w:tabs>
          <w:tab w:leader="none" w:pos="15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Section 1350 Certifications</w:t>
      </w:r>
    </w:p>
    <w:p>
      <w:pPr>
        <w:spacing w:after="0" w:line="233" w:lineRule="exact"/>
        <w:rPr>
          <w:sz w:val="20"/>
          <w:szCs w:val="20"/>
          <w:color w:val="auto"/>
        </w:rPr>
      </w:pPr>
    </w:p>
    <w:p>
      <w:pPr>
        <w:jc w:val="both"/>
        <w:ind w:left="1580" w:hanging="641"/>
        <w:spacing w:after="0" w:line="238" w:lineRule="auto"/>
        <w:tabs>
          <w:tab w:leader="none" w:pos="15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information from REX American Resources Corporation Quarterly Report on Form 10-Q for the quarter ended July 31, 2022, formatted in iXBRL: (i) Consolidated Condensed Balance Sheets, (ii) Consolidated Condensed Statements of Operations, (iii) Consolidated Condensed Statements of Equity, (iv) Consolidated Condensed Statements of Cash Flows and (v) Notes to Consolidated Condensed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REX American Resources Corporation</w:t>
      </w:r>
    </w:p>
    <w:p>
      <w:pPr>
        <w:spacing w:after="0" w:line="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Registrant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0" w:type="dxa"/>
            <w:vAlign w:val="bottom"/>
            <w:gridSpan w:val="4"/>
          </w:tcPr>
          <w:p>
            <w:pPr>
              <w:jc w:val="center"/>
              <w:ind w:right="1300"/>
              <w:spacing w:after="0"/>
              <w:rPr>
                <w:sz w:val="20"/>
                <w:szCs w:val="20"/>
                <w:color w:val="auto"/>
              </w:rPr>
            </w:pPr>
            <w:r>
              <w:rPr>
                <w:rFonts w:ascii="Times New Roman" w:cs="Times New Roman" w:eastAsia="Times New Roman" w:hAnsi="Times New Roman"/>
                <w:sz w:val="22"/>
                <w:szCs w:val="22"/>
                <w:b w:val="1"/>
                <w:bCs w:val="1"/>
                <w:color w:val="auto"/>
                <w:w w:val="98"/>
              </w:rPr>
              <w:t>Signature</w:t>
            </w:r>
          </w:p>
        </w:tc>
        <w:tc>
          <w:tcPr>
            <w:tcW w:w="5020" w:type="dxa"/>
            <w:vAlign w:val="bottom"/>
            <w:gridSpan w:val="3"/>
          </w:tcPr>
          <w:p>
            <w:pPr>
              <w:ind w:left="254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3000" w:type="dxa"/>
            <w:vAlign w:val="bottom"/>
            <w:gridSpan w:val="3"/>
          </w:tcPr>
          <w:p>
            <w:pPr>
              <w:jc w:val="center"/>
              <w:ind w:left="752"/>
              <w:spacing w:after="0"/>
              <w:rPr>
                <w:sz w:val="20"/>
                <w:szCs w:val="20"/>
                <w:color w:val="auto"/>
              </w:rPr>
            </w:pPr>
            <w:r>
              <w:rPr>
                <w:rFonts w:ascii="Times New Roman" w:cs="Times New Roman" w:eastAsia="Times New Roman" w:hAnsi="Times New Roman"/>
                <w:sz w:val="22"/>
                <w:szCs w:val="22"/>
                <w:b w:val="1"/>
                <w:bCs w:val="1"/>
                <w:color w:val="auto"/>
                <w:w w:val="95"/>
              </w:rPr>
              <w:t>Date</w:t>
            </w:r>
          </w:p>
        </w:tc>
      </w:tr>
      <w:tr>
        <w:trPr>
          <w:trHeight w:val="20"/>
        </w:trPr>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66"/>
        </w:trPr>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00" w:type="dxa"/>
            <w:vAlign w:val="bottom"/>
            <w:gridSpan w:val="5"/>
          </w:tcPr>
          <w:p>
            <w:pPr>
              <w:jc w:val="center"/>
              <w:ind w:right="1000"/>
              <w:spacing w:after="0"/>
              <w:rPr>
                <w:sz w:val="20"/>
                <w:szCs w:val="20"/>
                <w:color w:val="auto"/>
              </w:rPr>
            </w:pPr>
            <w:r>
              <w:rPr>
                <w:rFonts w:ascii="Times New Roman" w:cs="Times New Roman" w:eastAsia="Times New Roman" w:hAnsi="Times New Roman"/>
                <w:sz w:val="22"/>
                <w:szCs w:val="22"/>
                <w:color w:val="auto"/>
                <w:w w:val="97"/>
              </w:rPr>
              <w:t>/s/ Zafar A. Rizvi</w:t>
            </w:r>
          </w:p>
        </w:tc>
        <w:tc>
          <w:tcPr>
            <w:tcW w:w="5020" w:type="dxa"/>
            <w:vAlign w:val="bottom"/>
            <w:gridSpan w:val="3"/>
          </w:tcPr>
          <w:p>
            <w:pPr>
              <w:ind w:left="620"/>
              <w:spacing w:after="0"/>
              <w:rPr>
                <w:sz w:val="20"/>
                <w:szCs w:val="20"/>
                <w:color w:val="auto"/>
              </w:rPr>
            </w:pPr>
            <w:r>
              <w:rPr>
                <w:rFonts w:ascii="Times New Roman" w:cs="Times New Roman" w:eastAsia="Times New Roman" w:hAnsi="Times New Roman"/>
                <w:sz w:val="22"/>
                <w:szCs w:val="22"/>
                <w:color w:val="auto"/>
              </w:rPr>
              <w:t>Chief Executive Officer and President</w:t>
            </w: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6"/>
        </w:trPr>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(Zafar A. Rizvi)</w:t>
            </w: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20" w:type="dxa"/>
            <w:vAlign w:val="bottom"/>
            <w:gridSpan w:val="3"/>
          </w:tcPr>
          <w:p>
            <w:pPr>
              <w:ind w:left="740"/>
              <w:spacing w:after="0"/>
              <w:rPr>
                <w:sz w:val="20"/>
                <w:szCs w:val="20"/>
                <w:color w:val="auto"/>
              </w:rPr>
            </w:pPr>
            <w:r>
              <w:rPr>
                <w:rFonts w:ascii="Times New Roman" w:cs="Times New Roman" w:eastAsia="Times New Roman" w:hAnsi="Times New Roman"/>
                <w:sz w:val="22"/>
                <w:szCs w:val="22"/>
                <w:color w:val="auto"/>
              </w:rPr>
              <w:t>(Chief Executive Officer)</w:t>
            </w:r>
          </w:p>
        </w:tc>
        <w:tc>
          <w:tcPr>
            <w:tcW w:w="3000" w:type="dxa"/>
            <w:vAlign w:val="bottom"/>
            <w:gridSpan w:val="3"/>
          </w:tcPr>
          <w:p>
            <w:pPr>
              <w:jc w:val="center"/>
              <w:ind w:left="752"/>
              <w:spacing w:after="0"/>
              <w:rPr>
                <w:sz w:val="20"/>
                <w:szCs w:val="20"/>
                <w:color w:val="auto"/>
              </w:rPr>
            </w:pPr>
            <w:r>
              <w:rPr>
                <w:rFonts w:ascii="Times New Roman" w:cs="Times New Roman" w:eastAsia="Times New Roman" w:hAnsi="Times New Roman"/>
                <w:sz w:val="22"/>
                <w:szCs w:val="22"/>
                <w:color w:val="auto"/>
                <w:w w:val="97"/>
              </w:rPr>
              <w:t>September 1, 2022</w:t>
            </w:r>
          </w:p>
        </w:tc>
      </w:tr>
      <w:tr>
        <w:trPr>
          <w:trHeight w:val="433"/>
        </w:trPr>
        <w:tc>
          <w:tcPr>
            <w:tcW w:w="3220" w:type="dxa"/>
            <w:vAlign w:val="bottom"/>
            <w:gridSpan w:val="7"/>
          </w:tcPr>
          <w:p>
            <w:pPr>
              <w:jc w:val="center"/>
              <w:ind w:right="260"/>
              <w:spacing w:after="0"/>
              <w:rPr>
                <w:sz w:val="20"/>
                <w:szCs w:val="20"/>
                <w:color w:val="auto"/>
              </w:rPr>
            </w:pPr>
            <w:r>
              <w:rPr>
                <w:rFonts w:ascii="Times New Roman" w:cs="Times New Roman" w:eastAsia="Times New Roman" w:hAnsi="Times New Roman"/>
                <w:sz w:val="22"/>
                <w:szCs w:val="22"/>
                <w:color w:val="auto"/>
                <w:w w:val="98"/>
              </w:rPr>
              <w:t>/s/ Douglas L. Bruggeman</w:t>
            </w:r>
          </w:p>
        </w:tc>
        <w:tc>
          <w:tcPr>
            <w:tcW w:w="5020" w:type="dxa"/>
            <w:vAlign w:val="bottom"/>
            <w:gridSpan w:val="3"/>
          </w:tcPr>
          <w:p>
            <w:pPr>
              <w:ind w:left="620"/>
              <w:spacing w:after="0"/>
              <w:rPr>
                <w:sz w:val="20"/>
                <w:szCs w:val="20"/>
                <w:color w:val="auto"/>
              </w:rPr>
            </w:pPr>
            <w:r>
              <w:rPr>
                <w:rFonts w:ascii="Times New Roman" w:cs="Times New Roman" w:eastAsia="Times New Roman" w:hAnsi="Times New Roman"/>
                <w:sz w:val="22"/>
                <w:szCs w:val="22"/>
                <w:color w:val="auto"/>
              </w:rPr>
              <w:t>Vice President, Finance and Treasurer</w:t>
            </w: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6"/>
        </w:trPr>
        <w:tc>
          <w:tcPr>
            <w:tcW w:w="340" w:type="dxa"/>
            <w:vAlign w:val="bottom"/>
          </w:tcPr>
          <w:p>
            <w:pPr>
              <w:spacing w:after="0"/>
              <w:rPr>
                <w:sz w:val="23"/>
                <w:szCs w:val="23"/>
                <w:color w:val="auto"/>
              </w:rPr>
            </w:pPr>
          </w:p>
        </w:tc>
        <w:tc>
          <w:tcPr>
            <w:tcW w:w="228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22"/>
                <w:szCs w:val="22"/>
                <w:color w:val="auto"/>
                <w:w w:val="97"/>
              </w:rPr>
              <w:t>(Douglas L. Bruggeman)</w:t>
            </w:r>
          </w:p>
        </w:tc>
        <w:tc>
          <w:tcPr>
            <w:tcW w:w="600" w:type="dxa"/>
            <w:vAlign w:val="bottom"/>
          </w:tcPr>
          <w:p>
            <w:pPr>
              <w:spacing w:after="0"/>
              <w:rPr>
                <w:sz w:val="23"/>
                <w:szCs w:val="23"/>
                <w:color w:val="auto"/>
              </w:rPr>
            </w:pPr>
          </w:p>
        </w:tc>
        <w:tc>
          <w:tcPr>
            <w:tcW w:w="5020" w:type="dxa"/>
            <w:vAlign w:val="bottom"/>
            <w:gridSpan w:val="3"/>
          </w:tcPr>
          <w:p>
            <w:pPr>
              <w:ind w:left="740"/>
              <w:spacing w:after="0"/>
              <w:rPr>
                <w:sz w:val="20"/>
                <w:szCs w:val="20"/>
                <w:color w:val="auto"/>
              </w:rPr>
            </w:pPr>
            <w:r>
              <w:rPr>
                <w:rFonts w:ascii="Times New Roman" w:cs="Times New Roman" w:eastAsia="Times New Roman" w:hAnsi="Times New Roman"/>
                <w:sz w:val="22"/>
                <w:szCs w:val="22"/>
                <w:color w:val="auto"/>
              </w:rPr>
              <w:t>(Chief Financial Officer)</w:t>
            </w:r>
          </w:p>
        </w:tc>
        <w:tc>
          <w:tcPr>
            <w:tcW w:w="3000" w:type="dxa"/>
            <w:vAlign w:val="bottom"/>
            <w:gridSpan w:val="3"/>
          </w:tcPr>
          <w:p>
            <w:pPr>
              <w:jc w:val="center"/>
              <w:ind w:left="752"/>
              <w:spacing w:after="0"/>
              <w:rPr>
                <w:sz w:val="20"/>
                <w:szCs w:val="20"/>
                <w:color w:val="auto"/>
              </w:rPr>
            </w:pPr>
            <w:r>
              <w:rPr>
                <w:rFonts w:ascii="Times New Roman" w:cs="Times New Roman" w:eastAsia="Times New Roman" w:hAnsi="Times New Roman"/>
                <w:sz w:val="22"/>
                <w:szCs w:val="22"/>
                <w:color w:val="auto"/>
                <w:w w:val="97"/>
              </w:rPr>
              <w:t>September 1, 2022</w:t>
            </w:r>
          </w:p>
        </w:tc>
      </w:tr>
      <w:tr>
        <w:trPr>
          <w:trHeight w:val="432"/>
        </w:trPr>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40" w:type="dxa"/>
            <w:vAlign w:val="bottom"/>
          </w:tcPr>
          <w:p>
            <w:pPr>
              <w:ind w:left="2300"/>
              <w:spacing w:after="0"/>
              <w:rPr>
                <w:sz w:val="20"/>
                <w:szCs w:val="20"/>
                <w:color w:val="auto"/>
              </w:rPr>
            </w:pPr>
            <w:r>
              <w:rPr>
                <w:rFonts w:ascii="Times New Roman" w:cs="Times New Roman" w:eastAsia="Times New Roman" w:hAnsi="Times New Roman"/>
                <w:sz w:val="22"/>
                <w:szCs w:val="22"/>
                <w:color w:val="auto"/>
                <w:w w:val="99"/>
              </w:rPr>
              <w:t>39</w:t>
            </w: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8"/>
        </w:trPr>
        <w:tc>
          <w:tcPr>
            <w:tcW w:w="34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600" w:type="dxa"/>
            <w:vAlign w:val="bottom"/>
            <w:tcBorders>
              <w:bottom w:val="single" w:sz="8" w:color="C0C0C0"/>
            </w:tcBorders>
          </w:tcPr>
          <w:p>
            <w:pPr>
              <w:spacing w:after="0"/>
              <w:rPr>
                <w:sz w:val="20"/>
                <w:szCs w:val="20"/>
                <w:color w:val="auto"/>
              </w:rPr>
            </w:pPr>
          </w:p>
        </w:tc>
        <w:tc>
          <w:tcPr>
            <w:tcW w:w="25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060" w:type="dxa"/>
            <w:vAlign w:val="bottom"/>
            <w:tcBorders>
              <w:bottom w:val="single" w:sz="8" w:color="C0C0C0"/>
            </w:tcBorders>
          </w:tcPr>
          <w:p>
            <w:pPr>
              <w:spacing w:after="0"/>
              <w:rPr>
                <w:sz w:val="20"/>
                <w:szCs w:val="20"/>
                <w:color w:val="auto"/>
              </w:rPr>
            </w:pPr>
          </w:p>
        </w:tc>
        <w:tc>
          <w:tcPr>
            <w:tcW w:w="172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8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2"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Zafar A. Rizvi, certify that:</w:t>
      </w:r>
    </w:p>
    <w:p>
      <w:pPr>
        <w:spacing w:after="0" w:line="225" w:lineRule="exact"/>
        <w:rPr>
          <w:sz w:val="20"/>
          <w:szCs w:val="20"/>
          <w:color w:val="auto"/>
        </w:rPr>
      </w:pPr>
    </w:p>
    <w:p>
      <w:pPr>
        <w:ind w:left="840" w:hanging="184"/>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REX American Resources Corporation;</w:t>
      </w:r>
    </w:p>
    <w:p>
      <w:pPr>
        <w:spacing w:after="0" w:line="225" w:lineRule="exact"/>
        <w:rPr>
          <w:rFonts w:ascii="Times New Roman" w:cs="Times New Roman" w:eastAsia="Times New Roman" w:hAnsi="Times New Roman"/>
          <w:sz w:val="18"/>
          <w:szCs w:val="18"/>
          <w:color w:val="auto"/>
        </w:rPr>
      </w:pPr>
    </w:p>
    <w:p>
      <w:pPr>
        <w:ind w:right="200" w:firstLine="656"/>
        <w:spacing w:after="0" w:line="266" w:lineRule="auto"/>
        <w:tabs>
          <w:tab w:leader="none" w:pos="8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656"/>
        <w:spacing w:after="0" w:line="282" w:lineRule="auto"/>
        <w:tabs>
          <w:tab w:leader="none" w:pos="8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140" w:firstLine="656"/>
        <w:spacing w:after="0" w:line="266" w:lineRule="auto"/>
        <w:tabs>
          <w:tab w:leader="none" w:pos="8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firstLine="320"/>
        <w:spacing w:after="0" w:line="266" w:lineRule="auto"/>
        <w:tabs>
          <w:tab w:leader="none" w:pos="122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firstLine="320"/>
        <w:spacing w:after="0" w:line="266" w:lineRule="auto"/>
        <w:tabs>
          <w:tab w:leader="none" w:pos="123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320" w:firstLine="320"/>
        <w:spacing w:after="0" w:line="282" w:lineRule="auto"/>
        <w:tabs>
          <w:tab w:leader="none" w:pos="122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80" w:firstLine="320"/>
        <w:spacing w:after="0" w:line="266" w:lineRule="auto"/>
        <w:tabs>
          <w:tab w:leader="none" w:pos="123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ind w:left="-656" w:firstLine="656"/>
        <w:spacing w:after="0" w:line="282" w:lineRule="auto"/>
        <w:tabs>
          <w:tab w:leader="none" w:pos="1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 w:right="440" w:firstLine="320"/>
        <w:spacing w:after="0" w:line="282" w:lineRule="auto"/>
        <w:tabs>
          <w:tab w:leader="none" w:pos="56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120" w:firstLine="320"/>
        <w:spacing w:after="0" w:line="282" w:lineRule="auto"/>
        <w:tabs>
          <w:tab w:leader="none" w:pos="57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Date: September 1, 2022</w:t>
      </w:r>
    </w:p>
    <w:p>
      <w:pPr>
        <w:spacing w:after="0" w:line="225"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/s/ Zafar A. Rizvi</w:t>
      </w:r>
    </w:p>
    <w:p>
      <w:pPr>
        <w:spacing w:after="0" w:line="27"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84"/>
          </w:cols>
          <w:pgMar w:left="976" w:top="405" w:right="439" w:bottom="1440" w:gutter="0" w:footer="0" w:header="0"/>
        </w:sectPr>
      </w:pPr>
    </w:p>
    <w:bookmarkStart w:id="41" w:name="page42"/>
    <w:bookmarkEnd w:id="4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L. Bruggeman, certify that:</w:t>
      </w:r>
    </w:p>
    <w:p>
      <w:pPr>
        <w:spacing w:after="0" w:line="225" w:lineRule="exact"/>
        <w:rPr>
          <w:sz w:val="20"/>
          <w:szCs w:val="20"/>
          <w:color w:val="auto"/>
        </w:rPr>
      </w:pPr>
    </w:p>
    <w:p>
      <w:pPr>
        <w:ind w:left="880" w:hanging="224"/>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REX American Resources Corporation;</w:t>
      </w:r>
    </w:p>
    <w:p>
      <w:pPr>
        <w:spacing w:after="0" w:line="225" w:lineRule="exact"/>
        <w:rPr>
          <w:rFonts w:ascii="Times New Roman" w:cs="Times New Roman" w:eastAsia="Times New Roman" w:hAnsi="Times New Roman"/>
          <w:sz w:val="18"/>
          <w:szCs w:val="18"/>
          <w:color w:val="auto"/>
        </w:rPr>
      </w:pPr>
    </w:p>
    <w:p>
      <w:pPr>
        <w:ind w:right="140" w:firstLine="656"/>
        <w:spacing w:after="0" w:line="266" w:lineRule="auto"/>
        <w:tabs>
          <w:tab w:leader="none" w:pos="8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656"/>
        <w:spacing w:after="0" w:line="282" w:lineRule="auto"/>
        <w:tabs>
          <w:tab w:leader="none" w:pos="8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656"/>
        <w:spacing w:after="0" w:line="266" w:lineRule="auto"/>
        <w:tabs>
          <w:tab w:leader="none" w:pos="8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20" w:firstLine="320"/>
        <w:spacing w:after="0" w:line="266" w:lineRule="auto"/>
        <w:tabs>
          <w:tab w:leader="none" w:pos="122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firstLine="320"/>
        <w:spacing w:after="0" w:line="266" w:lineRule="auto"/>
        <w:tabs>
          <w:tab w:leader="none" w:pos="123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60" w:firstLine="320"/>
        <w:spacing w:after="0" w:line="282" w:lineRule="auto"/>
        <w:tabs>
          <w:tab w:leader="none" w:pos="122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firstLine="320"/>
        <w:spacing w:after="0" w:line="266" w:lineRule="auto"/>
        <w:tabs>
          <w:tab w:leader="none" w:pos="123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1" w:right="399" w:bottom="1440" w:gutter="0" w:footer="0" w:header="0"/>
        </w:sectPr>
      </w:pPr>
    </w:p>
    <w:bookmarkStart w:id="42" w:name="page43"/>
    <w:bookmarkEnd w:id="42"/>
    <w:p>
      <w:pPr>
        <w:ind w:left="-656" w:firstLine="656"/>
        <w:spacing w:after="0" w:line="282" w:lineRule="auto"/>
        <w:tabs>
          <w:tab w:leader="none" w:pos="1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 w:right="100" w:firstLine="644"/>
        <w:spacing w:after="0" w:line="282" w:lineRule="auto"/>
        <w:tabs>
          <w:tab w:leader="none" w:pos="8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380" w:firstLine="644"/>
        <w:spacing w:after="0" w:line="282" w:lineRule="auto"/>
        <w:tabs>
          <w:tab w:leader="none" w:pos="90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Date: September 1, 2022</w:t>
      </w:r>
    </w:p>
    <w:p>
      <w:pPr>
        <w:spacing w:after="0" w:line="225"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27"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84"/>
          </w:cols>
          <w:pgMar w:left="976" w:top="405" w:right="4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REX American Resources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BY SECTION 906 OF THE SARBANES-OXLEY ACT OF 2002</w:t>
      </w:r>
    </w:p>
    <w:p>
      <w:pPr>
        <w:spacing w:after="0" w:line="207" w:lineRule="exact"/>
        <w:rPr>
          <w:sz w:val="20"/>
          <w:szCs w:val="20"/>
          <w:color w:val="auto"/>
        </w:rPr>
      </w:pPr>
    </w:p>
    <w:p>
      <w:pPr>
        <w:ind w:right="360" w:firstLine="648"/>
        <w:spacing w:after="0" w:line="257" w:lineRule="auto"/>
        <w:rPr>
          <w:sz w:val="20"/>
          <w:szCs w:val="20"/>
          <w:color w:val="auto"/>
        </w:rPr>
      </w:pPr>
      <w:r>
        <w:rPr>
          <w:rFonts w:ascii="Times New Roman" w:cs="Times New Roman" w:eastAsia="Times New Roman" w:hAnsi="Times New Roman"/>
          <w:sz w:val="18"/>
          <w:szCs w:val="18"/>
          <w:color w:val="auto"/>
        </w:rPr>
        <w:t>The undersigned officers of REX American Resources Corporation (the “Company”) hereby certify, to their knowledge, that the Company’s Quarterly Report on Form 10-Q for the period ended July 31</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2022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8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Zafar A. Rizvi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bullet"/>
      <w:start w:val="1"/>
    </w:lvl>
  </w:abstractNum>
  <w:abstractNum w:abstractNumId="3">
    <w:nsid w:val="12200854"/>
    <w:multiLevelType w:val="hybridMultilevel"/>
    <w:lvl w:ilvl="0">
      <w:lvlJc w:val="left"/>
      <w:lvlText w:val="(%1)"/>
      <w:numFmt w:val="lowerRoman"/>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2"/>
    </w:lvl>
  </w:abstractNum>
  <w:abstractNum w:abstractNumId="7">
    <w:nsid w:val="1190CDE7"/>
    <w:multiLevelType w:val="hybridMultilevel"/>
    <w:lvl w:ilvl="0">
      <w:lvlJc w:val="left"/>
      <w:lvlText w:val="1"/>
      <w:numFmt w:val="bullet"/>
      <w:start w:val="1"/>
    </w:lvl>
  </w:abstractNum>
  <w:abstractNum w:abstractNumId="8">
    <w:nsid w:val="66EF438D"/>
    <w:multiLevelType w:val="hybridMultilevel"/>
    <w:lvl w:ilvl="0">
      <w:lvlJc w:val="left"/>
      <w:lvlText w:val="1"/>
      <w:numFmt w:val="bullet"/>
      <w:start w:val="1"/>
    </w:lvl>
  </w:abstractNum>
  <w:abstractNum w:abstractNumId="9">
    <w:nsid w:val="140E0F76"/>
    <w:multiLevelType w:val="hybridMultilevel"/>
    <w:lvl w:ilvl="0">
      <w:lvlJc w:val="left"/>
      <w:lvlText w:val="%1"/>
      <w:numFmt w:val="decimal"/>
      <w:start w:val="31"/>
    </w:lvl>
  </w:abstractNum>
  <w:abstractNum w:abstractNumId="10">
    <w:nsid w:val="3352255A"/>
    <w:multiLevelType w:val="hybridMultilevel"/>
    <w:lvl w:ilvl="0">
      <w:lvlJc w:val="left"/>
      <w:lvlText w:val="%1"/>
      <w:numFmt w:val="decimal"/>
      <w:start w:val="10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5"/>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2022-09-01T09:28:50Z</dcterms:created>
  <dcterms:modified xsi:type="dcterms:W3CDTF">2022-09-01T09:28:50Z</dcterms:modified>
</cp:coreProperties>
</file>