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auto"/>
        </w:rPr>
        <w:t>JANUARY 31, 2025</w:t>
      </w:r>
      <w:r>
        <w:rPr>
          <w:rFonts w:ascii="Times New Roman" w:cs="Times New Roman" w:eastAsia="Times New Roman" w:hAnsi="Times New Roman"/>
          <w:sz w:val="18"/>
          <w:szCs w:val="18"/>
          <w:color w:val="auto"/>
        </w:rPr>
        <w:t xml:space="preserve"> COMMISSION FILE NO. 001-09097</w:t>
      </w:r>
    </w:p>
    <w:p>
      <w:pPr>
        <w:spacing w:after="0" w:line="2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8"/>
              </w:rPr>
              <w:t>Delaware</w:t>
            </w:r>
          </w:p>
        </w:tc>
        <w:tc>
          <w:tcPr>
            <w:tcW w:w="46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31-1095548</w:t>
            </w:r>
          </w:p>
        </w:tc>
      </w:tr>
      <w:tr>
        <w:trPr>
          <w:trHeight w:val="216"/>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2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20" w:type="dxa"/>
            <w:vAlign w:val="bottom"/>
          </w:tcPr>
          <w:p>
            <w:pPr>
              <w:spacing w:after="0"/>
              <w:rPr>
                <w:sz w:val="20"/>
                <w:szCs w:val="20"/>
                <w:color w:val="auto"/>
              </w:rPr>
            </w:pPr>
          </w:p>
        </w:tc>
      </w:tr>
      <w:tr>
        <w:trPr>
          <w:trHeight w:val="414"/>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7720 Paragon Road, Dayton, Ohio</w:t>
            </w:r>
          </w:p>
        </w:tc>
        <w:tc>
          <w:tcPr>
            <w:tcW w:w="4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45459</w:t>
            </w:r>
          </w:p>
        </w:tc>
      </w:tr>
      <w:tr>
        <w:trPr>
          <w:trHeight w:val="234"/>
        </w:trPr>
        <w:tc>
          <w:tcPr>
            <w:tcW w:w="48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2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137160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(937) 276-3931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60325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0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860" w:type="dxa"/>
            <w:vAlign w:val="bottom"/>
            <w:gridSpan w:val="2"/>
          </w:tcPr>
          <w:p>
            <w:pPr>
              <w:jc w:val="center"/>
              <w:ind w:right="560"/>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4400" w:type="dxa"/>
            <w:vAlign w:val="bottom"/>
            <w:gridSpan w:val="3"/>
          </w:tcPr>
          <w:p>
            <w:pPr>
              <w:ind w:left="1500"/>
              <w:spacing w:after="0" w:line="194" w:lineRule="exact"/>
              <w:rPr>
                <w:sz w:val="20"/>
                <w:szCs w:val="20"/>
                <w:color w:val="auto"/>
              </w:rPr>
            </w:pPr>
            <w:r>
              <w:rPr>
                <w:rFonts w:ascii="Times New Roman" w:cs="Times New Roman" w:eastAsia="Times New Roman" w:hAnsi="Times New Roman"/>
                <w:sz w:val="18"/>
                <w:szCs w:val="18"/>
                <w:color w:val="auto"/>
              </w:rPr>
              <w:t>Trading Symbol(s)</w:t>
            </w:r>
          </w:p>
        </w:tc>
        <w:tc>
          <w:tcPr>
            <w:tcW w:w="2120" w:type="dxa"/>
            <w:vAlign w:val="bottom"/>
            <w:gridSpan w:val="3"/>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REX</w:t>
            </w:r>
          </w:p>
        </w:tc>
        <w:tc>
          <w:tcPr>
            <w:tcW w:w="21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tabs>
          <w:tab w:leader="none" w:pos="2020" w:val="left"/>
          <w:tab w:leader="none" w:pos="3760" w:val="left"/>
          <w:tab w:leader="none" w:pos="5800" w:val="left"/>
          <w:tab w:leader="none" w:pos="82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indicated by check mark whether the financial statements of the registrant included in the filing reflect the correction of an error to previous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July 31, 2024, the aggregate market value of the registrant’s outstanding Common Stock held by non-affiliates of the registrant (for purposes of this calculation, 2,095,851 shares beneficially owned by directors and executive officers of the registrant were treated as being held by affiliates of the registrant), was $786,096,804.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17,012,776 shares of the registrant’s Common Stock outstanding as of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Portions of REX American Resources Corporation’s definitive Proxy Statement for its Annual Meeting of Shareholders on June 4, 2025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and tariffs, changes in foreign currency exchange rates, the effects of terrorism or acts of war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a particular fiscal year are to REX’s fiscal year ended January 31. We refer to our fiscal year by reference to the year immediately preceding the January 31 fiscal year end date. For example, “fiscal year 2024” means the period February 1, 2024 to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REX was incorporated in Delaware in 1984 as a holding company. Our principal offices are located at 7720 Paragon Road, Dayton, Ohio 45459. Our telephone number is (937) 276-3931.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2006, we started investing in ethanol production facilities. We are currently invested in three ethanol production entities – One Earth Energy, LLC (“One Earth”), NuGen Energy, LLC (“NuGen”), and Big River Resources, LLC (“Big River”). We own a majority interest in One Earth and NuGen. We also own a majority interest in an entity that owned and, until November 18, 2021, operated a refined coal facility; as we have ceased operating the refined coal facility, we began classifying the financial results of the operating segment as discontinued operations. The federal production tax credits received through operation of this facility remain under IRS audit. We now have one reportable segment, ethanol and by-products.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$58.2 million in fiscal 2024 compared to approximately $60.9 million in fiscal 2023. Our ethanol business had decreased profits in fiscal 2024 compared to fiscal 2023 primarily as a result of lower selling prices, offset partially by a decrease in corn and natural gas prices. The two largest drivers of ethanol profitability are corn and ethanol pricing, both of which experienced significant volatility within the year. Chicago Board of Trade corn prices per bushel ranged from a low of $3.62 in August 2024 to a high of $4.97 in January 2025. S&amp;P Global Platts ethanol pricing per gallon ranged from a low of $1.38 in February 2024 to a high of $2.12 in June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 and structure of our ethanol investments are tailored to the specific needs and goals of each project and the local farmer group or investor with whom we partner. We generally participate in the oversight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2025. The following table is a summary of our ethanol entity ownership interests at January 31, 2025:</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760" w:type="dxa"/>
            <w:vAlign w:val="bottom"/>
            <w:tcBorders>
              <w:top w:val="single" w:sz="8" w:color="auto"/>
              <w:left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REX’s Current</w:t>
            </w:r>
          </w:p>
        </w:tc>
        <w:tc>
          <w:tcPr>
            <w:tcW w:w="0" w:type="dxa"/>
            <w:vAlign w:val="bottom"/>
          </w:tcPr>
          <w:p>
            <w:pPr>
              <w:spacing w:after="0"/>
              <w:rPr>
                <w:sz w:val="1"/>
                <w:szCs w:val="1"/>
                <w:color w:val="auto"/>
              </w:rPr>
            </w:pPr>
          </w:p>
        </w:tc>
      </w:tr>
      <w:tr>
        <w:trPr>
          <w:trHeight w:val="238"/>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9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Ownership Interest</w:t>
            </w: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Gibson City, IL</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Marion, SD</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1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 Burlington, IA</w:t>
            </w:r>
          </w:p>
        </w:tc>
        <w:tc>
          <w:tcPr>
            <w:tcW w:w="1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80"/>
        </w:trPr>
        <w:tc>
          <w:tcPr>
            <w:tcW w:w="5760" w:type="dxa"/>
            <w:vAlign w:val="bottom"/>
            <w:tcBorders>
              <w:left w:val="single" w:sz="8" w:color="auto"/>
              <w:right w:val="single" w:sz="8" w:color="auto"/>
            </w:tcBorders>
          </w:tcPr>
          <w:p>
            <w:pPr>
              <w:ind w:left="340"/>
              <w:spacing w:after="0" w:line="181" w:lineRule="exact"/>
              <w:rPr>
                <w:sz w:val="20"/>
                <w:szCs w:val="20"/>
                <w:color w:val="auto"/>
              </w:rPr>
            </w:pPr>
            <w:r>
              <w:rPr>
                <w:rFonts w:ascii="Times New Roman" w:cs="Times New Roman" w:eastAsia="Times New Roman" w:hAnsi="Times New Roman"/>
                <w:sz w:val="18"/>
                <w:szCs w:val="18"/>
                <w:color w:val="auto"/>
              </w:rPr>
              <w:t>Big River Resources W Burlington, LLC</w:t>
            </w:r>
          </w:p>
        </w:tc>
        <w:tc>
          <w:tcPr>
            <w:tcW w:w="190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Galva, IL</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Dyersville, IA</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576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Boyceville, WI</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727 million gallons of ethanol over the twelve-month period ended January 31, 2025. REX’s effective ownership of ethanol gallons shipped for the twelve-month period ended January 31, 2025, was approximately 294 million gallons.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trade negotiations, and tariffs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resulting from the crush spread inherent in the contracts we have executed. However, the market for future ethanol sales contracts generally lags the spot market with respect to ethanol prices.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Earth Sequestration, LLC, a wholly owned subsidiary of One Earth Energy, LLC, is in the developmental stage of a carbon sequestration project near the One Earth Energy ethanol plant. A test well has been drilled to a total depth of approximately 7,100 feet, in which was encountered almost 2,000 feet of Mt. Simon Sandstone,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and we continue to provide information to the EPA during the technical review of our application upon request. We currently expect the EPA to prepare a draft permit by the second quarter of 2025 and make a final permit decision by late in the third quarter of 2025, according to the EPA’s Class VI Permit Tracker Dashboard on their website. We have now secured sufficient subsurface easements for the proposed first injection well to allow for sequestration of all the carbon emissions from the One Earth Energy ethanol plant for a minimum of 15 years. We also need to obtain a county special-use zoning permit for the sequestration site. In 2022, we began construction of a facility to capture, dehydrate, and compress carbon dioxide from the One Earth Energy ethanol plant to a state suitable for sequestration. While we have completed the construction of the capture and compression facility, testing has not yet been completed and we cannot begin construction of the pipeline or sequestration well until further permits and approvals are received.</w:t>
      </w:r>
    </w:p>
    <w:p>
      <w:pPr>
        <w:spacing w:after="0" w:line="18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October 2023, we submitted an application to the Illinois Commerce Commission (“ICC”) for a certificate of authority under the state’s Carbon Dioxide Transportation and Sequestration Act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Act”) to build a short pipeline to deliver carbon dioxide from the One Earth Energy ethanol plant to the proposed sequestration site. We have obtained easements from all of the necessary landowners for the use of their land for the pipeline for the first two wells. On May 26, 2024, however, the Illinois General Assembly passed the Safety and Aid for the Environment in Carbon Capture and Sequestration Act (Senate Bill 1289), which was signed by the governor in July 2024.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Further, the new legislation imposes a moratorium on the issuance of new certificates of authority for the construction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until the earlier of the date federal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 safety standards are finalized by the federal Pipeline and Hazardous Materials Safety Administration (PHMSA) or, subject to certain other conditions, July 1, 2026. As a result of this legislation, the ICC dismissed our application without prejudice, and we will be required to resubmit an application after rules are finalized or subsequent to July 1, 2026.</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made meaningful progress and significant investments in the carbon sequestration project at One Earth Energy, we continue to work with the various government agencies involved to obtain all required permits and approvals, with no assurance of the ultimate success or timing of the project. Also see the discussion under “Trends and Uncertainties” on pages 25 and 26 of certain recently proposed legislation that, if enacted, could impact our carbon sequestration project.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intend to concurrently expand the One Earth ethanol plant. We received a construction permit from the EPA to increase production from 150 million gallons of ethanol per year to 175 million gallons of ethanol per year. Once we achieve that level of production, we intend to apply for another permit to 200 million gallons per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continue to work to identify ways to reduce our carbon intensity (“CI”) score at the One Earth plant with the intention of maximizing tax credits available under the Inflation Reduction Act (“IRA”). The IRA created a new Clean Fuel Production Credit, available for calendar years 2025 – 2027, of approximately $0.02 per ethanol gallon per CI point reduction below a 50 CI score threshold to incentivize further increases in plant efficiencies within the industry. The U.S. Department of the Treasury has not yet issued final rules on qualification for 45Z tax credits.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reviewing certain aspects of the expansion portion of the project and its impact on the previously reported expected project costs. Due to this, along with permitting delays and the impact of inflation, we have increased the budget for both projects to approximately $220 million to $230 million, subject to further refinement as we move forward. We plan to pay for all costs from available cash. As of January 31, 2025, we had spent $55.7 million since inception and were contractually committed to spend an additional $0.9 million toward the carbon sequestration project. If the carbon sequestration project is successful, we believe we will qualify for tax credits under section 45Q of the Internal Revenue Code (“45Q”), based on tons of carbon sequestered, and section 45Z of the Internal Revenue Code (“45Z”), based on gallons of ethanol produced, as outlined in the IRA. However, 45Z credits are only available for calendar years 2025 – 2027 and the regulations have not yet been finalized by the U.S. Department of the Treasury. As of January 31, 2025, we had spent $59.9 million since inception and were contractually committed to spend an additional $8.7 million toward plant capacity expansion and ongoing efforts to reduce our CI scoring.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NuGen Energy, LLC, our majority owned ethanol plant in Marion, South Dakota, signed an agreement to be part of Summit Carbon Solutions’ carbon capture and storage pipeline network, with storage planned to be in North Dakota. Should Summit Carbon Solutions be able to obtain all necessary permits and approvals, the agreement would allow NuGen to share in the economic benefits of tax credits through the sale of the carbon dioxide output of its ethanol production facility for sequestration, as well as reduce its net carbon emissions. In March 2025, South Dakota signed a bill into law that bans the use of eminent domain in connection with carbon dioxide pipelines. This act could make the sequestration project for the NuGen Energy facility more difficult to materialize.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 We have a stock buyback program with an authorization level of an additional 504,219 shares at January 31, 2025. Subsequent to January 31, 2025 the Company repurchased 281,709 shares for approximately $11.9 million through open market transactions. After these repurchases, a total of 222,510 shares remained available to purchase under existing board authorization. On March 25, 2025, the Board of Directors authorized the repurchase from time to time of up to an additional 1,500,000 shares through open market transactions, privately negotiated transactions, or transactions by other means in accordance with applicable securities laws. We typically repurchase our common stock when our stock price is trading at prices we deem to be a discount to the underlying value of our net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Industry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the fermentation process that is used in producing alcohol.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Renewable Fuels Association (“RFA”), the United States ethanol industry produced an estimated 16.1 billion gallons of ethanol in 2024, compared to 15.6 billion gallons in 2023. Approximately 1.9 billion gallons were estimated to have been exported from the United States in 2024. According to the RFA, the United States ethanol industry consists of 198 plants in 24 states with an annual capacity of approximately 18.3 billion gallons of ethanol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Renewable Fuel Standard II (“RFS II”), established in October 2010. Corn-based ethanol is considered a conventional biofuel. There were mandated volumes established as part of the RFS II for conventional and advanced biofuels through</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 year 2022. After 2022, RFS volumes are to be determined by the EPA in coordination with the Secretaries of Energy and Agriculture. The mandated volumes for conventional biofuel were to reach 15.0 billion gallons in 2015 and maintain that level until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in 2023, the EPA restored 250 million gallons previously waived. The EPA was required to propose Renewable Volume Obligations (“RVO”s) for 2026 by November 2024, but the administration, at that time, indicated on July 8, 2024 an intention to propose RVOs for 2026 and beyond in March 2025, and finalize them in December 2025. The new administration has not yet provided an updated timeline for these rules.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RFS II, a small refiner that processes less than 75,000 barrels of oil per day can petition the EPA for a waiver of their requirement to acquire and submit renewable identification numbers (“RINs”).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and has continued that stance in the proposed volumes for 2023-2025. There remain multiple ongoing legal challenges to how the EPA has handled the small refinery waivers. In July 2024, the U.S. Court of Appeals for the District of Columbia Circuit vacated many of the EPA’s 2022 Small Refinery Exemption (“SRE”) denials. The EPA had denied 105 SREs in 2022. As a result of this Court ruling, the EPA has voluntarily moved to rescind the agency’s 2023 denial of 26 SREs. As of March 2025, there were 156 SRE waivers pending.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Ethanol Production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plants in which we have invested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distillers corn oil produced at our facilities. Distillers corn oil is sold to the animal feed market, as well as biodiesel and other chemical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Primary Uses of Ethanol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Blend component. </w:t>
      </w:r>
      <w:r>
        <w:rPr>
          <w:rFonts w:ascii="Times New Roman" w:cs="Times New Roman" w:eastAsia="Times New Roman" w:hAnsi="Times New Roman"/>
          <w:sz w:val="18"/>
          <w:szCs w:val="18"/>
          <w:color w:val="auto"/>
        </w:rPr>
        <w:t>Today, much of the ethanol blending in the U.S. is done to meet the RFS. Most regular gasoline is produced using blendstock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Reid vapor pressure (“RVP”) waiver as E-10 so it could only be sold from September 16 through May 31 for those vehicles in most markets. The EPA issued emergency waivers to allow the sale of E-15 for the summer months in the years 2022 through 2024. Eight Midwest states (Illinois, Iowa, Minnesota, Missouri, Nebraska, Ohio, South Dakota, and Wisconsin) petitioned the EPA to allow year-round sales of E-15 in their states. The EPA has approved this request beginning in 2025 but will consider requests from individual states to delay implementation by one year. To date, Ohio and South Dakota have requested a one-year delay, which the EPA has now approved.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Clean air additive. </w:t>
      </w:r>
      <w:r>
        <w:rPr>
          <w:rFonts w:ascii="Times New Roman" w:cs="Times New Roman" w:eastAsia="Times New Roman" w:hAnsi="Times New Roman"/>
          <w:sz w:val="18"/>
          <w:szCs w:val="18"/>
          <w:color w:val="auto"/>
        </w:rPr>
        <w:t>Ethanol is employed by the refining industry as a fuel oxygenate, which when blended with gasoline, allows engines to combust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completely than gasoline that has not been oxygenated and thus reduce emissions from motor vehicles. Ethanol contains 35% oxygen, which results in more complete combustion of the fuel in the engine cylinder. Oxygenated gasoline is used to help meet certain federal and air emission standards.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Octane enhancer. </w:t>
      </w:r>
      <w:r>
        <w:rPr>
          <w:rFonts w:ascii="Times New Roman" w:cs="Times New Roman" w:eastAsia="Times New Roman" w:hAnsi="Times New Roman"/>
          <w:sz w:val="18"/>
          <w:szCs w:val="18"/>
          <w:color w:val="auto"/>
        </w:rPr>
        <w:t>Ethanol increases the octane rating of gasoline with which it is blended. Octane is a measure of fuel performance. Ethanol is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gasoline suppliers as an octane enhancer both for producing regular grade gasoline from lower octane blending stocks and for upgrading regular gasoline to premium grades.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ethanol industry is highly dependent upon federal and state legislation. See Item 1A. Risk Factors for a discussion of legislation affecting the U.S. ethanol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Refined Coal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federal production tax credits received through ownership of this facility, approximately $58.2 million, remain under IRS audit.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our fiscal year end, our consolidated ethanol entities owned a combined 1,591 acres of land and two facilities that shipped a combined quantity of approximately 290 million gallons of ethanol in fiscal year 2024. We also own our corporate headquarters office building, consisting of approximately 7,500 square feet, located in Dayton,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attraction, retention and development of employees is critical to our success. We accomplish these objectives through a variety of actions, including our competitive compensation policies, discretionary stock award programs, training initiatives, and growth opportunities within our Company. At January 31, 2025, we had 122 employees at our two consolidated ethanol plants and at our corporate headquarters. None of our employees are represented by a labor union. We expect this employment level to remain relatively stable. We consider our relationship with our employees to be good.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offer market competitive compensation and benefit programs for our employees. In addition to competitive base wages, all employees are eligible for an incentive compensation program, a Company matched 401(k) plan, healthcare benefits, and paid time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registered the service marks “REX” and “Farmer’s Energy” with the United States Patent and Trademark Office. We are not aware of any adverse claims concerning our service 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our Ethanol and By-Products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ethanol industry is changing rapidly which could result in unexpected developments that could negatively impact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RFA, the ethanol industry grew from approximately 1.5 billion gallons of domestic annual ethanol production in 1999 to a peak of approximately 16.1 billion gallons in 2018, which it matched in 2024. In 2023 and 2022, the industry produced approximately 15.6 and 15.4 billion gallons, respectively, reflecting industry conditions and reduced demand. Thus, there have been significant changes in the supply and demand of ethanol over a relatively short period of time which could lead to difficulty in maintaining profitable operations at our ethanol plants.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returns on our ethanol investments are highly dependent on commodity prices, especially prices for corn, natural gas, ethanol, distillers grains, distillers corn oil and gasoline, and availability of corn.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margin at our ethanol plants depends principally on the spread between ethanol, distillers grains, distillers corn oil,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returns on ethanol investments are highly sensitive to corn prices.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corn is influenced by weather conditions and other factors affecting crop yields, transportation costs, farmer planting decisions, exports, foreign production, the value of the U.S. dollar, and general domestic and foreign economic, market and regulatory factors, including, but not limited to, the impacts from the Russian-Ukraine conflict as well as other conflicts and political unrest, both foreign and domestic. These factors include government policies and subsidies with respect to agriculture, international trade and tariffs,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 domestic ethanol production could boost the demand for corn and result in increased corn prices. International demand for corn could also result in higher or lower corn prices. Our ethanol plants may also have difficulty, from time to time, in physically sourcing corn on economic terms due to regional supply shortages, transportation issues, delays in farmer marketing decisions or unfavorable local pricing. The corn harvest near our NuGen facility for 2022 was negatively impacted by dry weather and impacted the supply of corn until the 2023 harvest. Such a shortage or price impact could require our ethanol plants to suspend operations which would have a material adverse effect on our consolidated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be ineffective and may expose us to decreased profitability and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attempt to partially offset the impact of volatility of commodity prices, we enter into: i) forward contracts to sell a portion of our ethanol, distillers grains, and distillers corn oil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distillers corn oil contracts. Further, our results may be impacted by a mismatch of gains or losses associated with the positions during a reporting period when the physical commodity purchase or sale has not yet occurred.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export market, governmental regulation and foreign and domestic relations, including, but not limited to, the impacts from the Russian-Ukraine conflict.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selling price of commodities may reduce profit margins at our ethanol plants.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Distillers grains compete with other protein-based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and soybean meal. However, there have been instances when the price increase for distillers grains has lagged increases in corn prices.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of distillers corn oil is primarily driven by the demand from renewable diesel, biodiesel, and to some extent, synthetic aviation fuel markets. Distillers corn oil is marketed as a low-carbon feedstock to be used in these markets which may see expanded demand due to the extended blending tax credit, credits included in the IRA and growing Low Carbon Fuel Standard (“LCFS”) markets, resulting in an impact to distillers corn oil demand. With a lower CI score, distillers corn oil may see improved pricing compared to heating oil and soybean oil, which it has traditionally tracked closely in price. Alternatively, other feedstocks such as cooking oil and animal fats, with lower CI scoring, could be preferred over distillers corn oil. A decrease in the price of or demand for distillers corn oil could negatively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could impact the cost and/or availability of material, labor and other input, which could adversely affect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inflationary impacts on key production inputs, labor costs consisting of both wages and other labor-related costs, services, equipment and other inputs. These inflationary pressures could continue or worsen in future periods and may be beyond our control. We may not be able to pass these increased costs along to our customers through the products we sell. As a result, inflation and higher prices could negatively impact our results of operations.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working on carbon sequestration and plant expansion projects at the One Earth plant. We have experienced permitting delays which could lead to inflationary pricing increases on the construction.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ethanol and distillers grains may decline as a result of trade restrictions, duties or tariffs on ethanol and distillers grains exports from the United States or from unfavorable foreign currency exchange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and other products that we produce are sold into various other countries with trade agreements with the United States. If the United States were to withdraw from or materially modify certain international trade agreements, our business, financial condition and results of operations could be materially adversely affected. In addition, there have been increased threats of tariffs on imports by the current Trump administration. If tariffs lead to retaliatory actions by countries that are markets for our products, it could have material adverse effect on our business,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exported an estimated 1.9 billion gallons of ethanol in 2024, up from approximately 1.4 and 1.3 billion gallons in 2023 and 2022, respectively. 36% of the 2024 exports of ethanol were sold in Canada. Further, in 2024 and 2023, an estimated 12.2 and 10.8 million metric tons, respectively, of distillers grains were exported by the United States, which represented approximately 37% and 34% in 2024 and 2023, respectively, of U.S production. Of the total United States exports of distillers grains in 2024, 21% were exported to Mexico. If producers and exporters of ethanol and distillers grains are subjected to trade restrictions, or additional duties or tariffs are imposed on U.S. exports, particularly by Canada and Mexico, it may make it uneconomical to export these products. The industry has experienced various trade policy disputes, tariffs and investigations in foreign countries that have adversely impacted the international demand for our products. Reduced international demand could lead to further oversupply and reduce pricing.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ethanol production or decreases in demand for ethanol may result in excess production capacity in the ethanol industry, which may cause the price of ethanol, distillers grains and distillers corn oil to decrease.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RFA, domestic ethanol production capacity is approximately 18.3 billion gallons per year. Under RFS II, there were mandated volumes through 2022 for conventional and advanced biofuels. After 2022, RFS volumes are to be determined by the EPA in coordination with the Secretaries of Energy and Agriculture. The EPA has set conventional renewable fuel volumes of 15.0 billion gallons for 2023 through 2025. In addition, for 2023 they restored 250 million gallons previously waived. The implied excess capacity over the EPA proposed volumes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decrease in demand for ethanol may result in excess capacity,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ethanol production produces distillers grains and distillers corn oil as by-products, increased ethanol production will also lead to increased supplies of distillers grains and distillers corn oil. An increase in the supply of distillers grains and distillers corn oil, without corresponding increases in demand, could lead to lower prices or an inability to sell our ethanol plants’ distillers grains and distillers corn oil production. A decline in the price of distillers grains or distillers corn oil could have a material adverse effect on the results of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Consumer demand for gasoline may be impacted by emerging transportation trends, such as hybrid and electric vehicles. Numerous automobile manufacturers have announced plans to phase out internal combustion engine production by the mid-2030s. There also have been pledges to ban the sale of internal combustion engines in countries such as Japan and the United Kingdom by 2035, as well as a statewide ban in California, which several states are imitating. If realized, these bans would accelerate the decline of liquid fuel demand and by extension demand for ethanol, biodiesel and renewable diesel. Recent federal legislation seeks to address the ever-increasing demand for electric vehicle infrastructure. Reduced demand for ethanol could cause our results of operations to be materially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develop our planned carbon sequestration facility near the One Earth Energy ethanol plant.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committed significant time and resources towards a carbon sequestration project near the One Earth Energy ethanol plant. The completion and start-up of this project requires numerous government approvals. If we are not successful in obtaining all these approvals, we may not be able to complete this project and could result in a significant write off of our commitments and investment, which totals approximately $55.7 million as of our most recent year-end. Recent delays in permitting could result in increased costs to complete the project.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successful on this project, our ethanol plant could be at a disadvantage in the industry as our inability to sequester our carbon could result in a higher CI score than our competitors if they are able to sequester their carbon. If we are unable to reduce our CI score, we may not be able to participate in the state and federal clean fuel programs, including federal tax credits outlined in the IRA.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capture and sequestration projects are subject to federal, state, and local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planned carbon sequestration facility near our One Earth Energy ethanol plant, we have signed an agreement to deliver our carbon from the NuGen Energy facility to an outside party. These projects may not result in any realized benefit due to delays or suspended operations. Investments being made in these projects are based on regulatory guidelines, such as modeling for CI reductions, that may be adjusted outside of our control and could deviate from our current strategy. Federal guidelines within the IRA could be changed to no longer include corn-based ethanol from being eligible for certain tax incentives. Delays in the issuance or regulations or the elimination of clean fuel and other incentives at the federal, state or local level could adversely affect our business. New legislation limiting our ability to sequester carbon could be adopted at the federal, state or local levels.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2024, the governor of Illinois signed the Safety and Aid for the Environment in Carbon Capture and Sequestration Act. This legislation imposes additional safety, environmental and other requirements on obtaining permits and approvals for carbon capture and sequestration facilities in Illinois, including CO2 pipelines. Further, the legislation imposes a moratorium on the issuance of new certificates of authority for the construction of CO2 pipelines until the earlier of the date federal CO2 pipeline safety standards are finalized by the federal Pipeline and Hazardous Materials Safety Administration (PHMSA) or, subject to certain other conditions, July 1, 2026. As a result of this legislation, the ICC dismissed our pipeline application without prejudice, and we will be required to resubmit an application after rules are finalized or subsequent to July 1, 2026. The delays and additional requirements imposed as a result of this act could have an adverse impact on the cost and completion of our project.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currently legislation being debated in the Illinois General Assembly that would, if eventually enacted, ban carbon sequestration projects if they overlie, underlie, or pass through as sole-source aquifer, including the aquifer’s upstream areas that are part of the project review area, as identified by the U.S. EPA. The first well for our proposed carbon sequestration project is located inside, but near the edge of, the Mahomet Sole Source Aquifer Project Review Area, within the Sangamon River near Fisher Upstream Area. It is approximately five miles north of the Sangamon River and nearly six miles outside of the mapped boundary of the Mahomet Aquifer, which has been designated as a sole source or principal aquifer by the U.S. EPA. We believe our second and third sequestration well sites are outside the Mahomet Sole Source Aquifer Project Review Area. The outcome of this proposed legislation could impact our ability to complete our project or materially impact the timing and cost of completion.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South Dakota signed a bill into law that bans the use of eminent domain in connection with carbon dioxide pipelines. This act could make the sequestration project for the NuGen Energy facility more difficult to materialize.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partners to operate certain of our ethanol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acquire or develop additional ethanol investments or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ethanol business depends on our ability to identify and develop new ethanol investments. 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ectPr>
          <w:pgSz w:w="11900" w:h="16838" w:orient="portrait"/>
          <w:cols w:equalWidth="0" w:num="1">
            <w:col w:w="11240"/>
          </w:cols>
          <w:pgMar w:left="320" w:top="405" w:right="33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plants may be adversely affected by technological advances and efforts to anticipate and employ such technological advances may prove unsuccessful.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or if,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Reduced demand for ethanol could cause our results of operations to be materially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renewable fuel standard program was authorized under the Energy Policy Act of 2005 and was expanded under the Energy Independence and Security Act of 2007 (EISA). EISA increased the amount of renewable fuel required to be blended into gasoline with RFS II and required a minimum usage of corn-derived renewable fuels of 12.0 billion gallons in 2010, increasing annually by 600 million gallons to 15.0 billion gallons in 2015 through 2022, with no specified volume subsequent to 2022. After 2022, RFS volumes are to be determined by the EPA in coordination with the Secretaries of Energy and Agriculture.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for 2023, the EPA restored 250 million gallons previously waived. The EPA was required to propose RVOs for 2026 by November 2024, but the administration, at that time, indicated on July 8, 2024 an intention to propose RVOs for 2026 and beyond in March 2025, and finalize them in December 2025. The new administration has not yet provided an updated timeline for these rules.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granted 88 total SREs for 2016 through 2018 totaling approximately 4.3 billion gallons. In recent years, the EPA had largely denied small refiner waivers. In July 2024, the U.S. Court of Appeals for the District of Columbia Circuit vacated many of the EPA’s 2022 SRE denials. The EPA had denied 105 SREs in 2022. As a result of this Court ruling, the EPA has voluntarily moved to rescind the agency’s 2023 denial of 26 SREs. During the previous Trump administration, the EPA granted more SREs than under other administrations. These and additional SREs could lead to decreased RIN values and ethanol pricing. As of March 2025, there were 156 SRE petitions pending.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Flexible fuel vehicles (“FFVs”) receive preferential treatment in meeting federally mandated corporate average fuel economy (“CAFE”) standards for automobiles manufactured by car makers. High blend ethanol fuels such as E-85 result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 lower fuel efficiencies. Absent the CAFE preferences, car makers would not likely build flexible-fuel vehicles. In recent years, automobile manufactures have lowered the production of FFVs for the U.S. Any change in CAFE preferences could reduce the growth of E-85 markets and result in lower ethanol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changes in legislation or regulations could materially and adversely affect our results of operations and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inability to generate or obtain RINs could adversely affect our operating results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our ethanol is sold with RINs that are used by customers to comply with RFS II. If our production does not meet EPA requirements for RIN generation, as an efficient producer, in the future, we would have to purchase RINs in the open market or sell our ethanol at substantially lower prices, such as on the export market, to adjust for the absence of RINs. The price of RINs varies based on many factors and cannot be predicted. Failure to obtain sufficient RINs or reliance on invalid RINs could subject us to fines and penalties imposed by the EPA.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negatively impacts consumers by causing prices to increase for dairy, meat and other foodstuffs.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American Recovery and Reinvestment Act of 2009 and EISA provide funding opportunities in support of cellulosic ethanol obtained from biomass sources such as switchgrass and poplar trees.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ethanol business is affected by environmental and other regulations which could impede or prohibit our ability to successfully operate our plants.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ethanol production facilities are subject to extensive air, water discharge,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certain operating capacity, but plant expansion requires us to 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at full capacity or as profitably, which may have a negative impact on our financial performance. We also face the risk of ethanol production above our grandfathered capacity not qualifying for RINs if the plants do not meet certain emission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California Air Resources Board (“CARB”) adopted a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ethanol business may become subject to various environmental and health and safety and property damage claims and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not diversified.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produce and sell ethanol.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purchase commodities.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have a negative impact on our results of operations. We may not be able to obtain a suitable replacement for antibiotics, should this be required, which would also negatively impact the market for distillers grains.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estimated 37% of distillers grains produced in the United States were exported in 2024.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extract distillers corn oil immediately prior to the production of distillers grains. Several studies are attempting to determine whether distillers corn oil extraction may impact the nutritional value of the resulting distillers grains. If it is determined that distillers corn oil extraction adversely impacts the nutritional energy content of distillers grains, the value of the distillers grains we sell may be negatively impacted, which would have a negative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for new ethanol investment opportunities. Many of our competitors are larger and may have greater financial resources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competition from foreign producers.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foreign competition in the ethanol industry. Brazil is presently the second largest producer of ethanol in the world. Brazil’s ethanol production is mostly sugarcane based, and, depending on feedstock prices, may be cheaper to produce than corn-derived ethanol. Under the RFS, certain parties were obligated to meet an advanced biofuel standard. In recent years, sugarcane-based ethanol imported from Brazil has been one of the most economical means for obligated parties to comply with this standard.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hire and retain qualified personnel to operate our ethanol plants and carbon sequestration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attract and retain competent personnel has a significant impact on operating efficiencies and plant profitability. Competition for key plant employees in the ethanol industry can be intense, and there has been an increased demand for workers in the U.S. We may not be able to attract and retain qualified employees. Failure to do so could have a negative impact on our financial results at individual plants.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plants depend on an uninterrupted supply of energy and water to operate. Unforeseen plant shutdowns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While we have taken appropriate precautions to protect our systems, and to date, we have not experienced any material adverse events related to a security breach or cyber-attack,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exposed to potential business disruption from factors outside our control, including natural disasters, severe weather conditions, accidents, pandemic diseases, international disputes, tariffs, and unforeseen operational failures any of which could negatively affect our transportation operations and could adversely affect our cash flows and operating results.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ship much of our products and receive a portion of our corn via rail, which involves risks involving potential regulatory changes that could adversely affect our cash flows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large portion of our ethanol and distillers grains sales are shipped via rail. In addition, we receive some corn via rail. Given the notoriety of recent major train derailments, it is possible that additional regulations could be enacted. Any changes to existing laws and regulations, or new laws and regulations, including voluntary measures taken by the rail industry, could result in higher shipping costs, or new requirements for the design, construction or operation of tank cars that transport hazardous materials, such as ethanol. In addition, any derailments involving our products could result in legal claims being brought against us that could involve significant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There is a risk of a pandemic that could spread into the United States and other countries.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early months of 2020, a new strain of COVID-19 spread into the United States and other countries. 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The above actions led to reduced demand for ethanol. If in the future, this or other viruses surface, it could lead to prolonged production stoppages at our ethanol plants and could result in an adverse material impact on the results of operations and on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Refined Coal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refined coal production company qualified to earn tax credits under IRC Section 45 through November 18, 2021. Although this operation has ceased, it remains subject to various risks and uncertainties. These include, but are not limited to, the risks and uncertainties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the tax credits under IRC Section 45.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claim tax credits under IRC Section 45 depends upon our refined coal operation satisfying certain conditions set forth in IRC Section 45. The IRS could ultimately determine that our refined coal facility and/or its operations did not satisfy the conditions set forth in IRC Section 45. The federal production tax credits received through ownership of this facility, approximately $58.2 million, remain under IRS audit, and if we were to lose these tax credits, it could have a material adverse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refined coal operation and its by-products may result in environmental and product liability claims and environmental compliance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construction and operation of refined coal operations were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risk remains even after production ceases at an operation to the extent the environmental damage can be traced to the types of chemicals or compounds used or operations conducted in connection with the use of refined coal.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used patented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operations, we paid a license fee for patented technology. If our third-party operator is subject to patent infringement claims, we may incur legal fees to defend our position and be subject to additional costs and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REX and 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seeking growth opportunities. Acquisitions and similar transactions involve many risks that could harm our business, which include:</w:t>
      </w:r>
    </w:p>
    <w:p>
      <w:pPr>
        <w:spacing w:after="0" w:line="225"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these transactions may not be fully realized, or take longer to realize than expected,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could result in operating losses or loss of investment,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involve incurring debt to complete these transactions, which could have a material adverse effect on our financial condition,</w:t>
      </w: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invest a significant portion of our excess cash, which could have a material adverse effect on our financial condition,</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carbon sequestration investment may not be successful,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projects to reduce the carbon intensity scores at our ethanol plants may not prove to be successful.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focus on environmental, social and corporate governance matters from investors and regulators may increase our operating costs, bring down the value of our products and assets, and impact our ability to access capital markets.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climate change continues to receive significant attention from the public and the scientific community concerning the impacts from human activity, particularly the impact of greenhouse gas emissions, such as those from carbon dioxide and methane. Added requirements to reduce greenhouse gas emissions may increase our production costs. In addition, legislation promoting alternatives to combustion engine vehicles could reduce the demand for our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change is also thought by some to be the cause for an increase in extreme weather events such as increased intensity of storms, rising sea levels, as well as heavy rains or droughts in areas historically less prone to those events. Any of these events can have a significant impact on our operations or quality of raw materials we purchase, resulting in increased costs. At this time, we are unable to determine the financial impact of any potential adverse weather events caused by climate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past years, certain institutional investors adopted environmental, social and governance guidelines (ESG), and encouraged additional consideration of ESG practices in a manner that could negatively impact our stock price if continued in the future. This may also result in a reduction of available capital funding for potential development projects, further impacting our future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undergoing a federal income examination related to tax credits claimed for the years ended January 31, 2015 through 2022. This could result in material additional income tax payments we would have to make and higher income tax expense in future periods.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u w:val="single" w:color="auto"/>
          <w:color w:val="auto"/>
        </w:rPr>
        <w:t>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effectively manage our business, coordinate the production, distribution and sale of our products and ensure the timely and accurate recording and disclosure of financial information depends significantly on the reliability and capacity of our information technology systems. While we have taken what we believe are appropriate precautions to protect our systems, and to date, we have not experienced any material adverse events related to a security breach or cyber-attack, the failure of these systems to operate effectively, the failure of our personnel to follow established procedures, problems with transitioning to upgraded or replacement systems, or a breach in security of these systems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through a cyber-attack or otherwise could cause delays and/or interruptions in plant operations, product sales, reduced efficiency of our operations and delays in reporting our financial results.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routine and periodic overall risk management system or processes, we have incorporated various processes related to cybersecurity. Key cybersecurity controls, such as access controls, are included within our internal control framework that we assess annually as part of Management’s Annual Report on Internal Control Over Financial Reporting. Additionally, periodic discussions are held with outsourced IT professionals for both corporate and consolidated plant environments to determine if appropriate actions are being taken to address potential risks. Through the assistance of our qualified third-party IT professionals, we have implemented numerous security measures, including, but not limited to, multi-factor authentication on critical systems, password requirements, access controls, and data encryption. Our IT policies and procedures include the expectations of all employees and all third parties who may be given access to our IT systems to maintain the security of our IT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commitment to the overall security of our information technology systems starts at the highest levels of our Company, the Board of Directors and management. Management and the Board of Directors provide oversight surrounding cybersecurity. Management oversees internal controls and the company-wide risk assessment process. The Audit Committee is provided with regular updates by management regarding the control framework and whether any significant deficiencies or material weaknesses exist in the IT control environment. The Audit Committee is also tasked with determining the appropriate response to any submissions through the corporate whistleblower policy. The whistleblower policy includes the opportunity for employees of the Company to notify the Audit Committee confidentially and anonymously of any concerns regarding cybersecurity, in addition to any accounting, internal accounting controls or auditing matters. The audit committee will report any significant matters to the Board of Directors.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we had not identified an indication of a cybersecurity incident that would have a material impact on our business and consolidated financial statements.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about each of our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20" w:type="dxa"/>
            <w:vAlign w:val="bottom"/>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3860" w:type="dxa"/>
            <w:vAlign w:val="bottom"/>
          </w:tcPr>
          <w:p>
            <w:pPr>
              <w:spacing w:after="0"/>
              <w:rPr>
                <w:sz w:val="18"/>
                <w:szCs w:val="18"/>
                <w:color w:val="auto"/>
              </w:rPr>
            </w:pPr>
          </w:p>
        </w:tc>
      </w:tr>
      <w:tr>
        <w:trPr>
          <w:trHeight w:val="4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Rose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tcPr>
          <w:p>
            <w:pPr>
              <w:spacing w:after="0"/>
              <w:rPr>
                <w:sz w:val="24"/>
                <w:szCs w:val="24"/>
                <w:color w:val="auto"/>
              </w:rPr>
            </w:pPr>
          </w:p>
        </w:tc>
        <w:tc>
          <w:tcPr>
            <w:tcW w:w="4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Zafar Rizvi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spacing w:after="0"/>
              <w:rPr>
                <w:sz w:val="18"/>
                <w:szCs w:val="18"/>
                <w:color w:val="auto"/>
              </w:rPr>
            </w:pPr>
          </w:p>
        </w:tc>
        <w:tc>
          <w:tcPr>
            <w:tcW w:w="4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Bruggeman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Pr>
          <w:p>
            <w:pPr>
              <w:spacing w:after="0"/>
              <w:rPr>
                <w:sz w:val="18"/>
                <w:szCs w:val="18"/>
                <w:color w:val="auto"/>
              </w:rPr>
            </w:pPr>
          </w:p>
        </w:tc>
        <w:tc>
          <w:tcPr>
            <w:tcW w:w="4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Vice President-Finance, Chief Financial Officer and Treasurer</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Kress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spacing w:after="0"/>
              <w:rPr>
                <w:sz w:val="18"/>
                <w:szCs w:val="18"/>
                <w:color w:val="auto"/>
              </w:rPr>
            </w:pPr>
          </w:p>
        </w:tc>
        <w:tc>
          <w:tcPr>
            <w:tcW w:w="4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*Also serves as a director.</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6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Stuart Rose </w:t>
      </w:r>
      <w:r>
        <w:rPr>
          <w:rFonts w:ascii="Times New Roman" w:cs="Times New Roman" w:eastAsia="Times New Roman" w:hAnsi="Times New Roman"/>
          <w:sz w:val="18"/>
          <w:szCs w:val="18"/>
          <w:color w:val="auto"/>
        </w:rPr>
        <w:t>was elected our Executive Chairman of the Board in 2015. Mr. Rose had served as our Chairman of the Board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Zafar Rizvi </w:t>
      </w:r>
      <w:r>
        <w:rPr>
          <w:rFonts w:ascii="Times New Roman" w:cs="Times New Roman" w:eastAsia="Times New Roman" w:hAnsi="Times New Roman"/>
          <w:sz w:val="18"/>
          <w:szCs w:val="18"/>
          <w:color w:val="auto"/>
        </w:rPr>
        <w:t>was elected Chief Executive Officer in 2015. Mr. Rizvi has been our President and Chief Operating Officer since 2010,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2006 to 2010, and from 1991 to 2006, Mr. Rizvi was our Vice President – Loss Prevention.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Douglas Bruggeman </w:t>
      </w:r>
      <w:r>
        <w:rPr>
          <w:rFonts w:ascii="Times New Roman" w:cs="Times New Roman" w:eastAsia="Times New Roman" w:hAnsi="Times New Roman"/>
          <w:sz w:val="18"/>
          <w:szCs w:val="18"/>
          <w:color w:val="auto"/>
        </w:rPr>
        <w:t>has been our Vice President–Finance and Treasurer since 1989 and was elected Chief Financial Officer in 2003. From 1987 to 1989,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Bruggeman was our Manager of Corporate Accounting. Mr. Bruggeman was employed with the accounting firm of Ernst &amp; Young prior to joining us in 1986.</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Edward Kress </w:t>
      </w:r>
      <w:r>
        <w:rPr>
          <w:rFonts w:ascii="Times New Roman" w:cs="Times New Roman" w:eastAsia="Times New Roman" w:hAnsi="Times New Roman"/>
          <w:sz w:val="18"/>
          <w:szCs w:val="18"/>
          <w:color w:val="auto"/>
        </w:rPr>
        <w:t>has been our Secretary since 1984. Mr. Kress has been a partner of the law firm of Dinsmore &amp; Shohl LLP (formerly Chernesky, Heyman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Kress P.L.L.), our legal counsel, since 1988. Mr. Kress has practiced law in Dayton, Ohio since 1974.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REX.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27, 2025, there were 62 holders of record of our common stock, including shares held in nominee or street name by brokers which, in turn, hold shares of stock for numerous beneficial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history of paying cash dividends on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Company’s repurchase of its common stock during the period covered by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60" w:type="dxa"/>
            <w:vAlign w:val="bottom"/>
            <w:gridSpan w:val="10"/>
          </w:tcPr>
          <w:p>
            <w:pPr>
              <w:ind w:left="1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r>
      <w:tr>
        <w:trPr>
          <w:trHeight w:val="216"/>
        </w:trPr>
        <w:tc>
          <w:tcPr>
            <w:tcW w:w="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 Shares that May</w:t>
            </w:r>
          </w:p>
        </w:tc>
      </w:tr>
      <w:tr>
        <w:trPr>
          <w:trHeight w:val="216"/>
        </w:trPr>
        <w:tc>
          <w:tcPr>
            <w:tcW w:w="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45"/>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8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r>
      <w:tr>
        <w:trPr>
          <w:trHeight w:val="203"/>
        </w:trPr>
        <w:tc>
          <w:tcPr>
            <w:tcW w:w="2900" w:type="dxa"/>
            <w:vAlign w:val="bottom"/>
            <w:tcBorders>
              <w:top w:val="single" w:sz="8" w:color="E5FFFF"/>
            </w:tcBorders>
            <w:gridSpan w:val="2"/>
            <w:shd w:val="clear" w:color="auto" w:fill="E5FFFF"/>
          </w:tcPr>
          <w:p>
            <w:pPr>
              <w:spacing w:after="0" w:line="203" w:lineRule="exact"/>
              <w:rPr>
                <w:sz w:val="20"/>
                <w:szCs w:val="20"/>
                <w:color w:val="auto"/>
              </w:rPr>
            </w:pPr>
            <w:r>
              <w:rPr>
                <w:rFonts w:ascii="Times New Roman" w:cs="Times New Roman" w:eastAsia="Times New Roman" w:hAnsi="Times New Roman"/>
                <w:sz w:val="18"/>
                <w:szCs w:val="18"/>
                <w:color w:val="auto"/>
              </w:rPr>
              <w:t>November 1-30, 2024</w:t>
            </w:r>
          </w:p>
        </w:tc>
        <w:tc>
          <w:tcPr>
            <w:tcW w:w="17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3"/>
            <w:shd w:val="clear" w:color="auto" w:fill="E5FF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gridSpan w:val="2"/>
            <w:shd w:val="clear" w:color="auto" w:fill="E5FF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E5FF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gridSpan w:val="3"/>
            <w:shd w:val="clear" w:color="auto" w:fill="E5FFFF"/>
          </w:tcPr>
          <w:p>
            <w:pPr>
              <w:jc w:val="right"/>
              <w:ind w:righ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gridSpan w:val="2"/>
            <w:shd w:val="clear" w:color="auto" w:fill="E5FFFF"/>
          </w:tcPr>
          <w:p>
            <w:pPr>
              <w:jc w:val="center"/>
              <w:ind w:left="430"/>
              <w:spacing w:after="0" w:line="203" w:lineRule="exact"/>
              <w:rPr>
                <w:sz w:val="20"/>
                <w:szCs w:val="20"/>
                <w:color w:val="auto"/>
              </w:rPr>
            </w:pPr>
            <w:r>
              <w:rPr>
                <w:rFonts w:ascii="Times New Roman" w:cs="Times New Roman" w:eastAsia="Times New Roman" w:hAnsi="Times New Roman"/>
                <w:sz w:val="18"/>
                <w:szCs w:val="18"/>
                <w:color w:val="auto"/>
                <w:w w:val="99"/>
              </w:rPr>
              <w:t>876,786</w:t>
            </w:r>
          </w:p>
        </w:tc>
        <w:tc>
          <w:tcPr>
            <w:tcW w:w="500" w:type="dxa"/>
            <w:vAlign w:val="bottom"/>
            <w:tcBorders>
              <w:top w:val="single" w:sz="8" w:color="auto"/>
            </w:tcBorders>
            <w:shd w:val="clear" w:color="auto" w:fill="E5FFFF"/>
          </w:tcPr>
          <w:p>
            <w:pPr>
              <w:spacing w:after="0"/>
              <w:rPr>
                <w:sz w:val="17"/>
                <w:szCs w:val="17"/>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1-31, 2024</w:t>
            </w:r>
          </w:p>
        </w:tc>
        <w:tc>
          <w:tcPr>
            <w:tcW w:w="3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134,843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41.01</w:t>
            </w:r>
          </w:p>
        </w:tc>
        <w:tc>
          <w:tcPr>
            <w:tcW w:w="30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134,843</w:t>
            </w:r>
          </w:p>
        </w:tc>
        <w:tc>
          <w:tcPr>
            <w:tcW w:w="300" w:type="dxa"/>
            <w:vAlign w:val="bottom"/>
          </w:tcPr>
          <w:p>
            <w:pPr>
              <w:spacing w:after="0"/>
              <w:rPr>
                <w:sz w:val="18"/>
                <w:szCs w:val="18"/>
                <w:color w:val="auto"/>
              </w:rPr>
            </w:pPr>
          </w:p>
        </w:tc>
        <w:tc>
          <w:tcPr>
            <w:tcW w:w="11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741,943</w:t>
            </w:r>
          </w:p>
        </w:tc>
        <w:tc>
          <w:tcPr>
            <w:tcW w:w="500" w:type="dxa"/>
            <w:vAlign w:val="bottom"/>
          </w:tcPr>
          <w:p>
            <w:pPr>
              <w:spacing w:after="0"/>
              <w:rPr>
                <w:sz w:val="18"/>
                <w:szCs w:val="18"/>
                <w:color w:val="auto"/>
              </w:rPr>
            </w:pPr>
          </w:p>
        </w:tc>
      </w:tr>
      <w:tr>
        <w:trPr>
          <w:trHeight w:val="230"/>
        </w:trPr>
        <w:tc>
          <w:tcPr>
            <w:tcW w:w="29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January 1-31, 2025</w:t>
            </w:r>
          </w:p>
        </w:tc>
        <w:tc>
          <w:tcPr>
            <w:tcW w:w="2100" w:type="dxa"/>
            <w:vAlign w:val="bottom"/>
            <w:gridSpan w:val="2"/>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237,724</w:t>
            </w:r>
          </w:p>
        </w:tc>
        <w:tc>
          <w:tcPr>
            <w:tcW w:w="3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8"/>
              </w:rPr>
              <w:t>42.03</w:t>
            </w:r>
          </w:p>
        </w:tc>
        <w:tc>
          <w:tcPr>
            <w:tcW w:w="3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237,724</w:t>
            </w:r>
          </w:p>
        </w:tc>
        <w:tc>
          <w:tcPr>
            <w:tcW w:w="4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504,219</w:t>
            </w:r>
          </w:p>
        </w:tc>
        <w:tc>
          <w:tcPr>
            <w:tcW w:w="500" w:type="dxa"/>
            <w:vAlign w:val="bottom"/>
            <w:shd w:val="clear" w:color="auto" w:fill="E5FFFF"/>
          </w:tcPr>
          <w:p>
            <w:pPr>
              <w:spacing w:after="0"/>
              <w:rPr>
                <w:sz w:val="19"/>
                <w:szCs w:val="19"/>
                <w:color w:val="auto"/>
              </w:rPr>
            </w:pPr>
          </w:p>
        </w:tc>
      </w:tr>
      <w:tr>
        <w:trPr>
          <w:trHeight w:val="452"/>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372,567</w:t>
            </w:r>
          </w:p>
        </w:tc>
        <w:tc>
          <w:tcPr>
            <w:tcW w:w="3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41.66</w:t>
            </w:r>
          </w:p>
        </w:tc>
        <w:tc>
          <w:tcPr>
            <w:tcW w:w="300" w:type="dxa"/>
            <w:vAlign w:val="bottom"/>
          </w:tcPr>
          <w:p>
            <w:pPr>
              <w:spacing w:after="0"/>
              <w:rPr>
                <w:sz w:val="24"/>
                <w:szCs w:val="24"/>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372,567</w:t>
            </w:r>
          </w:p>
        </w:tc>
        <w:tc>
          <w:tcPr>
            <w:tcW w:w="300" w:type="dxa"/>
            <w:vAlign w:val="bottom"/>
          </w:tcPr>
          <w:p>
            <w:pPr>
              <w:spacing w:after="0"/>
              <w:rPr>
                <w:sz w:val="24"/>
                <w:szCs w:val="24"/>
                <w:color w:val="auto"/>
              </w:rPr>
            </w:pPr>
          </w:p>
        </w:tc>
        <w:tc>
          <w:tcPr>
            <w:tcW w:w="11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504,219</w:t>
            </w:r>
          </w:p>
        </w:tc>
        <w:tc>
          <w:tcPr>
            <w:tcW w:w="5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2021, our Board of Directors increased our share repurchase authorization by an additional 1,500,000 shares (split-adjusted). At January 31, 2025, a total of 504,219 shares remained available to purchase under this authorization. Subsequent to January 31, 2025 the Company repurchased 281,709 shares for approximately $11.9 million through open market transactions. After these repurchases, a total of 222,510 shares remained available to purchase under existing board authorization.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25, 2025, the Board of Directors authorized the repurchase from time to time of up to an additional 1,500,000 shares through open market transactions, privately negotiated transactions, or transactions by other means in accordance with applicable securities laws.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2020 and ended January 31, 2025. The graph assumes an investment of $100 in our Common Stock and each index on January 31, 2020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858000" cy="3505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0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an investor in ethanol production facilities beginning in 2006. We currently have equity investments in three ethanol production entities, two of which are majority ownership interests. We may make additional alternative energy investments in the future and are currently working on a carbon sequestration project near our One Earth Energy location.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higher corn prices or lower ethanol or distillers grains prices, reduce the overall margin structure at the plants. As a result, at times, we may operate our plants at negative or minimally positive operating margins.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$58.2 million in fiscal 2024 compared to approximately $60.9 million in fiscal 2023. Our ethanol business had decreased profits in fiscal 2024 compared to fiscal 2023 primarily as a result of lower selling prices, offset partially by a decrease in corn and natural gas prices. The two largest drivers of ethanol profitability are corn and ethanol pricing, both of which experienced significant volatility within the year. Chicago Board of Trade corn prices per bushel ranged from a low of $3.62 in August 2024 to a high of $4.97 in January 2025. S&amp;P Global Platts ethanol pricing per gallon ranged from a low of $1.38 in February 2024 to a high of $2.12 in June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Earth Sequestration, LLC, a wholly owned subsidiary of One Earth Energy, LLC, is in the developmental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EPA, and we continue to provide information to the EPA during the technical review of our application upon request. We currently expect the EPA to prepare a draft permit by the second quarter of 2025 and make a final permit decision by late in the third quarter of 2025, according to the EPA’s Class VI Permit Tracker Dashboard on their website. We have now secured sufficient subsurface easements for the proposed first injection well to allow for sequestration of all the carbon emissions from the One Earth Energy ethanol plant for a minimum of 15 years. We also need to obtain a county special-use zoning permit for the sequestration site. In 2022, we began construction of a facility to capture, dehydrate, and compress carbon dioxide from the One Earth Energy ethanol plant to a state suitable for sequestration. While we have completed the construction of the capture and compression facility, testing has not yet been completed and we cannot begin construction of the pipeline or sequestration well until further permits and approvals are received.</w:t>
      </w:r>
    </w:p>
    <w:p>
      <w:pPr>
        <w:spacing w:after="0" w:line="6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October 2023, we submitted an application to the ICC for a certificate of authority under the state’s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Act to build a short pipeline to deliver carbon dioxide from the One Earth Energy ethanol plant to the proposed sequestration site. We have obtained easements from all of the necessary landowners for the use of their land for the pipeline for the first two wells. On May 26, 2024, however, the Illinois General Assembly passed the Safety and Aid for the Environment in Carbon Capture and Sequestration Act (Senate Bill 1289), which was signed by the governor in July 2024.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Further, the new legislation imposes a moratorium on the issuance of new certificates of authority for the construction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until the earlier of the date federal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 safety standards are finalized by the federal Pipeline and Hazardous Materials Safety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Administration (PHMSA) or, subject to certain other conditions, July 1, 2026. As a result of this legislation, the ICC dismissed our application without prejudice, and we will be required to resubmit an application after rules are finalized or subsequent to July 1,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made meaningful progress and significant investments in the carbon sequestration project at One Earth Energy, we continue to work with the various government agencies involved to obtain all required permits and approvals, with no assurance of the ultimate success or timing of the project. Also see the discussion under “Trends and Uncertainties” on pages 25 and 26 of certain recently proposed legislation that, if enacted, could impact our carbon sequestration project.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intend to concurrently expand the One Earth ethanol plant. We received a construction permit from the EPA to increase production from 150 million gallons of ethanol per year to 175 million gallons of ethanol per year. Once we achieve that level of production, we intend to apply for another permit to 200 million gallons per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continue to work to identify ways to reduce our CI score at the One Earth plant with the intention of maximizing tax credits available under the IRA. The IRA created a new Clean Fuel Production Credit, available for calendar years 2025 – 2027, which established a credit of approximately $0.02 per ethanol gallon per CI point reduction below a 50 CI score threshold to incentivize further increases in plant efficiencies within the industry. The U.S. Department of the Treasury has not yet issued final rules on qualification for 45Z tax credits.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reviewing certain aspects of the expansion portion of the project and its impact on the previously reported expected project costs. Due to this, along with permitting delays and the impact of inflation, we have increased the budget for both projects to approximately $220 million to $230 million, subject to further refinement as we move forward. We plan to pay for all costs from available cash. As of January 31, 2025, we had spent $55.7 million since inception and were contractually committed to spend an additional $0.9 million toward the carbon sequestration project. If the carbon sequestration project is successful, we believe we will qualify for tax credits under section 45Q of the Internal Revenue Code (“45Q”), based on tons of carbon sequestered, and section 45Z of the Internal Revenue Code (“45Z”), based on gallons of ethanol produced, as outlined in the IRA. However, 45Z credits are only available for calendar years 2025 – 2027 and the regulations have not yet been finalized by the U.S. Department of the Treasury. As of January 31, 2025, we had spent $59.9 million since inception and were contractually committed to spend an additional $8.7 million toward plant capacity expansion and ongoing efforts to reduce our CI scoring.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NuGen Energy, LLC,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carbon dioxide output of its ethanol production facility for sequestration, as well as reduce its net carbon emissions. In March 2025, South Dakota signed a bill into law that bans the use of eminent domain in connection with carbon dioxide pipelines. This act could make the sequestration project for the NuGen Energy facility more difficult to materialize.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2006, we entered the ethanol industry by investing in several entities organized to construct and subsequently operate ethanol producing plants. We are invested in three entities as of January 31, 2025, utilizing equity investments.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is a summary of our ethanol entity ownership interests at January 31, 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760" w:type="dxa"/>
            <w:vAlign w:val="bottom"/>
            <w:tcBorders>
              <w:top w:val="single" w:sz="8" w:color="auto"/>
              <w:left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REX’s Current</w:t>
            </w:r>
          </w:p>
        </w:tc>
        <w:tc>
          <w:tcPr>
            <w:tcW w:w="0" w:type="dxa"/>
            <w:vAlign w:val="bottom"/>
          </w:tcPr>
          <w:p>
            <w:pPr>
              <w:spacing w:after="0"/>
              <w:rPr>
                <w:sz w:val="1"/>
                <w:szCs w:val="1"/>
                <w:color w:val="auto"/>
              </w:rPr>
            </w:pPr>
          </w:p>
        </w:tc>
      </w:tr>
      <w:tr>
        <w:trPr>
          <w:trHeight w:val="238"/>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9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Ownership Interest</w:t>
            </w: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Gibson City, IL</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0"/>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Marion, SD</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1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 Burlington, IA</w:t>
            </w:r>
          </w:p>
        </w:tc>
        <w:tc>
          <w:tcPr>
            <w:tcW w:w="1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80"/>
        </w:trPr>
        <w:tc>
          <w:tcPr>
            <w:tcW w:w="5760" w:type="dxa"/>
            <w:vAlign w:val="bottom"/>
            <w:tcBorders>
              <w:left w:val="single" w:sz="8" w:color="auto"/>
              <w:right w:val="single" w:sz="8" w:color="auto"/>
            </w:tcBorders>
          </w:tcPr>
          <w:p>
            <w:pPr>
              <w:ind w:left="340"/>
              <w:spacing w:after="0" w:line="181" w:lineRule="exact"/>
              <w:rPr>
                <w:sz w:val="20"/>
                <w:szCs w:val="20"/>
                <w:color w:val="auto"/>
              </w:rPr>
            </w:pPr>
            <w:r>
              <w:rPr>
                <w:rFonts w:ascii="Times New Roman" w:cs="Times New Roman" w:eastAsia="Times New Roman" w:hAnsi="Times New Roman"/>
                <w:sz w:val="18"/>
                <w:szCs w:val="18"/>
                <w:color w:val="auto"/>
              </w:rPr>
              <w:t>Big River Resources W Burlington, LLC</w:t>
            </w:r>
          </w:p>
        </w:tc>
        <w:tc>
          <w:tcPr>
            <w:tcW w:w="190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Galva, IL</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Dyersville, IA</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576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Boyceville, WI</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727 million gallons of ethanol over the twelve-month period ended January 31, 2025. REX’s effective ownership of ethanol gallons shipped for the twelve-month period ended January 31, 2025, was approximately 294 million gallons.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Renewable Fuel Standard II (“RFS II”), established in October 2010, has been an important factor in the growth of ethanol usage in the United States. In recent years,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and has continued that stance in the proposed volumes for 2023-2025. There remain multiple ongoing legal challenges on how the EPA has handled the small refinery waivers. In July 2024, the U.S. Court of Appeals for the District of Columbia Circuit vacated many of the EPA’s 2022 SRE denials. The EPA had denied 105 SREs in 2022. As a result of this Court ruling, the EPA has voluntarily moved to rescind the agency’s 2023 denial of 26 SREs. During the previous Trump administration, the EPA granted more SREs than under other administrations. These and additional SREs could lead to decreased RIN values and ethanol pricing. As of March 2025, there were 156 SRE petitions pending.</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EPA has issued Renewable Fuel Standard volume obligations for calendar years 2023-2025. The volumes from conventional biofuels (which includes corn-based ethanol) were 15.0 billion gallons for 2023 through 2025. Additionally, in 2023, the EPA restored 250 million gallons previously waived. The EPA was required to propose RVOs for 2026 by November 2024, but the administration, at that time, indicated on July 8, 2024 an intention to propose RVOs for 2026 and beyond in March 2025, and finalize them in December 2025. The new administration has not yet provided an updated timeline for these rules.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IRA may impact our business by creating a new Clean Fuel Production Credit, section 45Z of the Internal Revenue Code (“45Z”), available for years 2025 to 2027. The Clean Fuel Production Credit is established at approximately $0.02 per ethanol gallon per CI point reduction below a 50 CI score threshold. The Act also raises the carbon capture tax credit from $50 per metric ton to $85 per metric ton, under section 45Q of the Internal Revenue Code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our renewable corn oil values, as this co-product serves as a low-carbon feedstock for renewable diesel and biomass based diesel production;</w:t>
      </w:r>
    </w:p>
    <w:p>
      <w:pPr>
        <w:spacing w:after="0" w:line="3" w:lineRule="exact"/>
        <w:rPr>
          <w:sz w:val="20"/>
          <w:szCs w:val="20"/>
          <w:color w:val="auto"/>
        </w:rPr>
      </w:pPr>
    </w:p>
    <w:p>
      <w:pPr>
        <w:ind w:left="5540" w:right="1360" w:hanging="5532"/>
        <w:spacing w:after="0" w:line="48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new tax credit for synthetic aviation fuel; (c) funding biofuel refueling infrastructure which could impact the availability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higher level ethanol blended fuel; and (d) provision for production and purchase credits for electric vehicles, which could impact the amount of internal combustion engines on the road over time, and ultimately reduce the demand for gasoline, diesel fuels and ethanol.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IRA was enacted under the Biden Administration and there has been discussion of amending or reducing the benefits under the current administration.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2025, the U.S. Department of Agriculture (“USDA”) released an interim rule on 45Z tax credits titled “Technical Guidelines for Climate-Smart Agriculture Crops Used as Biofuel Feedstocks”, or “CSA rule”. The rule helps to connect climate-smart agriculture (“CSA”) practices used in the production of feedstock crops with reductions in the carbon footprint of the biofuels industries, laying out how practices that reduce greenhouse gas emissions or sequester carbon will be scored, on a county-by-county basis. These practices to create climate-smart crops include practices such as no-till planting, cover crops and nitrogen inhibitors, which may be measured individually under the interim rule, rather than requiring bundling of practices. The interim rule is subject to a 60-day comment period with final resolution to be determined by the Trump administration.</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Illinois Senate Bill 3968, which was introduced into the Illinois Senate and assigned to the Executive Senate Committee, would, if eventually enacted, ban carbon sequestration projects if they overlie, underlie, or pass through a sole-source aquifer, including the aquifer’s upstream areas that are part of the aquifer’s project review area, as identified by the U.S. EPA. On November 14, 2024, the Executive Senate Committee paused the bill until the Committee can gather additional information. Under the new legislative session in 2025, Illinois House Bill 3614 and Illinois Senate Bill 1723 were introduced using similar language as Senate Bill 3968 and were passed out of their respective subcommittees on March 18, 2025 and March 20, 2025, respectively. The first well for our proposed carbon sequestration project is located inside, but near the edge of, the Mahomet Sole Source Aquifer Project Review Area, within the Sangamon River near Fisher Upstream Area. It is approximately five miles north of the Sangamon River and nearly six miles outside of the mapped boundary of the Mahomet Aquifer, which has been designated as a sole source or principal aquifer by the U.S. EPA. We believe our second and third sequestration well sites are outside the Mahomet Sole Source Aquifer Project Review Area. The Company is closely monitoring this bill and any impact it would have on our sequestration project.</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see “One Earth Energy, LLC Carbon Sequestration and Plant Expansion” above for a discussion of certain other uncertainties associated with our Illinois carbon sequestration and plant expansion projects.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The federal production tax credits received through ownership of this facility, approximately $58.2 million, remain under IRS audit.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United States exported an estimated 1.9 billion gallons of ethanol in 2024, up from approximately 1.4 and 1.3 billion gallons in 2023 and 2022, respectively. In 2024 and 2023, an estimated 12.2 and 10.8 million metric tons, respectively, of distillers grains were exported from the United States, which represented approximately 37% and 34% in 2024 and 2023, respectively, of U.S production. There has been much discussion around proposed and recently enacted tariffs by the United States and counter-tariffs and other trade restriction involving countries which have been large purchasers from our industry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these trends and uncertainties continue, our future operating results could be impacted.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from operations (amounts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760" w:type="dxa"/>
            <w:vAlign w:val="bottom"/>
            <w:gridSpan w:val="4"/>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w w:val="97"/>
              </w:rPr>
              <w:t>$ 642,491</w:t>
            </w:r>
          </w:p>
        </w:tc>
        <w:tc>
          <w:tcPr>
            <w:tcW w:w="160" w:type="dxa"/>
            <w:vAlign w:val="bottom"/>
            <w:shd w:val="clear" w:color="auto" w:fill="E5FFFF"/>
          </w:tcPr>
          <w:p>
            <w:pPr>
              <w:spacing w:after="0"/>
              <w:rPr>
                <w:sz w:val="18"/>
                <w:szCs w:val="18"/>
                <w:color w:val="auto"/>
              </w:rPr>
            </w:pP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833,384</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551,014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735,166</w:t>
            </w:r>
          </w:p>
        </w:tc>
        <w:tc>
          <w:tcPr>
            <w:tcW w:w="0" w:type="dxa"/>
            <w:vAlign w:val="bottom"/>
          </w:tcPr>
          <w:p>
            <w:pPr>
              <w:spacing w:after="0"/>
              <w:rPr>
                <w:sz w:val="1"/>
                <w:szCs w:val="1"/>
                <w:color w:val="auto"/>
              </w:rPr>
            </w:pPr>
          </w:p>
        </w:tc>
      </w:tr>
      <w:tr>
        <w:trPr>
          <w:trHeight w:val="223"/>
        </w:trPr>
        <w:tc>
          <w:tcPr>
            <w:tcW w:w="76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98,218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92,872</w:t>
            </w:r>
          </w:p>
        </w:tc>
        <w:tc>
          <w:tcPr>
            <w:tcW w:w="16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98,484</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gridSpan w:val="4"/>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w w:val="99"/>
              </w:rPr>
              <w:t>$(21,386)</w:t>
            </w:r>
          </w:p>
        </w:tc>
        <w:tc>
          <w:tcPr>
            <w:tcW w:w="160" w:type="dxa"/>
            <w:vAlign w:val="bottom"/>
            <w:shd w:val="clear" w:color="auto" w:fill="E5FFFF"/>
          </w:tcPr>
          <w:p>
            <w:pPr>
              <w:spacing w:after="0"/>
              <w:rPr>
                <w:sz w:val="18"/>
                <w:szCs w:val="18"/>
                <w:color w:val="auto"/>
              </w:rPr>
            </w:pPr>
          </w:p>
        </w:tc>
        <w:tc>
          <w:tcPr>
            <w:tcW w:w="100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$(22,560)</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58,167</w:t>
            </w:r>
          </w:p>
        </w:tc>
        <w:tc>
          <w:tcPr>
            <w:tcW w:w="16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60,935</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net sales and revenue by product group (amounts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920" w:type="dxa"/>
            <w:vAlign w:val="bottom"/>
            <w:gridSpan w:val="5"/>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$ 496,411</w:t>
            </w: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635,420</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101,432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139,173</w:t>
            </w: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38,999</w:t>
            </w: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52,935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5,584</w:t>
            </w: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Derivative financial instruments gains (losses)</w:t>
            </w: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76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642,491</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gridSpan w:val="2"/>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833,384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selected operating data:</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gallon of ethanol (net of hedging)</w:t>
            </w: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Gallons of ethanol sold (in millions)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dried distillers grains</w:t>
            </w: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160.37</w:t>
            </w: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213.55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Tons of dried distillers grains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632,469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651,698</w:t>
            </w: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pound of distillers corn oil</w:t>
            </w: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Pounds of distillers corn oil sold (in millions)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7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modified distillers grains</w:t>
            </w: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69.93</w:t>
            </w:r>
          </w:p>
        </w:tc>
        <w:tc>
          <w:tcPr>
            <w:tcW w:w="3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Tons of modified distillers grains sold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70,013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53,936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2024 and 2023 (Consolidated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Revenue </w:t>
      </w:r>
      <w:r>
        <w:rPr>
          <w:rFonts w:ascii="Times New Roman" w:cs="Times New Roman" w:eastAsia="Times New Roman" w:hAnsi="Times New Roman"/>
          <w:sz w:val="18"/>
          <w:szCs w:val="18"/>
          <w:color w:val="auto"/>
        </w:rPr>
        <w:t>– Ethanol and distillers corn oil quantities were relatively consistent between periods. We did have a change in mix between dried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modified distillers grains. However, weaker selling prices across all our products in fiscal year 2024 led to the overall decrease in sales of 23% between the two fiscal years.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Ethanol sales decreased in fiscal year 2024 compared to fiscal year 2023 as the average price per gallon decreased 23%, offset partially by an increase in gallons sold of 1%. The decrease in ethanol selling price resulted primarily from a decrease in corn prices as the market price for ethanol often correlates with the market price for corn.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Dried distillers grains sales decreased in fiscal year 2024 compared to fiscal year 2023, decreasing 27% year-over-year, as the average price per ton sold decreased 25%, as well as a decrease in tons sold of 3%. The decrease in the dried distillers grains selling price resulted primarily from a decrease in corn prices as dried distillers grains prices often correlate with corn pricing. The decrease in tons sold was offset by an increase in tons of modified distillers grains sold. Our consolidated plants’ decisions to sell modified or dried distillers grains fluctuate from time to time based upon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Distillers corn oil sales decreased 26% in fiscal year 2024 compared to fiscal year 2023 as the average selling price per pound decreased approximately 27%. The decrease in the distillers corn oil selling price resulted primarily from fluctuations in demand in the renewable biodiesel market which often reflects the price of soybean oil. The price decrease was partially offset by a negligible increase in pounds sold.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Modified distillers grains sales decreased 12% in fiscal year 2024 compared to fiscal year 2023 as the average selling price per ton sold decreased 32%, offset partially by an increase in tons sold of 30%. The decrease in the modified distillers grains selling price resulted primarily from a decrease in corn prices as distillers grain pricing often correlates with corn pricing. Our consolidated plants’ decisions to sell modified or dried distillers grains fluctuate from time to time based upon market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Gains on derivative financial instruments were $0.4 million in fiscal year 2024, compared to insignificant losses in fiscal year 2023. Gains and losses are related to our risk management activities and were impacted by the price movements and types of contracts entered into at our consolidated ethanol plants.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for fiscal year 2024 decreased approximately $184.2 million, or 25%, over fiscal year 2023. Corn accounted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76% ($416.4 million) of our cost of sales during fiscal year 2024 compared to approximately 80% ($584.2 million) during fiscal year 2023. The cost of corn decreased due to lower corn prices, primarily attributable to two successive strong harvest seasons. These decreases were offset by a slight increase in the amount of corn used between the two periods. Natural gas accounted for approximately 4% ($22.6 million) of our cost of sales during fiscal year 2024 compared to approximately 4% ($31.7 million) during fiscal year 2023. The natural gas cost decrease was primarily attributable to a decrease in the cost per unit.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As a result of the foregoing, gross profit for fiscal year 2024 decreased approximately $6.7 million, or 7%, from fiscal year 2023.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in fiscal year 2024 was approximately 14.2% of net sales and revenue, versus approximately 11.8% of net sales and revenue in fiscal year 2023.</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attempt to match quantities of ethanol, distillers grains and distillers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 SG&amp;A expenses for fiscal year 2024 were approximately $27.1 million (4.2% of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 decrease of approximately $2.2 million or 8% from approximately $29.4 million (3.5% of net sales and revenue) for fiscal year 2023. The dollar decrease compared to the prior year is primarily related to restricted stock awards granted to certain executive officers in the second quarter of 2023, which were expensed upon issuance.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 Income of Unconsolidated Ethanol Affiliates </w:t>
      </w:r>
      <w:r>
        <w:rPr>
          <w:rFonts w:ascii="Times New Roman" w:cs="Times New Roman" w:eastAsia="Times New Roman" w:hAnsi="Times New Roman"/>
          <w:sz w:val="18"/>
          <w:szCs w:val="18"/>
          <w:color w:val="auto"/>
        </w:rPr>
        <w:t>– During fiscal years 2024 and 2023, we recognized income of approximately $9.4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$13.9 million, respectively, from our equity investment in Big River Resources, LLC (“Big River”). Our investment in Big River, which has interests in four ethanol production plants, represents an effective ownership of approximately 39.0 million gallons of ethanol shipped in the trailing twelve months ended January 31,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Income </w:t>
      </w:r>
      <w:r>
        <w:rPr>
          <w:rFonts w:ascii="Times New Roman" w:cs="Times New Roman" w:eastAsia="Times New Roman" w:hAnsi="Times New Roman"/>
          <w:sz w:val="18"/>
          <w:szCs w:val="18"/>
          <w:color w:val="auto"/>
        </w:rPr>
        <w:t>– Interest and other income for fiscal year 2024 was approximately $19.2 million compared to approximately $15.7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2023. One of our consolidated ethanol plants recognized $1.2 million in patronage income from an investment in a cooperative in the first quarter of 2024. During 2023, the Company’s consolidated plants received COVID-19 relief grants from the USDA of approximately $1.0 million that did not repeat in 2024. The remaining change between the periods related to increased interest income in the current year based upon higher balances and yields on our excess cash and short-term investments in fiscal year 2024, compared to 2023.</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Before Income Taxes </w:t>
      </w:r>
      <w:r>
        <w:rPr>
          <w:rFonts w:ascii="Times New Roman" w:cs="Times New Roman" w:eastAsia="Times New Roman" w:hAnsi="Times New Roman"/>
          <w:sz w:val="18"/>
          <w:szCs w:val="18"/>
          <w:color w:val="auto"/>
        </w:rPr>
        <w:t>– As a result of the foregoing, income before income taxes was approximately $92.9 million for fiscal year 2024 versus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$98.5 million for fiscal year 2023.</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 was a provision of 23.0% and 22.9% for fiscal years 2024 and 2023, respectively. Our effective rate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impacted by the noncontrolling interests of the companies we consolidate, as we recognize 100% of their income or loss before income taxes and noncontrolling interests and only provide an income tax provision or benefit for our portion of the subsidiaries’ income or loss. During both fiscal years 2024 and 2023, our effective tax rate increased 2.2% (approximately $2.1 million and $2.2 million, respectively), as a result of section 162M compensation limitations.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 As a result of the foregoing, net income was approximately $71.5 million for fiscal year 2024 versus approximately $75.9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Interests </w:t>
      </w:r>
      <w:r>
        <w:rPr>
          <w:rFonts w:ascii="Times New Roman" w:cs="Times New Roman" w:eastAsia="Times New Roman" w:hAnsi="Times New Roman"/>
          <w:sz w:val="18"/>
          <w:szCs w:val="18"/>
          <w:color w:val="auto"/>
        </w:rPr>
        <w:t>– Income attributable to noncontrolling interests was approximately $13.3 million and $15.0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years 2024 and 2023, respectively, and represents the other owners’ share of the income of NuGen and One Earth.</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REX Common Shareholders </w:t>
      </w:r>
      <w:r>
        <w:rPr>
          <w:rFonts w:ascii="Times New Roman" w:cs="Times New Roman" w:eastAsia="Times New Roman" w:hAnsi="Times New Roman"/>
          <w:sz w:val="18"/>
          <w:szCs w:val="18"/>
          <w:color w:val="auto"/>
        </w:rPr>
        <w:t>– As a result of the foregoing, net income attributable to REX common shareholders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$58.2 million for fiscal year 2024 compared to $60.9 million for fiscal year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2023 and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Annual Report on Form 10-K for the year ended January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sources of cash have been income from operations. Our primary uses of cash have been capital expenditures at our ethanol plants and carbon sequestration project, stock repurchases, and payments to noncontrolling interests holders.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 Our cash and short-term investments balance of approximately $359.1 million at January 31, 2025 included approximately $322.7 million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One Earth and NuGen. We expect that One Earth and NuGen will use a majority of their cash for working capital needs, capital expenditures, general corporate purposes and dividend payments. We expect our equity method investee to limit the payment of dividends based upon their working capital and capital expenditure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investigating various uses of our excess cash. One Earth Energy is currently working on carbon sequestration and plant expansion projects and is expected to have related capital expenditure needs. Our current budget for both projects is approximately $220 million to $230 million, subject to further refinement as we move forward. We plan to pay for all costs from available cash As of January 31, 2025, we have spent $55.7 million since inception and are contractually committed to spend an additional $0.9 million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toward the carbon sequestration project. As of January 31, 2025, we have spent $59.9 million since inception and are contractually committed to spend an additional $8.7 million toward plant capacity expansion and CI scoring reduction efforts. For all projects, we plan to spend $50 million to $70 million during fiscal year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stock buyback program in place. During fiscal year 2024, we purchased 372,567 shares for $15.5 million. Subsequent to January 31, 2025 the Company repurchased 281,709 shares for approximately $11.9 million through open market transactions. After these repurchases, a total of 222,510 shares remained available to purchase under existing board authorization. On March 25, 2025, the Board of Directors authorized the repurchase from time to time of up to an additional 1,500,000 shares through open market transactions, privately negotiated transactions, or transactions by other means in accordance with applicable securities laws. We typically repurchase our common stock when our stock price is trading at prices we deem to be a discount to the underlying value of our net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ethanol and/or energy related, carbon sequestration related, agricultural or other ventures we believe fit our investment criteria.</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Net cash provided by operating activities was approximately $64.2 million for fiscal year 2024 compared to approximately $128.0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year 2023. During fiscal year 2024, operating cash flow was provided by net income of approximately $71.5 million and adjustments of approximately $20.2 million, which consisted of depreciation, amortization of operating lease right-of-use assets, stock-based compensation expense, income from equity method investments, interest income from investments, loss on sale of property and equipment, and the deferred income tax provision. Big River paid dividends to REX of approximately $8.5 million during fiscal year 2024. Accounts receivable decreased approximately $1.7 million, primarily a result of the timing of products shipped and the receipt of customer payments at One Earth and NuGen. Inventory increased approximately $4.7 million, primarily a result of an increase in the bushels of corn in stock at January 31, 2025 compared to January 31, 2024, offset by a decrease in the amount of ethanol finished goods in storage over the same period. Prepaid expenses and other assets increased approximately $14.9 million, primarily related to prepayments on certain executed utility equipment agreements, offset by a decrease in property taxes refundable due to the timing of payments, and decreases in spare parts inventory. Accounts payable decreased approximately $14.7 million, primarily a result of the timing of inventory receipts and vendor payments. Refundable income taxes increased $0.7 million as a result of the timing of estimated tax payments. Long-term taxes payable increased $4.3 million to reflect the amount the recorded uncertain tax positions exceeded the remaining unused credits they are recorded against. Accrued expenses and other liabilities decreased approximately $7.0 million, which was primarily a result of operating lease payments of approximately $5.5 million and a decrease in accrued payroll and related items of $0.4 million, and other decreases of approximately $1.1 million.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$128.0 million for fiscal year 2023. During fiscal year 2023, operating cash flow was provided by net income of approximately $75.9 million and adjustments of approximately $20.2 million, which consisted of depreciation, amortization of operating lease right-of-use assets, stock-based compensation expense, income from equity method investments, interest income from investments, loss on sale of property and equipment, and the deferred income tax provision. Big River paid dividends to REX of approximately $12.0 million during fiscal year 2023. Accounts receivable decreased approximately $2.0 million, primarily a result of the timing of products shipped and the receipt of customer payments at One Earth and NuGen. Inventory decreased approximately $21.8 million, primarily a result of smaller quantities of work-in-process materials and lower per unit costs at January 31, 2024. Prepaid expenses and other assets increased approximately $4.5 million, primarily a result of increases in spare parts of approximately $1.3 million, prepaid insurance of $0.3 million, refundable property taxes of approximately $0.5 million, hedging of $1.8 million and the fair values of forward purchase contracts of approximately $0.5 million. Accounts payable increased approximately $7.9 million, primarily a result of the timing of inventory receipts and vendor payments. Refundable income taxes increased $2.8 million as a result of the timing of estimated tax payments. Accrued expenses and other liabilities decreased approximately $4.5 million, which was primarily a result of operating lease payments of approximately $5.4 million and a decrease in accrued income taxes of $2.0 million, partially offset by an increase in accrued payroll of approximately $3.8 million.</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Net cash used in investing activities was approximately $72.9 million during fiscal year 2024 compared to net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activities of approximately $28.4 million during fiscal year 2023. Capital expenditures in fiscal year 2024 totaled approximately $71.3 million, primarily for various capital projects at our consolidated ethanol plants, including $34.9 million for expansion and CI scoring reduction projects at the One Earth</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facility and $26.6 million for the carbon sequestration project. During fiscal year 2024, we used cash of approximately $372.3 million for purchases of short-term investments and received cash of approximately $370.4 million related to the maturity of these types of these investments.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$28.4 million during fiscal year 2023. Capital expenditures in fiscal year 2023 totaled approximately $37.7 million, primarily for various capital projects at our consolidated ethanol plants, including $14.4 million for expansion and CI scoring reduction projects at the One Earth facility and $15.5 million for the carbon sequestration project. During fiscal year 2023, we used cash of approximately $448.5 million for purchases of short-term investments and received cash of approximately $514.6 million related to the maturity of these types of these investments.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Net cash used in financing activities was approximately $18.5 million during fiscal year 2024 compared to approximately $4.3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fiscal year 2023. During fiscal year 2024, we purchased approximately 373,000 shares of our common stock for approximately $15.5 million in open market transactions, of which $0.8 million was paid for subsequent to January 31, 2025. During fiscal year 2024, we used cash of approximately $3.7 million to purchases shares from and pay dividends to noncontrolling members of the consolidated entities.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approximately $4.3 million during fiscal year 2023, which was used to pay dividends to noncontrolling members of the consolidated entities.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forecasts, which are primarily based on estimates of plant production, prices of ethanol, corn, distillers grains, distillers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One Earth’s and NuGen’s liquidity, and ability to fund future operating and capital requirements could be negatively impacted.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2.7% of our net assets are restricted pursuant to the terms of various loan agreements of Big River, our equity method investee, as of January 31, 2025. None of our consolidated subsidiaries or the parent company have restricted net assets related to loan agreements at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under which we are legally obligated to make future cash payments. These agreements include obligations related to purchasing inventory and natural gas and leasing rail cars. Aggregate minimum lease payments under the operating lease agreements for future fiscal years as of January 31, 2025 totaled $24.0 million, with $6.8 million payable in the next twelve months. Refer to Note 7 – Leases included in the notes to consolidated financial statements for more information. As of January 31, 2025, we had contracted future purchases of corn, natural gas, natural gas pipeline lease and other contracts for capital expenditures at our ethanol plants valued at approximately $131.7 million, with $124.4 million payable in the next twelve months. Refer to Note 11 – Commitments included in the notes to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Fluctuations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directly affected by the supply and demand for ethanol. The demand for ethanol typically increases during the spring and summer months and during holiday travel.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We recognize sales of ethanol, distillers grains and distillers corn oil when obligations under the terms of the respective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 We review our long-lived assets, consisting of property and equipment, equity method investments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 2024, 2023, or 2022.</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recorded based on the current year amounts payable or refundable, as well as the consequences of events that give rise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related to recent accounting pronouncements, see Note 1 of the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a portion of our risk with respect to the volatility of commodity prices inherent in the ethanol industry by using forward purchase and sale contracts. At January 31, 2025, One Earth and NuGen combined had purchase commitments for approximately 24.4 million bushels of corn, the principal raw material for their ethanol plants. At January 31, 2025, One Earth and NuGen combined had purchase commitments for approximately 0.8 million MmBtu of natural gas. At January 31, 2025, One Earth and NuGen had combined sales commitments for approximately 51.2 million gallons of ethanol, 88,000 tons of distillers grains and 12.0 million pounds of distillers corn oil. Not all of our commitments are at fixed price. Our exposures to market risk, which include the impact of our risk management activities, are based on the estimated effect on pre-tax income starting on January 31, 2025,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Estimated Total</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Decrease in Pre-tax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Volume for the</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Income From a 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vMerge w:val="continue"/>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Next 12 Months</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Unit of Measure</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Adverse Change in Price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160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295,000</w:t>
            </w:r>
          </w:p>
        </w:tc>
        <w:tc>
          <w:tcPr>
            <w:tcW w:w="164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Gallons</w:t>
            </w:r>
          </w:p>
        </w:tc>
        <w:tc>
          <w:tcPr>
            <w:tcW w:w="1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48,926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102,100</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Bushels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42,270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Grains</w:t>
            </w:r>
          </w:p>
        </w:tc>
        <w:tc>
          <w:tcPr>
            <w:tcW w:w="160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720</w:t>
            </w:r>
          </w:p>
        </w:tc>
        <w:tc>
          <w:tcPr>
            <w:tcW w:w="164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Tons</w:t>
            </w:r>
          </w:p>
        </w:tc>
        <w:tc>
          <w:tcPr>
            <w:tcW w:w="1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8,799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88,500</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Pounds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60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7,400</w:t>
            </w:r>
          </w:p>
        </w:tc>
        <w:tc>
          <w:tcPr>
            <w:tcW w:w="164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MmBtu</w:t>
            </w:r>
          </w:p>
        </w:tc>
        <w:tc>
          <w:tcPr>
            <w:tcW w:w="1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430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31" w:lineRule="exact"/>
        <w:rPr>
          <w:sz w:val="20"/>
          <w:szCs w:val="20"/>
          <w:color w:val="auto"/>
        </w:rPr>
      </w:pPr>
    </w:p>
    <w:p>
      <w:pPr>
        <w:ind w:right="5500"/>
        <w:spacing w:after="0" w:line="255"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BALANCE SHEETS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E5FFFF"/>
            </w:tcBorders>
            <w:vMerge w:val="continue"/>
          </w:tcPr>
          <w:p>
            <w:pPr>
              <w:spacing w:after="0"/>
              <w:rPr>
                <w:sz w:val="19"/>
                <w:szCs w:val="19"/>
                <w:color w:val="auto"/>
              </w:rPr>
            </w:pPr>
          </w:p>
        </w:tc>
        <w:tc>
          <w:tcPr>
            <w:tcW w:w="360" w:type="dxa"/>
            <w:vAlign w:val="bottom"/>
            <w:tcBorders>
              <w:bottom w:val="single" w:sz="8" w:color="E5FF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E5FF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196,255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162,820</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155,260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23,185</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31,676</w:t>
            </w:r>
          </w:p>
        </w:tc>
        <w:tc>
          <w:tcPr>
            <w:tcW w:w="1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26,984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17,112</w:t>
            </w:r>
          </w:p>
        </w:tc>
        <w:tc>
          <w:tcPr>
            <w:tcW w:w="1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17,549</w:t>
            </w:r>
          </w:p>
        </w:tc>
        <w:tc>
          <w:tcPr>
            <w:tcW w:w="0" w:type="dxa"/>
            <w:vAlign w:val="bottom"/>
          </w:tcPr>
          <w:p>
            <w:pPr>
              <w:spacing w:after="0"/>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435,819</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210,683</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155,587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20,985</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16,721</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35,800</w:t>
            </w: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c>
          <w:tcPr>
            <w:tcW w:w="0" w:type="dxa"/>
            <w:vAlign w:val="bottom"/>
          </w:tcPr>
          <w:p>
            <w:pPr>
              <w:spacing w:after="0"/>
              <w:rPr>
                <w:sz w:val="1"/>
                <w:szCs w:val="1"/>
                <w:color w:val="auto"/>
              </w:rPr>
            </w:pPr>
          </w:p>
        </w:tc>
      </w:tr>
      <w:tr>
        <w:trPr>
          <w:trHeight w:val="223"/>
        </w:trPr>
        <w:tc>
          <w:tcPr>
            <w:tcW w:w="87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$1.4 million and $5.8 million with related parties at January 31, 2025 and 2024,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28,337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42,073</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16,360</w:t>
            </w: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taxes payable</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11 and 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Common stock, at $0.01 par value; 45,000 shares authorized; 29,853 shares issued</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759,928</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701,761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12,659 and 12,350 shares, respectively</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(206,360)</w:t>
            </w: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(191,911)</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560,337</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513,918</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83,265</w:t>
            </w:r>
          </w:p>
        </w:tc>
        <w:tc>
          <w:tcPr>
            <w:tcW w:w="1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73,679</w:t>
            </w:r>
          </w:p>
        </w:tc>
        <w:tc>
          <w:tcPr>
            <w:tcW w:w="0" w:type="dxa"/>
            <w:vAlign w:val="bottom"/>
          </w:tcPr>
          <w:p>
            <w:pPr>
              <w:spacing w:after="0"/>
              <w:rPr>
                <w:sz w:val="1"/>
                <w:szCs w:val="1"/>
                <w:color w:val="auto"/>
              </w:rPr>
            </w:pPr>
          </w:p>
        </w:tc>
      </w:tr>
      <w:tr>
        <w:trPr>
          <w:trHeight w:val="210"/>
        </w:trPr>
        <w:tc>
          <w:tcPr>
            <w:tcW w:w="87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643,602</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587,597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4" w:name="page35"/>
    <w:bookmarkEnd w:id="34"/>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(Amounts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642,491</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833,384</w:t>
            </w:r>
          </w:p>
        </w:tc>
        <w:tc>
          <w:tcPr>
            <w:tcW w:w="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855,000</w:t>
            </w:r>
          </w:p>
        </w:tc>
        <w:tc>
          <w:tcPr>
            <w:tcW w:w="0" w:type="dxa"/>
            <w:vAlign w:val="bottom"/>
          </w:tcPr>
          <w:p>
            <w:pPr>
              <w:spacing w:after="0"/>
              <w:rPr>
                <w:sz w:val="1"/>
                <w:szCs w:val="1"/>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$99.2 million, $117.0 million and $135.4 million with related parties for the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ended January 31, 2025, 2024 and 2023, respectively)</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551,014</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735,166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806,398</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91,477</w:t>
            </w: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98,218</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48,602</w:t>
            </w:r>
          </w:p>
        </w:tc>
        <w:tc>
          <w:tcPr>
            <w:tcW w:w="0" w:type="dxa"/>
            <w:vAlign w:val="bottom"/>
          </w:tcPr>
          <w:p>
            <w:pPr>
              <w:spacing w:after="0"/>
              <w:rPr>
                <w:sz w:val="1"/>
                <w:szCs w:val="1"/>
                <w:color w:val="auto"/>
              </w:rPr>
            </w:pPr>
          </w:p>
        </w:tc>
      </w:tr>
      <w:tr>
        <w:trPr>
          <w:trHeight w:val="432"/>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(27,148)</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(29,379)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r>
        <w:trPr>
          <w:trHeight w:val="216"/>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9,385</w:t>
            </w: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13,921</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19,158</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12,959</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92,872</w:t>
            </w: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98,484</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47,479</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(21,386)</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71,486</w:t>
            </w:r>
          </w:p>
        </w:tc>
        <w:tc>
          <w:tcPr>
            <w:tcW w:w="1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75,924</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37,937</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(13,319)</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(10,240)</w:t>
            </w:r>
          </w:p>
        </w:tc>
        <w:tc>
          <w:tcPr>
            <w:tcW w:w="0" w:type="dxa"/>
            <w:vAlign w:val="bottom"/>
          </w:tcPr>
          <w:p>
            <w:pPr>
              <w:spacing w:after="0"/>
              <w:rPr>
                <w:sz w:val="1"/>
                <w:szCs w:val="1"/>
                <w:color w:val="auto"/>
              </w:rPr>
            </w:pPr>
          </w:p>
        </w:tc>
      </w:tr>
      <w:tr>
        <w:trPr>
          <w:trHeight w:val="223"/>
        </w:trPr>
        <w:tc>
          <w:tcPr>
            <w:tcW w:w="7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58,167</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17,636</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17,482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75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17,636</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75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35" w:name="page36"/>
    <w:bookmarkEnd w:id="35"/>
    <w:p>
      <w:pPr>
        <w:ind w:right="5500"/>
        <w:spacing w:after="0" w:line="262"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SHAREHOLDERS’ EQUITY FOR THE YEARS ENDED JANUARY 31, 2025, 2024 AND 2023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20" w:type="dxa"/>
            <w:vAlign w:val="bottom"/>
          </w:tcPr>
          <w:p>
            <w:pPr>
              <w:spacing w:after="0"/>
              <w:rPr>
                <w:sz w:val="23"/>
                <w:szCs w:val="23"/>
                <w:color w:val="auto"/>
              </w:rPr>
            </w:pPr>
          </w:p>
        </w:tc>
        <w:tc>
          <w:tcPr>
            <w:tcW w:w="198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Common Shares</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080" w:type="dxa"/>
            <w:vAlign w:val="bottom"/>
            <w:gridSpan w:val="4"/>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Issued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5"/>
          </w:tcPr>
          <w:p>
            <w:pPr>
              <w:jc w:val="right"/>
              <w:ind w:right="740"/>
              <w:spacing w:after="0" w:line="151" w:lineRule="exact"/>
              <w:rPr>
                <w:sz w:val="20"/>
                <w:szCs w:val="20"/>
                <w:color w:val="auto"/>
              </w:rPr>
            </w:pPr>
            <w:r>
              <w:rPr>
                <w:rFonts w:ascii="Times New Roman" w:cs="Times New Roman" w:eastAsia="Times New Roman" w:hAnsi="Times New Roman"/>
                <w:sz w:val="14"/>
                <w:szCs w:val="14"/>
                <w:color w:val="auto"/>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4"/>
                <w:szCs w:val="14"/>
                <w:color w:val="auto"/>
              </w:rPr>
            </w:pPr>
          </w:p>
        </w:tc>
        <w:tc>
          <w:tcPr>
            <w:tcW w:w="7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4"/>
                <w:szCs w:val="14"/>
                <w:color w:val="auto"/>
              </w:rPr>
            </w:pPr>
          </w:p>
        </w:tc>
        <w:tc>
          <w:tcPr>
            <w:tcW w:w="12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Noncontrolling</w:t>
            </w:r>
          </w:p>
        </w:tc>
        <w:tc>
          <w:tcPr>
            <w:tcW w:w="100" w:type="dxa"/>
            <w:vAlign w:val="bottom"/>
          </w:tcPr>
          <w:p>
            <w:pPr>
              <w:spacing w:after="0"/>
              <w:rPr>
                <w:sz w:val="14"/>
                <w:szCs w:val="14"/>
                <w:color w:val="auto"/>
              </w:rPr>
            </w:pPr>
          </w:p>
        </w:tc>
        <w:tc>
          <w:tcPr>
            <w:tcW w:w="66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84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3"/>
                <w:szCs w:val="13"/>
                <w:color w:val="auto"/>
              </w:rPr>
            </w:pPr>
          </w:p>
        </w:tc>
        <w:tc>
          <w:tcPr>
            <w:tcW w:w="6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2022</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(181,114)</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611,607</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487,562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27,697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10,240</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6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5FFFF"/>
          </w:tcPr>
          <w:p>
            <w:pPr>
              <w:spacing w:after="0"/>
              <w:rPr>
                <w:sz w:val="16"/>
                <w:szCs w:val="16"/>
                <w:color w:val="auto"/>
              </w:rPr>
            </w:pP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405</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shd w:val="clear" w:color="auto" w:fill="E5FFFF"/>
          </w:tcPr>
          <w:p>
            <w:pPr>
              <w:spacing w:after="0"/>
              <w:rPr>
                <w:sz w:val="16"/>
                <w:szCs w:val="16"/>
                <w:color w:val="auto"/>
              </w:rPr>
            </w:pPr>
          </w:p>
        </w:tc>
        <w:tc>
          <w:tcPr>
            <w:tcW w:w="7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1,522</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0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6"/>
                <w:szCs w:val="16"/>
                <w:color w:val="auto"/>
              </w:rPr>
            </w:pP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3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12,463</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(193,721)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640,826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63,012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76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60,935</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14,989</w:t>
            </w: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75,924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w:t>
            </w: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1,810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3,191</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8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(191,911)</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80" w:type="dxa"/>
            <w:vAlign w:val="bottom"/>
            <w:shd w:val="clear" w:color="auto" w:fill="E5FFFF"/>
          </w:tcPr>
          <w:p>
            <w:pPr>
              <w:spacing w:after="0"/>
              <w:rPr>
                <w:sz w:val="12"/>
                <w:szCs w:val="12"/>
                <w:color w:val="auto"/>
              </w:rPr>
            </w:pPr>
          </w:p>
        </w:tc>
        <w:tc>
          <w:tcPr>
            <w:tcW w:w="76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701,761</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587,597</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58,167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13,319</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(15,522)</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6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5FFFF"/>
          </w:tcPr>
          <w:p>
            <w:pPr>
              <w:spacing w:after="0"/>
              <w:rPr>
                <w:sz w:val="16"/>
                <w:szCs w:val="16"/>
                <w:color w:val="auto"/>
              </w:rPr>
            </w:pP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(64)</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1,073</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shd w:val="clear" w:color="auto" w:fill="E5FFFF"/>
          </w:tcPr>
          <w:p>
            <w:pPr>
              <w:spacing w:after="0"/>
              <w:rPr>
                <w:sz w:val="16"/>
                <w:szCs w:val="16"/>
                <w:color w:val="auto"/>
              </w:rPr>
            </w:pPr>
          </w:p>
        </w:tc>
        <w:tc>
          <w:tcPr>
            <w:tcW w:w="7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0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6"/>
                <w:szCs w:val="16"/>
                <w:color w:val="auto"/>
              </w:rPr>
            </w:pP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January 31, 2025</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20" w:type="dxa"/>
            <w:vAlign w:val="bottom"/>
            <w:vMerge w:val="continue"/>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12,659</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(206,360)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6,470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759,928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83,265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6" w:name="page37"/>
    <w:bookmarkEnd w:id="36"/>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10"/>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r>
      <w:tr>
        <w:trPr>
          <w:trHeight w:val="223"/>
        </w:trPr>
        <w:tc>
          <w:tcPr>
            <w:tcW w:w="7440" w:type="dxa"/>
            <w:vAlign w:val="bottom"/>
            <w:tcBorders>
              <w:bottom w:val="single" w:sz="8" w:color="E5FFFF"/>
            </w:tcBorders>
          </w:tcPr>
          <w:p>
            <w:pPr>
              <w:spacing w:after="0"/>
              <w:rPr>
                <w:sz w:val="19"/>
                <w:szCs w:val="19"/>
                <w:color w:val="auto"/>
              </w:rPr>
            </w:pPr>
          </w:p>
        </w:tc>
        <w:tc>
          <w:tcPr>
            <w:tcW w:w="380" w:type="dxa"/>
            <w:vAlign w:val="bottom"/>
            <w:tcBorders>
              <w:bottom w:val="single" w:sz="8" w:color="E5FF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E5FFFF"/>
            </w:tcBorders>
          </w:tcPr>
          <w:p>
            <w:pPr>
              <w:spacing w:after="0"/>
              <w:rPr>
                <w:sz w:val="19"/>
                <w:szCs w:val="19"/>
                <w:color w:val="auto"/>
              </w:rPr>
            </w:pPr>
          </w:p>
        </w:tc>
        <w:tc>
          <w:tcPr>
            <w:tcW w:w="200" w:type="dxa"/>
            <w:vAlign w:val="bottom"/>
            <w:tcBorders>
              <w:top w:val="single" w:sz="8" w:color="auto"/>
              <w:bottom w:val="single" w:sz="8" w:color="E5FF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E5FFFF"/>
            </w:tcBorders>
          </w:tcPr>
          <w:p>
            <w:pPr>
              <w:spacing w:after="0"/>
              <w:rPr>
                <w:sz w:val="19"/>
                <w:szCs w:val="19"/>
                <w:color w:val="auto"/>
              </w:rPr>
            </w:pPr>
          </w:p>
        </w:tc>
        <w:tc>
          <w:tcPr>
            <w:tcW w:w="200" w:type="dxa"/>
            <w:vAlign w:val="bottom"/>
            <w:tcBorders>
              <w:top w:val="single" w:sz="8" w:color="auto"/>
              <w:bottom w:val="single" w:sz="8" w:color="E5FF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5FFFF"/>
            </w:tcBorders>
          </w:tcPr>
          <w:p>
            <w:pPr>
              <w:spacing w:after="0"/>
              <w:rPr>
                <w:sz w:val="19"/>
                <w:szCs w:val="19"/>
                <w:color w:val="auto"/>
              </w:rPr>
            </w:pPr>
          </w:p>
        </w:tc>
      </w:tr>
      <w:tr>
        <w:trPr>
          <w:trHeight w:val="209"/>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37,937</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17,976</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5,788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5,245</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5,328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(9,385)</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(13,921)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(8,745)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6,266</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(5,576)</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(10,008)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(2,839)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real estate and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9,802</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14,627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(6,519)</w:t>
            </w:r>
          </w:p>
        </w:tc>
      </w:tr>
      <w:tr>
        <w:trPr>
          <w:trHeight w:val="216"/>
        </w:trPr>
        <w:tc>
          <w:tcPr>
            <w:tcW w:w="744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(14,946)</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(4,495)</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refundable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w:t>
            </w:r>
          </w:p>
        </w:tc>
      </w:tr>
      <w:tr>
        <w:trPr>
          <w:trHeight w:val="216"/>
        </w:trPr>
        <w:tc>
          <w:tcPr>
            <w:tcW w:w="744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(14,724)</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7,868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(6,988)</w:t>
            </w:r>
          </w:p>
        </w:tc>
        <w:tc>
          <w:tcPr>
            <w:tcW w:w="2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(4,517)</w:t>
            </w:r>
          </w:p>
        </w:tc>
        <w:tc>
          <w:tcPr>
            <w:tcW w:w="2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r>
      <w:tr>
        <w:trPr>
          <w:trHeight w:val="209"/>
        </w:trPr>
        <w:tc>
          <w:tcPr>
            <w:tcW w:w="744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64,192</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127,970</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54,795</w:t>
            </w:r>
          </w:p>
        </w:tc>
        <w:tc>
          <w:tcPr>
            <w:tcW w:w="100" w:type="dxa"/>
            <w:vAlign w:val="bottom"/>
            <w:tcBorders>
              <w:bottom w:val="single" w:sz="8" w:color="E5FFFF"/>
            </w:tcBorders>
          </w:tcPr>
          <w:p>
            <w:pPr>
              <w:spacing w:after="0"/>
              <w:rPr>
                <w:sz w:val="18"/>
                <w:szCs w:val="18"/>
                <w:color w:val="auto"/>
              </w:rPr>
            </w:pPr>
          </w:p>
        </w:tc>
      </w:tr>
      <w:tr>
        <w:trPr>
          <w:trHeight w:val="210"/>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(15,578)</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(372,341)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(448,507)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(399,350)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370,357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514,586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216,735</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09"/>
        </w:trPr>
        <w:tc>
          <w:tcPr>
            <w:tcW w:w="744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(198,507)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Treasury stock acquired</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(14,741)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(13,012)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minority investor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3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(4,344)</w:t>
            </w:r>
          </w:p>
        </w:tc>
        <w:tc>
          <w:tcPr>
            <w:tcW w:w="2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(3,997)</w:t>
            </w:r>
          </w:p>
        </w:tc>
      </w:tr>
      <w:tr>
        <w:trPr>
          <w:trHeight w:val="209"/>
        </w:trPr>
        <w:tc>
          <w:tcPr>
            <w:tcW w:w="744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00" w:type="dxa"/>
            <w:vAlign w:val="bottom"/>
            <w:tcBorders>
              <w:bottom w:val="single" w:sz="8" w:color="E5FFFF"/>
            </w:tcBorders>
          </w:tcPr>
          <w:p>
            <w:pPr>
              <w:spacing w:after="0"/>
              <w:rPr>
                <w:sz w:val="18"/>
                <w:szCs w:val="18"/>
                <w:color w:val="auto"/>
              </w:rPr>
            </w:pPr>
          </w:p>
        </w:tc>
      </w:tr>
      <w:tr>
        <w:trPr>
          <w:trHeight w:val="210"/>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152,050</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(160,721)</w:t>
            </w:r>
          </w:p>
        </w:tc>
        <w:tc>
          <w:tcPr>
            <w:tcW w:w="100" w:type="dxa"/>
            <w:vAlign w:val="bottom"/>
            <w:shd w:val="clear" w:color="auto" w:fill="E5FF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223,397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232,068</w:t>
            </w: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196,255</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223,397</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71,347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activities-Stock awards issued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financing activities-Stock awards accrued</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activities-Stock repurchases accrued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investing activities-Accrued capital expenditures</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activities-Capital additions transferred from prepaid expenses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13,734</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9,321</w:t>
            </w: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total cash, cash equivalents and restricted cash:</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196,255</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223,397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69,612</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196,255</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223,397</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71,347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jc w:val="both"/>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The accompanying financial statements consolidate the operating results and financial position of REX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Corporation and its wholly-owned and majority owned subsidiaries (the “Company” or “REX”). All intercompany balances and transactions have been eliminated. As of January 31, 2025, the Company owns interests in three operating entities – two are consolidated and one is accounted for using the equity method of accounting. The results of One Earth are included on a delayed basis of one month lag as One Earth has a fiscal year end of December 31. The other consolidated entity has the same fiscal year end as the parent company.</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21, 2022, the Board of Directors of the Company adopted resolutions declaring a three-for-one split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70"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Fiscal Year – </w:t>
      </w:r>
      <w:r>
        <w:rPr>
          <w:rFonts w:ascii="Times New Roman" w:cs="Times New Roman" w:eastAsia="Times New Roman" w:hAnsi="Times New Roman"/>
          <w:sz w:val="18"/>
          <w:szCs w:val="18"/>
          <w:color w:val="auto"/>
        </w:rPr>
        <w:t>All references in these consolidated financial statements to a particular fiscal year are to the Company’s fiscal year ended January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refers to its fiscal year by reference to the year immediately preceding the January 31 fiscal year end date. For example, “fiscal year 2024” means the period February 1, 2024 to January 31, 2025.</w:t>
      </w:r>
    </w:p>
    <w:p>
      <w:pPr>
        <w:spacing w:after="0" w:line="170"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 The Company has one reportable segment, ethanol and by-products. Within the ethanol and by-products segment,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investments in three ethanol limited liability companies, two of which are majority ownership interests.</w:t>
      </w:r>
    </w:p>
    <w:p>
      <w:pPr>
        <w:spacing w:after="0" w:line="156" w:lineRule="exact"/>
        <w:rPr>
          <w:rFonts w:ascii="Times New Roman" w:cs="Times New Roman" w:eastAsia="Times New Roman" w:hAnsi="Times New Roman"/>
          <w:sz w:val="18"/>
          <w:szCs w:val="18"/>
          <w:b w:val="1"/>
          <w:bCs w:val="1"/>
          <w:color w:val="auto"/>
        </w:rPr>
      </w:pPr>
    </w:p>
    <w:p>
      <w:pPr>
        <w:ind w:left="4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applying the criteria set forth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determined that based on the nature of the products and production process and the expected financial results, the Company’s operations at its ethanol plants are aggregated into one reporting segment.</w:t>
      </w:r>
    </w:p>
    <w:p>
      <w:pPr>
        <w:spacing w:after="0" w:line="156" w:lineRule="exact"/>
        <w:rPr>
          <w:rFonts w:ascii="Times New Roman" w:cs="Times New Roman" w:eastAsia="Times New Roman" w:hAnsi="Times New Roman"/>
          <w:sz w:val="18"/>
          <w:szCs w:val="18"/>
          <w:b w:val="1"/>
          <w:bCs w:val="1"/>
          <w:color w:val="auto"/>
        </w:rPr>
      </w:pPr>
    </w:p>
    <w:p>
      <w:pPr>
        <w:jc w:val="both"/>
        <w:ind w:lef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6"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Cash Equivalents – </w:t>
      </w:r>
      <w:r>
        <w:rPr>
          <w:rFonts w:ascii="Times New Roman" w:cs="Times New Roman" w:eastAsia="Times New Roman" w:hAnsi="Times New Roman"/>
          <w:sz w:val="18"/>
          <w:szCs w:val="18"/>
          <w:color w:val="auto"/>
        </w:rPr>
        <w:t>Cash equivalents are principally short-term investments with original maturities of three months or less. The carrying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approximates fair value.</w:t>
      </w:r>
    </w:p>
    <w:p>
      <w:pPr>
        <w:spacing w:after="0" w:line="154"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Concentrations of Risk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maintains cash and cash equivalents in accounts with financial institutions which exceed federally insured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limits. The Company has not experienced any losses in such accounts. The Company does not believe there is significant credit risk related to its cash and cash equivalents.</w:t>
      </w:r>
    </w:p>
    <w:p>
      <w:pPr>
        <w:spacing w:after="0" w:line="174" w:lineRule="exact"/>
        <w:rPr>
          <w:rFonts w:ascii="Times New Roman" w:cs="Times New Roman" w:eastAsia="Times New Roman" w:hAnsi="Times New Roman"/>
          <w:sz w:val="18"/>
          <w:szCs w:val="18"/>
          <w:b w:val="1"/>
          <w:bCs w:val="1"/>
          <w:color w:val="auto"/>
        </w:rPr>
      </w:pPr>
    </w:p>
    <w:p>
      <w:pPr>
        <w:jc w:val="both"/>
        <w:ind w:left="4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sells its products to a limited number of larger commercial buyers, which may increase the chance of loss due to non-performance by a counterparty. Ten (fiscal year 2024), nine (fiscal year 2023), and eight (fiscal year 2022) customers accounted for approximately 92%, 92%, and 90% of the Company’s net sales and revenue during fiscal years 2024, 2023, and 2022, respectively. At January 31, 2025 and 2024, six customers in each period represented approximately 92% and 93%, respectively, of the Company’s accounts receivable balance. The Company has not experienced any significant losses in such accounts.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8" w:name="page39"/>
    <w:bookmarkEnd w:id="38"/>
    <w:p>
      <w:pPr>
        <w:jc w:val="both"/>
        <w:ind w:lef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Receivables — </w:t>
      </w:r>
      <w:r>
        <w:rPr>
          <w:rFonts w:ascii="Times New Roman" w:cs="Times New Roman" w:eastAsia="Times New Roman" w:hAnsi="Times New Roman"/>
          <w:sz w:val="18"/>
          <w:szCs w:val="18"/>
          <w:color w:val="auto"/>
        </w:rPr>
        <w:t>Trade receivables are recorded at their estimated net realizable value. Accounts are considered past due if payment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on a timely basis in accordance with the Company’s credit terms. Accounts considered uncollectible are written off in the period they are determined to be uncollectible. As of January 31, 2025 and 2024, the Company believes that all amounts are collectible and an allowance for credit losses was not considered necessary.</w:t>
      </w:r>
    </w:p>
    <w:p>
      <w:pPr>
        <w:spacing w:after="0" w:line="17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 Inventories are carried at the lower of cost or net realizable value. Cost for all inventories is determined using the first-in, first-out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 Inventory is permanently written down for instances when cost exceeds estimated net realizable value; such write-downs are based primarily upon commodity prices as the market value of inventory is often dependent upon changes in commodity prices. The Company recorded approximately $0.1 million and $0.8 million of inventory write-downs in cost of sales at January 31, 2025 and January 31, 2024, respectively. Fluctuations in the write-down of inventory generally relate to the levels and composition of such inventory at a given point in time and commodity prices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components of inventory are as follows (amounts in thousands):</w:t>
      </w:r>
    </w:p>
    <w:p>
      <w:pPr>
        <w:sectPr>
          <w:pgSz w:w="11900" w:h="16838" w:orient="portrait"/>
          <w:cols w:equalWidth="0" w:num="1">
            <w:col w:w="10820"/>
          </w:cols>
          <w:pgMar w:left="740" w:top="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Ethanol and other finished goods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process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Grain and other raw materials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Pr>
          <w:p>
            <w:pPr>
              <w:spacing w:after="0"/>
              <w:rPr>
                <w:sz w:val="19"/>
                <w:szCs w:val="19"/>
                <w:color w:val="auto"/>
              </w:rPr>
            </w:pPr>
          </w:p>
        </w:tc>
      </w:tr>
      <w:tr>
        <w:trPr>
          <w:trHeight w:val="238"/>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7"/>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00" w:type="dxa"/>
            <w:vAlign w:val="bottom"/>
          </w:tcPr>
          <w:p>
            <w:pPr>
              <w:spacing w:after="0"/>
              <w:rPr>
                <w:sz w:val="24"/>
                <w:szCs w:val="24"/>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29"/>
        </w:trPr>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r>
      <w:tr>
        <w:trPr>
          <w:trHeight w:val="234"/>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r>
      <w:tr>
        <w:trPr>
          <w:trHeight w:val="453"/>
        </w:trPr>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31,676</w:t>
            </w:r>
          </w:p>
        </w:tc>
        <w:tc>
          <w:tcPr>
            <w:tcW w:w="300" w:type="dxa"/>
            <w:vAlign w:val="bottom"/>
          </w:tcPr>
          <w:p>
            <w:pPr>
              <w:spacing w:after="0"/>
              <w:rPr>
                <w:sz w:val="24"/>
                <w:szCs w:val="24"/>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-744855</wp:posOffset>
            </wp:positionV>
            <wp:extent cx="498919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-471170</wp:posOffset>
            </wp:positionV>
            <wp:extent cx="498919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580" w:space="720"/>
            <w:col w:w="5520"/>
          </w:cols>
          <w:pgMar w:left="740" w:top="401" w:right="339" w:bottom="1440" w:gutter="0" w:footer="0" w:header="0"/>
          <w:type w:val="continuous"/>
        </w:sect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is recorded at cost or the fair value on the date of acquisition (for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in a business combination). Depreciation is computed using the straight-line method. Estimated useful lives are 15 to 40 years for buildings and improvements, and 3 to 20 years for machinery, fixtures and equipment.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(amounts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6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180" w:type="dxa"/>
            <w:vAlign w:val="bottom"/>
            <w:shd w:val="clear" w:color="auto" w:fill="E5FFFF"/>
          </w:tcPr>
          <w:p>
            <w:pPr>
              <w:spacing w:after="0"/>
              <w:rPr>
                <w:sz w:val="18"/>
                <w:szCs w:val="18"/>
                <w:color w:val="auto"/>
              </w:rPr>
            </w:pPr>
          </w:p>
        </w:tc>
        <w:tc>
          <w:tcPr>
            <w:tcW w:w="46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3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318,399</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307,326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470,547</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400,873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(245,286)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210,683</w:t>
            </w:r>
          </w:p>
        </w:tc>
        <w:tc>
          <w:tcPr>
            <w:tcW w:w="18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155,587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360-05,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1" w:right="339" w:bottom="1440" w:gutter="0" w:footer="0" w:header="0"/>
          <w:type w:val="continuous"/>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The Company recorded no impairment charges in fiscal years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$15.9 million, $17.8 million, and $18.0 million in fiscal years 2024, 2023, and 2022, respectively.</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 </w:t>
      </w:r>
      <w:r>
        <w:rPr>
          <w:rFonts w:ascii="Times New Roman" w:cs="Times New Roman" w:eastAsia="Times New Roman" w:hAnsi="Times New Roman"/>
          <w:sz w:val="18"/>
          <w:szCs w:val="18"/>
          <w:color w:val="auto"/>
        </w:rPr>
        <w:t>The method of accounting applied to long-term investments, whether consolidated, equity or cost, involves an evaluation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Short-term investments, consisting of U.S. government obligations, are considered held-to-maturity, and therefore are carried at amortized historical cost.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recognizes sales of ethanol, distillers grains and distillers corn oil when obligations under the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contracts 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w:t>
      </w:r>
      <w:r>
        <w:rPr>
          <w:rFonts w:ascii="Times New Roman" w:cs="Times New Roman" w:eastAsia="Times New Roman" w:hAnsi="Times New Roman"/>
          <w:sz w:val="18"/>
          <w:szCs w:val="18"/>
          <w:color w:val="auto"/>
        </w:rPr>
        <w:t>Cost of sales includes depreciation, costs of raw materials, third-party freight charges, purchasing and receiving costs,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other distribution expenses, warehousing costs, plant repair and maintenance costs, plant management, certain compensation costs and general facility overhead charges.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 </w:t>
      </w:r>
      <w:r>
        <w:rPr>
          <w:rFonts w:ascii="Times New Roman" w:cs="Times New Roman" w:eastAsia="Times New Roman" w:hAnsi="Times New Roman"/>
          <w:sz w:val="18"/>
          <w:szCs w:val="18"/>
          <w:color w:val="auto"/>
        </w:rPr>
        <w:t>The Company includes non-production related costs such as professional fees, selling charges, operating lease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payroll in SG&amp;A expenses.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Accounting Principles– </w:t>
      </w:r>
      <w:r>
        <w:rPr>
          <w:rFonts w:ascii="Times New Roman" w:cs="Times New Roman" w:eastAsia="Times New Roman" w:hAnsi="Times New Roman"/>
          <w:sz w:val="18"/>
          <w:szCs w:val="18"/>
          <w:color w:val="auto"/>
        </w:rPr>
        <w:t>Effective during fiscal year 2023, the Company changed the method of accounting for shipping and 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products sold to customers from recorded within “Selling, general and administrative expenses” to recorded within “Cost of sales” on the accompanying Consolidated Statements of Operations. While both presentations are allowable under accounting principles generally accepted in the United States of America, the Company believes that this change in classification is preferable because it improves the comparability of gross margin between periods and among industry peers.</w:t>
      </w:r>
    </w:p>
    <w:p>
      <w:pPr>
        <w:spacing w:after="0" w:line="1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following tables show the effect of the retrospective change to the Consolidated Statements of Operations previously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520" w:type="dxa"/>
            <w:vAlign w:val="bottom"/>
          </w:tcPr>
          <w:p>
            <w:pPr>
              <w:spacing w:after="0"/>
              <w:rPr>
                <w:sz w:val="24"/>
                <w:szCs w:val="24"/>
                <w:color w:val="auto"/>
              </w:rPr>
            </w:pP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Currently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520" w:type="dxa"/>
            <w:vAlign w:val="bottom"/>
          </w:tcPr>
          <w:p>
            <w:pPr>
              <w:spacing w:after="0"/>
              <w:rPr>
                <w:sz w:val="20"/>
                <w:szCs w:val="20"/>
                <w:color w:val="auto"/>
              </w:rPr>
            </w:pP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w w:val="95"/>
              </w:rPr>
              <w:t>800,269</w:t>
            </w:r>
          </w:p>
        </w:tc>
        <w:tc>
          <w:tcPr>
            <w:tcW w:w="840" w:type="dxa"/>
            <w:vAlign w:val="bottom"/>
            <w:gridSpan w:val="2"/>
            <w:shd w:val="clear" w:color="auto" w:fill="E5FF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rPr>
              <w:t>6,129</w:t>
            </w: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w w:val="95"/>
              </w:rPr>
              <w:t>806,398</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54,731</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(6,129)</w:t>
            </w:r>
          </w:p>
        </w:tc>
        <w:tc>
          <w:tcPr>
            <w:tcW w:w="5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(28,956)</w:t>
            </w:r>
          </w:p>
        </w:tc>
        <w:tc>
          <w:tcPr>
            <w:tcW w:w="840" w:type="dxa"/>
            <w:vAlign w:val="bottom"/>
            <w:gridSpan w:val="2"/>
            <w:shd w:val="clear" w:color="auto" w:fill="E5FF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rPr>
              <w:t>6,129</w:t>
            </w: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Certain of the forward corn purchase and ethanol, distillers grains and distillers corn oil sale contracts are accounted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 the “normal purchases and normal sales” scope exemption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because these arrangements are for purchases of grain that will be delivered in quantities expected to be used and sales of ethanol, distillers grains and distillers corn oil that will be produced in quantities expected to be sold by us over a reasonable period of time in the normal course of business. During fiscal years 2024, 2023, and 2022 there were no material settlements of forward contracts that were recorded at fair value. The Company recorded an asset and liability of $1.3 million and $0.4 million, respectively, associated with contracts not accounted for under the “normal purchases and normal sales” scope exception of ASC 815 at January 31, 2025. The Company recorded an asset and liability of $0.6 million and $0.8 million, respectively, associated with contracts not accounted for under the “normal purchases and normal sales” scope exception of ASC 815 at January 31, 2024.</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The Company has a stock-based compensation plan, approved by its shareholders, which reserved a total of 1,650,000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As part of the Coronavirus Aid, Relief, and Economic Security Act, passed in 2020, $700 million in funds were made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Department of Agriculture to distribute to impacted producers of ethanol, biodiesel, and other renewable fuels under the Biofuel Producer Program. The U.S. Department of Agriculture (“USDA”) distributed funds to applicants in May 2022. Our consolidated plants received a total of approximately $1.0 million in fiscal year 2023 which was recorded within “Interest and other income, net” in the Consolidated Statements of Operations. The Company has no further reporting or other obligations related to the receipt of these funds.</w:t>
      </w:r>
    </w:p>
    <w:p>
      <w:pPr>
        <w:spacing w:after="0" w:line="1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5" w:right="339" w:bottom="1440" w:gutter="0" w:footer="0" w:header="0"/>
        </w:sectPr>
      </w:pPr>
    </w:p>
    <w:bookmarkStart w:id="41" w:name="page42"/>
    <w:bookmarkEnd w:id="41"/>
    <w:p>
      <w:pPr>
        <w:jc w:val="both"/>
        <w:ind w:lef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provides for deferred tax liabilities and assets for the future tax consequences attributable to differences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76" w:lineRule="exact"/>
        <w:rPr>
          <w:sz w:val="20"/>
          <w:szCs w:val="20"/>
          <w:color w:val="auto"/>
        </w:rPr>
      </w:pPr>
    </w:p>
    <w:p>
      <w:pPr>
        <w:jc w:val="both"/>
        <w:ind w:lef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 The Company has no components of other comprehensive income, and therefore, comprehensive income equals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155"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 </w:t>
      </w:r>
      <w:r>
        <w:rPr>
          <w:rFonts w:ascii="Times New Roman" w:cs="Times New Roman" w:eastAsia="Times New Roman" w:hAnsi="Times New Roman"/>
          <w:sz w:val="18"/>
          <w:szCs w:val="18"/>
          <w:color w:val="auto"/>
        </w:rPr>
        <w:t>In November 2023,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2023-07, “Segment Reporting (Topic 280): Improvements to Reportable Segment Disclosure”, which improves reportable segment disclosure requirements through enhanced disclosure about significant segment expenses. The Company adopted this guidance for the fiscal-year ended January 31, 2025. See Note 16 included in the notes to the audited consolidated financial statements for more information on our segment reporting.</w:t>
      </w:r>
    </w:p>
    <w:p>
      <w:pPr>
        <w:spacing w:after="0" w:line="183"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ASU is effective for all entities that are subject to Topic 740 for fiscal years beginning after December 15, 2024. Early adoption and retrospective application are permitted, but not required. The Company is currently evaluating the impact of this ASU.</w:t>
      </w:r>
    </w:p>
    <w:p>
      <w:pPr>
        <w:spacing w:after="0" w:line="18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ASU 2024-03 is effective for the company’s fiscal year-ended January 31, 2028. Early adoption is permitted. The Company is currently evaluating the impact of this ASU.</w:t>
      </w:r>
    </w:p>
    <w:p>
      <w:pPr>
        <w:spacing w:after="0" w:line="176"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AND REVENUE</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79"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7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disaggregated revenue by product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40" w:type="dxa"/>
            <w:vAlign w:val="bottom"/>
            <w:tcBorders>
              <w:top w:val="single" w:sz="8" w:color="E5FFFF"/>
            </w:tcBorders>
            <w:gridSpan w:val="2"/>
            <w:shd w:val="clear" w:color="auto" w:fill="E5FF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Sales of products:</w:t>
            </w:r>
          </w:p>
        </w:tc>
        <w:tc>
          <w:tcPr>
            <w:tcW w:w="282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58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80" w:type="dxa"/>
            <w:vAlign w:val="bottom"/>
            <w:shd w:val="clear" w:color="auto" w:fill="E5FFFF"/>
          </w:tcPr>
          <w:p>
            <w:pPr>
              <w:spacing w:after="0" w:line="20" w:lineRule="exact"/>
              <w:rPr>
                <w:sz w:val="1"/>
                <w:szCs w:val="1"/>
                <w:color w:val="auto"/>
              </w:rPr>
            </w:pPr>
          </w:p>
        </w:tc>
        <w:tc>
          <w:tcPr>
            <w:tcW w:w="2820" w:type="dxa"/>
            <w:vAlign w:val="bottom"/>
            <w:shd w:val="clear" w:color="auto" w:fill="E5FFFF"/>
          </w:tcPr>
          <w:p>
            <w:pPr>
              <w:spacing w:after="0" w:line="20" w:lineRule="exact"/>
              <w:rPr>
                <w:sz w:val="1"/>
                <w:szCs w:val="1"/>
                <w:color w:val="auto"/>
              </w:rPr>
            </w:pPr>
          </w:p>
        </w:tc>
        <w:tc>
          <w:tcPr>
            <w:tcW w:w="700" w:type="dxa"/>
            <w:vAlign w:val="bottom"/>
            <w:shd w:val="clear" w:color="auto" w:fill="E5FFFF"/>
          </w:tcPr>
          <w:p>
            <w:pPr>
              <w:spacing w:after="0" w:line="20" w:lineRule="exact"/>
              <w:rPr>
                <w:sz w:val="1"/>
                <w:szCs w:val="1"/>
                <w:color w:val="auto"/>
              </w:rPr>
            </w:pPr>
          </w:p>
        </w:tc>
        <w:tc>
          <w:tcPr>
            <w:tcW w:w="580" w:type="dxa"/>
            <w:vAlign w:val="bottom"/>
            <w:shd w:val="clear" w:color="auto" w:fill="E5FFFF"/>
          </w:tcPr>
          <w:p>
            <w:pPr>
              <w:spacing w:after="0" w:line="20" w:lineRule="exact"/>
              <w:rPr>
                <w:sz w:val="1"/>
                <w:szCs w:val="1"/>
                <w:color w:val="auto"/>
              </w:rPr>
            </w:pPr>
          </w:p>
        </w:tc>
        <w:tc>
          <w:tcPr>
            <w:tcW w:w="680" w:type="dxa"/>
            <w:vAlign w:val="bottom"/>
            <w:shd w:val="clear" w:color="auto" w:fill="E5FFFF"/>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68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Ethanol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$ 496,411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$635,420</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$649,501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35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101,432</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139,173</w:t>
            </w:r>
          </w:p>
        </w:tc>
        <w:tc>
          <w:tcPr>
            <w:tcW w:w="34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139,118</w:t>
            </w: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52,935</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35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34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financial instruments losses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E5FF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642,491</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833,384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855,000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2580" w:type="dxa"/>
            <w:vAlign w:val="bottom"/>
            <w:tcBorders>
              <w:bottom w:val="single" w:sz="8" w:color="C0C0C0"/>
            </w:tcBorders>
          </w:tcPr>
          <w:p>
            <w:pPr>
              <w:spacing w:after="0"/>
              <w:rPr>
                <w:sz w:val="21"/>
                <w:szCs w:val="21"/>
                <w:color w:val="auto"/>
              </w:rPr>
            </w:pPr>
          </w:p>
        </w:tc>
        <w:tc>
          <w:tcPr>
            <w:tcW w:w="282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2" w:name="page43"/>
    <w:bookmarkEnd w:id="42"/>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Method Investment in Big River</w:t>
      </w:r>
    </w:p>
    <w:p>
      <w:pPr>
        <w:spacing w:after="0" w:line="22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Company’s equity method investment in Big River Resources, LLC (“Big River”) is accounted for under ASC 323. The following table summarizes the investment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3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6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45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86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35,800</w:t>
            </w:r>
          </w:p>
        </w:tc>
        <w:tc>
          <w:tcPr>
            <w:tcW w:w="10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34,936</w:t>
            </w:r>
          </w:p>
        </w:tc>
      </w:tr>
      <w:tr>
        <w:trPr>
          <w:trHeight w:val="20"/>
        </w:trPr>
        <w:tc>
          <w:tcPr>
            <w:tcW w:w="3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Ownership percentage</w:t>
            </w:r>
          </w:p>
        </w:tc>
        <w:tc>
          <w:tcPr>
            <w:tcW w:w="286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8"/>
              </w:rPr>
              <w:t>10.3%</w:t>
            </w:r>
          </w:p>
        </w:tc>
        <w:tc>
          <w:tcPr>
            <w:tcW w:w="10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10.3%</w:t>
            </w:r>
          </w:p>
        </w:tc>
      </w:tr>
    </w:tbl>
    <w:p>
      <w:pPr>
        <w:spacing w:after="0" w:line="198"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437.8 million gallons of ethanol in the twelve months ended January 31, 2025. The Company recorded income of approximately $9.4 million, $13.9 million, and $8.7 million as its share of earnings from Big River during fiscal years 2024, 2023, and 2022, respectively. The Company received dividends of approximately $8.5 million, $12.0 million, and $6.3 million from Big River during fiscal years 2024, 2023, and 2022, respectively. At January 31, 2025, the carrying value of the investment in Big River was approximately $35.8 million; the amount of underlying equity in the net assets of Big River was approximately $36.7 million.</w:t>
      </w:r>
    </w:p>
    <w:p>
      <w:pPr>
        <w:spacing w:after="0" w:line="189"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equity method investee as of and for its fiscal year end is presented in the following tables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4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300,492</w:t>
            </w:r>
          </w:p>
        </w:tc>
        <w:tc>
          <w:tcPr>
            <w:tcW w:w="740" w:type="dxa"/>
            <w:vAlign w:val="bottom"/>
            <w:gridSpan w:val="2"/>
            <w:shd w:val="clear" w:color="auto" w:fill="E5FF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351,278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188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181,235</w:t>
            </w:r>
          </w:p>
        </w:tc>
        <w:tc>
          <w:tcPr>
            <w:tcW w:w="340" w:type="dxa"/>
            <w:vAlign w:val="bottom"/>
            <w:tcBorders>
              <w:bottom w:val="single" w:sz="8" w:color="E5FF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144,933</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8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481,727</w:t>
            </w:r>
          </w:p>
        </w:tc>
        <w:tc>
          <w:tcPr>
            <w:tcW w:w="340" w:type="dxa"/>
            <w:vAlign w:val="bottom"/>
            <w:tcBorders>
              <w:bottom w:val="single" w:sz="8" w:color="E5FFFF"/>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496,211</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89,409</w:t>
            </w:r>
          </w:p>
        </w:tc>
        <w:tc>
          <w:tcPr>
            <w:tcW w:w="7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80" w:type="dxa"/>
            <w:vAlign w:val="bottom"/>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spacing w:after="0"/>
              <w:rPr>
                <w:sz w:val="19"/>
                <w:szCs w:val="19"/>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340" w:type="dxa"/>
            <w:vAlign w:val="bottom"/>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spacing w:after="0"/>
              <w:rPr>
                <w:sz w:val="19"/>
                <w:szCs w:val="19"/>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101,644</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214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356,340</w:t>
            </w:r>
          </w:p>
        </w:tc>
        <w:tc>
          <w:tcPr>
            <w:tcW w:w="740" w:type="dxa"/>
            <w:vAlign w:val="bottom"/>
            <w:gridSpan w:val="2"/>
            <w:shd w:val="clear" w:color="auto" w:fill="E5FF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355,385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8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340" w:type="dxa"/>
            <w:vAlign w:val="bottom"/>
            <w:tcBorders>
              <w:bottom w:val="single" w:sz="8" w:color="E5FF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88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380,083</w:t>
            </w:r>
          </w:p>
        </w:tc>
        <w:tc>
          <w:tcPr>
            <w:tcW w:w="340" w:type="dxa"/>
            <w:vAlign w:val="bottom"/>
            <w:tcBorders>
              <w:bottom w:val="single" w:sz="8" w:color="E5FFFF"/>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390,465</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6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1,021,561</w:t>
            </w:r>
          </w:p>
        </w:tc>
        <w:tc>
          <w:tcPr>
            <w:tcW w:w="6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1,379,651</w:t>
            </w:r>
          </w:p>
        </w:tc>
        <w:tc>
          <w:tcPr>
            <w:tcW w:w="6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1,509,406</w:t>
            </w: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160,549</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20,314</w:t>
            </w:r>
          </w:p>
        </w:tc>
        <w:tc>
          <w:tcPr>
            <w:tcW w:w="6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6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members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840" w:type="dxa"/>
            <w:vAlign w:val="bottom"/>
            <w:tcBorders>
              <w:bottom w:val="single" w:sz="8" w:color="C0C0C0"/>
            </w:tcBorders>
          </w:tcPr>
          <w:p>
            <w:pPr>
              <w:spacing w:after="0"/>
              <w:rPr>
                <w:sz w:val="21"/>
                <w:szCs w:val="21"/>
                <w:color w:val="auto"/>
              </w:rPr>
            </w:pPr>
          </w:p>
        </w:tc>
        <w:tc>
          <w:tcPr>
            <w:tcW w:w="14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3" w:name="page44"/>
    <w:bookmarkEnd w:id="43"/>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Big River has debt agreements that limit and restrict amounts the entity can pay in the form of dividends or advances to owners. The restricted net assets of Big River at January 31, 2025 are approximately $144.3 million; the Company’s proportionate share of restricted net assets of Big River is approximately $14.9 million.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At January 31, 2025, the Company owned United States Treasury Bills (classified as short-term investments) that had an amortized cost, or carrying value, of approximately $162.8 million. The contractual maturity of these investments was less than one year. The yield to maturity rate was approximately 4.4%. Unrecognized holding losses at January 31, 2025 were approximately $19,000.</w:t>
      </w:r>
    </w:p>
    <w:p>
      <w:pPr>
        <w:spacing w:after="0" w:line="176"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At January 31, 2024, the Company owned United States Treasury Bills (classified as short-term investments) that had an amortized cost, or carrying value, of approximately $155.3 million. The contractual maturity of these investments was less than one year. The yield to maturity rate was approximately 5.5%. Unrecognized holding losses at January 31, 2024 were approximately $94,000.</w:t>
      </w:r>
    </w:p>
    <w:p>
      <w:pPr>
        <w:spacing w:after="0" w:line="172"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rFonts w:ascii="Times New Roman" w:cs="Times New Roman" w:eastAsia="Times New Roman" w:hAnsi="Times New Roman"/>
          <w:sz w:val="18"/>
          <w:szCs w:val="18"/>
          <w:b w:val="1"/>
          <w:bCs w:val="1"/>
          <w:color w:val="auto"/>
        </w:rPr>
      </w:pPr>
    </w:p>
    <w:p>
      <w:pPr>
        <w:jc w:val="both"/>
        <w:ind w:left="4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80" w:lineRule="exact"/>
        <w:rPr>
          <w:sz w:val="20"/>
          <w:szCs w:val="20"/>
          <w:color w:val="auto"/>
        </w:rPr>
      </w:pPr>
    </w:p>
    <w:p>
      <w:pPr>
        <w:jc w:val="both"/>
        <w:ind w:left="440" w:right="20" w:firstLine="270"/>
        <w:spacing w:after="0" w:line="282"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derivative contracts that are traded in an active exchange market.</w:t>
      </w:r>
    </w:p>
    <w:p>
      <w:pPr>
        <w:spacing w:after="0" w:line="162" w:lineRule="exact"/>
        <w:rPr>
          <w:sz w:val="20"/>
          <w:szCs w:val="20"/>
          <w:color w:val="auto"/>
        </w:rPr>
      </w:pPr>
    </w:p>
    <w:p>
      <w:pPr>
        <w:jc w:val="both"/>
        <w:ind w:left="440" w:firstLine="27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0" w:lineRule="exact"/>
        <w:rPr>
          <w:sz w:val="20"/>
          <w:szCs w:val="20"/>
          <w:color w:val="auto"/>
        </w:rPr>
      </w:pPr>
    </w:p>
    <w:p>
      <w:pPr>
        <w:jc w:val="both"/>
        <w:ind w:left="440" w:firstLine="27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80"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4" w:name="page45"/>
    <w:bookmarkEnd w:id="44"/>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2025 on a recurring basis are summarized below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Total Fair</w:t>
            </w:r>
          </w:p>
        </w:tc>
      </w:tr>
      <w:tr>
        <w:trPr>
          <w:trHeight w:val="238"/>
        </w:trPr>
        <w:tc>
          <w:tcPr>
            <w:tcW w:w="4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4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148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6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top w:val="single" w:sz="8" w:color="E5FFFF"/>
            </w:tcBorders>
            <w:shd w:val="clear" w:color="auto" w:fill="E5FFFF"/>
          </w:tcPr>
          <w:p>
            <w:pPr>
              <w:spacing w:after="0"/>
              <w:rPr>
                <w:sz w:val="18"/>
                <w:szCs w:val="18"/>
                <w:color w:val="auto"/>
              </w:rPr>
            </w:pPr>
          </w:p>
        </w:tc>
      </w:tr>
      <w:tr>
        <w:trPr>
          <w:trHeight w:val="229"/>
        </w:trPr>
        <w:tc>
          <w:tcPr>
            <w:tcW w:w="4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Commodity futures (2)</w:t>
            </w:r>
          </w:p>
        </w:tc>
        <w:tc>
          <w:tcPr>
            <w:tcW w:w="148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(1,291)</w:t>
            </w:r>
          </w:p>
        </w:tc>
        <w:tc>
          <w:tcPr>
            <w:tcW w:w="38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5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E5FFFF"/>
            </w:tcBorders>
          </w:tcPr>
          <w:p>
            <w:pPr>
              <w:spacing w:after="0"/>
              <w:rPr>
                <w:sz w:val="19"/>
                <w:szCs w:val="19"/>
                <w:color w:val="auto"/>
              </w:rPr>
            </w:pPr>
          </w:p>
        </w:tc>
      </w:tr>
      <w:tr>
        <w:trPr>
          <w:trHeight w:val="223"/>
        </w:trPr>
        <w:tc>
          <w:tcPr>
            <w:tcW w:w="43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(1,291)</w:t>
            </w:r>
          </w:p>
        </w:tc>
        <w:tc>
          <w:tcPr>
            <w:tcW w:w="38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spacing w:after="0"/>
              <w:rPr>
                <w:sz w:val="19"/>
                <w:szCs w:val="19"/>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60" w:type="dxa"/>
            <w:vAlign w:val="bottom"/>
            <w:tcBorders>
              <w:bottom w:val="single" w:sz="8" w:color="E5FFFF"/>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 liability (3)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2024 on a recurring basis are summarized below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Total Fair</w:t>
            </w:r>
          </w:p>
        </w:tc>
      </w:tr>
      <w:tr>
        <w:trPr>
          <w:trHeight w:val="238"/>
        </w:trPr>
        <w:tc>
          <w:tcPr>
            <w:tcW w:w="4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3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43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15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top w:val="single" w:sz="8" w:color="E5FFFF"/>
            </w:tcBorders>
            <w:shd w:val="clear" w:color="auto" w:fill="E5FFFF"/>
          </w:tcPr>
          <w:p>
            <w:pPr>
              <w:spacing w:after="0"/>
              <w:rPr>
                <w:sz w:val="18"/>
                <w:szCs w:val="18"/>
                <w:color w:val="auto"/>
              </w:rPr>
            </w:pPr>
          </w:p>
        </w:tc>
      </w:tr>
      <w:tr>
        <w:trPr>
          <w:trHeight w:val="229"/>
        </w:trPr>
        <w:tc>
          <w:tcPr>
            <w:tcW w:w="43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Commodity futures (2)</w:t>
            </w:r>
          </w:p>
        </w:tc>
        <w:tc>
          <w:tcPr>
            <w:tcW w:w="152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8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5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E5FFFF"/>
            </w:tcBorders>
          </w:tcPr>
          <w:p>
            <w:pPr>
              <w:spacing w:after="0"/>
              <w:rPr>
                <w:sz w:val="19"/>
                <w:szCs w:val="19"/>
                <w:color w:val="auto"/>
              </w:rPr>
            </w:pPr>
          </w:p>
        </w:tc>
      </w:tr>
      <w:tr>
        <w:trPr>
          <w:trHeight w:val="223"/>
        </w:trPr>
        <w:tc>
          <w:tcPr>
            <w:tcW w:w="43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spacing w:after="0"/>
              <w:rPr>
                <w:sz w:val="19"/>
                <w:szCs w:val="19"/>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8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tcBorders>
              <w:bottom w:val="single" w:sz="8" w:color="E5FFFF"/>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 liability (3)</w:t>
            </w:r>
          </w:p>
        </w:tc>
        <w:tc>
          <w:tcPr>
            <w:tcW w:w="16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920" w:hanging="42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asset is included in “Prepaid expenses and other” on the accompanying Consolidated Balance Sheets.</w:t>
      </w:r>
    </w:p>
    <w:p>
      <w:pPr>
        <w:spacing w:after="0" w:line="225" w:lineRule="exact"/>
        <w:rPr>
          <w:rFonts w:ascii="Times New Roman" w:cs="Times New Roman" w:eastAsia="Times New Roman" w:hAnsi="Times New Roman"/>
          <w:sz w:val="18"/>
          <w:szCs w:val="18"/>
          <w:color w:val="auto"/>
        </w:rPr>
      </w:pPr>
    </w:p>
    <w:p>
      <w:pPr>
        <w:ind w:left="920" w:right="20" w:hanging="426"/>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liability is netted with cash collateral due from broker and included in “Prepaid expense and other” on the accompanying Consolidated Balance Sheets.</w:t>
      </w:r>
    </w:p>
    <w:p>
      <w:pPr>
        <w:spacing w:after="0" w:line="161" w:lineRule="exact"/>
        <w:rPr>
          <w:rFonts w:ascii="Times New Roman" w:cs="Times New Roman" w:eastAsia="Times New Roman" w:hAnsi="Times New Roman"/>
          <w:sz w:val="18"/>
          <w:szCs w:val="18"/>
          <w:color w:val="auto"/>
        </w:rPr>
      </w:pPr>
    </w:p>
    <w:p>
      <w:pPr>
        <w:ind w:left="920" w:hanging="426"/>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liability is included in “Accrued expenses and other current liabilities” on the accompanying Consolidated Balance Sheets.</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No other financial instruments were elected to be measured at fair value in accordance with ASC 470-20-25-21. The carrying value of all other financial assets and liabilities approximate fair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assets measured at fair value at January 31, 2025 and 2024 on a non-recurring basis.</w:t>
      </w:r>
    </w:p>
    <w:p>
      <w:pPr>
        <w:spacing w:after="0" w:line="221"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7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80" w:type="dxa"/>
            <w:vAlign w:val="bottom"/>
            <w:shd w:val="clear" w:color="auto" w:fill="E5FF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Prepaid utility equipment deposit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46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E5FFFF"/>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740" w:type="dxa"/>
            <w:vAlign w:val="bottom"/>
            <w:tcBorders>
              <w:bottom w:val="single" w:sz="8" w:color="C0C0C0"/>
            </w:tcBorders>
          </w:tcPr>
          <w:p>
            <w:pPr>
              <w:spacing w:after="0"/>
              <w:rPr>
                <w:sz w:val="21"/>
                <w:szCs w:val="21"/>
                <w:color w:val="auto"/>
              </w:rPr>
            </w:pPr>
          </w:p>
        </w:tc>
        <w:tc>
          <w:tcPr>
            <w:tcW w:w="15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9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45" w:name="page46"/>
    <w:bookmarkEnd w:id="45"/>
    <w:p>
      <w:pPr>
        <w:ind w:left="412" w:hanging="412"/>
        <w:spacing w:after="0"/>
        <w:tabs>
          <w:tab w:leader="none" w:pos="4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4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are as follows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5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7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Accrued utility charges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transportation related items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real estate taxes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7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12" w:hanging="412"/>
        <w:spacing w:after="0"/>
        <w:tabs>
          <w:tab w:leader="none" w:pos="4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jc w:val="both"/>
        <w:ind w:left="39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elected the practical expedient, available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81" w:lineRule="exact"/>
        <w:rPr>
          <w:rFonts w:ascii="Times New Roman" w:cs="Times New Roman" w:eastAsia="Times New Roman" w:hAnsi="Times New Roman"/>
          <w:sz w:val="18"/>
          <w:szCs w:val="18"/>
          <w:b w:val="1"/>
          <w:bCs w:val="1"/>
          <w:color w:val="auto"/>
        </w:rPr>
      </w:pPr>
    </w:p>
    <w:p>
      <w:pPr>
        <w:jc w:val="both"/>
        <w:ind w:left="3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2025,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3" w:lineRule="exact"/>
        <w:rPr>
          <w:rFonts w:ascii="Times New Roman" w:cs="Times New Roman" w:eastAsia="Times New Roman" w:hAnsi="Times New Roman"/>
          <w:sz w:val="18"/>
          <w:szCs w:val="18"/>
          <w:b w:val="1"/>
          <w:bCs w:val="1"/>
          <w:color w:val="auto"/>
        </w:rPr>
      </w:pPr>
    </w:p>
    <w:p>
      <w:pPr>
        <w:ind w:left="39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fiscal years 2024, 2023, and 2022, the components of lease expense, classified as SG&amp;A expenses on the Consolidated Statement of Operations are as follows (amounts in thousands):</w:t>
      </w:r>
    </w:p>
    <w:p>
      <w:pPr>
        <w:sectPr>
          <w:pgSz w:w="11900" w:h="16838" w:orient="portrait"/>
          <w:cols w:equalWidth="0" w:num="1">
            <w:col w:w="11232"/>
          </w:cols>
          <w:pgMar w:left="328" w:top="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7"/>
          <w:szCs w:val="17"/>
          <w:color w:val="auto"/>
        </w:rPr>
        <w:t>Operating lease expense</w:t>
      </w:r>
    </w:p>
    <w:p>
      <w:pPr>
        <w:spacing w:after="0" w:line="39"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9"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21"/>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$7,209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5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$7,360</w:t>
            </w:r>
          </w:p>
        </w:tc>
      </w:tr>
      <w:tr>
        <w:trPr>
          <w:trHeight w:val="234"/>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7,352</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6,687</w:t>
            </w: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7,759</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-462280</wp:posOffset>
            </wp:positionV>
            <wp:extent cx="498919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-179070</wp:posOffset>
            </wp:positionV>
            <wp:extent cx="498919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52" w:space="720"/>
            <w:col w:w="5560"/>
          </w:cols>
          <w:pgMar w:left="328" w:top="401" w:right="339" w:bottom="1440" w:gutter="0" w:footer="0" w:header="0"/>
          <w:type w:val="continuous"/>
        </w:sectPr>
      </w:pPr>
    </w:p>
    <w:p>
      <w:pPr>
        <w:ind w:left="392"/>
        <w:spacing w:after="0"/>
        <w:rPr>
          <w:sz w:val="20"/>
          <w:szCs w:val="20"/>
          <w:color w:val="auto"/>
        </w:rPr>
      </w:pPr>
      <w:r>
        <w:rPr>
          <w:rFonts w:ascii="Times New Roman" w:cs="Times New Roman" w:eastAsia="Times New Roman" w:hAnsi="Times New Roman"/>
          <w:sz w:val="17"/>
          <w:szCs w:val="17"/>
          <w:color w:val="auto"/>
        </w:rPr>
        <w:t>Total cash paid for amounts included in the measurement of lease liabilities was $6.9 million for fiscal year 2024.</w:t>
      </w:r>
    </w:p>
    <w:p>
      <w:pPr>
        <w:spacing w:after="0" w:line="2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1" w:right="339" w:bottom="1440" w:gutter="0" w:footer="0" w:header="0"/>
          <w:type w:val="continuous"/>
        </w:sectPr>
      </w:pPr>
    </w:p>
    <w:bookmarkStart w:id="46" w:name="page47"/>
    <w:bookmarkEnd w:id="46"/>
    <w:p>
      <w:pPr>
        <w:ind w:left="392"/>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such leases at January 31, 2025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25"/>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Minimum Rentals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9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2" w:right="20"/>
        <w:spacing w:after="0" w:line="282" w:lineRule="auto"/>
        <w:rPr>
          <w:sz w:val="20"/>
          <w:szCs w:val="20"/>
          <w:color w:val="auto"/>
        </w:rPr>
      </w:pPr>
      <w:r>
        <w:rPr>
          <w:rFonts w:ascii="Times New Roman" w:cs="Times New Roman" w:eastAsia="Times New Roman" w:hAnsi="Times New Roman"/>
          <w:sz w:val="18"/>
          <w:szCs w:val="18"/>
          <w:color w:val="auto"/>
        </w:rPr>
        <w:t>At January 31, 2025, the weighted average remaining lease term was 3.5 years, and the weighted average discount rate was 6.60% for the above leases.</w:t>
      </w:r>
    </w:p>
    <w:p>
      <w:pPr>
        <w:spacing w:after="0" w:line="162" w:lineRule="exact"/>
        <w:rPr>
          <w:sz w:val="20"/>
          <w:szCs w:val="20"/>
          <w:color w:val="auto"/>
        </w:rPr>
      </w:pPr>
    </w:p>
    <w:p>
      <w:pPr>
        <w:ind w:left="392" w:right="20"/>
        <w:spacing w:after="0" w:line="282" w:lineRule="auto"/>
        <w:rPr>
          <w:sz w:val="20"/>
          <w:szCs w:val="20"/>
          <w:color w:val="auto"/>
        </w:rPr>
      </w:pPr>
      <w:r>
        <w:rPr>
          <w:rFonts w:ascii="Times New Roman" w:cs="Times New Roman" w:eastAsia="Times New Roman" w:hAnsi="Times New Roman"/>
          <w:sz w:val="18"/>
          <w:szCs w:val="18"/>
          <w:color w:val="auto"/>
        </w:rPr>
        <w:t>At January 31, 2024, the weighted average remaining lease term was 3.4 years, and the weighted average discount rate was 5.94% for the above leases.</w:t>
      </w:r>
    </w:p>
    <w:p>
      <w:pPr>
        <w:spacing w:after="0" w:line="158" w:lineRule="exact"/>
        <w:rPr>
          <w:sz w:val="20"/>
          <w:szCs w:val="20"/>
          <w:color w:val="auto"/>
        </w:rPr>
      </w:pPr>
    </w:p>
    <w:p>
      <w:pPr>
        <w:ind w:left="412" w:hanging="412"/>
        <w:spacing w:after="0"/>
        <w:tabs>
          <w:tab w:leader="none" w:pos="41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jc w:val="both"/>
        <w:ind w:left="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21, 2022, the Board of Directors of the Company adopted resolutions declaring a three-for-one 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75" w:lineRule="exact"/>
        <w:rPr>
          <w:rFonts w:ascii="Times New Roman" w:cs="Times New Roman" w:eastAsia="Times New Roman" w:hAnsi="Times New Roman"/>
          <w:sz w:val="18"/>
          <w:szCs w:val="18"/>
          <w:b w:val="1"/>
          <w:bCs w:val="1"/>
          <w:color w:val="auto"/>
        </w:rPr>
      </w:pPr>
    </w:p>
    <w:p>
      <w:pPr>
        <w:jc w:val="both"/>
        <w:ind w:left="4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2024 and 2022 the Company purchased approximately 373,000 shares and 472,000 shares of its common stock for approximately $15.5 million and $13.0 million, respectively. The Company did not purchase any shares of its common stock during fiscal year 2023. At January 31, 2025, the Company had prior authorization by its Board of Directors to purchase, in open market transactions, an additional approximately 504,000 shares of its common stock.</w:t>
      </w:r>
    </w:p>
    <w:p>
      <w:pPr>
        <w:spacing w:after="0" w:line="179" w:lineRule="exact"/>
        <w:rPr>
          <w:rFonts w:ascii="Times New Roman" w:cs="Times New Roman" w:eastAsia="Times New Roman" w:hAnsi="Times New Roman"/>
          <w:sz w:val="18"/>
          <w:szCs w:val="18"/>
          <w:b w:val="1"/>
          <w:bCs w:val="1"/>
          <w:color w:val="auto"/>
        </w:rPr>
      </w:pPr>
    </w:p>
    <w:p>
      <w:pPr>
        <w:ind w:left="4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regarding the Company’s common stock is as follows (amounts in thousands):</w:t>
      </w:r>
    </w:p>
    <w:p>
      <w:pPr>
        <w:spacing w:after="0" w:line="235" w:lineRule="exact"/>
        <w:rPr>
          <w:sz w:val="20"/>
          <w:szCs w:val="20"/>
          <w:color w:val="auto"/>
        </w:rPr>
      </w:pPr>
    </w:p>
    <w:tbl>
      <w:tblPr>
        <w:tblLayout w:type="fixed"/>
        <w:tblInd w:w="43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6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w w:val="96"/>
              </w:rPr>
              <w:t>45,000</w:t>
            </w:r>
          </w:p>
        </w:tc>
        <w:tc>
          <w:tcPr>
            <w:tcW w:w="540" w:type="dxa"/>
            <w:vAlign w:val="bottom"/>
            <w:shd w:val="clear" w:color="auto" w:fill="E5FFFF"/>
          </w:tcPr>
          <w:p>
            <w:pPr>
              <w:spacing w:after="0"/>
              <w:rPr>
                <w:sz w:val="18"/>
                <w:szCs w:val="18"/>
                <w:color w:val="auto"/>
              </w:rPr>
            </w:pPr>
          </w:p>
        </w:tc>
        <w:tc>
          <w:tcPr>
            <w:tcW w:w="6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w w:val="96"/>
              </w:rPr>
              <w:t>45,000</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Issued shares</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29,853</w:t>
            </w:r>
          </w:p>
        </w:tc>
        <w:tc>
          <w:tcPr>
            <w:tcW w:w="54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29,853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Outstanding shares</w:t>
            </w:r>
          </w:p>
        </w:tc>
        <w:tc>
          <w:tcPr>
            <w:tcW w:w="6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w w:val="96"/>
              </w:rPr>
              <w:t>17,195</w:t>
            </w:r>
          </w:p>
        </w:tc>
        <w:tc>
          <w:tcPr>
            <w:tcW w:w="540" w:type="dxa"/>
            <w:vAlign w:val="bottom"/>
            <w:shd w:val="clear" w:color="auto" w:fill="E5FFFF"/>
          </w:tcPr>
          <w:p>
            <w:pPr>
              <w:spacing w:after="0"/>
              <w:rPr>
                <w:sz w:val="18"/>
                <w:szCs w:val="18"/>
                <w:color w:val="auto"/>
              </w:rPr>
            </w:pPr>
          </w:p>
        </w:tc>
        <w:tc>
          <w:tcPr>
            <w:tcW w:w="6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w w:val="96"/>
              </w:rPr>
              <w:t>17,504</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12" w:hanging="412"/>
        <w:spacing w:after="0"/>
        <w:tabs>
          <w:tab w:leader="none" w:pos="4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rFonts w:ascii="Times New Roman" w:cs="Times New Roman" w:eastAsia="Times New Roman" w:hAnsi="Times New Roman"/>
          <w:sz w:val="18"/>
          <w:szCs w:val="18"/>
          <w:b w:val="1"/>
          <w:bCs w:val="1"/>
          <w:color w:val="auto"/>
        </w:rPr>
      </w:pPr>
    </w:p>
    <w:p>
      <w:pPr>
        <w:ind w:left="432"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1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5" w:right="339" w:bottom="1440" w:gutter="0" w:footer="0" w:header="0"/>
        </w:sectPr>
      </w:pPr>
    </w:p>
    <w:bookmarkStart w:id="47" w:name="page48"/>
    <w:bookmarkEnd w:id="47"/>
    <w:p>
      <w:pPr>
        <w:ind w:left="440" w:right="440"/>
        <w:spacing w:after="0" w:line="282" w:lineRule="auto"/>
        <w:rPr>
          <w:sz w:val="20"/>
          <w:szCs w:val="20"/>
          <w:color w:val="auto"/>
        </w:rPr>
      </w:pPr>
      <w:r>
        <w:rPr>
          <w:rFonts w:ascii="Times New Roman" w:cs="Times New Roman" w:eastAsia="Times New Roman" w:hAnsi="Times New Roman"/>
          <w:sz w:val="18"/>
          <w:szCs w:val="18"/>
          <w:color w:val="auto"/>
        </w:rPr>
        <w:t>The changes in fair value of these derivative financial instruments are recognized in current period earnings as the Company does not use hedge accounting.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about the fair values of the Company’s derivative financial instruments and the line items on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Consolidated Balance Sheets in which the fair values are reflected (in thousands):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at January 31,</w:t>
            </w:r>
          </w:p>
        </w:tc>
        <w:tc>
          <w:tcPr>
            <w:tcW w:w="380" w:type="dxa"/>
            <w:vAlign w:val="bottom"/>
          </w:tcPr>
          <w:p>
            <w:pPr>
              <w:spacing w:after="0"/>
              <w:rPr>
                <w:sz w:val="19"/>
                <w:szCs w:val="19"/>
                <w:color w:val="auto"/>
              </w:rPr>
            </w:pPr>
          </w:p>
        </w:tc>
        <w:tc>
          <w:tcPr>
            <w:tcW w:w="21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 at 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(1)</w:t>
            </w:r>
          </w:p>
        </w:tc>
        <w:tc>
          <w:tcPr>
            <w:tcW w:w="1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collateral balance (3)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Commodity futures (2)</w:t>
            </w:r>
          </w:p>
        </w:tc>
        <w:tc>
          <w:tcPr>
            <w:tcW w:w="132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8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8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position with broker</w:t>
            </w:r>
          </w:p>
        </w:tc>
        <w:tc>
          <w:tcPr>
            <w:tcW w:w="1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60" w:hanging="434"/>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assets are included in “Prepaid expenses and other” on the accompanying Consolidated Balance Sheets. These contracts are for purchases of approximately 16.8 million and 9.3 million bushels of corn at January 31, 2025 and 2024, respectively.</w:t>
      </w:r>
    </w:p>
    <w:p>
      <w:pPr>
        <w:spacing w:after="0" w:line="161" w:lineRule="exact"/>
        <w:rPr>
          <w:rFonts w:ascii="Times New Roman" w:cs="Times New Roman" w:eastAsia="Times New Roman" w:hAnsi="Times New Roman"/>
          <w:sz w:val="18"/>
          <w:szCs w:val="18"/>
          <w:color w:val="auto"/>
        </w:rPr>
      </w:pPr>
    </w:p>
    <w:p>
      <w:pPr>
        <w:jc w:val="both"/>
        <w:ind w:left="8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liabilities are included in “Accrued expenses and other current liabilities” on the accompanying Consolidated Balance Sheets. These contracts are for purchases of approximately 7.6 million and 8.2 million bushels of corn at January 31, 2025 and 2024, respectively.</w:t>
      </w:r>
    </w:p>
    <w:p>
      <w:pPr>
        <w:spacing w:after="0" w:line="175" w:lineRule="exact"/>
        <w:rPr>
          <w:rFonts w:ascii="Times New Roman" w:cs="Times New Roman" w:eastAsia="Times New Roman" w:hAnsi="Times New Roman"/>
          <w:sz w:val="18"/>
          <w:szCs w:val="18"/>
          <w:color w:val="auto"/>
        </w:rPr>
      </w:pPr>
    </w:p>
    <w:p>
      <w:pPr>
        <w:jc w:val="both"/>
        <w:ind w:left="860" w:hanging="434"/>
        <w:spacing w:after="0" w:line="258"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futures assets and liabilities are included in “Prepaid expenses and other” on the accompanying Consolidated Balance Sheets. These contracts included short/sell positions and long/buy positions for approximately 6.3 million and 575,000 bushels of corn, respectively at January 31, 2025. These contracts also included short/sell positions for approximately 4.2 million gallons of ethanol at January 31, 2025. These contracts included short/sell positions and long/buy positions for approximately 255,000 and 6.9 million bushels of corn, respectively at January 31, 2024. These contracts also included short/sell positions for approximately 210,000 gallons of ethanol at January 31, 2024.</w:t>
      </w:r>
    </w:p>
    <w:p>
      <w:pPr>
        <w:spacing w:after="0" w:line="183" w:lineRule="exact"/>
        <w:rPr>
          <w:rFonts w:ascii="Times New Roman" w:cs="Times New Roman" w:eastAsia="Times New Roman" w:hAnsi="Times New Roman"/>
          <w:sz w:val="18"/>
          <w:szCs w:val="18"/>
          <w:color w:val="auto"/>
        </w:rPr>
      </w:pPr>
    </w:p>
    <w:p>
      <w:pPr>
        <w:jc w:val="both"/>
        <w:ind w:left="860" w:hanging="434"/>
        <w:spacing w:after="0" w:line="256"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2025, and 2024,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January 31, 2025 and 2024, the Company was required to maintain collateral with the counterparty in the amount of approximately $2,523,000 and $2,152,000, respectively, recorded within “Prepaid expenses and other” on the accompanying Consolidated Balance Sheets.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4 which contains fair value information related to derivative financial instruments.</w:t>
      </w:r>
    </w:p>
    <w:p>
      <w:pPr>
        <w:spacing w:after="0" w:line="225" w:lineRule="exact"/>
        <w:rPr>
          <w:sz w:val="20"/>
          <w:szCs w:val="20"/>
          <w:color w:val="auto"/>
        </w:rPr>
      </w:pPr>
    </w:p>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gains (losses) recognized in income on the Company’s derivative financial instruments and the line items on the accompanying Consolidated Statements of Operations in which the fair values are reflected for the years ended January 31, 2025, 2024 and 2023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3020" w:type="dxa"/>
            <w:vAlign w:val="bottom"/>
          </w:tcPr>
          <w:p>
            <w:pPr>
              <w:spacing w:after="0"/>
              <w:rPr>
                <w:sz w:val="19"/>
                <w:szCs w:val="19"/>
                <w:color w:val="auto"/>
              </w:rPr>
            </w:pPr>
          </w:p>
        </w:tc>
      </w:tr>
      <w:tr>
        <w:trPr>
          <w:trHeight w:val="238"/>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20" w:type="dxa"/>
            <w:vAlign w:val="bottom"/>
          </w:tcPr>
          <w:p>
            <w:pPr>
              <w:spacing w:after="0"/>
              <w:rPr>
                <w:sz w:val="20"/>
                <w:szCs w:val="20"/>
                <w:color w:val="auto"/>
              </w:rPr>
            </w:pPr>
          </w:p>
        </w:tc>
      </w:tr>
      <w:tr>
        <w:trPr>
          <w:trHeight w:val="426"/>
        </w:trPr>
        <w:tc>
          <w:tcPr>
            <w:tcW w:w="3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020" w:type="dxa"/>
            <w:vAlign w:val="bottom"/>
          </w:tcPr>
          <w:p>
            <w:pPr>
              <w:spacing w:after="0"/>
              <w:rPr>
                <w:sz w:val="24"/>
                <w:szCs w:val="24"/>
                <w:color w:val="auto"/>
              </w:rPr>
            </w:pPr>
          </w:p>
        </w:tc>
      </w:tr>
      <w:tr>
        <w:trPr>
          <w:trHeight w:val="432"/>
        </w:trPr>
        <w:tc>
          <w:tcPr>
            <w:tcW w:w="3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(2,739)</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15,023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(12,714)</w:t>
            </w:r>
          </w:p>
        </w:tc>
        <w:tc>
          <w:tcPr>
            <w:tcW w:w="3020" w:type="dxa"/>
            <w:vAlign w:val="bottom"/>
          </w:tcPr>
          <w:p>
            <w:pPr>
              <w:spacing w:after="0"/>
              <w:rPr>
                <w:sz w:val="24"/>
                <w:szCs w:val="24"/>
                <w:color w:val="auto"/>
              </w:rPr>
            </w:pPr>
          </w:p>
        </w:tc>
      </w:tr>
      <w:tr>
        <w:trPr>
          <w:trHeight w:val="405"/>
        </w:trPr>
        <w:tc>
          <w:tcPr>
            <w:tcW w:w="3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50"/>
        </w:trPr>
        <w:tc>
          <w:tcPr>
            <w:tcW w:w="3320" w:type="dxa"/>
            <w:vAlign w:val="bottom"/>
            <w:tcBorders>
              <w:bottom w:val="single" w:sz="8" w:color="C0C0C0"/>
            </w:tcBorders>
          </w:tcPr>
          <w:p>
            <w:pPr>
              <w:spacing w:after="0"/>
              <w:rPr>
                <w:sz w:val="21"/>
                <w:szCs w:val="21"/>
                <w:color w:val="auto"/>
              </w:rPr>
            </w:pPr>
          </w:p>
        </w:tc>
        <w:tc>
          <w:tcPr>
            <w:tcW w:w="19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30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48" w:name="page49"/>
    <w:bookmarkEnd w:id="48"/>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the REX American Resources Corporation 2015 Incentive Plan, approved by its shareholders, which reserved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vested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equity awards in its consolidated financial statements over the requisite service period on a straight-line basis. At January 31, 2025, 1,065,809 shares remain available for issuance under the Plan, after taking into account restricted stock units that vested, detailed further below.</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As a component of their compensation, restricted stock has been granted to directors and certain employees at the market price of REX common stock on the date of the grant. In addition, one-quarter of executives’ incentive compensation is payable by an award of restricted stock based on the</w:t>
      </w:r>
    </w:p>
    <w:p>
      <w:pPr>
        <w:jc w:val="both"/>
        <w:ind w:left="440" w:right="20"/>
        <w:spacing w:after="0" w:line="209" w:lineRule="auto"/>
        <w:rPr>
          <w:sz w:val="20"/>
          <w:szCs w:val="20"/>
          <w:color w:val="auto"/>
        </w:rPr>
      </w:pPr>
      <w:r>
        <w:rPr>
          <w:rFonts w:ascii="Times New Roman" w:cs="Times New Roman" w:eastAsia="Times New Roman" w:hAnsi="Times New Roman"/>
          <w:sz w:val="18"/>
          <w:szCs w:val="18"/>
          <w:color w:val="auto"/>
        </w:rPr>
        <w:t>then market price of REX common stock. The Company’s board of directors has determined that the grant date will be June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the next business day, for all grants of restricted stock.</w:t>
      </w:r>
    </w:p>
    <w:p>
      <w:pPr>
        <w:spacing w:after="0" w:line="20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Based on retirement eligibility provisions, a portion of restricted stock grants are expensed at grant date, based on grant date fair value, thus considered vested for accounting purposes. At January 31, 2025, 20,046 shares were unvested for accounting purposes and unrecognized compensation cost related to these nonvested restricted stock awards was approximately $554,000, to be recognized over a weighted average vesting term of 1.9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legally non-vested restricted stock award activity for fiscal years 2024,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580" w:type="dxa"/>
            <w:vAlign w:val="bottom"/>
          </w:tcPr>
          <w:p>
            <w:pPr>
              <w:spacing w:after="0"/>
              <w:rPr>
                <w:sz w:val="16"/>
                <w:szCs w:val="16"/>
                <w:color w:val="auto"/>
              </w:rPr>
            </w:pP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2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Average Remaining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58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VestingTerm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5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3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2024</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162,855</w:t>
            </w: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0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vMerge w:val="continue"/>
          </w:tcPr>
          <w:p>
            <w:pPr>
              <w:spacing w:after="0"/>
              <w:rPr>
                <w:sz w:val="21"/>
                <w:szCs w:val="21"/>
                <w:color w:val="auto"/>
              </w:rPr>
            </w:pPr>
          </w:p>
        </w:tc>
        <w:tc>
          <w:tcPr>
            <w:tcW w:w="43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2025</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162,392</w:t>
            </w: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0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E5FF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436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Non-Vested at January 31, 2023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Non-Vested at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Non-Vested at January 31, 2022</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Non-Vested at January 31, 2023</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5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20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Average Remaining</w:t>
            </w: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580" w:type="dxa"/>
            <w:vAlign w:val="bottom"/>
          </w:tcPr>
          <w:p>
            <w:pPr>
              <w:spacing w:after="0"/>
              <w:rPr>
                <w:sz w:val="18"/>
                <w:szCs w:val="18"/>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VestingTerm</w:t>
            </w:r>
          </w:p>
        </w:tc>
      </w:tr>
      <w:tr>
        <w:trPr>
          <w:trHeight w:val="238"/>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5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20"/>
                <w:szCs w:val="20"/>
                <w:color w:val="auto"/>
              </w:rPr>
            </w:pPr>
          </w:p>
        </w:tc>
      </w:tr>
      <w:tr>
        <w:trPr>
          <w:trHeight w:val="407"/>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81,264</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32,135</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162,855</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580" w:type="dxa"/>
            <w:vAlign w:val="bottom"/>
          </w:tcPr>
          <w:p>
            <w:pPr>
              <w:spacing w:after="0"/>
              <w:rPr>
                <w:sz w:val="16"/>
                <w:szCs w:val="16"/>
                <w:color w:val="auto"/>
              </w:rPr>
            </w:pP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20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Average Remaining</w:t>
            </w: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580" w:type="dxa"/>
            <w:vAlign w:val="bottom"/>
          </w:tcPr>
          <w:p>
            <w:pPr>
              <w:spacing w:after="0"/>
              <w:rPr>
                <w:sz w:val="18"/>
                <w:szCs w:val="18"/>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r>
      <w:tr>
        <w:trPr>
          <w:trHeight w:val="238"/>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5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20"/>
                <w:szCs w:val="20"/>
                <w:color w:val="auto"/>
              </w:rPr>
            </w:pPr>
          </w:p>
        </w:tc>
      </w:tr>
      <w:tr>
        <w:trPr>
          <w:trHeight w:val="407"/>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81,264</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-2750820</wp:posOffset>
            </wp:positionV>
            <wp:extent cx="606044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-2476500</wp:posOffset>
            </wp:positionV>
            <wp:extent cx="606044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-2047875</wp:posOffset>
            </wp:positionV>
            <wp:extent cx="606044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0440" cy="1625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-882015</wp:posOffset>
            </wp:positionV>
            <wp:extent cx="60604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-607695</wp:posOffset>
            </wp:positionV>
            <wp:extent cx="606044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-179070</wp:posOffset>
            </wp:positionV>
            <wp:extent cx="606044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660" w:space="720"/>
            <w:col w:w="6440"/>
          </w:cols>
          <w:pgMar w:left="740" w:top="414" w:right="339" w:bottom="1440" w:gutter="0" w:footer="0" w:header="0"/>
        </w:sectPr>
      </w:pPr>
    </w:p>
    <w:p>
      <w:pPr>
        <w:spacing w:after="0" w:line="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May 2022, the Company issued a total of 67,500 RSUs to certain officers. The number of RSUs that would vest was determined based on how the Company’s TSR compared to the TSR of companies that comprise the Russell 2000 Index during the three-year performance period ended December 31, 2024. The number of RSUs eligible to vest ranged from zero percent to two hundred percent, depending on actual performance during the performance period. At grant date, the fair value of the RSUs was approximately $2.7 million based on a Monte-Carlo simulation model.</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For the years ended January 31, 2025 and 2024, the Company recognized compensation cost of approximately $0.9 million and $1.1 million, respectively, related to RSUs. Unrecognized compensation cost related to nonvested RSUs was $0 and approximately $0.9 million at January 31, 2025 and 2024, respectively.</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performance period for these awards ended on December 31, 2024. The calculated payout of the units that vested was 148%, or 99,900 shares. As the shares were vested upon completion of the performance period and the shares were issued at the end of February 2025, it was determined appropriate to include these shares within weighted average shares – basic. The company had no other dilutive shares at January 31, 2025.</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January 31, 2024, we calculated the diluted weighted average shares as follows (amounts in thousands):</w:t>
      </w:r>
    </w:p>
    <w:p>
      <w:pPr>
        <w:sectPr>
          <w:pgSz w:w="11900" w:h="16838" w:orient="portrait"/>
          <w:cols w:equalWidth="0" w:num="1">
            <w:col w:w="10820"/>
          </w:cols>
          <w:pgMar w:left="740" w:top="414" w:right="339" w:bottom="1440" w:gutter="0" w:footer="0" w:header="0"/>
          <w:type w:val="continuous"/>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Dilutive effect of RSUs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shares - diluted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color w:val="auto"/>
        </w:rPr>
        <w:t>17,482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-119380</wp:posOffset>
            </wp:positionV>
            <wp:extent cx="498919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498919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1"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u w:val="single" w:color="auto"/>
          <w:color w:val="auto"/>
        </w:rPr>
        <w:t>17,576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34290</wp:posOffset>
            </wp:positionV>
            <wp:extent cx="316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154305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400" w:space="720"/>
            <w:col w:w="5700"/>
          </w:cols>
          <w:pgMar w:left="740" w:top="414" w:right="339" w:bottom="1440" w:gutter="0" w:footer="0" w:header="0"/>
          <w:type w:val="continuous"/>
        </w:sectPr>
      </w:pPr>
    </w:p>
    <w:bookmarkStart w:id="50" w:name="page51"/>
    <w:bookmarkEnd w:id="50"/>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2025, One Earth and NuGen had combined forward purchase contracts for approximately 24.4 million bushels of corn, the principal raw material for their ethanol plants and they had combined forward purchase contracts for approximately 0.8 million MmBtu of natural gas.</w:t>
      </w:r>
    </w:p>
    <w:p>
      <w:pPr>
        <w:spacing w:after="0" w:line="161"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2025, One Earth and NuGen had combined sales commitments for approximately 51.2 million gallons of ethanol, 88,000 tons of distillers grains and 12.0 million pounds of distillers corn oil.</w:t>
      </w:r>
    </w:p>
    <w:p>
      <w:pPr>
        <w:spacing w:after="0" w:line="161"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2025, One Earth had signed contracts in place for capital projects of approximately $9.6 million, primarily related to its carbon capture and sequestration project and plant expansion.</w:t>
      </w:r>
    </w:p>
    <w:p>
      <w:pPr>
        <w:spacing w:after="0" w:line="161"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2025, One Earth had a facilities rental agreement with a utility provider that has been executed and is scheduled to commence in early 2025. The remaining future payments are estimated to be approximately $4.7 million over an initial term of ten years. The facility will service both the One Earth Energy ethanol plant and the planned carbon sequestration compression facility.</w:t>
      </w:r>
    </w:p>
    <w:p>
      <w:pPr>
        <w:spacing w:after="0" w:line="175"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Earth has entered into a 10-year agreement in 2009 with an unrelated party for the use of a portion of that party’s natural gas pipeline. A new 15-year agreement, with monthly payments of $29,250 was effective February 1, 2019. One Earth paid approximately $351,000 in fiscal years 2024, 2023, and 2022 pursuant to the agreement.</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$1,110,000, $1,199,000, and $1,159,000 in fiscal years 2024, 2023, and 2022, respectively, for these marketing services.</w:t>
      </w:r>
    </w:p>
    <w:p>
      <w:pPr>
        <w:spacing w:after="0" w:line="188"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end of fiscal year 2024, management entered into an agreement at one of the consolidated ethanol subsidiaries to purchase equipment with delivery commencing in the second quarter of fiscal year 2025 for approximately $15.4 million.</w:t>
      </w:r>
    </w:p>
    <w:p>
      <w:pPr>
        <w:spacing w:after="0" w:line="157"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fiscal years 2024, 2023, and 2022 consists of the following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5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56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58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E5FF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5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5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(2,035)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5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5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vMerge w:val="continue"/>
          </w:tcPr>
          <w:p>
            <w:pPr>
              <w:spacing w:after="0"/>
              <w:rPr>
                <w:sz w:val="21"/>
                <w:szCs w:val="21"/>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7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shd w:val="clear" w:color="auto" w:fill="E5FF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tcBorders>
              <w:top w:val="single" w:sz="8" w:color="E5FFFF"/>
            </w:tcBorders>
          </w:tcPr>
          <w:p>
            <w:pPr>
              <w:spacing w:after="0" w:line="20" w:lineRule="exact"/>
              <w:rPr>
                <w:sz w:val="1"/>
                <w:szCs w:val="1"/>
                <w:color w:val="auto"/>
              </w:rPr>
            </w:pPr>
          </w:p>
        </w:tc>
        <w:tc>
          <w:tcPr>
            <w:tcW w:w="16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52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The tax effects of significant temporary differences representing deferred tax assets and liabilities are as follows (amounts in thousands):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Other items</w:t>
            </w:r>
          </w:p>
        </w:tc>
        <w:tc>
          <w:tcPr>
            <w:tcW w:w="20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820"/>
          </w:cols>
          <w:pgMar w:left="740" w:top="40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606044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60604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200" w:right="2860"/>
        <w:spacing w:after="0" w:line="260" w:lineRule="auto"/>
        <w:rPr>
          <w:sz w:val="20"/>
          <w:szCs w:val="20"/>
          <w:color w:val="auto"/>
        </w:rPr>
      </w:pPr>
      <w:r>
        <w:rPr>
          <w:rFonts w:ascii="Times New Roman" w:cs="Times New Roman" w:eastAsia="Times New Roman" w:hAnsi="Times New Roman"/>
          <w:sz w:val="18"/>
          <w:szCs w:val="18"/>
          <w:color w:val="auto"/>
        </w:rPr>
        <w:t>Basis in pass through entities, including depreciation Other</w:t>
      </w:r>
    </w:p>
    <w:p>
      <w:pPr>
        <w:spacing w:after="0" w:line="20" w:lineRule="exact"/>
        <w:rPr>
          <w:sz w:val="20"/>
          <w:szCs w:val="20"/>
          <w:color w:val="auto"/>
        </w:rPr>
      </w:pPr>
      <w:r>
        <w:rPr>
          <w:sz w:val="20"/>
          <w:szCs w:val="20"/>
          <w:color w:val="auto"/>
        </w:rPr>
        <w:br w:type="column"/>
      </w: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5,125</w:t>
      </w:r>
      <w:r>
        <w:rPr>
          <w:sz w:val="20"/>
          <w:szCs w:val="20"/>
          <w:color w:val="auto"/>
        </w:rPr>
        <w:tab/>
      </w:r>
      <w:r>
        <w:rPr>
          <w:rFonts w:ascii="Times New Roman" w:cs="Times New Roman" w:eastAsia="Times New Roman" w:hAnsi="Times New Roman"/>
          <w:sz w:val="18"/>
          <w:szCs w:val="18"/>
          <w:color w:val="auto"/>
        </w:rPr>
        <w:t>13,237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17145</wp:posOffset>
            </wp:positionV>
            <wp:extent cx="1568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color w:val="auto"/>
        </w:rPr>
        <w:t>(7,470)</w:t>
      </w:r>
      <w:r>
        <w:rPr>
          <w:sz w:val="20"/>
          <w:szCs w:val="20"/>
          <w:color w:val="auto"/>
        </w:rPr>
        <w:tab/>
      </w:r>
      <w:r>
        <w:rPr>
          <w:rFonts w:ascii="Times New Roman" w:cs="Times New Roman" w:eastAsia="Times New Roman" w:hAnsi="Times New Roman"/>
          <w:sz w:val="17"/>
          <w:szCs w:val="17"/>
          <w:color w:val="auto"/>
        </w:rPr>
        <w:t>(6,334)</w:t>
      </w:r>
    </w:p>
    <w:p>
      <w:pPr>
        <w:spacing w:after="0" w:line="3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(1,217)</w:t>
      </w:r>
      <w:r>
        <w:rPr>
          <w:sz w:val="20"/>
          <w:szCs w:val="20"/>
          <w:color w:val="auto"/>
        </w:rPr>
        <w:tab/>
      </w:r>
      <w:r>
        <w:rPr>
          <w:rFonts w:ascii="Times New Roman" w:cs="Times New Roman" w:eastAsia="Times New Roman" w:hAnsi="Times New Roman"/>
          <w:sz w:val="17"/>
          <w:szCs w:val="17"/>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14605</wp:posOffset>
            </wp:positionV>
            <wp:extent cx="15684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860" w:space="720"/>
            <w:col w:w="3240"/>
          </w:cols>
          <w:pgMar w:left="740" w:top="405" w:right="339" w:bottom="1440" w:gutter="0" w:footer="0" w:header="0"/>
          <w:type w:val="continuous"/>
        </w:sectPr>
      </w:pP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9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(8,687)</w:t>
            </w:r>
          </w:p>
        </w:tc>
        <w:tc>
          <w:tcPr>
            <w:tcW w:w="2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80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(6,998)</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asset</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7"/>
              </w:rPr>
              <w:t>(3,562)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net deferred tax liability (asset) is reported on the accompanying Consolidated Balance Sheets based on net position by tax jurisdiction, with both federal positions and state positions recorded as net liabilities within “Deferred taxes” at January 31, 2025. At January 31, 2024, federal positions of approximately $7.8 million are recorded as assets on the Consolidated Balance Sheets within “Other assets” and state positions of $1.6 million are recorded as liabilities on the accompanying Consolidated Balance Sheets within “Deferred taxes”.</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has a general business credit carryforward, net of the impact of uncertain tax positions, of approximately $4.2 million and $12.3 million at January 31, 2025 and 2024, respectively. The Company can carry these credits forward for up to twenty years. The carryforward periods expire between fiscal years 2041 and 2042.</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has a valuation allowance of approximately $132,000 and $160,000 at January 31, 2025 and 2024, respectively, related to state net operating loss carryforwards. The Company decreased the valuation allowance by $28,000 in fiscal year 2024. These adjustments to the valuation allowance are a result of estimates of realizing certain future state tax benefits.</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During fiscal year 2022, the Company recognized an income tax benefit for federal and state research and experimentation credits (net of uncertain tax position expense) of approximately $0.4 million. The credits can be used to reduce future income tax liabilities for up to 20 years.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Company paid income taxes of approximately $7,895,000, $12,730,000, and $2,795,000 fiscal years 2024, 2023, and 2022, respectively. The Company did not receive any refunds in fiscal years 2024, 2023, and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the federal statutory tax and the Company’s income tax expense for fiscal years 2024, 2023, and 2022 are as follows (amounts in thousands):</w:t>
      </w:r>
    </w:p>
    <w:p>
      <w:pPr>
        <w:spacing w:after="0" w:line="1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1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30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560" w:type="dxa"/>
            <w:vAlign w:val="bottom"/>
            <w:shd w:val="clear" w:color="auto" w:fill="E5FFFF"/>
          </w:tcPr>
          <w:p>
            <w:pPr>
              <w:spacing w:after="0"/>
              <w:rPr>
                <w:sz w:val="18"/>
                <w:szCs w:val="18"/>
                <w:color w:val="auto"/>
              </w:rPr>
            </w:pPr>
          </w:p>
        </w:tc>
        <w:tc>
          <w:tcPr>
            <w:tcW w:w="2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Research and experimentation credits</w:t>
            </w:r>
          </w:p>
        </w:tc>
        <w:tc>
          <w:tcPr>
            <w:tcW w:w="9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9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50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3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56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undergoing a federal income tax examination for the years ended January 31, 2015 through January 31, 2022 related to tax credits claimed on returns during those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ASC 740-10-25-5 for uncertain tax positions. As of January 31, 2025, total unrecognized tax benefits were approximately $18,880,000, and accrued penalties and interest were approximately $99,000. If the Company were to prevail on all unrecognized tax benefits recorded, the provision for income taxes would be reduced by approximately $18,795,000. In addition, the impact of penalties and interest would also benefit the effective tax rate. Interest and penalties associated with unrecognized tax benefits are recorded within income tax expense.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The Company accounts for uncertainty in income taxes by determining whether it is more likely than not the position will be sustained on audit, including resolution of any related tax audits. A reconciliation of the beginning and ending amount of unrecognized tax benefits, including interest and penalties, is as follows (amounts in thousands):</w:t>
      </w:r>
    </w:p>
    <w:p>
      <w:pPr>
        <w:sectPr>
          <w:pgSz w:w="11900" w:h="16838" w:orient="portrait"/>
          <w:cols w:equalWidth="0" w:num="1">
            <w:col w:w="10800"/>
          </w:cols>
          <w:pgMar w:left="76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tax benefits, beginning of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for tax positions for prior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for tax positions for current year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end of year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146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407"/>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32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r>
      <w:tr>
        <w:trPr>
          <w:trHeight w:val="248"/>
        </w:trPr>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320" w:type="dxa"/>
            <w:vAlign w:val="bottom"/>
          </w:tcPr>
          <w:p>
            <w:pPr>
              <w:spacing w:after="0"/>
              <w:rPr>
                <w:sz w:val="24"/>
                <w:szCs w:val="24"/>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60" w:type="dxa"/>
            <w:vAlign w:val="bottom"/>
          </w:tcPr>
          <w:p>
            <w:pPr>
              <w:spacing w:after="0"/>
              <w:rPr>
                <w:sz w:val="24"/>
                <w:szCs w:val="24"/>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-745490</wp:posOffset>
            </wp:positionV>
            <wp:extent cx="57003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-471170</wp:posOffset>
            </wp:positionV>
            <wp:extent cx="570039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154305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380" w:space="720"/>
            <w:col w:w="5700"/>
          </w:cols>
          <w:pgMar w:left="760" w:top="414" w:right="339" w:bottom="1440" w:gutter="0" w:footer="0" w:header="0"/>
          <w:type w:val="continuous"/>
        </w:sectPr>
      </w:pPr>
    </w:p>
    <w:bookmarkStart w:id="53" w:name="page54"/>
    <w:bookmarkEnd w:id="53"/>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2025 and 2024, the total unrecognized tax benefits were included within the following lines on the accompanying Consolidated Balance Sheets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FFFF"/>
          </w:tcPr>
          <w:p>
            <w:pPr>
              <w:spacing w:after="0"/>
              <w:rPr>
                <w:sz w:val="18"/>
                <w:szCs w:val="18"/>
                <w:color w:val="auto"/>
              </w:rPr>
            </w:pPr>
          </w:p>
        </w:tc>
        <w:tc>
          <w:tcPr>
            <w:tcW w:w="3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Long-term taxes payable</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0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32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2025 as the Company did not believe that there was a probable and reasonably estimable loss associated with any legal contingencies.</w:t>
      </w:r>
    </w:p>
    <w:p>
      <w:pPr>
        <w:spacing w:after="0" w:line="175"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2024, 2023, and 2022, One Earth and NuGen, combined, purchased approximately $99.2 million, $117.0 million, and $135.4 million, respectively, of corn and other supplies from minority equity investors. The Company had amounts payable to related parties of approximately $1.4 million and $5.8 million at January 31, 2025 and 2024, respectively.</w:t>
      </w:r>
    </w:p>
    <w:p>
      <w:pPr>
        <w:spacing w:after="0" w:line="175"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2024, $1.5 million was paid to landowners who are equity investors of One Earth Energy, for land easements related to the carbon sequestration project.</w:t>
      </w:r>
    </w:p>
    <w:p>
      <w:pPr>
        <w:spacing w:after="0" w:line="161"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2023 the Company received approximately $22,000 in capital contributions from the minority investor in the refined coal entity. The Company did not receive capital contributions related to the refined coal entity in fiscal years 2024 and 2022.</w:t>
      </w:r>
    </w:p>
    <w:p>
      <w:pPr>
        <w:spacing w:after="0" w:line="157"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operating decision maker is the Executive Committee that includes the Executive Chairman of the Board and The Chief Executive Officer. The chief operating decision maker uses net income generated from operating segments in determining the allocation of resources and making assessment of Company performance.</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applying the criteria set forth in ASC 280, Segment Reporting, the Company determined that based on the nature of the products and production process and the expected financial results, the Company’s operations at its ethanol plants are aggregated into one reporting segment, each of which is reviewed in the same manner by the CODM.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4" w:name="page55"/>
    <w:bookmarkEnd w:id="54"/>
    <w:tbl>
      <w:tblPr>
        <w:tblLayout w:type="fixed"/>
        <w:tblInd w:w="432"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360" w:type="dxa"/>
            <w:vAlign w:val="bottom"/>
          </w:tcPr>
          <w:p>
            <w:pPr>
              <w:spacing w:after="0"/>
              <w:rPr>
                <w:sz w:val="20"/>
                <w:szCs w:val="20"/>
                <w:color w:val="auto"/>
              </w:rPr>
            </w:pPr>
          </w:p>
        </w:tc>
        <w:tc>
          <w:tcPr>
            <w:tcW w:w="13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by-products</w:t>
            </w:r>
          </w:p>
        </w:tc>
        <w:tc>
          <w:tcPr>
            <w:tcW w:w="360" w:type="dxa"/>
            <w:vAlign w:val="bottom"/>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1,664,052</w:t>
            </w:r>
          </w:p>
        </w:tc>
        <w:tc>
          <w:tcPr>
            <w:tcW w:w="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2,213,035</w:t>
            </w:r>
          </w:p>
        </w:tc>
        <w:tc>
          <w:tcPr>
            <w:tcW w:w="560" w:type="dxa"/>
            <w:vAlign w:val="bottom"/>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2,364,406</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(1,021,561)</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(1,379,651)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(1,509,406)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consolidated net sales and revenue</w:t>
            </w:r>
          </w:p>
        </w:tc>
        <w:tc>
          <w:tcPr>
            <w:tcW w:w="360" w:type="dxa"/>
            <w:vAlign w:val="bottom"/>
            <w:tcBorders>
              <w:bottom w:val="single" w:sz="8" w:color="auto"/>
            </w:tcBorders>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642,491</w:t>
            </w: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833,384</w:t>
            </w:r>
          </w:p>
        </w:tc>
        <w:tc>
          <w:tcPr>
            <w:tcW w:w="56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855,000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by-products:</w:t>
            </w: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corn</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1,094,364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1,542,265</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1,791,876</w:t>
            </w: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cost of sales (1)</w:t>
            </w: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361,052</w:t>
            </w:r>
          </w:p>
        </w:tc>
        <w:tc>
          <w:tcPr>
            <w:tcW w:w="380" w:type="dxa"/>
            <w:vAlign w:val="bottom"/>
            <w:shd w:val="clear" w:color="auto" w:fill="E5FFFF"/>
          </w:tcPr>
          <w:p>
            <w:pPr>
              <w:spacing w:after="0"/>
              <w:rPr>
                <w:sz w:val="18"/>
                <w:szCs w:val="18"/>
                <w:color w:val="auto"/>
              </w:rPr>
            </w:pP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412,003</w:t>
            </w:r>
          </w:p>
        </w:tc>
        <w:tc>
          <w:tcPr>
            <w:tcW w:w="560" w:type="dxa"/>
            <w:vAlign w:val="bottom"/>
            <w:shd w:val="clear" w:color="auto" w:fill="E5FFFF"/>
          </w:tcPr>
          <w:p>
            <w:pPr>
              <w:spacing w:after="0"/>
              <w:rPr>
                <w:sz w:val="18"/>
                <w:szCs w:val="18"/>
                <w:color w:val="auto"/>
              </w:rPr>
            </w:pP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429,822</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(904,402)</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(1,219,102)</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(1,415,300)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360" w:type="dxa"/>
            <w:vAlign w:val="bottom"/>
            <w:tcBorders>
              <w:bottom w:val="single" w:sz="8" w:color="auto"/>
            </w:tcBorders>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551,014</w:t>
            </w: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735,166</w:t>
            </w:r>
          </w:p>
        </w:tc>
        <w:tc>
          <w:tcPr>
            <w:tcW w:w="56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806,398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by-products</w:t>
            </w:r>
          </w:p>
        </w:tc>
        <w:tc>
          <w:tcPr>
            <w:tcW w:w="360" w:type="dxa"/>
            <w:vAlign w:val="bottom"/>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208,636</w:t>
            </w:r>
          </w:p>
        </w:tc>
        <w:tc>
          <w:tcPr>
            <w:tcW w:w="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258,767</w:t>
            </w:r>
          </w:p>
        </w:tc>
        <w:tc>
          <w:tcPr>
            <w:tcW w:w="560" w:type="dxa"/>
            <w:vAlign w:val="bottom"/>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142,708</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(117,159)</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(160,549)</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consolidated gross profit</w:t>
            </w:r>
          </w:p>
        </w:tc>
        <w:tc>
          <w:tcPr>
            <w:tcW w:w="360" w:type="dxa"/>
            <w:vAlign w:val="bottom"/>
            <w:tcBorders>
              <w:bottom w:val="single" w:sz="8" w:color="auto"/>
            </w:tcBorders>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91,477</w:t>
            </w: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98,218</w:t>
            </w:r>
          </w:p>
        </w:tc>
        <w:tc>
          <w:tcPr>
            <w:tcW w:w="56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48,602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by-products</w:t>
            </w:r>
          </w:p>
        </w:tc>
        <w:tc>
          <w:tcPr>
            <w:tcW w:w="360" w:type="dxa"/>
            <w:vAlign w:val="bottom"/>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49,071</w:t>
            </w:r>
          </w:p>
        </w:tc>
        <w:tc>
          <w:tcPr>
            <w:tcW w:w="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56,207</w:t>
            </w:r>
          </w:p>
        </w:tc>
        <w:tc>
          <w:tcPr>
            <w:tcW w:w="560" w:type="dxa"/>
            <w:vAlign w:val="bottom"/>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56,993</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(27,356)</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(33,168)</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consolidated depreciation and amortization expense</w:t>
            </w:r>
          </w:p>
        </w:tc>
        <w:tc>
          <w:tcPr>
            <w:tcW w:w="360" w:type="dxa"/>
            <w:vAlign w:val="bottom"/>
            <w:tcBorders>
              <w:bottom w:val="single" w:sz="8" w:color="auto"/>
            </w:tcBorders>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21,715</w:t>
            </w: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23,039</w:t>
            </w:r>
          </w:p>
        </w:tc>
        <w:tc>
          <w:tcPr>
            <w:tcW w:w="56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23,304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by-products</w:t>
            </w:r>
          </w:p>
        </w:tc>
        <w:tc>
          <w:tcPr>
            <w:tcW w:w="360" w:type="dxa"/>
            <w:vAlign w:val="bottom"/>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201,650</w:t>
            </w:r>
          </w:p>
        </w:tc>
        <w:tc>
          <w:tcPr>
            <w:tcW w:w="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253,600</w:t>
            </w:r>
          </w:p>
        </w:tc>
        <w:tc>
          <w:tcPr>
            <w:tcW w:w="560" w:type="dxa"/>
            <w:vAlign w:val="bottom"/>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148,469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(108,778)</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(155,116)</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(100,990)</w:t>
            </w:r>
          </w:p>
        </w:tc>
        <w:tc>
          <w:tcPr>
            <w:tcW w:w="0" w:type="dxa"/>
            <w:vAlign w:val="bottom"/>
          </w:tcPr>
          <w:p>
            <w:pPr>
              <w:spacing w:after="0"/>
              <w:rPr>
                <w:sz w:val="1"/>
                <w:szCs w:val="1"/>
                <w:color w:val="auto"/>
              </w:rPr>
            </w:pPr>
          </w:p>
        </w:tc>
      </w:tr>
      <w:tr>
        <w:trPr>
          <w:trHeight w:val="210"/>
        </w:trPr>
        <w:tc>
          <w:tcPr>
            <w:tcW w:w="5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92,872</w:t>
            </w:r>
          </w:p>
        </w:tc>
        <w:tc>
          <w:tcPr>
            <w:tcW w:w="380" w:type="dxa"/>
            <w:vAlign w:val="bottom"/>
            <w:shd w:val="clear" w:color="auto" w:fill="E5FFFF"/>
          </w:tcPr>
          <w:p>
            <w:pPr>
              <w:spacing w:after="0"/>
              <w:rPr>
                <w:sz w:val="18"/>
                <w:szCs w:val="18"/>
                <w:color w:val="auto"/>
              </w:rPr>
            </w:pPr>
          </w:p>
        </w:tc>
        <w:tc>
          <w:tcPr>
            <w:tcW w:w="15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98,484</w:t>
            </w:r>
          </w:p>
        </w:tc>
        <w:tc>
          <w:tcPr>
            <w:tcW w:w="560" w:type="dxa"/>
            <w:vAlign w:val="bottom"/>
            <w:shd w:val="clear" w:color="auto" w:fill="E5FFFF"/>
          </w:tcPr>
          <w:p>
            <w:pPr>
              <w:spacing w:after="0"/>
              <w:rPr>
                <w:sz w:val="18"/>
                <w:szCs w:val="18"/>
                <w:color w:val="auto"/>
              </w:rPr>
            </w:pPr>
          </w:p>
        </w:tc>
        <w:tc>
          <w:tcPr>
            <w:tcW w:w="11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47,479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(21,386)</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(22,560)</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consolidated net income</w:t>
            </w:r>
          </w:p>
        </w:tc>
        <w:tc>
          <w:tcPr>
            <w:tcW w:w="360" w:type="dxa"/>
            <w:vAlign w:val="bottom"/>
            <w:tcBorders>
              <w:bottom w:val="single" w:sz="8" w:color="auto"/>
            </w:tcBorders>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71,486</w:t>
            </w:r>
          </w:p>
        </w:tc>
        <w:tc>
          <w:tcPr>
            <w:tcW w:w="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75,924</w:t>
            </w:r>
          </w:p>
        </w:tc>
        <w:tc>
          <w:tcPr>
            <w:tcW w:w="56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37,937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52" w:hanging="434"/>
        <w:spacing w:after="0" w:line="282" w:lineRule="auto"/>
        <w:tabs>
          <w:tab w:leader="none" w:pos="8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within “Other cost of sales” consists primarily of depreciation, other raw materials such as denaturant and chemicals, utilities, repair and maintenance and production labor.</w:t>
      </w:r>
    </w:p>
    <w:p>
      <w:pPr>
        <w:spacing w:after="0" w:line="15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4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January 31, 2025 the Company repurchased 281,709 shares for approximately $11.9 million through open market transactions. After these repurchases, a total of 222,510 shares remained available to purchase under existing board authorization.</w:t>
      </w:r>
    </w:p>
    <w:p>
      <w:pPr>
        <w:spacing w:after="0" w:line="161" w:lineRule="exact"/>
        <w:rPr>
          <w:rFonts w:ascii="Times New Roman" w:cs="Times New Roman" w:eastAsia="Times New Roman" w:hAnsi="Times New Roman"/>
          <w:sz w:val="18"/>
          <w:szCs w:val="18"/>
          <w:b w:val="1"/>
          <w:bCs w:val="1"/>
          <w:color w:val="auto"/>
        </w:rPr>
      </w:pPr>
    </w:p>
    <w:p>
      <w:pPr>
        <w:ind w:left="4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25, 2025, the Board of Directors authorized the repurchase from time to time of up to an additional 1,500,000 shares through open market transactions, privately negotiated transactions, or transactions by other means in accordance with applicable securities laws.</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 * * * *</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1" w:right="339" w:bottom="1440" w:gutter="0" w:footer="0" w:header="0"/>
        </w:sectPr>
      </w:pPr>
    </w:p>
    <w:bookmarkStart w:id="55" w:name="page56"/>
    <w:bookmarkEnd w:id="5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REX American Resources Corporation and its subsidiaries (the Company) as of January 31, 2025 and 2024, the related consolidated statements of operations, shareholders’ equity and cash flows for each of the two years in the period ended January 31, 2025, and the related notes to the consolidated financial statements and schedule (collectively, the financial statements). In our opinion, the financial statements present fairly, in all material respects, the financial position of the Company as of January 31, 2025 and 2024, and the results of its operations and its cash flows for each of the two years in the period ended January 31, 2025, in conformity with accounting principles generally accepted in the United States of America.</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28, 2025,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in Note 12, the Company accounts for uncertainty in income taxes by determining whether it is more likely than not that the position will be sustained on audit, including resolution of any related tax audits. The Company has total unrecognized tax benefits of approximately $18,880,000 at January 31, 2025 and is currently undergoing a federal income tax examination for the years ended January 31, 2015 through January 31, 2022.</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Due to the specialized tax knowledge involved, we identified valuation of the unrecognized tax benefit as a critical audit matter. Performance of our audit procedures to evaluate management’s judgments required a high degree of auditor judgment and the involvement of our tax specialists.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the assistance of income tax specialists, our audit procedures related to the valuation of unrecognized tax benefits included the following, among others:</w:t>
      </w:r>
    </w:p>
    <w:p>
      <w:pPr>
        <w:spacing w:after="0" w:line="162" w:lineRule="exact"/>
        <w:rPr>
          <w:sz w:val="20"/>
          <w:szCs w:val="20"/>
          <w:color w:val="auto"/>
        </w:rPr>
      </w:pPr>
    </w:p>
    <w:p>
      <w:pPr>
        <w:ind w:left="660" w:hanging="328"/>
        <w:spacing w:after="0" w:line="281"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obtained an understanding of the relevant controls related to income taxes, including those over the evaluation of uncertain tax positions, and we tested such controls for design and operating effectiveness.</w:t>
      </w:r>
    </w:p>
    <w:p>
      <w:pPr>
        <w:spacing w:after="0" w:line="148" w:lineRule="exact"/>
        <w:rPr>
          <w:rFonts w:ascii="Arial" w:cs="Arial" w:eastAsia="Arial" w:hAnsi="Arial"/>
          <w:sz w:val="18"/>
          <w:szCs w:val="18"/>
          <w:color w:val="auto"/>
        </w:rPr>
      </w:pPr>
    </w:p>
    <w:p>
      <w:pPr>
        <w:ind w:left="660" w:right="360" w:hanging="328"/>
        <w:spacing w:after="0" w:line="281"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management’s estimate of the uncertain tax position by considering industry results of federal income tax examinations under similar circumstances, new information related to tax law and tax authority settlements.</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mathematical accuracy of the Company’s uncertain tax position analysis.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sufficiency of the Company’s disclosures related to the effects of uncertain tax positions in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40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shareholders’ equity, and cash flows for the year ended January 31, 2023, and the related notes and schedule listed in the Index at Item 15 (collectively referred to as the “financial statements”) of REX American Resources, Inc. and subsidiaries (the “Company”). In our opinion, the financial statements present fairly, in all material respects, the results of the Company’s operations and its cash flows for the year ended January 31, 2023,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 Ohio</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March 30, 2023 (March 29, 2024 as to the change in the method of accounting for shipping and handling costs described in Note 1 and March 28, 2025 as to Note 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2002. In 2023 we became the predecessor auditor.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JANUARY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320" w:type="dxa"/>
            <w:vAlign w:val="bottom"/>
          </w:tcPr>
          <w:p>
            <w:pPr>
              <w:spacing w:after="0"/>
              <w:rPr>
                <w:sz w:val="17"/>
                <w:szCs w:val="17"/>
                <w:color w:val="auto"/>
              </w:rPr>
            </w:pPr>
          </w:p>
        </w:tc>
        <w:tc>
          <w:tcPr>
            <w:tcW w:w="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780" w:type="dxa"/>
            <w:vAlign w:val="bottom"/>
          </w:tcPr>
          <w:p>
            <w:pPr>
              <w:spacing w:after="0"/>
              <w:rPr>
                <w:sz w:val="17"/>
                <w:szCs w:val="17"/>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20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Charges for</w:t>
            </w: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740" w:type="dxa"/>
            <w:vAlign w:val="bottom"/>
            <w:gridSpan w:val="4"/>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32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Cost and</w:t>
            </w:r>
          </w:p>
        </w:tc>
        <w:tc>
          <w:tcPr>
            <w:tcW w:w="20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Which Reserves</w:t>
            </w:r>
          </w:p>
        </w:tc>
        <w:tc>
          <w:tcPr>
            <w:tcW w:w="120" w:type="dxa"/>
            <w:vAlign w:val="bottom"/>
          </w:tcPr>
          <w:p>
            <w:pPr>
              <w:spacing w:after="0"/>
              <w:rPr>
                <w:sz w:val="18"/>
                <w:szCs w:val="18"/>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320" w:type="dxa"/>
            <w:vAlign w:val="bottom"/>
          </w:tcPr>
          <w:p>
            <w:pPr>
              <w:spacing w:after="0"/>
              <w:rPr>
                <w:sz w:val="20"/>
                <w:szCs w:val="20"/>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Were Created</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jc w:val="right"/>
              <w:ind w:right="3750"/>
              <w:spacing w:after="0"/>
              <w:rPr>
                <w:sz w:val="20"/>
                <w:szCs w:val="20"/>
                <w:color w:val="auto"/>
              </w:rPr>
            </w:pPr>
            <w:r>
              <w:rPr>
                <w:rFonts w:ascii="Times New Roman" w:cs="Times New Roman" w:eastAsia="Times New Roman" w:hAnsi="Times New Roman"/>
                <w:sz w:val="18"/>
                <w:szCs w:val="18"/>
                <w:color w:val="auto"/>
                <w:w w:val="97"/>
              </w:rPr>
              <w:t>2025:</w:t>
            </w:r>
          </w:p>
        </w:tc>
        <w:tc>
          <w:tcPr>
            <w:tcW w:w="17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w:t>
            </w: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jc w:val="right"/>
              <w:ind w:right="3750"/>
              <w:spacing w:after="0"/>
              <w:rPr>
                <w:sz w:val="20"/>
                <w:szCs w:val="20"/>
                <w:color w:val="auto"/>
              </w:rPr>
            </w:pPr>
            <w:r>
              <w:rPr>
                <w:rFonts w:ascii="Times New Roman" w:cs="Times New Roman" w:eastAsia="Times New Roman" w:hAnsi="Times New Roman"/>
                <w:sz w:val="18"/>
                <w:szCs w:val="18"/>
                <w:color w:val="auto"/>
                <w:w w:val="97"/>
              </w:rPr>
              <w:t>2024:</w:t>
            </w:r>
          </w:p>
        </w:tc>
        <w:tc>
          <w:tcPr>
            <w:tcW w:w="17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jc w:val="right"/>
              <w:ind w:right="3750"/>
              <w:spacing w:after="0"/>
              <w:rPr>
                <w:sz w:val="20"/>
                <w:szCs w:val="20"/>
                <w:color w:val="auto"/>
              </w:rPr>
            </w:pPr>
            <w:r>
              <w:rPr>
                <w:rFonts w:ascii="Times New Roman" w:cs="Times New Roman" w:eastAsia="Times New Roman" w:hAnsi="Times New Roman"/>
                <w:sz w:val="18"/>
                <w:szCs w:val="18"/>
                <w:color w:val="auto"/>
                <w:w w:val="97"/>
              </w:rPr>
              <w:t>2023:</w:t>
            </w:r>
          </w:p>
        </w:tc>
        <w:tc>
          <w:tcPr>
            <w:tcW w:w="17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w:t>
            </w: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Material Changes to Internal Control Over Financial Reporting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left="660" w:right="80"/>
        <w:spacing w:after="0" w:line="28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58"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62"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assessed the effectiveness of our internal control over financial reporting as of January 31, 2025 based on the Internal Control-Integrated Framework (2013) issued by the Committee of Sponsoring Organizations of the Treadway Commission (“COSO”). Based upon this assessment, our management concluded that our internal control over financial reporting was effective as of January 31, 2025 based on those criteria.</w:t>
      </w:r>
    </w:p>
    <w:p>
      <w:pPr>
        <w:spacing w:after="0" w:line="180"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2025 has been audited by RSM US LLP, an independent registered public accounting firm, as stated in their report which is included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 ZAFAR A. RIZVI</w:t>
            </w:r>
          </w:p>
        </w:tc>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0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Zafar A. Rizvi</w:t>
            </w:r>
          </w:p>
        </w:tc>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7"/>
              </w:rPr>
              <w:t>March 28, 2025</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 DOUGLAS L. BRUGGEMAN</w:t>
            </w:r>
          </w:p>
        </w:tc>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200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Douglas L. Bruggeman</w:t>
            </w:r>
          </w:p>
        </w:tc>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7"/>
              </w:rPr>
              <w:t>March 28, 2025</w:t>
            </w:r>
          </w:p>
        </w:tc>
      </w:tr>
      <w:tr>
        <w:trPr>
          <w:trHeight w:val="405"/>
        </w:trPr>
        <w:tc>
          <w:tcPr>
            <w:tcW w:w="3200" w:type="dxa"/>
            <w:vAlign w:val="bottom"/>
          </w:tcPr>
          <w:p>
            <w:pPr>
              <w:spacing w:after="0"/>
              <w:rPr>
                <w:sz w:val="24"/>
                <w:szCs w:val="24"/>
                <w:color w:val="auto"/>
              </w:rPr>
            </w:pPr>
          </w:p>
        </w:tc>
        <w:tc>
          <w:tcPr>
            <w:tcW w:w="60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60</w:t>
            </w:r>
          </w:p>
        </w:tc>
        <w:tc>
          <w:tcPr>
            <w:tcW w:w="2000" w:type="dxa"/>
            <w:vAlign w:val="bottom"/>
          </w:tcPr>
          <w:p>
            <w:pPr>
              <w:spacing w:after="0"/>
              <w:rPr>
                <w:sz w:val="24"/>
                <w:szCs w:val="24"/>
                <w:color w:val="auto"/>
              </w:rPr>
            </w:pPr>
          </w:p>
        </w:tc>
      </w:tr>
      <w:tr>
        <w:trPr>
          <w:trHeight w:val="250"/>
        </w:trPr>
        <w:tc>
          <w:tcPr>
            <w:tcW w:w="3200" w:type="dxa"/>
            <w:vAlign w:val="bottom"/>
            <w:tcBorders>
              <w:bottom w:val="single" w:sz="8" w:color="C0C0C0"/>
            </w:tcBorders>
          </w:tcPr>
          <w:p>
            <w:pPr>
              <w:spacing w:after="0"/>
              <w:rPr>
                <w:sz w:val="21"/>
                <w:szCs w:val="21"/>
                <w:color w:val="auto"/>
              </w:rPr>
            </w:pPr>
          </w:p>
        </w:tc>
        <w:tc>
          <w:tcPr>
            <w:tcW w:w="6040" w:type="dxa"/>
            <w:vAlign w:val="bottom"/>
            <w:tcBorders>
              <w:bottom w:val="single" w:sz="8" w:color="C0C0C0"/>
            </w:tcBorders>
          </w:tcPr>
          <w:p>
            <w:pPr>
              <w:spacing w:after="0"/>
              <w:rPr>
                <w:sz w:val="21"/>
                <w:szCs w:val="21"/>
                <w:color w:val="auto"/>
              </w:rPr>
            </w:pPr>
          </w:p>
        </w:tc>
        <w:tc>
          <w:tcPr>
            <w:tcW w:w="20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3" w:right="339" w:bottom="1440" w:gutter="0" w:footer="0" w:header="0"/>
        </w:sectPr>
      </w:pPr>
    </w:p>
    <w:bookmarkStart w:id="60" w:name="page61"/>
    <w:bookmarkEnd w:id="6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We have audited REX American Resources Corporation’s (the Company) internal control over financial reporting as of January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w:t>
      </w:r>
    </w:p>
    <w:p>
      <w:pPr>
        <w:spacing w:after="0" w:line="1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March 28, 2025, expressed an unqualified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61" w:name="page62"/>
    <w:bookmarkEnd w:id="61"/>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the Proxy Statement for our Annual Meeting of Shareholders on June 4, 2025, except for certain information concerning our executive officers which is set forth in Part I of this report.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in the Proxy Statement for our Annual Meeting of Shareholders on June 4, 2025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in the Proxy Statement for our Annual Meeting of Shareholders on June 4, 2025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in the Proxy Statement for our Annual Meeting of Shareholders on June 4, 2025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set forth in the Proxy Statement for our Annual Meeting of Shareholders on June 4, 2025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REX American Resources Corporation and subsidiaries are filed as a part of this report at Item 8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January 31, 2025 and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January 31, 2025, 2024, and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January 31, 2025, 2024, and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January 31, 2025, 2024, and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Firm-RSM US LLP (PCAOB ID No. 49)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Firm-Deloitte &amp; Touche LLP (PCAOB ID No. 34)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 xml:space="preserve">(a)(2)(i)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at Item 8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(3)(i)</w:t>
      </w:r>
      <w:r>
        <w:rPr>
          <w:sz w:val="20"/>
          <w:szCs w:val="20"/>
          <w:color w:val="auto"/>
        </w:rPr>
        <w:tab/>
      </w:r>
      <w:r>
        <w:rPr>
          <w:rFonts w:ascii="Times New Roman" w:cs="Times New Roman" w:eastAsia="Times New Roman" w:hAnsi="Times New Roman"/>
          <w:sz w:val="17"/>
          <w:szCs w:val="17"/>
          <w:i w:val="1"/>
          <w:iCs w:val="1"/>
          <w:color w:val="auto"/>
        </w:rPr>
        <w:t>Articles of Incorporation:</w:t>
      </w:r>
    </w:p>
    <w:p>
      <w:pPr>
        <w:spacing w:after="0" w:line="227" w:lineRule="exact"/>
        <w:rPr>
          <w:sz w:val="20"/>
          <w:szCs w:val="20"/>
          <w:color w:val="auto"/>
        </w:rPr>
      </w:pPr>
    </w:p>
    <w:p>
      <w:pPr>
        <w:ind w:left="1300" w:right="2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w:t>
      </w:r>
      <w:r>
        <w:rPr>
          <w:sz w:val="20"/>
          <w:szCs w:val="20"/>
          <w:color w:val="auto"/>
        </w:rPr>
        <w:tab/>
      </w:r>
      <w:hyperlink r:id="rId90">
        <w:r>
          <w:rPr>
            <w:rFonts w:ascii="Times New Roman" w:cs="Times New Roman" w:eastAsia="Times New Roman" w:hAnsi="Times New Roman"/>
            <w:sz w:val="18"/>
            <w:szCs w:val="18"/>
            <w:u w:val="single" w:color="auto"/>
            <w:color w:val="0000EE"/>
          </w:rPr>
          <w:t>Certificate of Incorporation, as amended (incorporated by reference to Exhibit 3(a) to Form 10-Q for quarter ended July 31, 2010, File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No. 001-09097)</w:t>
        </w:r>
      </w:hyperlink>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(3)(ii)</w:t>
      </w:r>
      <w:r>
        <w:rPr>
          <w:sz w:val="20"/>
          <w:szCs w:val="20"/>
          <w:color w:val="auto"/>
        </w:rPr>
        <w:tab/>
      </w:r>
      <w:r>
        <w:rPr>
          <w:rFonts w:ascii="Times New Roman" w:cs="Times New Roman" w:eastAsia="Times New Roman" w:hAnsi="Times New Roman"/>
          <w:sz w:val="18"/>
          <w:szCs w:val="18"/>
          <w:i w:val="1"/>
          <w:iCs w:val="1"/>
          <w:color w:val="auto"/>
        </w:rPr>
        <w:t>Bylaws:</w:t>
      </w:r>
    </w:p>
    <w:p>
      <w:pPr>
        <w:spacing w:after="0" w:line="227"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3(ii)</w:t>
      </w:r>
      <w:r>
        <w:rPr>
          <w:sz w:val="20"/>
          <w:szCs w:val="20"/>
          <w:color w:val="auto"/>
        </w:rPr>
        <w:tab/>
      </w:r>
      <w:hyperlink r:id="rId91">
        <w:r>
          <w:rPr>
            <w:rFonts w:ascii="Times New Roman" w:cs="Times New Roman" w:eastAsia="Times New Roman" w:hAnsi="Times New Roman"/>
            <w:sz w:val="18"/>
            <w:szCs w:val="18"/>
            <w:u w:val="single" w:color="auto"/>
            <w:color w:val="0000EE"/>
          </w:rPr>
          <w:t>By-Laws, as amended (incorporated by reference to Exhibit 3(ii) to Form 8-K filed August 7, 2024, File No. 001-09097)</w:t>
        </w:r>
      </w:hyperlink>
    </w:p>
    <w:p>
      <w:pPr>
        <w:spacing w:after="0" w:line="22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Instruments defining the rights of securities holders, including indentures:</w:t>
      </w:r>
    </w:p>
    <w:p>
      <w:pPr>
        <w:spacing w:after="0" w:line="227" w:lineRule="exact"/>
        <w:rPr>
          <w:sz w:val="20"/>
          <w:szCs w:val="20"/>
          <w:color w:val="auto"/>
        </w:rPr>
      </w:pPr>
    </w:p>
    <w:p>
      <w:pPr>
        <w:ind w:left="1300" w:right="2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w:t>
      </w:r>
      <w:r>
        <w:rPr>
          <w:sz w:val="20"/>
          <w:szCs w:val="20"/>
          <w:color w:val="auto"/>
        </w:rPr>
        <w:tab/>
      </w:r>
      <w:hyperlink r:id="rId92">
        <w:r>
          <w:rPr>
            <w:rFonts w:ascii="Times New Roman" w:cs="Times New Roman" w:eastAsia="Times New Roman" w:hAnsi="Times New Roman"/>
            <w:sz w:val="18"/>
            <w:szCs w:val="18"/>
            <w:u w:val="single" w:color="auto"/>
            <w:color w:val="0000EE"/>
          </w:rPr>
          <w:t>Description of Securities Registered Under Section 12 of the Exchange Act (incorporated by reference to Exhibit 4(a) to Form 10-K filed</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April 1, 2020, File No. 001-09097)</w:t>
        </w:r>
      </w:hyperlink>
    </w:p>
    <w:p>
      <w:pPr>
        <w:spacing w:after="0" w:line="16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contracts:</w:t>
      </w:r>
    </w:p>
    <w:p>
      <w:pPr>
        <w:spacing w:after="0" w:line="227"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10(a)* </w:t>
      </w:r>
      <w:hyperlink r:id="rId93">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Zafar A. Rizvi</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(incorporated by reference to Exhibit 10.1 to Form 8-K filed May 27, 2022, File No. 001-09097)</w:t>
        </w:r>
      </w:hyperlink>
    </w:p>
    <w:p>
      <w:pPr>
        <w:spacing w:after="0" w:line="161" w:lineRule="exact"/>
        <w:rPr>
          <w:rFonts w:ascii="Times New Roman" w:cs="Times New Roman" w:eastAsia="Times New Roman" w:hAnsi="Times New Roman"/>
          <w:sz w:val="18"/>
          <w:szCs w:val="18"/>
          <w:u w:val="single" w:color="auto"/>
          <w:color w:val="0000EE"/>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10(b)* </w:t>
      </w:r>
      <w:hyperlink r:id="rId94">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Douglas L.</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Bruggeman (incorporated by reference to Exhibit 10.2 to Form 8-K filed May 27, 2022, File No. 001-09097)</w:t>
        </w:r>
      </w:hyperlink>
    </w:p>
    <w:p>
      <w:pPr>
        <w:spacing w:after="0" w:line="161" w:lineRule="exact"/>
        <w:rPr>
          <w:rFonts w:ascii="Times New Roman" w:cs="Times New Roman" w:eastAsia="Times New Roman" w:hAnsi="Times New Roman"/>
          <w:sz w:val="18"/>
          <w:szCs w:val="18"/>
          <w:u w:val="single" w:color="auto"/>
          <w:color w:val="0000EE"/>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10(c)* </w:t>
      </w:r>
      <w:hyperlink r:id="rId95">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Stuart A. Rose</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(incorporated by reference to Exhibit 10.3 to Form 8-K filed May 27, 2022, File No. 001-09097)</w:t>
        </w:r>
      </w:hyperlink>
    </w:p>
    <w:p>
      <w:pPr>
        <w:spacing w:after="0" w:line="161"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10(d)*  </w:t>
      </w:r>
      <w:hyperlink r:id="rId96">
        <w:r>
          <w:rPr>
            <w:rFonts w:ascii="Times New Roman" w:cs="Times New Roman" w:eastAsia="Times New Roman" w:hAnsi="Times New Roman"/>
            <w:sz w:val="18"/>
            <w:szCs w:val="18"/>
            <w:u w:val="single" w:color="auto"/>
            <w:color w:val="0000EE"/>
          </w:rPr>
          <w:t>2015 Incentive Plan (incorporated by reference to Exhibit 10(d) to Form 8-K filed June 8, 2015, File No. 001-09097)</w:t>
        </w:r>
      </w:hyperlink>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10(e)* </w:t>
      </w:r>
      <w:hyperlink r:id="rId97">
        <w:r>
          <w:rPr>
            <w:rFonts w:ascii="Times New Roman" w:cs="Times New Roman" w:eastAsia="Times New Roman" w:hAnsi="Times New Roman"/>
            <w:sz w:val="18"/>
            <w:szCs w:val="18"/>
            <w:u w:val="single" w:color="auto"/>
            <w:color w:val="0000EE"/>
          </w:rPr>
          <w:t>Form of Restricted Stock Award Agreement under the REX American Resources 2015 Incentive Plan (incorporated by reference to</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Exhibit 10.1 to Form 8-K filed June 22, 2022, File No. 001-09097)</w:t>
        </w:r>
      </w:hyperlink>
    </w:p>
    <w:p>
      <w:pPr>
        <w:spacing w:after="0" w:line="161" w:lineRule="exact"/>
        <w:rPr>
          <w:rFonts w:ascii="Times New Roman" w:cs="Times New Roman" w:eastAsia="Times New Roman" w:hAnsi="Times New Roman"/>
          <w:sz w:val="18"/>
          <w:szCs w:val="18"/>
          <w:u w:val="single" w:color="auto"/>
          <w:color w:val="0000EE"/>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10(f) </w:t>
      </w:r>
      <w:hyperlink r:id="rId98">
        <w:r>
          <w:rPr>
            <w:rFonts w:ascii="Times New Roman" w:cs="Times New Roman" w:eastAsia="Times New Roman" w:hAnsi="Times New Roman"/>
            <w:sz w:val="18"/>
            <w:szCs w:val="18"/>
            <w:u w:val="single" w:color="auto"/>
            <w:color w:val="0000EE"/>
          </w:rPr>
          <w:t>Consulting Services Agreement, effective as of August 1, 2024, between One Earth Sequestration LLC and Highstake 35 LLC dba</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Mercury Public Affairs (incorporated by reference to Exhibit 4 to Form 10-Q filed December 5, 2024, File No. 001-09097)</w:t>
        </w:r>
      </w:hyperlink>
    </w:p>
    <w:p>
      <w:pPr>
        <w:spacing w:after="0" w:line="162" w:lineRule="exact"/>
        <w:rPr>
          <w:rFonts w:ascii="Times New Roman" w:cs="Times New Roman" w:eastAsia="Times New Roman" w:hAnsi="Times New Roman"/>
          <w:sz w:val="18"/>
          <w:szCs w:val="18"/>
          <w:u w:val="single" w:color="auto"/>
          <w:color w:val="0000EE"/>
        </w:rPr>
      </w:pPr>
    </w:p>
    <w:p>
      <w:pPr>
        <w:ind w:left="1300" w:right="20" w:hanging="63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10(g)</w:t>
      </w:r>
      <w:r>
        <w:rPr>
          <w:sz w:val="20"/>
          <w:szCs w:val="20"/>
          <w:color w:val="auto"/>
        </w:rPr>
        <w:tab/>
      </w:r>
      <w:r>
        <w:rPr>
          <w:rFonts w:ascii="Times New Roman" w:cs="Times New Roman" w:eastAsia="Times New Roman" w:hAnsi="Times New Roman"/>
          <w:sz w:val="18"/>
          <w:szCs w:val="18"/>
          <w:u w:val="single" w:color="auto"/>
          <w:color w:val="0000EE"/>
        </w:rPr>
        <w:t>Amendment No. 1 to Consulting Services Agreement, effective as of January 1, 2025, between One Earth Sequestration LLC and Highstake 35 LLC dba Mercury Public Affairs</w:t>
      </w:r>
    </w:p>
    <w:p>
      <w:pPr>
        <w:spacing w:after="0" w:line="135"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3" w:name="page64"/>
    <w:bookmarkEnd w:id="63"/>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policies and procedures: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7"/>
          <w:szCs w:val="17"/>
          <w:u w:val="single" w:color="auto"/>
          <w:color w:val="0000EE"/>
        </w:rPr>
        <w:t>REX American Resources Corporation Revised Insider Trading Policy</w:t>
      </w:r>
    </w:p>
    <w:p>
      <w:pPr>
        <w:spacing w:after="0" w:line="22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of the registrant: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0000EE"/>
        </w:rPr>
        <w:t>Subsidiaries of registrant</w:t>
      </w:r>
    </w:p>
    <w:p>
      <w:pPr>
        <w:spacing w:after="0" w:line="22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 of experts and counsel:</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23(a)   </w:t>
      </w:r>
      <w:r>
        <w:rPr>
          <w:rFonts w:ascii="Times New Roman" w:cs="Times New Roman" w:eastAsia="Times New Roman" w:hAnsi="Times New Roman"/>
          <w:sz w:val="18"/>
          <w:szCs w:val="18"/>
          <w:u w:val="single" w:color="auto"/>
          <w:color w:val="0000EE"/>
        </w:rPr>
        <w:t>Consent of RSM US LLP,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23(b)   </w:t>
      </w:r>
      <w:r>
        <w:rPr>
          <w:rFonts w:ascii="Times New Roman" w:cs="Times New Roman" w:eastAsia="Times New Roman" w:hAnsi="Times New Roman"/>
          <w:sz w:val="18"/>
          <w:szCs w:val="18"/>
          <w:u w:val="single" w:color="auto"/>
          <w:color w:val="0000EE"/>
        </w:rPr>
        <w:t>Consent of Deloitte &amp; Touche LLP, Independent Registered Public Accounting Firm</w:t>
      </w:r>
    </w:p>
    <w:p>
      <w:pPr>
        <w:spacing w:after="0" w:line="22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13a-14(a)/15d-14(a) Certifications: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0000EE"/>
        </w:rPr>
        <w:t>Certifications</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1350 Certifications: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0000EE"/>
        </w:rPr>
        <w:t>Certifications</w:t>
      </w:r>
    </w:p>
    <w:p>
      <w:pPr>
        <w:spacing w:after="0" w:line="22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relating to erroneously awarded compensation:</w:t>
      </w:r>
    </w:p>
    <w:p>
      <w:pPr>
        <w:spacing w:after="0" w:line="227" w:lineRule="exact"/>
        <w:rPr>
          <w:sz w:val="20"/>
          <w:szCs w:val="20"/>
          <w:color w:val="auto"/>
        </w:rPr>
      </w:pPr>
    </w:p>
    <w:p>
      <w:pPr>
        <w:ind w:left="1300" w:right="320" w:hanging="644"/>
        <w:spacing w:after="0" w:line="282" w:lineRule="auto"/>
        <w:tabs>
          <w:tab w:leader="none" w:pos="1300" w:val="left"/>
        </w:tabs>
        <w:numPr>
          <w:ilvl w:val="1"/>
          <w:numId w:val="28"/>
        </w:numPr>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REX American Resources Corporation Compensation Recovery Policy (incorporated by reference to Exhibit 97.1 to Form 10-K filed</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March 29, 2024, File No. 001-09097)</w:t>
        </w:r>
      </w:hyperlink>
    </w:p>
    <w:p>
      <w:pPr>
        <w:spacing w:after="0" w:line="159"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Data File:</w:t>
      </w:r>
    </w:p>
    <w:p>
      <w:pPr>
        <w:spacing w:after="0" w:line="22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REX American Resources Corporation Annual Report on Form 10-K for the fiscal year ended January 31, 2025, formatted in iXBRL: (i) Consolidated Balance Sheets, (ii) Consolidated Statements of Operations, (iii) Consolidated Statements of Shareholders’ Equity, (iv) Consolidated Statements of Cash Flows and (v) Notes to Consolidated Financial Statements.</w:t>
      </w:r>
    </w:p>
    <w:p>
      <w:pPr>
        <w:spacing w:after="0" w:line="176" w:lineRule="exact"/>
        <w:rPr>
          <w:rFonts w:ascii="Times New Roman" w:cs="Times New Roman" w:eastAsia="Times New Roman" w:hAnsi="Times New Roman"/>
          <w:sz w:val="18"/>
          <w:szCs w:val="18"/>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REX American Resources Corporation on Form 10-K for the year ended January 31, 2025</w:t>
      </w:r>
    </w:p>
    <w:p>
      <w:pPr>
        <w:spacing w:after="0" w:line="221" w:lineRule="exact"/>
        <w:rPr>
          <w:rFonts w:ascii="Times New Roman" w:cs="Times New Roman" w:eastAsia="Times New Roman" w:hAnsi="Times New Roman"/>
          <w:sz w:val="18"/>
          <w:szCs w:val="18"/>
          <w:color w:val="auto"/>
        </w:rPr>
      </w:pPr>
    </w:p>
    <w:p>
      <w:pPr>
        <w:ind w:left="1300" w:right="180"/>
        <w:spacing w:after="0" w:line="286" w:lineRule="auto"/>
        <w:rPr>
          <w:sz w:val="20"/>
          <w:szCs w:val="20"/>
          <w:color w:val="auto"/>
        </w:rPr>
      </w:pPr>
      <w:r>
        <w:rPr>
          <w:rFonts w:ascii="Times New Roman" w:cs="Times New Roman" w:eastAsia="Times New Roman" w:hAnsi="Times New Roman"/>
          <w:sz w:val="18"/>
          <w:szCs w:val="18"/>
          <w:b w:val="1"/>
          <w:bCs w:val="1"/>
          <w:color w:val="auto"/>
        </w:rPr>
        <w:t>Copies of the Exhibits not filed herewith may be obtained by writing to Edward M. Kress, Secretary, REX American Resources Corporation, 7720 Paragon Road, Dayton, Ohio 45459</w:t>
      </w:r>
    </w:p>
    <w:p>
      <w:pPr>
        <w:spacing w:after="0" w:line="159" w:lineRule="exact"/>
        <w:rPr>
          <w:rFonts w:ascii="Times New Roman" w:cs="Times New Roman" w:eastAsia="Times New Roman" w:hAnsi="Times New Roman"/>
          <w:sz w:val="18"/>
          <w:szCs w:val="18"/>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Those exhibits marked with an asterisk (*) above are management contracts or compensatory plans or arrangements for directors or executive officers of the registrant.</w:t>
      </w:r>
    </w:p>
    <w:p>
      <w:pPr>
        <w:spacing w:after="0" w:line="158" w:lineRule="exact"/>
        <w:rPr>
          <w:rFonts w:ascii="Times New Roman" w:cs="Times New Roman" w:eastAsia="Times New Roman" w:hAnsi="Times New Roman"/>
          <w:sz w:val="18"/>
          <w:szCs w:val="18"/>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ZAFAR A. RIZVI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4560" w:type="dxa"/>
            <w:vAlign w:val="bottom"/>
          </w:tcPr>
          <w:p>
            <w:pPr>
              <w:spacing w:after="0"/>
              <w:rPr>
                <w:sz w:val="17"/>
                <w:szCs w:val="17"/>
                <w:color w:val="auto"/>
              </w:rPr>
            </w:pPr>
          </w:p>
        </w:tc>
        <w:tc>
          <w:tcPr>
            <w:tcW w:w="20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STUART A. ROSE</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A. Rose</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ZAFAR A. RIZVI</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Zafar A. Rizvi</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DOUGLAS L. BRUGGEMAN</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 Bruggeman</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M. KRESS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 Kress</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CHARLES A. ELCAN</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Elcan</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 HARRIS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Harris</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MERVYN L. ALPHONSO</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Mervyn L. Alphonso</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LEE I. FISHER</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I. Fisher</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ANNE C. MACMILLAN</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C. MacMillan</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CHERYL L. BUSTOS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L. Bustos</w:t>
            </w:r>
          </w:p>
        </w:tc>
        <w:tc>
          <w:tcPr>
            <w:tcW w:w="60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405"/>
        </w:trPr>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0" w:type="dxa"/>
            <w:vAlign w:val="bottom"/>
            <w:gridSpan w:val="3"/>
          </w:tcPr>
          <w:p>
            <w:pPr>
              <w:jc w:val="right"/>
              <w:ind w:right="3500"/>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760" w:type="dxa"/>
            <w:vAlign w:val="bottom"/>
            <w:tcBorders>
              <w:bottom w:val="single" w:sz="8" w:color="C0C0C0"/>
            </w:tcBorders>
          </w:tcPr>
          <w:p>
            <w:pPr>
              <w:spacing w:after="0"/>
              <w:rPr>
                <w:sz w:val="21"/>
                <w:szCs w:val="21"/>
                <w:color w:val="auto"/>
              </w:rPr>
            </w:pPr>
          </w:p>
        </w:tc>
        <w:tc>
          <w:tcPr>
            <w:tcW w:w="246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456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19685</wp:posOffset>
            </wp:positionV>
            <wp:extent cx="1979930" cy="574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19799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CONSULTING SERVICES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AMENDMENT NO.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TO CONSULTING SERVICES AGREEMENT is made and entered into as of as of January 1, 2025 to amend that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Consulting Services Agreement dated August 1, 2024], and any subsequent amendment, (collectively, the “Agreement”) by and between </w:t>
      </w:r>
      <w:r>
        <w:rPr>
          <w:rFonts w:ascii="Times New Roman" w:cs="Times New Roman" w:eastAsia="Times New Roman" w:hAnsi="Times New Roman"/>
          <w:sz w:val="18"/>
          <w:szCs w:val="18"/>
          <w:b w:val="1"/>
          <w:bCs w:val="1"/>
          <w:color w:val="auto"/>
        </w:rPr>
        <w:t>Highstake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LLC dba Mercury Public Affairs </w:t>
      </w:r>
      <w:r>
        <w:rPr>
          <w:rFonts w:ascii="Times New Roman" w:cs="Times New Roman" w:eastAsia="Times New Roman" w:hAnsi="Times New Roman"/>
          <w:sz w:val="18"/>
          <w:szCs w:val="18"/>
          <w:color w:val="auto"/>
        </w:rPr>
        <w:t>(“Consultant”) and</w:t>
      </w:r>
      <w:r>
        <w:rPr>
          <w:rFonts w:ascii="Times New Roman" w:cs="Times New Roman" w:eastAsia="Times New Roman" w:hAnsi="Times New Roman"/>
          <w:sz w:val="18"/>
          <w:szCs w:val="18"/>
          <w:b w:val="1"/>
          <w:bCs w:val="1"/>
          <w:color w:val="auto"/>
        </w:rPr>
        <w:t xml:space="preserve"> One Earth Sequestration LLC </w:t>
      </w:r>
      <w:r>
        <w:rPr>
          <w:rFonts w:ascii="Times New Roman" w:cs="Times New Roman" w:eastAsia="Times New Roman" w:hAnsi="Times New Roman"/>
          <w:sz w:val="18"/>
          <w:szCs w:val="18"/>
          <w:color w:val="auto"/>
        </w:rPr>
        <w:t>(“Client”).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Agreement is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the intent of the parties to confirm the Agreement, and modify and amend the Agreement related to the following terms only: term and services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TERMS OF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the Consultant and the Client agree as follows:</w:t>
      </w:r>
    </w:p>
    <w:p>
      <w:pPr>
        <w:spacing w:after="0" w:line="225" w:lineRule="exact"/>
        <w:rPr>
          <w:sz w:val="20"/>
          <w:szCs w:val="20"/>
          <w:color w:val="auto"/>
        </w:rPr>
      </w:pPr>
    </w:p>
    <w:p>
      <w:pPr>
        <w:ind w:left="620" w:hanging="252"/>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Agreement is hereby amended and extended effective as of January 1, 2025, and will continue through June 30, 2025.</w:t>
      </w:r>
    </w:p>
    <w:p>
      <w:pPr>
        <w:spacing w:after="0" w:line="225" w:lineRule="exact"/>
        <w:rPr>
          <w:rFonts w:ascii="Times New Roman" w:cs="Times New Roman" w:eastAsia="Times New Roman" w:hAnsi="Times New Roman"/>
          <w:sz w:val="18"/>
          <w:szCs w:val="18"/>
          <w:color w:val="auto"/>
        </w:rPr>
      </w:pPr>
    </w:p>
    <w:p>
      <w:pPr>
        <w:ind w:firstLine="368"/>
        <w:spacing w:after="0" w:line="282" w:lineRule="auto"/>
        <w:tabs>
          <w:tab w:leader="none" w:pos="6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Confirmed</w:t>
      </w:r>
      <w:r>
        <w:rPr>
          <w:rFonts w:ascii="Times New Roman" w:cs="Times New Roman" w:eastAsia="Times New Roman" w:hAnsi="Times New Roman"/>
          <w:sz w:val="18"/>
          <w:szCs w:val="18"/>
          <w:color w:val="auto"/>
        </w:rPr>
        <w:t>. The Agreement and its terms are confirmed. Except as specifically amended herein, no other amendments or modifications are intended or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672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CLIENT:</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Mercury Public Affairs</w:t>
            </w:r>
          </w:p>
        </w:tc>
        <w:tc>
          <w:tcPr>
            <w:tcW w:w="672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One Earth Sequestration LLC</w:t>
            </w: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Pr>
          <w:p>
            <w:pPr>
              <w:spacing w:after="0"/>
              <w:rPr>
                <w:sz w:val="24"/>
                <w:szCs w:val="24"/>
                <w:color w:val="auto"/>
              </w:rPr>
            </w:pPr>
          </w:p>
        </w:tc>
        <w:tc>
          <w:tcPr>
            <w:tcW w:w="67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r>
      <w:tr>
        <w:trPr>
          <w:trHeight w:val="2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Thomas Doherty</w:t>
            </w:r>
          </w:p>
        </w:tc>
        <w:tc>
          <w:tcPr>
            <w:tcW w:w="32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Kelly</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Partner</w:t>
            </w:r>
          </w:p>
        </w:tc>
        <w:tc>
          <w:tcPr>
            <w:tcW w:w="32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01/21/2025</w:t>
            </w:r>
          </w:p>
        </w:tc>
        <w:tc>
          <w:tcPr>
            <w:tcW w:w="32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-668020</wp:posOffset>
            </wp:positionV>
            <wp:extent cx="1414145"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1414145" cy="2228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-788035</wp:posOffset>
            </wp:positionV>
            <wp:extent cx="1285875"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285875" cy="33464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Effective March 25,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REX AMERICAN RESOURCES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REVISED INSIDER TRADING POLICY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3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REX American Resources Corporation (“</w:t>
      </w:r>
      <w:r>
        <w:rPr>
          <w:rFonts w:ascii="Times New Roman" w:cs="Times New Roman" w:eastAsia="Times New Roman" w:hAnsi="Times New Roman"/>
          <w:sz w:val="22"/>
          <w:szCs w:val="22"/>
          <w:u w:val="single" w:color="auto"/>
          <w:color w:val="auto"/>
        </w:rPr>
        <w:t>REX American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Revised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further assist the directors, officers and employees of the Company and its controlled subsidiaries in complying with the requirements of U.S. laws that prohibit certain persons who are aware of material nonpublic information about a company from engaging in transactions in the securities of that company and from providing material nonpublic information to other persons who may trade on the basis of that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Subject to This Policy</w:t>
      </w:r>
    </w:p>
    <w:p>
      <w:pPr>
        <w:spacing w:after="0" w:line="23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This Policy applies to the directors, officers and employees of the Company and its controlled subsidiaries (collectively,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For this purpose, One Earth Energy, LLC, NuGen Energy, LLC and their respective subsidiaries are considered to be controlled subsidiaries of the Company. The Company also may determine from time to time that other persons should be subject to this Policy, such as contractors or consultants who have access to material nonpublic information with respect to the Company. This Policy also applies to Family Members (defined below) of a Covered Person, other members of a Covered Person’s household and entities controlled by a Covered Person, as described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Policy</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including its common stock and restricted stock and any other type of securities that the Company may issue, such as options to purchase common stock, preferred stock and convertible debentures, as well as derivative securities with a value based on the Company’s securities, unless a specific exception is made in this Policy.</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No Covered Person may buy, sell, donate, make a gift of, or engage in any other transaction in Company Securities while aware of material nonpublic information concerning the Company and its subsidiaries.</w:t>
      </w:r>
    </w:p>
    <w:p>
      <w:pPr>
        <w:spacing w:after="0" w:line="185"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In addition, no Covered Person may disclose material nonpublic information to anyone outside of the Company who may trade based on that information or while aware of material nonpublic information, recommend to others that they trade in Company Securities (sometimes referred to as “tipping”).</w:t>
      </w:r>
    </w:p>
    <w:p>
      <w:pPr>
        <w:spacing w:after="0" w:line="20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Further, no Covered Person who, in the course of working for the Company, learns of material nonpublic information about a customer, vendor, supplier or other company with which the Company has a business relationship may engage in any transaction in the securities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ind w:right="20"/>
        <w:spacing w:after="0" w:line="239" w:lineRule="auto"/>
        <w:rPr>
          <w:sz w:val="20"/>
          <w:szCs w:val="20"/>
          <w:color w:val="auto"/>
        </w:rPr>
      </w:pPr>
      <w:r>
        <w:rPr>
          <w:rFonts w:ascii="Times New Roman" w:cs="Times New Roman" w:eastAsia="Times New Roman" w:hAnsi="Times New Roman"/>
          <w:sz w:val="22"/>
          <w:szCs w:val="22"/>
          <w:color w:val="auto"/>
        </w:rPr>
        <w:t>other company. In addition, Covered Persons should be aware that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has successfully brought an action for insider trading against employees of a public company who traded in securities of a competitor while aware of material nonpublic information about their company that could affect the industry in which both companies operated.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Information is “Material”</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Information is considered “material” if it could affect a person’s decision to buy, sell or hold Company Securities. The materiality of information depends upon the facts and circumstances unique to each situation. Material information can be positive or negative and may relate to virtually any aspect of the Company’s business or finances. It is important to remember that whether particular information is material will be viewed by enforcement authorities with the benefit of hindsight. If a Covered Person is unsure whether particular nonpublic information is material, he or she should presume that it is material and consult with the Company’s Compliance Officer (defined below) before disclosing such information or engaging in any transaction in or recommending any Company Securities. While it is not possible to identify all information that might be deemed “material,” information about the following ordinarily would be considered material:</w:t>
      </w:r>
    </w:p>
    <w:p>
      <w:pPr>
        <w:spacing w:after="0" w:line="20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earnings or operational results or projections;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joint ventures or launches of new products or businesses;</w:t>
      </w:r>
    </w:p>
    <w:p>
      <w:pPr>
        <w:ind w:left="660" w:hanging="328"/>
        <w:spacing w:after="0" w:line="230"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senior management;</w:t>
      </w:r>
    </w:p>
    <w:p>
      <w:pPr>
        <w:ind w:left="660" w:hanging="328"/>
        <w:spacing w:after="0" w:line="230"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w:t>
      </w: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stock-oriented activities such as splits, dividend payments and buybacks.</w:t>
      </w:r>
    </w:p>
    <w:p>
      <w:pPr>
        <w:spacing w:after="0" w:line="2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This list is illustrative only and not exhaustive. Other types of information may be material at particular times, depending on the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When Information is “Nonpublic”</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Information is “nonpublic” if it is not available to the general public. In order for information to be considered public, it generally must have been disclosed in the Company’s public filings with the SEC or released broadly to the marketplace, and the investing public must have had time to absorb and evaluate the information. The circulation of rumors, even if accurate, does not constitute effective public dissemination of information.</w:t>
      </w:r>
    </w:p>
    <w:p>
      <w:pPr>
        <w:spacing w:after="0" w:line="20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Even after the Company has publicly announced material information, a reasonable period of time must elapse in order for the market to absorb the information. Therefore, for purposes of this Policy, information will not be considered public until 48 hours have passed following the Company’s widespread public release of the information via press release or public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b w:val="1"/>
          <w:bCs w:val="1"/>
          <w:color w:val="auto"/>
        </w:rPr>
        <w:t>Transactions by Family Members and Others</w:t>
      </w:r>
    </w:p>
    <w:p>
      <w:pPr>
        <w:spacing w:after="0" w:line="237"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 addition to the Covered Persons described under “Persons Subject to this Policy” above, this Policy applies to the family members of Covered Persons who reside with them (including their spouse, children, children away at college, stepchildren, grandchildren, parents, stepparents, grandparents, siblings and in-laws), anyone else who lives in their household, and any family members who do not live in their household but whose transactions in Company Securities are directed by the Covered Person or are subject to their influence or control, such as parents or children who consult with the Covered Person before they trade in Company Securities (collectively referred to as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Covered Persons are responsible for the transactions of these Family Members and therefore should make them aware of the need to confer with the Covered Person before they trade in Company Securities, and all such transactions by Family Members should be considered for purposes of this Policy and applicable securities laws as if the transactions were for the account of the Covered Person. This Policy does not, however, apply to personal securities transactions by Family Members where the purchase or sale decision is made by a third party not controlled by, influenced by or related to a Covered Person or their Family Members.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by Entities that Covered Persons Influence or Control</w:t>
      </w:r>
    </w:p>
    <w:p>
      <w:pPr>
        <w:spacing w:after="0" w:line="2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Policy also applies to any entities that a Covered Person influences or controls, including any corporation, partnership, trust or other entity (collectively referred to as “</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Transactions in Company Securities by Controlled Entities should be treated for the purposes of this Policy and applicable securities laws as if they were for the account of the Covered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Exceptions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does not apply in the following described circumstances:</w:t>
      </w:r>
    </w:p>
    <w:p>
      <w:pPr>
        <w:spacing w:after="0" w:line="229" w:lineRule="exact"/>
        <w:rPr>
          <w:sz w:val="20"/>
          <w:szCs w:val="20"/>
          <w:color w:val="auto"/>
        </w:rPr>
      </w:pPr>
    </w:p>
    <w:p>
      <w:pPr>
        <w:ind w:left="1300" w:right="260" w:hanging="644"/>
        <w:spacing w:after="0" w:line="241" w:lineRule="auto"/>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does not apply to the vesting of restricted stock, or to the exercise of a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right pursuant to which the Company withholds shares of common stock to satisfy tax withholding requirements upon the vesting of the restricted stock. The Policy does apply, however, to any subsequent sale of restricted stock on the market.</w:t>
      </w:r>
    </w:p>
    <w:p>
      <w:pPr>
        <w:spacing w:after="0" w:line="198" w:lineRule="exact"/>
        <w:rPr>
          <w:rFonts w:ascii="Times New Roman" w:cs="Times New Roman" w:eastAsia="Times New Roman" w:hAnsi="Times New Roman"/>
          <w:sz w:val="22"/>
          <w:szCs w:val="22"/>
          <w:color w:val="auto"/>
        </w:rPr>
      </w:pPr>
    </w:p>
    <w:p>
      <w:pPr>
        <w:ind w:left="1300" w:hanging="644"/>
        <w:spacing w:after="0" w:line="237" w:lineRule="auto"/>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does not apply to the exercise of an employee stock option granted to a 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under a Company plan, nor does it apply to the exercise of a tax withholding right pursuant to which a Covered Employee elects to have the Company withhold shares subject to a stock option to satisfy tax withholding requirements. This Policy does apply, however, to any sale of stock as part of a broker-assisted cashless exercise of an option, or any other sale of the stock, including any market sale for the purpose of generating the cash needed to pay the exercise price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9" w:name="page70"/>
    <w:bookmarkEnd w:id="69"/>
    <w:p>
      <w:pPr>
        <w:ind w:left="1300" w:right="80" w:hanging="644"/>
        <w:spacing w:after="0" w:line="241" w:lineRule="auto"/>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Transactions Pursuant to Rule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Rule does not apply to transactions for a Director, Officer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Key Employee made pursuant to a trading plan that meets all of the requirements of Rule 10b5-1(b) under the Securities and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if the trading plan has been approved by the Compliance Officer in accordance with this Policy (see “Rule 10b5-1 Plans”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a Covered Person’s transactions in Company Securities even after that person’s service with the Company and its controlled subsidiaries has terminated. If a Covered Person is in possession of material nonpublic information when his or her service terminates, the Covered Person may not trade in Company Securities until that information has been made public or is no longer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Covered Employees are Responsible for Compliance</w:t>
      </w:r>
    </w:p>
    <w:p>
      <w:pPr>
        <w:spacing w:after="0" w:line="2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This Policy is intended to assist Covered Employees in complying with the applicable laws and rules governing insider trading, but it is each individual Covered Employee’s responsibility to comply with all such laws and rules. Violations of the insider trading laws and rules can subject individuals to civil and criminal penalties, including fees and imprisonment. Violation of this Policy also can subject Covered Employees to disciplinary action by the Company, including termination of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Compliance Officer</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Compliance Officer is the person designated by the Board of Directors of the Company as the Compliance Officer under this Policy. Until changed by the Board of Directors of the Company, the Company’s Chief Financial Officer shall be the Compliance Officer, and the Company’s Secretary shall act as Compliance Officer in the absence of the Chief Financial Officer.</w:t>
      </w:r>
    </w:p>
    <w:p>
      <w:pPr>
        <w:spacing w:after="0" w:line="18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Compliance Officer shall be responsible for: (i) administering, monitoring and enforcing compliance with this Policy; (ii) responding to inquiries relating to this Policy, and making final determinations as to the applicability or interpretation of this Policy; (iii) recommending any modifications or amendments of this Policy to the Board of Directors; (iv) maintaining and periodically updating the list of Key Employees and periodically informing Key Employees of their status as such; and (v) monitoring the opening and closing of Blackout Periods and implementing any special blackout periods as deemed necessary or appropriate by the Compliance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Restrictions – Company Directors, Officers and Key Employees</w:t>
      </w:r>
    </w:p>
    <w:p>
      <w:pPr>
        <w:spacing w:after="0" w:line="23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In addition to the restrictions in this Policy applicable to all Covered Persons, all members of the Board of Directors of the Company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all executive officers of the Company as designated by the Board of Directors for purposes of the rules under Section 16 of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sectPr>
      </w:pPr>
    </w:p>
    <w:bookmarkStart w:id="70" w:name="page71"/>
    <w:bookmarkEnd w:id="70"/>
    <w:p>
      <w:pPr>
        <w:ind w:right="100"/>
        <w:spacing w:after="0" w:line="238" w:lineRule="auto"/>
        <w:rPr>
          <w:sz w:val="20"/>
          <w:szCs w:val="20"/>
          <w:color w:val="auto"/>
        </w:rPr>
      </w:pPr>
      <w:r>
        <w:rPr>
          <w:rFonts w:ascii="Times New Roman" w:cs="Times New Roman" w:eastAsia="Times New Roman" w:hAnsi="Times New Roman"/>
          <w:sz w:val="22"/>
          <w:szCs w:val="22"/>
          <w:color w:val="auto"/>
        </w:rPr>
        <w:t>Act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and all Company employees who work at the Company corporate headquarters, all plant general managers, plant CEO’s, controllers and commodity buyers employed by those controlled subsidiaries of the Company that are operating ethanol plants; all employees who have received, or have been told that they will receive, Company restricted stock, stock options or other stock grants; and all other employees of the Company or a controlled subsidiary who are so designated by the Company (collectively, “</w:t>
      </w:r>
      <w:r>
        <w:rPr>
          <w:rFonts w:ascii="Times New Roman" w:cs="Times New Roman" w:eastAsia="Times New Roman" w:hAnsi="Times New Roman"/>
          <w:sz w:val="22"/>
          <w:szCs w:val="22"/>
          <w:u w:val="single" w:color="auto"/>
          <w:color w:val="auto"/>
        </w:rPr>
        <w:t>Key Employees</w:t>
      </w:r>
      <w:r>
        <w:rPr>
          <w:rFonts w:ascii="Times New Roman" w:cs="Times New Roman" w:eastAsia="Times New Roman" w:hAnsi="Times New Roman"/>
          <w:sz w:val="22"/>
          <w:szCs w:val="22"/>
          <w:color w:val="auto"/>
        </w:rPr>
        <w:t>”), are subject to the following additional restrictions:</w:t>
      </w:r>
    </w:p>
    <w:p>
      <w:pPr>
        <w:spacing w:after="0" w:line="200" w:lineRule="exact"/>
        <w:rPr>
          <w:sz w:val="20"/>
          <w:szCs w:val="20"/>
          <w:color w:val="auto"/>
        </w:rPr>
      </w:pPr>
    </w:p>
    <w:p>
      <w:pPr>
        <w:ind w:left="1300" w:right="100" w:hanging="644"/>
        <w:spacing w:after="0" w:line="241"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Transactions During Quarterly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Directors, Officers and Key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not engage in any transaction in Company Securities during a “Blackout Period” commencing 14 calendar days prior to the end of each fiscal quarter of the Company and ending 48 hours after the Company’s public release of quarterly earnings for that fiscal quarter.</w:t>
      </w:r>
    </w:p>
    <w:p>
      <w:pPr>
        <w:spacing w:after="0" w:line="198" w:lineRule="exact"/>
        <w:rPr>
          <w:rFonts w:ascii="Times New Roman" w:cs="Times New Roman" w:eastAsia="Times New Roman" w:hAnsi="Times New Roman"/>
          <w:sz w:val="22"/>
          <w:szCs w:val="22"/>
          <w:color w:val="auto"/>
        </w:rPr>
      </w:pPr>
    </w:p>
    <w:p>
      <w:pPr>
        <w:ind w:left="1300" w:right="140" w:hanging="644"/>
        <w:spacing w:after="0" w:line="235"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Transactions During Special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other types of material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Company (such as negotiation of material mergers, acquisitions or dispositions or other corporate developments) may be pending but not yet publicly disclosed by the Company. While such material information remains nonpublic, Directors, Officers and Key Employees who are or may become aware of such material information may not engage in any transaction in Company Securities and must keep both the material information and the existence of a special blackout period confidential. The Compliance Officer will notify in writing those Directors, Officers, Key Employees and any other employees who are subject to a special blackout period.</w:t>
      </w:r>
    </w:p>
    <w:p>
      <w:pPr>
        <w:spacing w:after="0" w:line="205" w:lineRule="exact"/>
        <w:rPr>
          <w:rFonts w:ascii="Times New Roman" w:cs="Times New Roman" w:eastAsia="Times New Roman" w:hAnsi="Times New Roman"/>
          <w:sz w:val="22"/>
          <w:szCs w:val="22"/>
          <w:color w:val="auto"/>
        </w:rPr>
      </w:pPr>
    </w:p>
    <w:p>
      <w:pPr>
        <w:ind w:left="1300" w:hanging="644"/>
        <w:spacing w:after="0" w:line="236"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Officer Pre-Approval Required for All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Director, Officer or Key Employee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engage in any transaction in Company Securities unless and until he or she (i) has notified the Compliance Officer in writing of the amount and nature of the proposed transaction(s), and (ii) confirms no earlier than two business days prior to the proposed transaction that: (i) he or she is not in possession of any material nonpublic information concerning the Company, (ii) the proposed transaction does not violate the trading restrictions of Section 16 of the Exchange Act or Rule 144 of the Securities Act, and (iii) the Compliance Officer approves the proposed transaction in writing (which may include by email or other electronic communication).</w:t>
      </w:r>
    </w:p>
    <w:p>
      <w:pPr>
        <w:spacing w:after="0" w:line="202" w:lineRule="exact"/>
        <w:rPr>
          <w:rFonts w:ascii="Times New Roman" w:cs="Times New Roman" w:eastAsia="Times New Roman" w:hAnsi="Times New Roman"/>
          <w:sz w:val="22"/>
          <w:szCs w:val="22"/>
          <w:color w:val="auto"/>
        </w:rPr>
      </w:pPr>
    </w:p>
    <w:p>
      <w:pPr>
        <w:ind w:left="1300" w:right="260" w:hanging="644"/>
        <w:spacing w:after="0" w:line="263" w:lineRule="auto"/>
        <w:tabs>
          <w:tab w:leader="none" w:pos="13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Case-By-Case Exceptions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Compliance Officer may, on a case-by-case basis, in the Compliance Officer’s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sole discretion, authorize a sale of Company Securities by a Director, Officer or Key Employee during an applicable Blackout Period due to financial hardship or other extenuating circumstances, but only after:</w:t>
      </w:r>
    </w:p>
    <w:p>
      <w:pPr>
        <w:spacing w:after="0" w:line="182" w:lineRule="exact"/>
        <w:rPr>
          <w:rFonts w:ascii="Times New Roman" w:cs="Times New Roman" w:eastAsia="Times New Roman" w:hAnsi="Times New Roman"/>
          <w:sz w:val="21"/>
          <w:szCs w:val="21"/>
          <w:color w:val="auto"/>
        </w:rPr>
      </w:pPr>
    </w:p>
    <w:p>
      <w:pPr>
        <w:ind w:left="1960" w:hanging="656"/>
        <w:spacing w:after="0" w:line="244" w:lineRule="auto"/>
        <w:tabs>
          <w:tab w:leader="none" w:pos="19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 Officer or Key Employee requesting the authorization notifies the Compliance Officer in writing of the circumstances of the hardship or other extenuating circumstances and the amount and nature of the proposed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71" w:name="page72"/>
    <w:bookmarkEnd w:id="71"/>
    <w:p>
      <w:pPr>
        <w:ind w:left="1960" w:right="100" w:hanging="656"/>
        <w:spacing w:after="0" w:line="244" w:lineRule="auto"/>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 Officer or Key Employee requesting the authorization informs the Compliance Officer in writing no earlier than two business days prior to the proposed transaction(s) that he or she is not aware of any material nonpublic information concerning the Company;</w:t>
      </w:r>
    </w:p>
    <w:p>
      <w:pPr>
        <w:spacing w:after="0" w:line="200" w:lineRule="exact"/>
        <w:rPr>
          <w:rFonts w:ascii="Times New Roman" w:cs="Times New Roman" w:eastAsia="Times New Roman" w:hAnsi="Times New Roman"/>
          <w:sz w:val="22"/>
          <w:szCs w:val="22"/>
          <w:color w:val="auto"/>
        </w:rPr>
      </w:pPr>
    </w:p>
    <w:p>
      <w:pPr>
        <w:ind w:left="1960" w:right="20" w:hanging="656"/>
        <w:spacing w:after="0" w:line="239" w:lineRule="auto"/>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is not aware of any material nonpublic information concerning the Company at the time of the transaction(s) the disclosure of which could reasonably be expected to negatively impact the market price of Company Securities (regardless of whether the Director, Officer or Key Employee requesting authorization is aware of such information); and</w:t>
      </w:r>
    </w:p>
    <w:p>
      <w:pPr>
        <w:spacing w:after="0" w:line="20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approves the transaction(s) in writing.</w:t>
      </w:r>
    </w:p>
    <w:p>
      <w:pPr>
        <w:spacing w:after="0" w:line="233" w:lineRule="exact"/>
        <w:rPr>
          <w:sz w:val="20"/>
          <w:szCs w:val="20"/>
          <w:color w:val="auto"/>
        </w:rPr>
      </w:pPr>
    </w:p>
    <w:p>
      <w:pPr>
        <w:ind w:left="1300" w:right="140"/>
        <w:spacing w:after="0" w:line="258" w:lineRule="auto"/>
        <w:rPr>
          <w:sz w:val="20"/>
          <w:szCs w:val="20"/>
          <w:color w:val="auto"/>
        </w:rPr>
      </w:pPr>
      <w:r>
        <w:rPr>
          <w:rFonts w:ascii="Times New Roman" w:cs="Times New Roman" w:eastAsia="Times New Roman" w:hAnsi="Times New Roman"/>
          <w:sz w:val="22"/>
          <w:szCs w:val="22"/>
          <w:color w:val="auto"/>
        </w:rPr>
        <w:t>The Compliance Officer is under no obligation to grant any authorization requested by a Director, Officer or Key Employee.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Restrictions Applicable Only to Directors and Officers</w:t>
      </w:r>
    </w:p>
    <w:p>
      <w:pPr>
        <w:spacing w:after="0" w:line="2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 addition to all other limitations set forth in this Policy, all Directors and Officers of the Company are subject to the following additional restrictions:</w:t>
      </w:r>
    </w:p>
    <w:p>
      <w:pPr>
        <w:spacing w:after="0" w:line="181" w:lineRule="exact"/>
        <w:rPr>
          <w:sz w:val="20"/>
          <w:szCs w:val="20"/>
          <w:color w:val="auto"/>
        </w:rPr>
      </w:pPr>
    </w:p>
    <w:p>
      <w:pPr>
        <w:ind w:left="1300" w:hanging="644"/>
        <w:spacing w:after="0" w:line="234" w:lineRule="auto"/>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Pledging or Margin 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pledged (or hypothecated) as collateral for a loan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may be sold by the lender or counterparty to the pledge if the borrower defaults on the loan or obligation. Similarly, Company Securities held in a margin account pledged as collateral for a margin loan may be sold by the broker without the customer’s consent if the customer fails to meet a margin call. Because a sale on a default may occur at a time when the owner of the Company Securities is aware of material nonpublic information or is otherwise not permitted to engage in a transaction in Company Securities, Directors and Officers of the Company are prohibited from holding Company Securities in a margin account or otherwise pledging Company securities in any other way, including as collateral for a loan. Directors and Officers should confirm with their brokers that Company Securities are not held in a margin account or another account in which they are marginable by the broker.</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Short Sales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Director or Officer of the Company may engage in short sales of Company Securities. A short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is the sale of a security that the seller does not own at the time of the trade. Section 16(c) of the Exchange Act prohibits Directors and Officers from engaging in short sales.</w:t>
      </w:r>
    </w:p>
    <w:p>
      <w:pPr>
        <w:spacing w:after="0" w:line="194" w:lineRule="exact"/>
        <w:rPr>
          <w:rFonts w:ascii="Times New Roman" w:cs="Times New Roman" w:eastAsia="Times New Roman" w:hAnsi="Times New Roman"/>
          <w:sz w:val="22"/>
          <w:szCs w:val="22"/>
          <w:color w:val="auto"/>
        </w:rPr>
      </w:pPr>
    </w:p>
    <w:p>
      <w:pPr>
        <w:ind w:left="1300" w:right="700" w:hanging="644"/>
        <w:spacing w:after="0" w:line="246" w:lineRule="auto"/>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Hedging or Other Derivative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Director or Officer of the Company may engage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in puts, calls or other derivative instruments that relate to or involve Company Securities or in hedging transactions involving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72" w:name="page73"/>
    <w:bookmarkEnd w:id="72"/>
    <w:p>
      <w:pPr>
        <w:ind w:left="1300" w:right="20"/>
        <w:spacing w:after="0" w:line="244" w:lineRule="auto"/>
        <w:rPr>
          <w:sz w:val="20"/>
          <w:szCs w:val="20"/>
          <w:color w:val="auto"/>
        </w:rPr>
      </w:pPr>
      <w:r>
        <w:rPr>
          <w:rFonts w:ascii="Times New Roman" w:cs="Times New Roman" w:eastAsia="Times New Roman" w:hAnsi="Times New Roman"/>
          <w:sz w:val="22"/>
          <w:szCs w:val="22"/>
          <w:color w:val="auto"/>
        </w:rPr>
        <w:t>Company Securities, including forward sale or purchase contracts, equity swaps, collars, or exchange funds. These transactions can be speculative in nature and can create the appearance that they are based on nonpublic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10b5-1 Plans</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Rule 10b5-1 adopted under the Exchange Act provides a defense from insider trading liability under Section 10(b) of the Exchange Act and Rule 10b-5. In order to rely on this defense, a person planning to engage in transactions in Company Securities must enter into a Rule 10b5-1 plan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that meets all of the conditions specified in the rule. If the Rule 10b5-1 Plan meets the conditions of Rule 10b5-1, subsequent transactions in Company Securities pursuant to the Rule 10b5-1 Plan may occur even if the person who entered into the plan is aware of material nonpublic information at the time of the subsequent transaction.</w:t>
      </w:r>
    </w:p>
    <w:p>
      <w:pPr>
        <w:spacing w:after="0" w:line="20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 xml:space="preserve">To comply with this Policy, a Rule 10b5-1 Plan must be approved by the Compliance Officer and meet all of the requirements of Rule 10b5-1. A Rule 10b5-1 Plan may only be entered into in good faith at a time when the person entering into the plan is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aware of any material nonpublic information. Once a Rule 10b5-1 Plan is adopted, the person entering into the plan must not exercise any influence over how, when or whether Company Securities will be traded under the Plan. The Rule 10b5-1 Plan must either specify the amount, pricing and timing of transactions in advance or delegate discretion on these matters to an independent third party. The Rule 10b5-1 Plan must include a cooling-off period before trading can commence that, for Directors or Officers, ends on the </w:t>
      </w:r>
      <w:r>
        <w:rPr>
          <w:rFonts w:ascii="Times New Roman" w:cs="Times New Roman" w:eastAsia="Times New Roman" w:hAnsi="Times New Roman"/>
          <w:sz w:val="21"/>
          <w:szCs w:val="21"/>
          <w:u w:val="single" w:color="auto"/>
          <w:color w:val="auto"/>
        </w:rPr>
        <w:t>later</w:t>
      </w:r>
      <w:r>
        <w:rPr>
          <w:rFonts w:ascii="Times New Roman" w:cs="Times New Roman" w:eastAsia="Times New Roman" w:hAnsi="Times New Roman"/>
          <w:sz w:val="21"/>
          <w:szCs w:val="21"/>
          <w:color w:val="auto"/>
        </w:rPr>
        <w:t xml:space="preserve"> of 90 days after the adoption of the Rule 10b5-1 Plan or two business days following the disclosure of the Company’s financial results in an SEC periodic report for the fiscal quarter in which the Rule 10b5-1 Plan was adopted (subject to a maximum cooling off period of 120 days after adoption of the plan). Persons other than Directors and Officers (or the Company) must include a 30-day cooling off period in their Rule 10b5-1 Plans before trading may begin.</w:t>
      </w:r>
    </w:p>
    <w:p>
      <w:pPr>
        <w:spacing w:after="0" w:line="19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Overlapping Rule 10b5-1 Plans are prohibited under Rule 10b5-1 (subject to certain exceptions), and a person may enter into only one single-trade Rule 10b5-1 Plan during any 12-month period (subject to certain exceptions). Directors and Officers must include a representation in their Rule 10b5-1 Plans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the plan. If a trade of a Company Security is made on behalf of a Director or Officer pursuant to a Rule 10b5-1 Plan, the Director or Officer must so indicate on his or her Form 4 filed to report the trade pursuant to Section 16(a) of the Exchange Act.</w:t>
      </w:r>
    </w:p>
    <w:p>
      <w:pPr>
        <w:spacing w:after="0" w:line="210"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The Company must report the adoption, amendment and termination of a Rule 10b5-1 Plan by any of its Officers or Directors each quarter in its Quarterly Report on Form 10-Q filed with the SEC and, therefore, Officers and Directors must timely notify the Compliance Officer of any such adoption, amendment or termination of a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color w:val="auto"/>
        </w:rPr>
        <w:t>Compliance with Section 16</w:t>
      </w:r>
    </w:p>
    <w:p>
      <w:pPr>
        <w:spacing w:after="0" w:line="23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 xml:space="preserve">Section 16(a) of the Exchange Act requires each Director, Officer and owner of more than 10% of the Company’s outstanding common stock to file reports with the SEC on Forms 3, 4 and 5 to report ownership and transactions in the Company’s common stock (including restricted stock and derivative securities such as options to purchase common stock and restricted stock units) beneficially owned by such person. After filing a Form 3 to first enter the filing system, reports generally must be filed with the SEC on Form 4 </w:t>
      </w:r>
      <w:r>
        <w:rPr>
          <w:rFonts w:ascii="Times New Roman" w:cs="Times New Roman" w:eastAsia="Times New Roman" w:hAnsi="Times New Roman"/>
          <w:sz w:val="22"/>
          <w:szCs w:val="22"/>
          <w:u w:val="single" w:color="auto"/>
          <w:color w:val="auto"/>
        </w:rPr>
        <w:t>within two business days</w:t>
      </w:r>
      <w:r>
        <w:rPr>
          <w:rFonts w:ascii="Times New Roman" w:cs="Times New Roman" w:eastAsia="Times New Roman" w:hAnsi="Times New Roman"/>
          <w:sz w:val="22"/>
          <w:szCs w:val="22"/>
          <w:color w:val="auto"/>
        </w:rPr>
        <w:t xml:space="preserve"> after any transaction occurs.</w:t>
      </w:r>
    </w:p>
    <w:p>
      <w:pPr>
        <w:spacing w:after="0" w:line="20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Section 16(b) of the Exchange Act provides that any profit realized by a Director, Officer or 10% shareholder subject to Section 16 from the purchase and sale, or sale and purchase, of the Company’s common stock and/or derivative securities within any period of less than six months may be recovered by the Company from the Director, Officer or shareholder (in a suit brought by the Company or by any shareholder on behalf of the Company if the Company fails to or refuses to do so). The possession of inside information is not a precondition to liability under Section 16(b), and good faith is not a defense.</w:t>
      </w:r>
    </w:p>
    <w:p>
      <w:pPr>
        <w:spacing w:after="0" w:line="2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It is not necessary that the same shares be purchased and/or sold for a violation of Section 16(b) to occur. Any purchase and sale, or sale and purchase, of common stock or derivative securities within any period of less than six months can be matched. The “profit” realized will be computed by matching the highest sale price and lowest purchase price during the six-month period.</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Because a Director, Officer or 10% shareholder is deemed to be the beneficial owner of shares held by Family Members living in the same household, transactions by such Family Members are matchable with transactions by the insider for short-swing profit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 Applicable to the Company</w:t>
      </w:r>
    </w:p>
    <w:p>
      <w:pPr>
        <w:spacing w:after="0" w:line="23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Company will not engage in transactions in Company Securities in the public market (other than pursuant to a qualifying Rule 10b5-1 Plan) while the Company is in possession of material nonpublic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to this Policy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may amend or modify this Policy at any time or from time to time.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4868-2912-8942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83"/>
        </w:trPr>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w w:val="96"/>
              </w:rPr>
              <w:t>EXHIBIT 21</w:t>
            </w:r>
          </w:p>
        </w:tc>
        <w:tc>
          <w:tcPr>
            <w:tcW w:w="0" w:type="dxa"/>
            <w:vAlign w:val="bottom"/>
          </w:tcPr>
          <w:p>
            <w:pPr>
              <w:spacing w:after="0"/>
              <w:rPr>
                <w:sz w:val="1"/>
                <w:szCs w:val="1"/>
                <w:color w:val="auto"/>
              </w:rPr>
            </w:pPr>
          </w:p>
        </w:tc>
      </w:tr>
      <w:tr>
        <w:trPr>
          <w:trHeight w:val="486"/>
        </w:trPr>
        <w:tc>
          <w:tcPr>
            <w:tcW w:w="9120" w:type="dxa"/>
            <w:vAlign w:val="bottom"/>
            <w:gridSpan w:val="3"/>
          </w:tcPr>
          <w:p>
            <w:pPr>
              <w:ind w:left="2260"/>
              <w:spacing w:after="0"/>
              <w:rPr>
                <w:sz w:val="20"/>
                <w:szCs w:val="20"/>
                <w:color w:val="auto"/>
              </w:rPr>
            </w:pPr>
            <w:r>
              <w:rPr>
                <w:rFonts w:ascii="Times New Roman" w:cs="Times New Roman" w:eastAsia="Times New Roman" w:hAnsi="Times New Roman"/>
                <w:sz w:val="22"/>
                <w:szCs w:val="22"/>
                <w:b w:val="1"/>
                <w:bCs w:val="1"/>
                <w:color w:val="auto"/>
                <w:w w:val="99"/>
              </w:rPr>
              <w:t>SUBSIDIARIES OF REX AMERICAN RESOURCES CORPORATION</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38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4220" w:type="dxa"/>
            <w:vAlign w:val="bottom"/>
            <w:vMerge w:val="restart"/>
          </w:tcPr>
          <w:p>
            <w:pPr>
              <w:spacing w:after="0"/>
              <w:rPr>
                <w:sz w:val="24"/>
                <w:szCs w:val="24"/>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State of Incorporation</w:t>
            </w:r>
          </w:p>
        </w:tc>
        <w:tc>
          <w:tcPr>
            <w:tcW w:w="0" w:type="dxa"/>
            <w:vAlign w:val="bottom"/>
          </w:tcPr>
          <w:p>
            <w:pPr>
              <w:spacing w:after="0"/>
              <w:rPr>
                <w:sz w:val="1"/>
                <w:szCs w:val="1"/>
                <w:color w:val="auto"/>
              </w:rPr>
            </w:pPr>
          </w:p>
        </w:tc>
      </w:tr>
      <w:tr>
        <w:trPr>
          <w:trHeight w:val="113"/>
        </w:trPr>
        <w:tc>
          <w:tcPr>
            <w:tcW w:w="4380" w:type="dxa"/>
            <w:vAlign w:val="bottom"/>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4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vMerge w:val="restart"/>
          </w:tcPr>
          <w:p>
            <w:pPr>
              <w:spacing w:after="0" w:line="230" w:lineRule="exact"/>
              <w:rPr>
                <w:sz w:val="20"/>
                <w:szCs w:val="20"/>
                <w:color w:val="auto"/>
              </w:rPr>
            </w:pPr>
            <w:r>
              <w:rPr>
                <w:rFonts w:ascii="Times New Roman" w:cs="Times New Roman" w:eastAsia="Times New Roman" w:hAnsi="Times New Roman"/>
                <w:sz w:val="22"/>
                <w:szCs w:val="22"/>
                <w:color w:val="auto"/>
                <w:w w:val="96"/>
              </w:rPr>
              <w:t>or Organization</w:t>
            </w:r>
          </w:p>
        </w:tc>
        <w:tc>
          <w:tcPr>
            <w:tcW w:w="3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120" w:type="dxa"/>
            <w:vAlign w:val="bottom"/>
            <w:gridSpan w:val="3"/>
            <w:vMerge w:val="restart"/>
          </w:tcPr>
          <w:p>
            <w:pPr>
              <w:ind w:left="440"/>
              <w:spacing w:after="0"/>
              <w:rPr>
                <w:sz w:val="20"/>
                <w:szCs w:val="20"/>
                <w:color w:val="auto"/>
              </w:rPr>
            </w:pPr>
            <w:r>
              <w:rPr>
                <w:rFonts w:ascii="Times New Roman" w:cs="Times New Roman" w:eastAsia="Times New Roman" w:hAnsi="Times New Roman"/>
                <w:sz w:val="22"/>
                <w:szCs w:val="22"/>
                <w:color w:val="auto"/>
              </w:rPr>
              <w:t>Alistar Enterprises, LLC</w:t>
            </w:r>
            <w:r>
              <w:rPr>
                <w:rFonts w:ascii="Times New Roman" w:cs="Times New Roman" w:eastAsia="Times New Roman" w:hAnsi="Times New Roman"/>
                <w:sz w:val="35"/>
                <w:szCs w:val="35"/>
                <w:color w:val="auto"/>
                <w:vertAlign w:val="superscript"/>
              </w:rPr>
              <w:t>(1)</w:t>
            </w:r>
          </w:p>
        </w:tc>
        <w:tc>
          <w:tcPr>
            <w:tcW w:w="400" w:type="dxa"/>
            <w:vAlign w:val="bottom"/>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0"/>
        </w:trPr>
        <w:tc>
          <w:tcPr>
            <w:tcW w:w="91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33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AVA Acquisition Corp.</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Radio and Television, Inc.</w:t>
            </w:r>
            <w:r>
              <w:rPr>
                <w:rFonts w:ascii="Times New Roman" w:cs="Times New Roman" w:eastAsia="Times New Roman" w:hAnsi="Times New Roman"/>
                <w:sz w:val="35"/>
                <w:szCs w:val="35"/>
                <w:color w:val="auto"/>
                <w:vertAlign w:val="superscript"/>
              </w:rPr>
              <w:t>(2)</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Acquisition, LLC</w:t>
            </w:r>
            <w:r>
              <w:rPr>
                <w:rFonts w:ascii="Times New Roman" w:cs="Times New Roman" w:eastAsia="Times New Roman" w:hAnsi="Times New Roman"/>
                <w:sz w:val="35"/>
                <w:szCs w:val="35"/>
                <w:color w:val="auto"/>
                <w:vertAlign w:val="superscript"/>
              </w:rPr>
              <w:t>(3)</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Carbon, LLC</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RGPP I, LLC</w:t>
            </w:r>
            <w:r>
              <w:rPr>
                <w:rFonts w:ascii="Times New Roman" w:cs="Times New Roman" w:eastAsia="Times New Roman" w:hAnsi="Times New Roman"/>
                <w:sz w:val="35"/>
                <w:szCs w:val="35"/>
                <w:color w:val="auto"/>
                <w:vertAlign w:val="superscript"/>
              </w:rPr>
              <w:t>(4)</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REX/GPP II, LLC</w:t>
            </w:r>
            <w:r>
              <w:rPr>
                <w:rFonts w:ascii="Times New Roman" w:cs="Times New Roman" w:eastAsia="Times New Roman" w:hAnsi="Times New Roman"/>
                <w:sz w:val="35"/>
                <w:szCs w:val="35"/>
                <w:color w:val="auto"/>
                <w:vertAlign w:val="superscript"/>
              </w:rPr>
              <w:t>(4)</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Investment, LLC</w:t>
            </w:r>
            <w:r>
              <w:rPr>
                <w:rFonts w:ascii="Times New Roman" w:cs="Times New Roman" w:eastAsia="Times New Roman" w:hAnsi="Times New Roman"/>
                <w:sz w:val="35"/>
                <w:szCs w:val="35"/>
                <w:color w:val="auto"/>
                <w:vertAlign w:val="superscript"/>
              </w:rPr>
              <w:t>(5)</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IP, LLC</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REX Marketing Group, LLC</w:t>
            </w:r>
            <w:r>
              <w:rPr>
                <w:rFonts w:ascii="Times New Roman" w:cs="Times New Roman" w:eastAsia="Times New Roman" w:hAnsi="Times New Roman"/>
                <w:sz w:val="35"/>
                <w:szCs w:val="35"/>
                <w:color w:val="auto"/>
                <w:vertAlign w:val="superscript"/>
              </w:rPr>
              <w:t>(4)</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South Dakota</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RRC1, LLC</w:t>
            </w:r>
            <w:r>
              <w:rPr>
                <w:rFonts w:ascii="Times New Roman" w:cs="Times New Roman" w:eastAsia="Times New Roman" w:hAnsi="Times New Roman"/>
                <w:sz w:val="35"/>
                <w:szCs w:val="35"/>
                <w:color w:val="auto"/>
                <w:vertAlign w:val="superscript"/>
              </w:rPr>
              <w:t>(6)</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Incorporated</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Big River Holding, LLC</w:t>
            </w:r>
            <w:r>
              <w:rPr>
                <w:rFonts w:ascii="Times New Roman" w:cs="Times New Roman" w:eastAsia="Times New Roman" w:hAnsi="Times New Roman"/>
                <w:sz w:val="35"/>
                <w:szCs w:val="35"/>
                <w:color w:val="auto"/>
                <w:vertAlign w:val="superscript"/>
              </w:rPr>
              <w:t>(7)</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Big River, LLC</w:t>
            </w:r>
            <w:r>
              <w:rPr>
                <w:rFonts w:ascii="Times New Roman" w:cs="Times New Roman" w:eastAsia="Times New Roman" w:hAnsi="Times New Roman"/>
                <w:sz w:val="35"/>
                <w:szCs w:val="35"/>
                <w:color w:val="auto"/>
                <w:vertAlign w:val="superscript"/>
              </w:rPr>
              <w:t>(8)</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Cardinal Holding, LLC</w:t>
            </w:r>
            <w:r>
              <w:rPr>
                <w:rFonts w:ascii="Times New Roman" w:cs="Times New Roman" w:eastAsia="Times New Roman" w:hAnsi="Times New Roman"/>
                <w:sz w:val="35"/>
                <w:szCs w:val="35"/>
                <w:color w:val="auto"/>
                <w:vertAlign w:val="superscript"/>
              </w:rPr>
              <w:t>(4)(7)</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Highwater Holding, LLC</w:t>
            </w:r>
            <w:r>
              <w:rPr>
                <w:rFonts w:ascii="Times New Roman" w:cs="Times New Roman" w:eastAsia="Times New Roman" w:hAnsi="Times New Roman"/>
                <w:sz w:val="35"/>
                <w:szCs w:val="35"/>
                <w:color w:val="auto"/>
                <w:vertAlign w:val="superscript"/>
              </w:rPr>
              <w:t>(4)(7)</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Highwater, LLC</w:t>
            </w:r>
            <w:r>
              <w:rPr>
                <w:rFonts w:ascii="Times New Roman" w:cs="Times New Roman" w:eastAsia="Times New Roman" w:hAnsi="Times New Roman"/>
                <w:sz w:val="35"/>
                <w:szCs w:val="35"/>
                <w:color w:val="auto"/>
                <w:vertAlign w:val="superscript"/>
              </w:rPr>
              <w:t>(4)(8)</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Levelland Holding, LLC</w:t>
            </w:r>
            <w:r>
              <w:rPr>
                <w:rFonts w:ascii="Times New Roman" w:cs="Times New Roman" w:eastAsia="Times New Roman" w:hAnsi="Times New Roman"/>
                <w:sz w:val="35"/>
                <w:szCs w:val="35"/>
                <w:color w:val="auto"/>
                <w:vertAlign w:val="superscript"/>
              </w:rPr>
              <w:t>(4)(7)</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91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Farmers Energy Levelland, LLC</w:t>
            </w:r>
            <w:r>
              <w:rPr>
                <w:rFonts w:ascii="Times New Roman" w:cs="Times New Roman" w:eastAsia="Times New Roman" w:hAnsi="Times New Roman"/>
                <w:sz w:val="35"/>
                <w:szCs w:val="35"/>
                <w:color w:val="auto"/>
                <w:vertAlign w:val="superscript"/>
              </w:rPr>
              <w:t>(4)(8)</w:t>
            </w:r>
          </w:p>
        </w:tc>
        <w:tc>
          <w:tcPr>
            <w:tcW w:w="4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117"/>
        </w:trPr>
        <w:tc>
          <w:tcPr>
            <w:tcW w:w="4380" w:type="dxa"/>
            <w:vAlign w:val="bottom"/>
            <w:tcBorders>
              <w:bottom w:val="single" w:sz="8" w:color="C0C0C0"/>
            </w:tcBorders>
          </w:tcPr>
          <w:p>
            <w:pPr>
              <w:spacing w:after="0"/>
              <w:rPr>
                <w:sz w:val="10"/>
                <w:szCs w:val="10"/>
                <w:color w:val="auto"/>
              </w:rPr>
            </w:pPr>
          </w:p>
        </w:tc>
        <w:tc>
          <w:tcPr>
            <w:tcW w:w="520" w:type="dxa"/>
            <w:vAlign w:val="bottom"/>
            <w:tcBorders>
              <w:bottom w:val="single" w:sz="8" w:color="C0C0C0"/>
            </w:tcBorders>
          </w:tcPr>
          <w:p>
            <w:pPr>
              <w:spacing w:after="0"/>
              <w:rPr>
                <w:sz w:val="10"/>
                <w:szCs w:val="10"/>
                <w:color w:val="auto"/>
              </w:rPr>
            </w:pPr>
          </w:p>
        </w:tc>
        <w:tc>
          <w:tcPr>
            <w:tcW w:w="4220" w:type="dxa"/>
            <w:vAlign w:val="bottom"/>
            <w:tcBorders>
              <w:bottom w:val="single" w:sz="8" w:color="C0C0C0"/>
            </w:tcBorders>
          </w:tcPr>
          <w:p>
            <w:pPr>
              <w:spacing w:after="0"/>
              <w:rPr>
                <w:sz w:val="10"/>
                <w:szCs w:val="10"/>
                <w:color w:val="auto"/>
              </w:rPr>
            </w:pPr>
          </w:p>
        </w:tc>
        <w:tc>
          <w:tcPr>
            <w:tcW w:w="400" w:type="dxa"/>
            <w:vAlign w:val="bottom"/>
            <w:tcBorders>
              <w:bottom w:val="single" w:sz="8" w:color="C0C0C0"/>
            </w:tcBorders>
          </w:tcPr>
          <w:p>
            <w:pPr>
              <w:spacing w:after="0"/>
              <w:rPr>
                <w:sz w:val="10"/>
                <w:szCs w:val="10"/>
                <w:color w:val="auto"/>
              </w:rPr>
            </w:pPr>
          </w:p>
        </w:tc>
        <w:tc>
          <w:tcPr>
            <w:tcW w:w="1360" w:type="dxa"/>
            <w:vAlign w:val="bottom"/>
            <w:tcBorders>
              <w:bottom w:val="single" w:sz="8" w:color="C0C0C0"/>
            </w:tcBorders>
          </w:tcPr>
          <w:p>
            <w:pPr>
              <w:spacing w:after="0"/>
              <w:rPr>
                <w:sz w:val="10"/>
                <w:szCs w:val="10"/>
                <w:color w:val="auto"/>
              </w:rPr>
            </w:pPr>
          </w:p>
        </w:tc>
        <w:tc>
          <w:tcPr>
            <w:tcW w:w="360" w:type="dxa"/>
            <w:vAlign w:val="bottom"/>
            <w:tcBorders>
              <w:bottom w:val="single" w:sz="8" w:color="C0C0C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75" w:name="page76"/>
    <w:bookmarkEnd w:id="75"/>
    <w:p>
      <w:pPr>
        <w:spacing w:after="0" w:line="1" w:lineRule="exact"/>
        <w:rPr>
          <w:sz w:val="20"/>
          <w:szCs w:val="20"/>
          <w:color w:val="auto"/>
        </w:rPr>
      </w:pPr>
    </w:p>
    <w:tbl>
      <w:tblPr>
        <w:tblLayout w:type="fixed"/>
        <w:tblInd w:w="432" w:type="dxa"/>
        <w:tblCellMar>
          <w:top w:w="0" w:type="dxa"/>
          <w:left w:w="0" w:type="dxa"/>
          <w:bottom w:w="0" w:type="dxa"/>
          <w:right w:w="0" w:type="dxa"/>
        </w:tblCellMar>
      </w:tblPr>
      <w:tr>
        <w:trPr>
          <w:trHeight w:val="475"/>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Holding, LLC</w:t>
            </w:r>
            <w:r>
              <w:rPr>
                <w:rFonts w:ascii="Times New Roman" w:cs="Times New Roman" w:eastAsia="Times New Roman" w:hAnsi="Times New Roman"/>
                <w:sz w:val="35"/>
                <w:szCs w:val="35"/>
                <w:color w:val="auto"/>
                <w:vertAlign w:val="superscript"/>
              </w:rPr>
              <w:t>(4)(7)</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LLC</w:t>
            </w:r>
            <w:r>
              <w:rPr>
                <w:rFonts w:ascii="Times New Roman" w:cs="Times New Roman" w:eastAsia="Times New Roman" w:hAnsi="Times New Roman"/>
                <w:sz w:val="35"/>
                <w:szCs w:val="35"/>
                <w:color w:val="auto"/>
                <w:vertAlign w:val="superscript"/>
              </w:rPr>
              <w:t>(4)(8)</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Holding, LLC</w:t>
            </w:r>
            <w:r>
              <w:rPr>
                <w:rFonts w:ascii="Times New Roman" w:cs="Times New Roman" w:eastAsia="Times New Roman" w:hAnsi="Times New Roman"/>
                <w:sz w:val="35"/>
                <w:szCs w:val="35"/>
                <w:color w:val="auto"/>
                <w:vertAlign w:val="superscript"/>
              </w:rPr>
              <w:t>(7)</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LLC</w:t>
            </w:r>
            <w:r>
              <w:rPr>
                <w:rFonts w:ascii="Times New Roman" w:cs="Times New Roman" w:eastAsia="Times New Roman" w:hAnsi="Times New Roman"/>
                <w:sz w:val="35"/>
                <w:szCs w:val="35"/>
                <w:color w:val="auto"/>
                <w:vertAlign w:val="superscript"/>
              </w:rPr>
              <w:t>(8)</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One Earth Energy, LLC</w:t>
            </w:r>
            <w:r>
              <w:rPr>
                <w:rFonts w:ascii="Times New Roman" w:cs="Times New Roman" w:eastAsia="Times New Roman" w:hAnsi="Times New Roman"/>
                <w:sz w:val="35"/>
                <w:szCs w:val="35"/>
                <w:color w:val="auto"/>
                <w:vertAlign w:val="superscript"/>
              </w:rPr>
              <w:t>(9)</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Illinois</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One Earth Sequestration, LLC</w:t>
            </w:r>
            <w:r>
              <w:rPr>
                <w:rFonts w:ascii="Times New Roman" w:cs="Times New Roman" w:eastAsia="Times New Roman" w:hAnsi="Times New Roman"/>
                <w:sz w:val="35"/>
                <w:szCs w:val="35"/>
                <w:color w:val="auto"/>
                <w:vertAlign w:val="superscript"/>
              </w:rPr>
              <w:t>(10)</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Illinois</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Holding, LLC</w:t>
            </w:r>
            <w:r>
              <w:rPr>
                <w:rFonts w:ascii="Times New Roman" w:cs="Times New Roman" w:eastAsia="Times New Roman" w:hAnsi="Times New Roman"/>
                <w:sz w:val="35"/>
                <w:szCs w:val="35"/>
                <w:color w:val="auto"/>
                <w:vertAlign w:val="superscript"/>
              </w:rPr>
              <w:t>(7)</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LLC</w:t>
            </w:r>
            <w:r>
              <w:rPr>
                <w:rFonts w:ascii="Times New Roman" w:cs="Times New Roman" w:eastAsia="Times New Roman" w:hAnsi="Times New Roman"/>
                <w:sz w:val="35"/>
                <w:szCs w:val="35"/>
                <w:color w:val="auto"/>
                <w:vertAlign w:val="superscript"/>
              </w:rPr>
              <w:t>(8)</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338"/>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FEI Investment Incorporated</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Delaware</w:t>
            </w:r>
          </w:p>
        </w:tc>
      </w:tr>
      <w:tr>
        <w:trPr>
          <w:trHeight w:val="688"/>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Future Energy, LLC</w:t>
            </w:r>
            <w:r>
              <w:rPr>
                <w:rFonts w:ascii="Times New Roman" w:cs="Times New Roman" w:eastAsia="Times New Roman" w:hAnsi="Times New Roman"/>
                <w:sz w:val="35"/>
                <w:szCs w:val="35"/>
                <w:color w:val="auto"/>
                <w:vertAlign w:val="superscript"/>
              </w:rPr>
              <w:t>(11)</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FE-II, LLC</w:t>
            </w:r>
            <w:r>
              <w:rPr>
                <w:rFonts w:ascii="Times New Roman" w:cs="Times New Roman" w:eastAsia="Times New Roman" w:hAnsi="Times New Roman"/>
                <w:sz w:val="35"/>
                <w:szCs w:val="35"/>
                <w:color w:val="auto"/>
                <w:vertAlign w:val="superscript"/>
              </w:rPr>
              <w:t>(12)</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REX NuGen Holding, LLC</w:t>
            </w:r>
            <w:r>
              <w:rPr>
                <w:rFonts w:ascii="Times New Roman" w:cs="Times New Roman" w:eastAsia="Times New Roman" w:hAnsi="Times New Roman"/>
                <w:sz w:val="35"/>
                <w:szCs w:val="35"/>
                <w:color w:val="auto"/>
                <w:vertAlign w:val="superscript"/>
              </w:rPr>
              <w:t>(7)</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REX NuGen, LLC</w:t>
            </w:r>
            <w:r>
              <w:rPr>
                <w:rFonts w:ascii="Times New Roman" w:cs="Times New Roman" w:eastAsia="Times New Roman" w:hAnsi="Times New Roman"/>
                <w:sz w:val="35"/>
                <w:szCs w:val="35"/>
                <w:color w:val="auto"/>
                <w:vertAlign w:val="superscript"/>
              </w:rPr>
              <w:t>(8)</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660" w:type="dxa"/>
            <w:vAlign w:val="bottom"/>
          </w:tcPr>
          <w:p>
            <w:pPr>
              <w:spacing w:after="0"/>
              <w:rPr>
                <w:sz w:val="20"/>
                <w:szCs w:val="20"/>
                <w:color w:val="auto"/>
              </w:rPr>
            </w:pPr>
            <w:r>
              <w:rPr>
                <w:rFonts w:ascii="Times New Roman" w:cs="Times New Roman" w:eastAsia="Times New Roman" w:hAnsi="Times New Roman"/>
                <w:sz w:val="22"/>
                <w:szCs w:val="22"/>
                <w:color w:val="auto"/>
              </w:rPr>
              <w:t>NuGen Energy, LLC</w:t>
            </w:r>
            <w:r>
              <w:rPr>
                <w:rFonts w:ascii="Times New Roman" w:cs="Times New Roman" w:eastAsia="Times New Roman" w:hAnsi="Times New Roman"/>
                <w:sz w:val="35"/>
                <w:szCs w:val="35"/>
                <w:color w:val="auto"/>
                <w:vertAlign w:val="superscript"/>
              </w:rPr>
              <w:t>(9)</w:t>
            </w:r>
          </w:p>
        </w:tc>
        <w:tc>
          <w:tcPr>
            <w:tcW w:w="368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6"/>
              </w:rPr>
              <w:t>South Dakota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1423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0"/>
          <w:szCs w:val="20"/>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RRC1, LLC</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AVA Acquisition Corp.</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Rex Radio and Television, Inc.</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Non-operating or inactive subsidiary.</w:t>
      </w:r>
    </w:p>
    <w:p>
      <w:pPr>
        <w:spacing w:after="0" w:line="125" w:lineRule="exact"/>
        <w:rPr>
          <w:rFonts w:ascii="Times New Roman" w:cs="Times New Roman" w:eastAsia="Times New Roman" w:hAnsi="Times New Roman"/>
          <w:sz w:val="18"/>
          <w:szCs w:val="18"/>
          <w:color w:val="auto"/>
        </w:rPr>
      </w:pPr>
    </w:p>
    <w:p>
      <w:pPr>
        <w:ind w:left="372" w:right="160" w:hanging="372"/>
        <w:spacing w:after="0" w:line="258" w:lineRule="auto"/>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is the managing member and owns a 98.032% Class A membership interest, a 95.46% Class B membership interest and a 100% Class C membership interest.</w:t>
      </w:r>
    </w:p>
    <w:p>
      <w:pPr>
        <w:spacing w:after="0" w:line="23"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owns a 95.35% percentage interest.</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First-tier wholly-owned subsidiary of Farmers Energy Incorporated.</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Second-tier wholly-owned subsidiary of Farmers Energy Incorporated.</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Third-tier majority-owned subsidiary of Farmers Energy Incorporated.</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Fourth-tier majority-owned subsidiary of Farmers Energy Incorporated.</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Majority-owned subsidiary of REX IP, LLC.</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72"/>
          </w:cols>
          <w:pgMar w:left="328" w:top="405" w:right="7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(No. 333-205419) on Form S-8 of REX American Resources Corporation of our reports dated March 28, 2025, relating to the consolidated financial statements and the financial statement schedule, and the effectiveness of internal control over financial reporting of REX American Resources Corporation, appearing in this Annual Report on Form 10-K of REX American Resources Corporation for the year ended January 31,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Des Moines, Iowa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333-205419 on Form S-8 of our report dated March 30, 2023 (March 29, 2024 as to the change in the method of accounting for shipping and handling costs described in Note 1 and March 28, 2025 as to Note 16), relating to the financial statements of REX American Resources Corporation and subsidiaries (the “Company”) for the year ended January 31, 2023 appearing in this Annual Report on Form 10-K for the year ended January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8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656" w:firstLine="656"/>
        <w:spacing w:after="0" w:line="282" w:lineRule="auto"/>
        <w:tabs>
          <w:tab w:leader="none" w:pos="1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6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7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25"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81" w:name="page82"/>
    <w:bookmarkEnd w:id="81"/>
    <w:p>
      <w:pPr>
        <w:ind w:left="-656" w:firstLine="656"/>
        <w:spacing w:after="0" w:line="282" w:lineRule="auto"/>
        <w:tabs>
          <w:tab w:leader="none" w:pos="1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6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7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25"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Annual Report on Form 10-K for the period ended January 31, 2025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lowerLetter"/>
      <w:start w:val="2"/>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0"/>
    </w:lvl>
  </w:abstractNum>
  <w:abstractNum w:abstractNumId="15">
    <w:nsid w:val="836C40E"/>
    <w:multiLevelType w:val="hybridMultilevel"/>
    <w:lvl w:ilvl="0">
      <w:lvlJc w:val="left"/>
      <w:lvlText w:val="%1."/>
      <w:numFmt w:val="decimal"/>
      <w:start w:val="11"/>
    </w:lvl>
  </w:abstractNum>
  <w:abstractNum w:abstractNumId="16">
    <w:nsid w:val="2901D82"/>
    <w:multiLevelType w:val="hybridMultilevel"/>
    <w:lvl w:ilvl="0">
      <w:lvlJc w:val="left"/>
      <w:lvlText w:val="%1."/>
      <w:numFmt w:val="decimal"/>
      <w:start w:val="13"/>
    </w:lvl>
  </w:abstractNum>
  <w:abstractNum w:abstractNumId="17">
    <w:nsid w:val="3A95F874"/>
    <w:multiLevelType w:val="hybridMultilevel"/>
    <w:lvl w:ilvl="0">
      <w:lvlJc w:val="left"/>
      <w:lvlText w:val="%1"/>
      <w:numFmt w:val="decimal"/>
      <w:start w:val="1"/>
    </w:lvl>
    <w:lvl w:ilvl="1">
      <w:lvlJc w:val="left"/>
      <w:lvlText w:val="(%2)"/>
      <w:numFmt w:val="decimal"/>
      <w:start w:val="1"/>
    </w:lvl>
  </w:abstractNum>
  <w:abstractNum w:abstractNumId="18">
    <w:nsid w:val="8138641"/>
    <w:multiLevelType w:val="hybridMultilevel"/>
    <w:lvl w:ilvl="0">
      <w:lvlJc w:val="left"/>
      <w:lvlText w:val="%1."/>
      <w:numFmt w:val="decimal"/>
      <w:start w:val="16"/>
    </w:lvl>
    <w:lvl w:ilvl="1">
      <w:lvlJc w:val="left"/>
      <w:lvlText w:val="%2"/>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4"/>
    </w:lvl>
  </w:abstractNum>
  <w:abstractNum w:abstractNumId="21">
    <w:nsid w:val="737B8DDC"/>
    <w:multiLevelType w:val="hybridMultilevel"/>
    <w:lvl w:ilvl="0">
      <w:lvlJc w:val="left"/>
      <w:lvlText w:val="(%1)"/>
      <w:numFmt w:val="decimal"/>
      <w:start w:val="10"/>
    </w:lvl>
  </w:abstractNum>
  <w:abstractNum w:abstractNumId="22">
    <w:nsid w:val="6CEAF087"/>
    <w:multiLevelType w:val="hybridMultilevel"/>
    <w:lvl w:ilvl="0">
      <w:lvlJc w:val="left"/>
      <w:lvlText w:val="(%1)"/>
      <w:numFmt w:val="decimal"/>
      <w:start w:val="19"/>
    </w:lvl>
  </w:abstractNum>
  <w:abstractNum w:abstractNumId="23">
    <w:nsid w:val="22221A70"/>
    <w:multiLevelType w:val="hybridMultilevel"/>
    <w:lvl w:ilvl="0">
      <w:lvlJc w:val="left"/>
      <w:lvlText w:val="(%1)"/>
      <w:numFmt w:val="decimal"/>
      <w:start w:val="21"/>
    </w:lvl>
  </w:abstractNum>
  <w:abstractNum w:abstractNumId="24">
    <w:nsid w:val="4516DDE9"/>
    <w:multiLevelType w:val="hybridMultilevel"/>
    <w:lvl w:ilvl="0">
      <w:lvlJc w:val="left"/>
      <w:lvlText w:val="(%1)"/>
      <w:numFmt w:val="decimal"/>
      <w:start w:val="23"/>
    </w:lvl>
  </w:abstractNum>
  <w:abstractNum w:abstractNumId="25">
    <w:nsid w:val="3006C83E"/>
    <w:multiLevelType w:val="hybridMultilevel"/>
    <w:lvl w:ilvl="0">
      <w:lvlJc w:val="left"/>
      <w:lvlText w:val="(%1)"/>
      <w:numFmt w:val="decimal"/>
      <w:start w:val="31"/>
    </w:lvl>
  </w:abstractNum>
  <w:abstractNum w:abstractNumId="26">
    <w:nsid w:val="614FD4A1"/>
    <w:multiLevelType w:val="hybridMultilevel"/>
    <w:lvl w:ilvl="0">
      <w:lvlJc w:val="left"/>
      <w:lvlText w:val="(%1)"/>
      <w:numFmt w:val="decimal"/>
      <w:start w:val="97"/>
    </w:lvl>
  </w:abstractNum>
  <w:abstractNum w:abstractNumId="27">
    <w:nsid w:val="419AC241"/>
    <w:multiLevelType w:val="hybridMultilevel"/>
    <w:lvl w:ilvl="0">
      <w:lvlJc w:val="left"/>
      <w:lvlText w:val="%1"/>
      <w:numFmt w:val="decimal"/>
      <w:start w:val="1"/>
    </w:lvl>
    <w:lvl w:ilvl="1">
      <w:lvlJc w:val="left"/>
      <w:lvlText w:val="%2"/>
      <w:numFmt w:val="decimal"/>
      <w:start w:val="97"/>
    </w:lvl>
  </w:abstractNum>
  <w:abstractNum w:abstractNumId="28">
    <w:nsid w:val="5577F8E1"/>
    <w:multiLevelType w:val="hybridMultilevel"/>
    <w:lvl w:ilvl="0">
      <w:lvlJc w:val="left"/>
      <w:lvlText w:val="(%1)"/>
      <w:numFmt w:val="decimal"/>
      <w:start w:val="101"/>
    </w:lvl>
    <w:lvl w:ilvl="1">
      <w:lvlJc w:val="left"/>
      <w:lvlText w:val="%2"/>
      <w:numFmt w:val="decimal"/>
      <w:start w:val="10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lvl w:ilvl="1">
      <w:lvlJc w:val="left"/>
      <w:lvlText w:val="(%2)"/>
      <w:numFmt w:val="lowerLetter"/>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5"/>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9"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jpeg"/><Relationship Id="rId103" Type="http://schemas.openxmlformats.org/officeDocument/2006/relationships/image" Target="media/image86.jpeg"/><Relationship Id="rId104" Type="http://schemas.openxmlformats.org/officeDocument/2006/relationships/image" Target="media/image87.jpe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90" Type="http://schemas.openxmlformats.org/officeDocument/2006/relationships/hyperlink" Target="https://www.sec.gov/Archives/edgar/data/744187/000093041310004768/c62728_ex3-a.htm" TargetMode="External"/><Relationship Id="rId91" Type="http://schemas.openxmlformats.org/officeDocument/2006/relationships/hyperlink" Target="https://www.sec.gov/Archives/edgar/data/744187/000093041324002264/c109730_ex99-3ii.htm" TargetMode="External"/><Relationship Id="rId92" Type="http://schemas.openxmlformats.org/officeDocument/2006/relationships/hyperlink" Target="https://www.sec.gov/Archives/edgar/data/744187/000093041320000944/c95495_4a.htm" TargetMode="External"/><Relationship Id="rId93" Type="http://schemas.openxmlformats.org/officeDocument/2006/relationships/hyperlink" Target="https://www.sec.gov/Archives/edgar/data/744187/000093041322001116/c103822_ex10-1.htm" TargetMode="External"/><Relationship Id="rId94" Type="http://schemas.openxmlformats.org/officeDocument/2006/relationships/hyperlink" Target="https://www.sec.gov/Archives/edgar/data/744187/000093041322001116/c103822_ex10-2.htm" TargetMode="External"/><Relationship Id="rId95" Type="http://schemas.openxmlformats.org/officeDocument/2006/relationships/hyperlink" Target="https://www.sec.gov/Archives/edgar/data/744187/000093041322001116/c103822_ex10-3.htm" TargetMode="External"/><Relationship Id="rId96" Type="http://schemas.openxmlformats.org/officeDocument/2006/relationships/hyperlink" Target="https://www.sec.gov/Archives/edgar/data/744187/000093041315002774/c81598_ex10d.htm" TargetMode="External"/><Relationship Id="rId97" Type="http://schemas.openxmlformats.org/officeDocument/2006/relationships/hyperlink" Target="https://www.sec.gov/Archives/edgar/data/744187/000093041322001197/c104000_ex10-1.htm" TargetMode="External"/><Relationship Id="rId98" Type="http://schemas.openxmlformats.org/officeDocument/2006/relationships/hyperlink" Target="https://www.sec.gov/Archives/edgar/data/744187/000093041324003270/c110595_ex10.htm" TargetMode="External"/><Relationship Id="rId100" Type="http://schemas.openxmlformats.org/officeDocument/2006/relationships/hyperlink" Target="https://www.sec.gov/Archives/edgar/data/744187/000093041324001186/c108550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2025-03-28T13:08:47Z</dcterms:created>
  <dcterms:modified xsi:type="dcterms:W3CDTF">2025-03-28T13:08:47Z</dcterms:modified>
</cp:coreProperties>
</file>