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ANNUAL REPORT PURSUANT TO SECTION 13 OR 15(d) OF</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20" w:lineRule="exact"/>
        <w:rPr>
          <w:sz w:val="24"/>
          <w:szCs w:val="24"/>
          <w:color w:val="auto"/>
        </w:rPr>
      </w:pPr>
    </w:p>
    <w:p>
      <w:pPr>
        <w:ind w:left="1480"/>
        <w:spacing w:after="0"/>
        <w:tabs>
          <w:tab w:leader="none" w:pos="6720" w:val="left"/>
        </w:tabs>
        <w:rPr>
          <w:sz w:val="20"/>
          <w:szCs w:val="20"/>
          <w:color w:val="auto"/>
        </w:rPr>
      </w:pPr>
      <w:r>
        <w:rPr>
          <w:rFonts w:ascii="Times New Roman" w:cs="Times New Roman" w:eastAsia="Times New Roman" w:hAnsi="Times New Roman"/>
          <w:sz w:val="20"/>
          <w:szCs w:val="20"/>
          <w:color w:val="auto"/>
        </w:rPr>
        <w:t>FOR THE FISCAL YEAR ENDED JANUARY 31, 2024</w:t>
      </w:r>
      <w:r>
        <w:rPr>
          <w:sz w:val="20"/>
          <w:szCs w:val="20"/>
          <w:color w:val="auto"/>
        </w:rPr>
        <w:tab/>
      </w:r>
      <w:r>
        <w:rPr>
          <w:rFonts w:ascii="Times New Roman" w:cs="Times New Roman" w:eastAsia="Times New Roman" w:hAnsi="Times New Roman"/>
          <w:sz w:val="19"/>
          <w:szCs w:val="19"/>
          <w:color w:val="auto"/>
        </w:rPr>
        <w:t>COMMISSION FILE NO.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48260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0"/>
          <w:szCs w:val="20"/>
          <w:color w:val="auto"/>
        </w:rPr>
        <w:t>REX AMERICAN RESOURCES CORPORATION</w:t>
      </w:r>
    </w:p>
    <w:p>
      <w:pPr>
        <w:spacing w:after="0" w:line="2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93"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5020" w:type="dxa"/>
            <w:vAlign w:val="bottom"/>
          </w:tcPr>
          <w:p>
            <w:pPr>
              <w:jc w:val="center"/>
              <w:ind w:right="1761"/>
              <w:spacing w:after="0"/>
              <w:rPr>
                <w:sz w:val="20"/>
                <w:szCs w:val="20"/>
                <w:color w:val="auto"/>
              </w:rPr>
            </w:pPr>
            <w:r>
              <w:rPr>
                <w:rFonts w:ascii="Times New Roman" w:cs="Times New Roman" w:eastAsia="Times New Roman" w:hAnsi="Times New Roman"/>
                <w:sz w:val="20"/>
                <w:szCs w:val="20"/>
                <w:color w:val="auto"/>
                <w:w w:val="99"/>
              </w:rPr>
              <w:t>Delaware</w:t>
            </w:r>
          </w:p>
        </w:tc>
        <w:tc>
          <w:tcPr>
            <w:tcW w:w="474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rPr>
              <w:t>31-1095548</w:t>
            </w:r>
          </w:p>
        </w:tc>
      </w:tr>
      <w:tr>
        <w:trPr>
          <w:trHeight w:val="230"/>
        </w:trPr>
        <w:tc>
          <w:tcPr>
            <w:tcW w:w="5020" w:type="dxa"/>
            <w:vAlign w:val="bottom"/>
          </w:tcPr>
          <w:p>
            <w:pPr>
              <w:jc w:val="center"/>
              <w:ind w:right="1781"/>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4740" w:type="dxa"/>
            <w:vAlign w:val="bottom"/>
          </w:tcPr>
          <w:p>
            <w:pPr>
              <w:jc w:val="center"/>
              <w:ind w:left="1761"/>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258"/>
        </w:trPr>
        <w:tc>
          <w:tcPr>
            <w:tcW w:w="5020" w:type="dxa"/>
            <w:vAlign w:val="bottom"/>
          </w:tcPr>
          <w:p>
            <w:pPr>
              <w:jc w:val="center"/>
              <w:ind w:right="1781"/>
              <w:spacing w:after="0"/>
              <w:rPr>
                <w:sz w:val="20"/>
                <w:szCs w:val="20"/>
                <w:color w:val="auto"/>
              </w:rPr>
            </w:pPr>
            <w:r>
              <w:rPr>
                <w:rFonts w:ascii="Times New Roman" w:cs="Times New Roman" w:eastAsia="Times New Roman" w:hAnsi="Times New Roman"/>
                <w:sz w:val="20"/>
                <w:szCs w:val="20"/>
                <w:color w:val="auto"/>
                <w:w w:val="98"/>
              </w:rPr>
              <w:t>incorporation or organization)</w:t>
            </w:r>
          </w:p>
        </w:tc>
        <w:tc>
          <w:tcPr>
            <w:tcW w:w="4740" w:type="dxa"/>
            <w:vAlign w:val="bottom"/>
          </w:tcPr>
          <w:p>
            <w:pPr>
              <w:spacing w:after="0"/>
              <w:rPr>
                <w:sz w:val="22"/>
                <w:szCs w:val="22"/>
                <w:color w:val="auto"/>
              </w:rPr>
            </w:pPr>
          </w:p>
        </w:tc>
      </w:tr>
      <w:tr>
        <w:trPr>
          <w:trHeight w:val="430"/>
        </w:trPr>
        <w:tc>
          <w:tcPr>
            <w:tcW w:w="5020" w:type="dxa"/>
            <w:vAlign w:val="bottom"/>
          </w:tcPr>
          <w:p>
            <w:pPr>
              <w:jc w:val="center"/>
              <w:ind w:right="1781"/>
              <w:spacing w:after="0"/>
              <w:rPr>
                <w:sz w:val="20"/>
                <w:szCs w:val="20"/>
                <w:color w:val="auto"/>
              </w:rPr>
            </w:pPr>
            <w:r>
              <w:rPr>
                <w:rFonts w:ascii="Times New Roman" w:cs="Times New Roman" w:eastAsia="Times New Roman" w:hAnsi="Times New Roman"/>
                <w:sz w:val="20"/>
                <w:szCs w:val="20"/>
                <w:color w:val="auto"/>
                <w:w w:val="99"/>
              </w:rPr>
              <w:t>7720 Paragon Road, Dayton, Ohio</w:t>
            </w:r>
          </w:p>
        </w:tc>
        <w:tc>
          <w:tcPr>
            <w:tcW w:w="474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rPr>
              <w:t>45459</w:t>
            </w:r>
          </w:p>
        </w:tc>
      </w:tr>
      <w:tr>
        <w:trPr>
          <w:trHeight w:val="258"/>
        </w:trPr>
        <w:tc>
          <w:tcPr>
            <w:tcW w:w="5020" w:type="dxa"/>
            <w:vAlign w:val="bottom"/>
          </w:tcPr>
          <w:p>
            <w:pPr>
              <w:jc w:val="center"/>
              <w:ind w:right="1781"/>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4740" w:type="dxa"/>
            <w:vAlign w:val="bottom"/>
          </w:tcPr>
          <w:p>
            <w:pPr>
              <w:jc w:val="center"/>
              <w:ind w:left="1761"/>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 (937) 276-3931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15" w:lineRule="exact"/>
        <w:rPr>
          <w:sz w:val="24"/>
          <w:szCs w:val="24"/>
          <w:color w:val="auto"/>
        </w:rPr>
      </w:pPr>
    </w:p>
    <w:tbl>
      <w:tblPr>
        <w:tblLayout w:type="fixed"/>
        <w:tblInd w:w="136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60" w:type="dxa"/>
            <w:vAlign w:val="bottom"/>
            <w:gridSpan w:val="3"/>
          </w:tcPr>
          <w:p>
            <w:pPr>
              <w:jc w:val="center"/>
              <w:ind w:left="621"/>
              <w:spacing w:after="0"/>
              <w:rPr>
                <w:sz w:val="20"/>
                <w:szCs w:val="20"/>
                <w:color w:val="auto"/>
              </w:rPr>
            </w:pPr>
            <w:r>
              <w:rPr>
                <w:rFonts w:ascii="Times New Roman" w:cs="Times New Roman" w:eastAsia="Times New Roman" w:hAnsi="Times New Roman"/>
                <w:sz w:val="20"/>
                <w:szCs w:val="20"/>
                <w:color w:val="auto"/>
                <w:w w:val="99"/>
              </w:rPr>
              <w:t>Name of each exchange</w:t>
            </w:r>
          </w:p>
        </w:tc>
      </w:tr>
      <w:tr>
        <w:trPr>
          <w:trHeight w:val="212"/>
        </w:trPr>
        <w:tc>
          <w:tcPr>
            <w:tcW w:w="520" w:type="dxa"/>
            <w:vAlign w:val="bottom"/>
          </w:tcPr>
          <w:p>
            <w:pPr>
              <w:spacing w:after="0"/>
              <w:rPr>
                <w:sz w:val="18"/>
                <w:szCs w:val="18"/>
                <w:color w:val="auto"/>
              </w:rPr>
            </w:pPr>
          </w:p>
        </w:tc>
        <w:tc>
          <w:tcPr>
            <w:tcW w:w="144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Title of each class</w:t>
            </w:r>
          </w:p>
        </w:tc>
        <w:tc>
          <w:tcPr>
            <w:tcW w:w="1300" w:type="dxa"/>
            <w:vAlign w:val="bottom"/>
          </w:tcPr>
          <w:p>
            <w:pPr>
              <w:spacing w:after="0"/>
              <w:rPr>
                <w:sz w:val="18"/>
                <w:szCs w:val="18"/>
                <w:color w:val="auto"/>
              </w:rPr>
            </w:pPr>
          </w:p>
        </w:tc>
        <w:tc>
          <w:tcPr>
            <w:tcW w:w="15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7"/>
              </w:rPr>
              <w:t>Trading Symbol(s)</w:t>
            </w:r>
          </w:p>
        </w:tc>
        <w:tc>
          <w:tcPr>
            <w:tcW w:w="740" w:type="dxa"/>
            <w:vAlign w:val="bottom"/>
          </w:tcPr>
          <w:p>
            <w:pPr>
              <w:spacing w:after="0"/>
              <w:rPr>
                <w:sz w:val="18"/>
                <w:szCs w:val="18"/>
                <w:color w:val="auto"/>
              </w:rPr>
            </w:pPr>
          </w:p>
        </w:tc>
        <w:tc>
          <w:tcPr>
            <w:tcW w:w="2860" w:type="dxa"/>
            <w:vAlign w:val="bottom"/>
            <w:gridSpan w:val="3"/>
          </w:tcPr>
          <w:p>
            <w:pPr>
              <w:jc w:val="center"/>
              <w:ind w:left="641"/>
              <w:spacing w:after="0" w:line="212" w:lineRule="exact"/>
              <w:rPr>
                <w:sz w:val="20"/>
                <w:szCs w:val="20"/>
                <w:color w:val="auto"/>
              </w:rPr>
            </w:pPr>
            <w:r>
              <w:rPr>
                <w:rFonts w:ascii="Times New Roman" w:cs="Times New Roman" w:eastAsia="Times New Roman" w:hAnsi="Times New Roman"/>
                <w:sz w:val="20"/>
                <w:szCs w:val="20"/>
                <w:color w:val="auto"/>
                <w:w w:val="98"/>
              </w:rPr>
              <w:t>on which registered</w:t>
            </w: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6"/>
        </w:trPr>
        <w:tc>
          <w:tcPr>
            <w:tcW w:w="3260" w:type="dxa"/>
            <w:vAlign w:val="bottom"/>
            <w:gridSpan w:val="3"/>
          </w:tcPr>
          <w:p>
            <w:pPr>
              <w:jc w:val="center"/>
              <w:ind w:right="780"/>
              <w:spacing w:after="0"/>
              <w:rPr>
                <w:sz w:val="20"/>
                <w:szCs w:val="20"/>
                <w:color w:val="auto"/>
              </w:rPr>
            </w:pPr>
            <w:r>
              <w:rPr>
                <w:rFonts w:ascii="Times New Roman" w:cs="Times New Roman" w:eastAsia="Times New Roman" w:hAnsi="Times New Roman"/>
                <w:sz w:val="20"/>
                <w:szCs w:val="20"/>
                <w:color w:val="auto"/>
                <w:w w:val="99"/>
              </w:rPr>
              <w:t>Common Stock, $.01 par value</w:t>
            </w:r>
          </w:p>
        </w:tc>
        <w:tc>
          <w:tcPr>
            <w:tcW w:w="2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REX</w:t>
            </w:r>
          </w:p>
        </w:tc>
        <w:tc>
          <w:tcPr>
            <w:tcW w:w="2860" w:type="dxa"/>
            <w:vAlign w:val="bottom"/>
            <w:gridSpan w:val="3"/>
          </w:tcPr>
          <w:p>
            <w:pPr>
              <w:jc w:val="center"/>
              <w:ind w:left="621"/>
              <w:spacing w:after="0"/>
              <w:rPr>
                <w:sz w:val="20"/>
                <w:szCs w:val="20"/>
                <w:color w:val="auto"/>
              </w:rPr>
            </w:pPr>
            <w:r>
              <w:rPr>
                <w:rFonts w:ascii="Times New Roman" w:cs="Times New Roman" w:eastAsia="Times New Roman" w:hAnsi="Times New Roman"/>
                <w:sz w:val="20"/>
                <w:szCs w:val="20"/>
                <w:color w:val="auto"/>
                <w:w w:val="98"/>
              </w:rPr>
              <w:t>New York Stock Exchange</w:t>
            </w:r>
          </w:p>
        </w:tc>
      </w:tr>
    </w:tbl>
    <w:p>
      <w:pPr>
        <w:spacing w:after="0" w:line="1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1" w:name="page2"/>
    <w:bookmarkEnd w:id="1"/>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indicated by check mark whether the financial statements of the registrant included in the filing reflect the correction of an error to previous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close of business on July 31, 2023, the aggregate market value of the registrant’s outstanding Common Stock held by non-affiliates of the registrant (for purposes of this calculation, 2,222,857 shares beneficially owned by directors and executive officers of the registrant were treated as being held by affiliates of the registrant), was $565,698,474.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17,503,745 shares of the registrant’s Common Stock outstanding as of March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Portions of REX American Resources Corporation’s definitive Proxy Statement for its Annual Meeting of Shareholders on June 11, 2024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10-K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REX makes available free of charge on its Internet website its annual report on Form 10-K, quarterly reports on Form 10-Q, current reports on Form 8-K, and amendments to those reports as soon as reasonably practicable after such material is electronically filed with or furnished to the SEC. REX’s Internet website address is www.rexamerican.com. The contents of the Company’s website are not a part of this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“we”, “us”, “our”, “REX” or “the Company” refer to REX American Resources Corporation and its majority 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report to a particular fiscal year are to REX’s fiscal year ended January 31. We refer to our fiscal year by reference to the year immediately preceding the January 31 fiscal year end date. For example, “fiscal year 2023” means the period February 1, 2023 to January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REX was incorporated in Delaware in 1984 as a holding company. Our principal offices are located at 7720 Paragon Road, Dayton, Ohio 45459. Our telephone number is (937) 276-3931.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2006, we started investing in ethanol production facilities. We are currently invested in three ethanol production entities – One Earth Energy, LLC (“One Earth”), NuGen Energy, LLC (“NuGen”), and Big River Resources, LLC (“Big River”). We own a majority interest in One Earth and NuGen. We also own a majority interest in an entity that owned and, until November 18, 2021, operated a refined coal facility. As we have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ceased operating the refined coal facility, we began classifying the financial results of the operating segment as discontinued operations. We now have one reportable segment, ethanol and by-products.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$60.9 million in fiscal 2023 compared to approximately $27.7 million in fiscal 2022. Our ethanol business had increased profits in fiscal 2023 compared to fiscal 2022 as a result of higher crush spreads in fiscal 2023. The two largest drivers of ethanol profitability are corn and ethanol pricing, both of which experienced significant volatility within the year. Chicago Board of Trade corn prices per bushel ranged from a low of $4.40 in January 2024 to a high of $6.85 in February 2023. S&amp;P Global Platts ethanol pricing per gallon ranged from a low of $1.52 in January 2024 to a high of $2.67 in June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 and structure of our ethanol investments are tailored to the specific needs and goals of each project and the local farmer group or investor with whom we partner. We generally participate in the oversight of our projects through our membership on the board of managers of the limited liability companies that own the plants. We provide management oversight and direction with respect to most aspects of plant operations for our consolidated ethanol companies. We have equity investments in three entities engaged in the production of ethanol as of January 31, 2024. The following table is a summary of our ethanol entity ownership interests at January 31, 2024:</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120" w:type="dxa"/>
            <w:vAlign w:val="bottom"/>
            <w:tcBorders>
              <w:top w:val="single" w:sz="8" w:color="auto"/>
              <w:left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REX's Current</w:t>
            </w:r>
          </w:p>
        </w:tc>
      </w:tr>
      <w:tr>
        <w:trPr>
          <w:trHeight w:val="238"/>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8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Ownership Interest</w:t>
            </w:r>
          </w:p>
        </w:tc>
      </w:tr>
      <w:tr>
        <w:trPr>
          <w:trHeight w:val="209"/>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Earth Energy, LLC</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Gibson City, IL</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75.8%</w:t>
            </w:r>
          </w:p>
        </w:tc>
      </w:tr>
      <w:tr>
        <w:trPr>
          <w:trHeight w:val="210"/>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NuGen Energy, LLC</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Marion, SD</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99.7%</w:t>
            </w:r>
          </w:p>
        </w:tc>
      </w:tr>
      <w:tr>
        <w:trPr>
          <w:trHeight w:val="191"/>
        </w:trPr>
        <w:tc>
          <w:tcPr>
            <w:tcW w:w="41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r>
      <w:tr>
        <w:trPr>
          <w:trHeight w:val="216"/>
        </w:trPr>
        <w:tc>
          <w:tcPr>
            <w:tcW w:w="412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W Burlington, LLC</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 Burlington, IA</w:t>
            </w:r>
          </w:p>
        </w:tc>
        <w:tc>
          <w:tcPr>
            <w:tcW w:w="1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12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Galva, IL</w:t>
            </w:r>
          </w:p>
        </w:tc>
        <w:tc>
          <w:tcPr>
            <w:tcW w:w="1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12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Dyersville, IA</w:t>
            </w:r>
          </w:p>
        </w:tc>
        <w:tc>
          <w:tcPr>
            <w:tcW w:w="1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412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Boyceville, WI</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716 million gallons of ethanol over the twelve-month period ended January 31, 2024. REX’s effective ownership of gallons shipped, for the twelve-month period ended January 31, 2024, by the ethanol production facilities in which we have ownership interests was approximately 290 million gallons.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We began classifying this operation as discontinued operations in the third quarter of fiscal 2021.</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Earth Sequestration, LLC, a wholly owned subsidiary of One Earth Energy, LLC, is in the developmental stage of a carbon sequestration project near the One Earth Energy ethanol plant.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In October 2022, we applied for a Class VI injection well permit for three wells with the U.S. Environmental Protection Agency (“EPA”). In addition, we have begun construction of a facility to capture, dehydrate, and compress carbon dioxide from the One Earth Energy ethanol plant to a state suitable for sequestration. We expect to complete construction by July 31, 2024, at which time testing of the facility could commence, upon completion of other infrastructure. In October 2023, we submitted an application with the Illinois Commerce Commission to build a short pipeline to deliver carbon dioxide from the ethanol plant to the sequestration site. We continue to pursue obtaining a county special-use zoning permit. Although we have made meaningful progress and significant investments in this project, we continue to complete required documentation for various government agencies and obtain permits and other approvals with no assurances of ultimate success.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concurrently expand the One Earth ethanol plant. We recently received a permit to increase production from 150 million gallons of ethanol per year to 175 million gallons of ethanol per year. Once we achieve that level of production, planned for the first quarter of 2025, we intend to apply for a 200 million gallon per year permit from the EPA. Finally, we continue to work to identify ways to reduce our carbon intensity (“CI”) score at the One Earth plant with the intention of maximizing tax credits available under the Inflation Reduction Act. The Inflation Reduction Act created a new Clean Fuel Production Credit, available for calendar years 2025 – 2027, which established a credit of approximately $0.02 per ethanol gallon per CI</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point reduction below a 50 CI score threshold to incentivize further increases in plant efficiencies within the industry.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the total cost of these projects to be approximately $165 million to $175 million, which we currently plan to pay from our available cash. As of January 31, 2024, we had spent $25.8 million since inception and were contractually committed to spend an additional $22.6 million toward the carbon sequestration project. If the carbon sequestration project is successful, we believe we would qualify for tax credits under section 45Q of the Internal Revenue Code (“45Q”), based on tons of carbon sequestered, and section 45Z of the Internal Revenue Code (“45Z”), based on gallons of ethanol produced, as outlined in the Inflation Reduction Act. As of January 31, 2024, we had spent $12.8 million since inception and were contractually committed to spend an additional $12.3 million toward plant capacity expansion and ongoing efforts to reduce our CI scoring.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NuGen Energy, LLC,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carbon dioxide output of its ethanol production facility for sequestration, as well as reduce its net carbon emissions.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energy related, carbon sequestration, agricultural and other ventures we believe fit our investment criteria. We can make no assurances that we will be successful in our efforts to find such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Industry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Ethanol is a renewable fuel produced by processing corn and other biomass through a fermentation process that creates combustible alcohol that can be used as a fuel additive to reduce vehicle emissions from gasoline, as an octane enhancer to improve the octane rating of gasoline with which it is blended and, to a lesser extent, as a gasoline substitute. The majority of ethanol produced in the United States is made from corn because of its wide availability and ease of convertibility from large amounts of carbohydrates into glucose, the key ingredient in the fermentation process that is used in producing alcohol. Ethanol production can also use feedstocks such as grain sorghum, switchgrass, wheat, barley, potatoes and sugarcane as carbohydrate sources. Most ethanol plants have been located near large corn production areas, such as Illinois, Indiana, Iowa, Minnesota, Nebraska, Ohio and South Dakota. Railway access and interstate access are vital for ethanol facilities due to the large amount of raw materials and finished goods required to be shipped to and from the facilities. An adequate supply of natural gas is key to maintaining optimal operating levels.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Renewable Fuels Association (“RFA”), the United States ethanol industry produced an estimated 15.6 billion gallons of ethanol in 2023, compared to 15.4 billion gallons in 2022. Approximately 1.4 billion gallons were estimated to have been exported from the United States in 2023. According to the RFA, the United States ethanol industry consists of 198 plants in 24 states with an annual capacity of approximately 18.0 billion gallons of ethanol production.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Domestic demand for ethanol is highly dependent upon federal and state legislation and regulations. On December 19, 2007, the Energy Independence and Security Act of 2007 (the “Energy Act of 2007”) was enacted. The Energy Act of 2007 established new levels of renewable fuel mandates, including two different categories of renewable fuels: conventional biofuels and advanced biofuels. The federal government mandates the use of renewable fuels under Renewable Fuel Standard II (“RFS II”), established in October 2010. Corn-based ethanol is considered a conventional biofuel. There were mandated volumes established as part of the RFS II for conventional and advanced biofuels through the year 2022. After 2022, RFS volumes are to be determined by the EPA in coordination with the Secretaries of Energy and Agriculture. The mandated volumes for conventional biofuel were to reach 15.0 billion gallons in 2015 and maintain that level until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EPA has set conventional renewable fuel volumes of 15.0 billion gallons for 2023 through 2025. Additionally, in 2023, the EPA restored 250 million gallons previously waived.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RFS II, a small refiner that processes less than 75,000 barrels of oil per day can petition the EPA for a waiver of their requirement to acquire and submit renewable identification numbers (“RINs”). The EPA,</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 The EPA has not granted any small refinery waivers for 2019-2022 and has continued that stance in the proposed volumes for 2023-2025. There remain multiple ongoing legal challenges to how the EPA has handled the small refinery waivers, including on November 22, 2023, a ruling by the Fifth U.S. Circuit Court of Appeals (the “Court”) against the EPA on six SREs the EPA had previously denied. The Court remanded those six petitions back to the EPA and each refinery will continue to operate under temporary SREs granted to them by the Court.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Ethanol Production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plants in which we have invested are designed to use the dry milling method of producing ethanol. In the dry milling process, the entire corn kernel is first ground into flour, which is referred to as “meal,” and processed without separating out the various component parts of the grain. The meal is processed with enzymes, chemicals and water, and then placed in a high-temperature cooker. It is then transferred to fermenters where yeast is added and the conversion of sugar to ethanol begins. After fermentation, the resulting liquid is transferred to distillation columns where the ethanol is separated from the remaining “stillage” for fuel uses. The anhydrous ethanol is then blended with a denaturant, such as natural gasoline, to render it undrinkable and thus not subject to beverage alcohol tax. With the starch elements of the corn consumed in the above-described process, the principal by-product produced by the dry milling process is dry distillers grains with solubles, or DDGS. DDGS is sold as a protein used in animal feed, which recovers a portion of the corn value not absorbed in ethanol production. Depending on market and operating conditions, we may also sell modified distillers grains, or wet distillers grains, by removing less liquid content compared to DDGS. We also generate revenues from the sale of distillers corn oil produced at our facilities. Distillers corn oil is sold to the animal feed market, as well as biodiesel and other chemical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Primary Uses of Ethanol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Blend component. </w:t>
      </w:r>
      <w:r>
        <w:rPr>
          <w:rFonts w:ascii="Times New Roman" w:cs="Times New Roman" w:eastAsia="Times New Roman" w:hAnsi="Times New Roman"/>
          <w:sz w:val="18"/>
          <w:szCs w:val="18"/>
          <w:color w:val="auto"/>
        </w:rPr>
        <w:t>Today, much of the ethanol blending in the U.S. is done to meet the RFS. Most regular gasoline is produced using blendstock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octane rating of 84, which is then increased to 87 (the minimum octane rating required in most states) by adding 10% ethanol according to the RFA. The industry is attempting to expand ethanol blending above the current 10% for most vehicles in use. The EPA has approved the use of 15% ethanol (“E-15”), which has an octane rating of 88, in gasoline for cars, SUV’s and light duty trucks made in 2001 and later. Previously, the EPA had not granted E-15 the same Reid vapor pressure (“RVP”) waiver as E-10 so it could only be sold from September 16 through May 31 for those vehicles in most markets. The EPA issued emergency waivers to allow the sale of E-15 for the summer months in both 2022 and 2023. Eight Midwest states (Illinois, Iowa, Minnesota, Missouri, Nebraska, Ohio, South Dakota, and Wisconsin) petitioned the EPA to allow year-round sales of E-15 in their states. The EPA has approved this request beginning in 2025.</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Clean air additive. </w:t>
      </w:r>
      <w:r>
        <w:rPr>
          <w:rFonts w:ascii="Times New Roman" w:cs="Times New Roman" w:eastAsia="Times New Roman" w:hAnsi="Times New Roman"/>
          <w:sz w:val="18"/>
          <w:szCs w:val="18"/>
          <w:color w:val="auto"/>
        </w:rPr>
        <w:t>Ethanol is employed by the refining industry as a fuel oxygenate, which when blended with gasoline, allows engines to combust fuel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completely than gasoline that has not been oxygenated and thus reduce emissions from motor vehicles. Ethanol contains 35% oxygen, which results in more complete combustion of the fuel in the engine cylinder. Oxygenated gasoline is used to help meet certain federal and air emission standards.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Octane enhancer. </w:t>
      </w:r>
      <w:r>
        <w:rPr>
          <w:rFonts w:ascii="Times New Roman" w:cs="Times New Roman" w:eastAsia="Times New Roman" w:hAnsi="Times New Roman"/>
          <w:sz w:val="18"/>
          <w:szCs w:val="18"/>
          <w:color w:val="auto"/>
        </w:rPr>
        <w:t>Ethanol increases the octane rating of gasoline with which it is blended. Octane is a measure of fuel performance. Ethanol is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gasoline suppliers as an octane enhancer both for producing regular grade gasoline from lower octane blending stocks and for upgrading regular gasoline to premium grades.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ethanol industry is highly dependent upon federal and state legislation. See Item 1A. Risk Factors for a discussion of legislation affecting the U.S. ethanol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Refined Coal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We began to report these results as discontinued operations in the third quarter of 2021.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45 of the IRC was created by Congress to encourage the development and use of environmentally sound solutions to control harmful emissions during energy production and to facilitate and move the United States towards better compliance with global environmental energy standards. The American Jobs Creation Act of 2004 amended Section 45 of the IRC by adding provisions to incentivize the production of emission reducing refined coal. To qualify for tax credits under Section 45 of the IRC, a process must reduce coal emissions of nitrogen oxide by 20% and either sulfur dioxide or mercury by 40%.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production tax credits received through ownership of this facility remain under IRS audit.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our fiscal year end, our consolidated ethanol entities owned a combined 1,477 acres of land and two facilities that shipped a combined quantity of approximately 286 million gallons of ethanol in fiscal year 2023. We also own our corporate headquarters office building, consisting of approximately 7,500 square feet, located in Dayton, Ohio.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attraction, retention and development of employees is critical to our success. We accomplish these objectives through a variety of actions, including our competitive compensation policies, discretionary stock award programs, training initiatives, and growth opportunities within our Company. At January 31, 2024, we had 117 employees at our two consolidated ethanol plants and at our corporate headquarters. None of our employees are represented by a labor union. We expect this employment level to remain relatively stable. We consider our relationship with our employees to be good.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regularly scheduled safety meetings and require all employees to go through safety training. We evaluate employee safety incidents monthly and investigate such incidents promptly. In addition, we conduct periodic safety audits performed by an independent third party. A portion of our incentive compensation plan rewards employees for attaining certain safety goals.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we offer market competitive compensation and benefit programs for our employees. In addition to competitive base wages, all employees are eligible for an incentive compensation program, a Company matched 401(k) plan, healthcare benefits, and paid time off.</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Service 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registered the service marks “REX” and “Farmer’s Energy” with the United States Patent and Trademark Office. We are not aware of any adverse claims concerning our service marks.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Ethanol and By-Products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ethanol industry is changing rapidly which could result in unexpected developments that could negatively impact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RFA, the ethanol industry grew from approximately 1.5 billion gallons of domestic annual ethanol production in 1999 to a peak of approximately 16.1 billion gallons in 2018. In 2023 and 2022, the industry produced approximately 15.6 and 15.4 billion gallons, respectively, with the reduction from the peak year reflecting industry conditions and reduced demand. Thus, there have been significant changes in the supply and demand of ethanol over a relatively short period of time which could lead to difficulty in maintaining profitable operations at our ethanol plants.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financial returns on our ethanol investments are highly dependent on commodity prices, which are subject to significant volatility, uncertainty and regional supply shortages, so our results could fluctuate substantially.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returns on our ethanol investments are highly dependent on commodity prices, especially prices for corn, natural gas, ethanol, distillers grains, distillers corn oil and gasoline, and availability of corn. As a result of the volatility of the prices for these items, our returns may fluctuate substantially and our investments could experience periods of declining prices for their products and increasing costs for their raw materials, which could result in operating losses at our ethanol plants.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margin at our ethanol plants depends principally on the spread between ethanol, distillers grains, distillers corn oil, and corn prices. Fluctuations in the spread are likely to continue to occur. A sustained narrow or negative spread, whether as a result of sustained high or increased corn prices or sustained low or decreased ethanol prices, would adversely affect the results of operations at our ethanol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returns on ethanol investments are highly sensitive to corn prices.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Corn is the principal raw material our ethanol plants use to produce ethanol and by-products. As a result, changes in the price of corn can significantly affect our businesses. Rising corn prices result in higher production costs of ethanol and by-products. Because ethanol competes with non-corn-based fuels, our ethanol plants may not be able to pass along increased grain costs to our customers. At certain levels, grain prices may make ethanol uneconomical to produce.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of corn is influenced by weather conditions and other factors affecting crop yields, transportation costs, farmer planting decisions, exports, foreign production, the value of the U.S. dollar, and general domestic</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and foreign economic, market and regulatory factors, including, but not limited to, the impacts from the Russian-Ukraine conflict as well as other conflicts and political unrest, both foreign and domestic. These factors include government policies and subsidies with respect to agriculture and international trade and global and local demand and supply. The significance and relative effect of these factors on the price of corn is difficult to predict. Any event that tends to negatively affect the production and/or supply of corn, such as adverse weather or crop disease, could increase corn prices and potentially harm the business of our ethanol plants, to include intermittent production slowdowns or stoppages. Increasing domestic ethanol production could boost the demand for corn and result in increased corn prices. International demand for corn could also result in higher corn prices. Our ethanol plants may also have difficulty, from time to time, in physically sourcing corn on economic terms due to regional supply shortages, transportation issues, delays in farmer marketing decisions or unfavorable local pricing. The corn harvest near our NuGen facility for 2022 was negatively impacted by dry weather and impacted the supply of corn until the 2023 harvest. Such a shortage or price impact could require our ethanol plants to suspend operations which would have a material adverse effect on our consolidated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strategies may be ineffective and may expose us to decreased profitability and 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 attempt to partially offset the impact of volatility of commodity prices, we enter into: i) forward contracts to sell a portion of our ethanol, distillers grains, and distillers corn oil production and to purchase a portion of our corn and natural gas requirements and; ii) commodity futures and swap agreements. The financial impact of these risk management activities is dependent upon, among other items, the prices involved and our ability to receive or deliver the commodities involved. Risk management activities can result in financial loss when positions are purchased in a declining market or when positions are sold in an increasing market. In addition, we may not be able to match the appropriate quantity of corn contracts with quantities of ethanol, distillers grains and distillers corn oil contracts. Further, our results may be impacted by a mismatch of gains or losses associated with the positions during a reporting period when the physical commodity purchase or sale has not yet occurred. We vary the amount and type of risk management techniques we utilize, and we may choose not to engage in any risk management activities. Should we fail to properly manage the inherent volatility of commodity prices, our results of operations and financial condition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natural gas is subject to market conditions that create uncertainty in the price and availability of the natural gas that our ethanol plants use in their manufacturing process.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ethanol plants rely upon third parties for their supply of natural gas, which is consumed as fuel in the production process. The prices for and availability of natural gas are subject to volatile market conditions. These market conditions often are affected by factors beyond the ethanol plants’ control, such as weather conditions, overall economic conditions, export market, governmental regulation and foreign and domestic relations, including, but not limited to, the impacts from the Russian-Ukraine conflict. Significant disruptions in the supply of natural gas could impair or completely prevent the ethanol plants’ ability to economically manufacture ethanol for their customers. Furthermore, increases in natural gas prices may adversely affect results of operations and financial position at our ethanol plants.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selling price of commodities may reduce profit margins at our ethanol plants.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Ethanol is marketed as a fuel additive to reduce vehicle emissions from gasoline, as an octane enhancer to improve the octane rating of gasoline with which it is blended and, to a lesser extent, as a gasoline substitute. As a result, ethanol prices are influenced by the supply and demand for gasoline, and our ethanol plants’ results of operations and financial position may be materially adversely affected if gasoline demand decreases or the price of gasoline declines making ethanol less economical.</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Distillers grains compete with other protein-based animal feed products. The price of distillers grains may decrease when the prices of competing feed products decrease. The prices of competing animal feed products are based in part on the prices of the commodities from which these products are made. Historically, sales prices for distillers grains have tracked along with the price of corn. However, there have been instances when the price increase for distillers grains has lagged increases in corn prices.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production of distillers grains has increased as a result of increases in dry mill ethanol production in the United States. This could lead to price declines in what we can sell our distillers grains for in the future. Such declines could have a material adverse effect on our results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of distillers corn oil is primarily driven by the demand from renewable diesel, biodiesel, and to some extent, sustainable aviation fuel markets. Distillers corn oil is marketed as a low-carbon feedstock to be used in these markets which may see expanded demand due to the extended blending tax credit, credits included in the Inflation Reduction Act and growing Low Carbon Fuel Standard (“LCFS”) markets, resulting in an impact to distillers corn oil demand. With a lower CI score, distillers corn oil may see improved pricing compared to heating oil and soybean oil, which it has traditionally tracked closely in price. Alternatively, other feedstocks such as cooking oil and animal fats, with lower CI scoring, could be preferred over distillers corn oil. A decrease in the price of or demand for distillers corn oil could negatively impact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could impact the cost and/or availability of material, labor and other input, which could adversely affect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inflationary impacts on key production inputs, labor costs consisting of both wages and other labor-related costs, services, equipment and other inputs. These inflationary pressures could continue or worsen in future periods and may be beyond our control. We may not be able to pass these increased costs along to our customers through the products we sell. As a result, inflation and higher prices could negatively impact our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ethanol production or decreases in demand for ethanol may result in excess production capacity in the ethanol industry, which may cause the price of ethanol, distillers grains and distillers corn oil to decrease.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RFA, domestic ethanol production capacity is approximately 18.0 billion gallons per year. Under RFS II, there were mandated volumes through 2022 for conventional and advanced biofuels. After 2022, RFS volumes are to be determined by the EPA in coordination with the Secretaries of Energy and Agriculture. The EPA has set conventional renewable fuel volumes of 15.0 billion gallons for 2023 through 2025. In addition, for 2023 they restored 250 million gallons previously waived. The implied excess capacity over the EPA proposed volumes could have an adverse effect on the results of our operations. In a manufacturing industry with excess capacity, producers have an incentive to manufacture additional products for so long as the price exceeds the marginal cost of production (i.e., the cost of producing only the next unit, without regard for interest, overhead or fixed costs). This incentive could result in the reduction of the market price of ethanol to a level that is inadequate to generate sufficient cash flow to cover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decrease in demand for ethanol may result in excess capacity, which could result from a number of factors, including, but not limited to, regulatory developments and reduced U.S. gasoline consumption. Reduced gasoline consumption could occur as a result of increased prices for gasoline or crude oil, which could cause businesses and consumers to reduce driving or acquire vehicles with more favorable gasoline mileage or acquire non-gasoline powered vehicles. In addition, decreased overall economic activity could also lead to reduced gasoline consumption.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ethanol production produces distillers grains and distillers corn oil as by-products, increased ethanol production will also lead to increased supplies of distillers grains and distillers corn oil. An increase in the supply of distillers grains and distillers corn oil, without corresponding increases in demand, could lead to lower prices or an inability to sell our ethanol plants’ distillers grains and distillers corn oil production. A decline in the price of distillers grains or distillers corn oil could have a material adverse effect on the results of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price of ethanol and distillers grains may decline as a result of trade restrictions or duties on ethanol and distillers grains exports from the United States or from unfavorable foreign currency exchange rates.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United States were to withdraw from or materially modify certain international trade agreements, our business, financial condition and results of operations could be materially adversely affected. Ethanol and other products that we produce are sold into various other countries with trade agreements with the United States. If tariffs were raised on the foreign-sourced goods that lead to retaliatory actions, it could have material adverse effect on our business, financial condition and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States exported an estimated 1.4 billion gallons of ethanol in 2023, up from approximately 1.3 and approximately 1.2 billion gallons in 2022 and 2021, respectively. In 2023 and 2022, an estimated 10.8 and 11.4 million metric tons, respectively, of distillers grains were exported, which represented approximately 34% of U.S production each year. If producers and exporters of ethanol and distillers grains are subject to trade restrictions, or additional duties are imposed on exports, it may make it uneconomical to export these products. The industry has experienced various trade policy disputes, tariffs and investigations in foreign countries that have adversely impacted the international demand for our products. Reduced international demand could lead to further oversupply and reduce pricing.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demand for ethanol is uncertain and changes in overall consumer demand for transportation fuel could affect demand.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limited markets for ethanol other than what is federally mandated. Increased consumer acceptance of E15 and E85 fuel is likely necessary in order for ethanol to achieve significant market share growth beyond federal mandate levels.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Consumer demand for gasoline may be impacted by emerging transportation trends, such as hybrid and electric vehicles. Numerous automobile manufacturers have announced plans to phase out internal combustion engine production by the mid-2030s. There also have been pledges to ban the sale of internal combustion engines in countries such as Japan and the United Kingdom by 2035, as well as a statewide ban in California, which several states are imitating. If realized, these bans would accelerate the decline of liquid fuel demand and by extension demand for ethanol, biodiesel and renewable diesel. Recent federal legislation seeks to address the ever-increasing demand for electric vehicle infrastructure. Reduced demand for ethanol could cause our results of operations to be materially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partners to operate certain of our ethanol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currently represent both majority and minority equity positions. Day-to-day operating control of minority owned plants generally remains with the local investor group. We do not have the ability to directly modify the operations of these plants in response to changes in the business environment or in response to any deficiencies in local operations of the plants. In addition, local plant operators, who also represent the primary suppliers of corn and other crops to the plants, may have interests, such as the price and sourcing of corn and other crops, that may differ from our interest, which is based solely on the operating profit of the plant. The</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limitations on our ability to control day-to-day plant operations could adversely affect plant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acquire or develop additional ethanol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of our ethanol business depends on our ability to identify and develop new ethanol investments. Any expansion strategy will depend on prevailing market conditions for the price of ethanol and the cost of corn and natural gas and the expectations of future market conditions. Additional financing may also be necessary to implement any expansion strategy, which may not be accessible or available on acceptable terms. In addition, failure to adequately manage the risks associated with additional ethanol investments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develop our planned carbon sequestration facility near the One Earth Energy ethanol plant.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committed significant time and resources towards a carbon sequestration project near the One Earth Energy ethanol plant. The completion and start-up of this project requires numerous government and landowner approvals. If we are not successful in obtaining all these approvals, we may not be able to complete this project and could result in a significant write off of our commitments and investments.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successful on this project, our ethanol plant could be at a disadvantage in the industry as our inability to sequester our carbon could result in a higher CI score than our competitors if they are able to sequester their carbon. If we are unable to reduce our CI score, we may not be able to participate in the state and federal clean fuel programs, including federal tax credits outlined in the Inflation Reduction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Carbon capture and sequestration projects are subject to federal, state, and local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planned carbon sequestration facility near our One Earth Energy ethanol plant, we have signed an agreement to deliver our carbon from the NuGen Energy facility to an outside party. These projects may not result in any realized benefit due to delays or suspended operations. Investments being made in these projects are based on regulatory guidelines, such as modeling for CI reductions, that may be adjusted outside of our control and could deviate from our current strategy. Federal guidelines within the IRA could be changed to no longer include corn-based ethanol from being eligible for certain tax incentives. Delays in the issuance or regulations or the elimination of clean fuel and other incentives at the federal, state or local level could adversely affect our business. New legislation limiting our ability to sequester carbon could be adopted at the federal, state or local levels.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ethanol plants may be adversely affected by technological advances and efforts to anticipate and employ such technological advances may prove unsuccessful.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technologies may result in a significant reduction in the costs of ethanol production. For instance, any technological advances in the efficiency or cost to produce ethanol from inexpensive cellulosic sources such as corn stalk, wheat, oat or barley straw could have an adverse effect on our ethanol plants, because our plants are designed to produce ethanol from corn, which is, by comparison, a raw material with other high value uses. We cannot predict when, or if, new technologies may become available, the rate of acceptance of new technologies by competitors or the costs associated with new technologies. In addition, advances in the development of alternatives to ethanol could significantly reduce demand for or eliminate the need for ethanol.</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Any advances in technology which require significant unanticipated capital expenditures to remain competitive or which reduce demand or prices for ethanol would have a material adverse effect on the results of our ethanol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alternative fuels, additives and oxygenates are continually under development. Alternative fuel additives that can replace ethanol may be developed, which may decrease the demand for ethanol. It is also possible that technological advances in engine and exhaust system design and performance could reduce the use of oxygenates, which would lower the demand for ethanol. Reduced demand for ethanol could cause our results of operations to be materially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U.S. ethanol industry is highly dependent upon a myriad of federal and state legislation and regulation and any changes in legislation or regulation could materially and adversely affect our results of operations and financial position.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renewable fuel standard program was authorized under the Energy Policy Act of 2005 and was expanded under the Energy Independence and Security Act of 2007 (EISA). EISA increased the amount of renewable fuel required to be blended into gasoline with RFS II and required a minimum usage of corn-derived renewable fuels of 12.0 billion gallons in 2010, increasing annually by 600 million gallons to 15.0 billion gallons in 2015 through 2022, with no specified volume subsequent to 2022. After 2022, RFS volumes are to be determined by the EPA in coordination with the Secretaries of Energy and Agriculture. The EPA has the authority to assign the mandated amounts of renewable fuels to be blended into transportation fuel to individual fuel blenders. RFS II has been a primary factor in the growth of ethanol usage. Over the past several years various pieces of legislation have been introduced to the U.S. Congress that were intended to reduce or eliminate ethanol blending requirements. To date, none of the bills have been successful but they are an indication of the continued effort to undermine the EISA.</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EPA has set conventional renewable fuel volumes of 15.0 billion gallons for 2023 through 2025 Additionally, for 2023, the EPA restored 250 million gallons previously waived.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Obligated parties use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As a result of fluctuations in RINs pricing, certain obligated parties have petitioned the EPA and filed court actions to change the point of obligation or to seek relief from their obligation. The EPA granted 88 total Small Refinery Exemptions (“SREs”) for 2016 through 2018 totaling approximately 4.3 billion gallons. In recent years, the EPA had largely denied small refiner waivers. However, on November 22, 2023, the Fifth U.S. Circuit Court of Appeals (the “Court”) ruled against the EPA on six SREs the EPA had previously denied. The Court remanded those six petitions back to the EPA and each refinery will continue to operate under temporary SREs granted to them by the Court. These and further SREs could lead to decreased RIN values and ethanol pricing.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Flexible fuel vehicles (“FFVs”) receive preferential treatment in meeting federally mandated corporate average fuel economy (“CAFE”) standards for automobiles manufactured by car makers. High blend ethanol fuels such as E-85 result in lower fuel efficiencies. Absent the CAFE preferences, car makers would not likely build flexible-fuel vehicles. In recent years, automobile manufactures have lowered the production of FFVs for the U.S. Any change in CAFE preferences could reduce the growth of E-85 markets and result in lower ethanol prices.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changes in legislation or regulations could materially and adversely affect our results of operations and financial position.</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The inability to generate or obtain RINs could adversely affect our operating results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Virtually all our ethanol is sold with RINs that are used by customers to comply with RFS II. If our production does not meet EPA requirements for RIN generation, as an efficient producer, in the future, we would have to purchase RINs in the open market or sell our ethanol at substantially lower prices, such as on the export market, to adjust for the absence of RINs. The price of RINs varies based on many factors and cannot be predicted. Failure to obtain sufficient RINs or reliance on invalid RINs could subject us to fines and penalties imposed by the EPA.</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Various studies have criticized the efficiency of ethanol, in general, and corn-based ethanol in particular, which could lead to the reduction or repeal of incentives and tariffs that promote the use and domestic production of ethanol or otherwise negatively impact public perception and acceptance of ethanol as an alternative fuel.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many trade groups, academics and governmental agencies have supported ethanol as a fuel additive that promotes a cleaner environment, others have criticized ethanol production as consuming considerably more energy and emitting more greenhouse gases than other biofuels and as potentially depleting water resources. Other studies have suggested that corn-based ethanol negatively impacts consumers by causing prices to increase for dairy, meat and other foodstuffs.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views gain acceptance, support for existing measures promoting use and domestic production of corn-based ethanol could decline, leading to reduction or repeal of these measures. These views could also negatively impact public perception of the ethanol industry and acceptance of ethanol as an alternative fuel.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support of cellulosic ethanol may result in reduced incentives to corn-derived ethanol producers.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American Recovery and Reinvestment Act of 2009 and EISA provide funding opportunities in support of cellulosic ethanol obtained from biomass sources such as switchgrass and poplar trees. These federal policies may suggest a long-term political preference for cellulosic processes using alternative feedstocks such as switchgrass, silage or wood chips. Cellulosic ethanol has a smaller carbon footprint than corn-derived ethanol and is unlikely to divert foodstuff from the market. Our plants are designed as single-feedstock facilities, located in corn production areas with limited alternative feedstock nearby, and would require significant additional investment to convert to the production of cellulosic ethanol. The adoption of cellulosic ethanol as the preferred form of ethanol could have a significant adverse effect on our ethanol business.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ethanol business is affected by environmental and other regulations which could impede or prohibit our ability to successfully operate our plants.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ethanol production facilities are subject to extensive air, water discharge, and other environmental regulations. We have had to obtain numerous permits to construct and operate our plants. Regulatory agencies could impose conditions or other restrictions in the permits that are detrimental, or which increase our costs. More stringent federal or state environmental regulations could be adopted which could significantly increase our operating costs or require us to expend considerable resources.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ethanol plants emit various airborne pollutants as by-products of the ethanol production process, including carbon dioxide (a greenhouse gas). In 2007, the U.S. Supreme Court classified carbon dioxide as an air pollutant under the Clean Air Act in a case seeking to require the EPA to regulate carbon dioxide in vehicle emissions. In February 2010, the EPA released its final regulations on the Renewable Fuel Standard program. We believe our plants are grandfathered up to certain operating capacity, but plant expansion requires us to</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meet a 20% threshold reduction in greenhouse gas (GHG) emissions from a 2005 baseline measurement to produce ethanol eligible for the RFS II mandate. To further expand our plant capacity, we may be required to obtain additional permits, install advanced technology equipment, or reduce drying of certain amounts of distillers grains. We may also be required to install carbon dioxide mitigation equipment or take other steps in order to comply with future laws or regulations. Compliance with future laws or regulations with respect to emissions of carbon dioxide, or if we choose to expand capacity at certain of our plants, compliance with then-current regulations of carbon dioxide, could be costly and may prevent us from operating our plants at full capacity or as profitably, which may have a negative impact on our financial performance. We also face the risk of ethanol production above our grandfathered capacity not qualifying for RINs if the plants do not meet certain emission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California Air Resources Board (“CARB”) adopted a LCFS requiring a 10% reduction in GHG emissions from transportation fuels. An Indirect Land Use Charge is included in this lifecycle GHG emission calculation. This standard could have an adverse impact on the market for corn-based ethanol in California if corn-based ethanol fails to achieve lifecycle GHG emission reductions and in other states if they adopt similar standards. This could have a negative impact on our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ethanol business may become subject to various environmental and health and safety and property damage claims and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of our ethanol business exposes the business to the risk of environmental and health and safety claims and property damage claims, such as failure to comply with environmental regulations. These types of claims could also be made against our ethanol business based upon the acts or omissions of other persons. Serious claims could have a material negative impact on our results of operations, financial position and future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not diversified.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results depend heavily on our ability to operate our ethanol plants profitably. Our lack of diversification could have a material negative impact on our results of operations, financial position and future cash flows should our ethanol plants operate unprofitably.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meet commitments to produce and sell ethanol.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sell our products with forward contracts. If we are unable to produce the products due to economic conditions, business interruption, or other factors, we may incur additional costs or have to obtain commodities at unfavorable prices to meet our contractual commitments. This could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meet commitments to purchase commodities.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purchase certain commodities with forward contracts without a corresponding quantity of ethanol sold via forward contracts at known prices. Should ethanol and by-product prices decline to levels that would lead to significant unprofitable results of operations, we may incur additional costs and/or losses to meet our contractual commitments. This could have a material adverse effect on our results of operations.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Our revenue from the sale of distillers grains depends upon its continued market acceptance as an animal feed.</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Distillers grains is a by-product from the fermentation of corn to produce ethanol. Antibiotics may be used during the fermentation process to control bacterial contamination; therefore, antibiotics may be present in small quantities in distillers grains marketed as animal feed. The U. S. Food and Drug Administration’s Center for Veterinary Medicine has expressed concern about potential animal and human health hazards from the use of distillers grains as an animal feed due to the possibility of antibiotic residues. If the public became concerned about the impact of distillers grains in the food supply or as an acceptable animal feed, the market for distillers grains could be negatively impacted, which would have a negative impact on our results of operations. We may not be able to obtain a suitable replacement for antibiotics, should this be required, which would also negatively impact the market for distillers grains.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estimated 34% of distillers grains produced in the United States were exported in 2023. The price of distillers grains has benefitted from the exports of the product. In recent years, certain countries have refused to import U.S. distillers grains for a variety of reasons. If export shipments are rejected or delayed, the market price for distillers grains would be negatively impacted, which would have a negative impact on our ethanol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extract distillers corn oil immediately prior to the production of distillers grains. Several studies are attempting to determine whether distillers corn oil extraction may impact the nutritional value of the resulting distillers grains. If it is determined that distillers corn oil extraction adversely impacts the nutritional energy content of distillers grains, the value of the distillers grains we sell may be negatively impacted, which would have a negative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 in the ethanol industry.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significant competition for new ethanol investment opportunities. Many of our competitors are larger and have greater financial resources and name recognition than we do. We must compete for investment opportunities based on our strategy of supporting and enhancing local development of ethanol plant opportunities. We may not be successful in competing for investment opportunities based on our strategy.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ethanol industry is primarily comprised of entities that engage exclusively in ethanol production and large integrated grain companies that produce ethanol along with their base grain business. Several large oil companies have entered the ethanol production market. If these companies increase their ethanol plant ownership or if other oil companies seek to engage in direct ethanol production, there would be less of a need to purchase ethanol from independent producers such as our ethanol plants. No assurance can be given that our ethanol plants will be able to compete successfully or that competition from larger companies with greater financial resources will not have a materially adverse impact on the results of our ethanol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competition from foreign producers.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foreign competition in the ethanol industry. Brazil is presently the second largest producer of ethanol in the world. Brazil’s ethanol production is mostly sugarcane based, and, depending on feedstock prices, may be cheaper to produce than corn-derived ethanol. Under the RFS, certain parties were obligated to meet an advanced biofuel standard. In recent years, sugarcane-based ethanol imported from Brazil has been one of the most economical means for obligated parties to comply with this standard.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significant additional foreign ethanol production capacity is created, such facilities could create excess supplies of ethanol, which may result in lower prices of ethanol. In addition, foreign ethanol producers may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be able to produce ethanol at costs lower than ours. These risks could have significant adverse effects on our financial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credit risk from our sales of ethanol and distillers grains to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inability of a customer to make payments to us for our accounts receivable may cause us to experience losses and may adversely impact our liquidity and our ability to make our payments when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hire and retain qualified personnel to operate our ethanol plants and carbon sequestration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attract and retain competent personnel has a significant impact on operating efficiencies and plant profitability. Competition for key plant employees in the ethanol industry can be intense, and there has been an increased demand for workers in the U.S. We may not be able to attract and retain qualified employees. Failure to do so could have a negative impact on our financial results at individual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plants depend on an uninterrupted supply of energy and water to operate. Unforeseen plant shutdowns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plants require a significant and uninterrupted supply of natural gas, electricity and water to operate. We generally rely on third parties to provide these resources. If there is an interruption in the supply of energy or water for any reason, such as supply, delivery or mechanical problems and we are unable to secure an adequate alternative supply to sustain plant operations, we may be required to stop production. A production halt for an extended period of time could result in material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information technology in our operations and financial reporting and any material failure, inadequacy, interruption or security breach of that technology could harm our ability to efficiently operate our business and report our financial results accurately and timely.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information technology systems across our operations, including for management of inventory, purchase orders, production, invoices, shipping, accounting and various other processes and transactions. Our ability to effectively manage our business, coordinate the production, distribution and sale of our products and ensure the timely and accurate recording and disclosure of financial information depends significantly on the reliability and capacity of these systems. While we have taken appropriate precautions to protect our systems, and to date, we have not experienced any material adverse events related to a security breach or cyber-attack, the failure of these systems to operate effectively,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 Significant capital investments could be required to remediate any such problem. Security breaches of employee information or other confidential or proprietary data could also adversely impact our reputation and could result in litigation against us or the imposition of penalties.</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We are exposed to potential business disruption from factors outside our control, including natural disasters, severe weather conditions, accidents, pandemic diseases, international disputes, and unforeseen operational failures any of which could negatively affect our transportation operations and could adversely affect our cash flows and operating results.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Potential business disruption in available transportation due to natural disasters, severe weather conditions, the outbreak of a pandemic disease, significant track damage resulting from a train derailment, strikes or other interruptions by our transportation providers could result in delays in procuring and supplying raw materials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to our ethanol facilities, or transporting ethanol and distillers grains to our customers. Such business disruptions may result in our inability to meet customer demand or contract delivery requirements, as well as the potential loss of customers.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ship much of our products and receive a portion of our corn via rail, which involves risks involving potential regulatory changes that could adversely affect our cash flows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large portion of our ethanol and distillers grains sales are shipped via rail. In addition, we receive some corn via rail. Given the notoriety of recent major train derailments, it is possible that additional regulations could be enacted. Any changes to existing laws and regulations, or new laws and regulations, including voluntary measures taken by the rail industry, could result in higher shipping costs, or new requirements for the design, construction or operation of tank cars that transport hazard materials, such as ethanol. In addition, any derailments involving our products could result in legal claims being brought against us that could involve significant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capital intensive industry. Limitations on external financing could adversely affect our financial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incur additional financing to fund growth of our business or in times of increasing liquidity requirements (such as increases in raw material costs). Bankruptcy filings by several ethanol companies in past years and capital market volatility has reduced available capital for the ethanol industry. Any delays in obtaining additional financing, or our inability to do so, could have a material adverse impact on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During the early months of 2020, a new strain of COVID-19 spread into the United States and other countries.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The above actions led to reduced demand for ethanol. If in the future, this or other viruses surface, it could lead to prolonged production stoppages at our ethanol plants and could result in an adverse material impact on the results of operations and on our financial position. We idled our NuGen and One Earth ethanol plants for portions of fiscal year 2020, largely due to the impact of the pandemic.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Refined Coal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refined coal production company qualified to earn tax credits under IRC Section 45 through November 18, 2021. Our ability to avoid write-offs in connection with this investment is subject to various risks and uncertainties. These include, but are not limited to, the risks and uncertainties as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the tax credits under IRC Section 45.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claim tax credits under IRC Section 45 depends upon our refined coal operation satisfying certain conditions set forth in IRC Section 45. The IRS could ultimately determine that our refined coal facility and/or its operations did not satisfy the conditions set forth in IRC Section 45. This operation is currently under audit by the IRS and if we were to lose these tax credits, it could have a material adverse impact on our results of operations.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Our refined coal operation and its by-products may result in environmental and product liability claims and environmental compliance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construction and operation of refined coal operations were subject to Federal, state and local laws, regulations and potential liabilities arising under or relating to the protection or preservation of the environment, natural resources and human health and safety. Such laws and regulations generally require the operations and/or the utilities at which the operations are located to obtain and comply with various environmental registrations, licenses, permits, inspections and other approvals. Such laws and regulations also impose liability, without regard to fault or the legality of a party’s conduct, on certain entities that are considered to have contributed to, or are otherwise involved in, the release or threatened release of hazardous substances into the environment. Such risk remains even after production ceases at an operation to the extent the environmental damage can be traced to the types of chemicals or compounds used or operations conducted in connection with the use of refined coal.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may not cover all environmental risk and costs or may not provide sufficient coverage in the event of an environmental claim. If significant uninsured losses arise from environmental damage or product liability claims, or if the costs of environmental compliance increase for any reason, our results of operations and financial condition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have to generate taxable income to utilize the Section 45 federal production tax credits.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do not generate sufficient taxable income to utilize the tax credits earned by our refined coal operation, we could incur write-offs of the related tax attributes which could adversely affect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used patented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operations, we paid a license fee for patented technology. If our third-party operator is subject to patent infringement claims, we may incur legal fees to defend our position and be subject to additional costs and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REX and 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concentrations of cash deposits at financial institutions that exceed federal insurance limits.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have cash deposits that exceed federal insurance limits. Should the financial institutions we deposit our cash in experience insolvency or other financial difficulty, our access to cash deposits could be limited. In extreme cases, we could lose our cash deposits entirely. This would negatively impact our liquidity and results of operations.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mergers, acquisitions, or other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seeking growth opportunities. Acquisitions and similar transactions involve many risks that could harm our business, which include:</w:t>
      </w:r>
    </w:p>
    <w:p>
      <w:pPr>
        <w:spacing w:after="0" w:line="27" w:lineRule="exact"/>
        <w:rPr>
          <w:sz w:val="20"/>
          <w:szCs w:val="20"/>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these transactions may not be fully realized, or take longer to realize than expected,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could result in operating losses or loss of investment,</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involve incurring debt to complete these transactions, which could have a material adverse effect on our financial condition,</w:t>
      </w: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invest a significant portion of our excess cash, which could have a material adverse effect on our financial condition, and</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carbon sequestration investment may not be successful.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Rising focus on environmental, social and corporate governance matters from investors and regulators may increase our operating costs, bring down the value of our products and assets, and impact our ability to access capital markets.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climate change continues to receive significant attention from the public and the scientific community concerning the impacts from human activity, particularly the impact of greenhouse gas emissions, such as those from carbon dioxide and methane. The current federal administration’s focus on environmental issues has added pressure to take action domestically where there was already a heavier focus internationally. International, national, and local regulations are likely to increase in the coming years. Added requirements to reduce greenhouse gas emissions may increase our production costs. In addition, legislation promoting alternatives to combustion engine vehicles could reduce the demand for our products.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Climate change is also thought by some to be the cause for an increase in extreme weather events such as increased intensity of storms, rising sea levels, as well as heavy rains or droughts in areas historically less prone to those events. Any of these events can have a significant impact on our operations or quality of raw materials we purchase, resulting in increased costs. At this time, we are unable to determine the financial impact of any potential adverse weather events caused by climate change.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Incremental to legislative and regulatory pressure, institutional investors have continued to adopt environmental, social and governance guidelines (ESG). Some investors, including certain public and private fund management firms, pension funds, university endowments and family offices, have in recent years, begun adding stated policies to reduce or eliminate fossil fuel equities and encouraging additional consideration of ESG practices in a manner that could negatively impact our stock price. This may also result in a reduction of available capital funding for potential development projects, further impacting our future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state and local jurisdictions may challenge our tax return 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significant judgments, estimates and interpretation and application of complex tax laws in preparing the tax returns we file, and the positions contained therein. We believe that our tax return positions are fully supportable. However, certain positions may be successfully challenged by federal, state and local jurisdictions. We are currently undergoing a federal income examination related to tax credits claimed for the years ended January 31, 2015 through 2022. This could result in material additional income tax payments we would have to make and higher income tax expense in future periods.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effectively manage our business, coordinate the production, distribution and sale of our products and ensure the timely and accurate recording and disclosure of financial information depends significantly on the reliability and capacity of our information technology systems. While we have taken what we believe are appropriate precautions to protect our systems, and to date, we have not experienced any material adverse events related to a security breach or cyber-attack, the failure of these systems to operate effectively, the failure of our personnel to follow established procedures,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routine and periodic overall risk management system or processes, we have incorporated various processes related to cybersecurity. Key cybersecurity controls, such as access controls, are included within our internal control framework that we assess annually as part of Management’s Annual Report on Internal Control Over Financial Reporting. Additionally, periodic discussions are held with outsourced IT professionals for both corporate and consolidated plant environments to determine if appropriate actions are being taken to address potential risks. Through the assistance of our qualified third-party IT professionals, we have implemented numerous security measures, including, but not limited to, multi-factor authentication on critical systems, password requirements, access controls, and data encryption. Our IT policies and procedures include the expectations of all employees and all third parties who may be given access to our IT systems to maintain the security of our IT systems.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commitment to the overall security of our information technology systems starts at the highest levels of our Company, the Board of Directors and management. Management and the Board of Directors provide oversight surrounding cybersecurity. Management oversees internal controls and the company-wide risk assessment process. The Audit Committee is provided with regular updates by management regarding the control framework and whether any significant deficiencies or material weaknesses exist in the IT control environment. The Audit Committee is also tasked with determining the appropriate response to any submissions through the corporate whistleblower policy. The whistleblower policy includes the opportunity for employees of the Company to notify the Audit Committee confidentially and anonymously of any concerns regarding cybersecurity, in addition to any accounting, internal accounting controls or auditing matters. The audit committee will report any significant matters to the Board of Directors.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2024, we had not identified an indication of a cybersecurity incident that would have a material impact on our business and consolidated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2 is set forth in Item 1 of this report under “Ethanol Investments” and “Facilities”.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about each of our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54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7"/>
        </w:trPr>
        <w:tc>
          <w:tcPr>
            <w:tcW w:w="1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280" w:type="dxa"/>
            <w:vAlign w:val="bottom"/>
          </w:tcPr>
          <w:p>
            <w:pPr>
              <w:spacing w:after="0"/>
              <w:rPr>
                <w:sz w:val="20"/>
                <w:szCs w:val="20"/>
                <w:color w:val="auto"/>
              </w:rPr>
            </w:pPr>
          </w:p>
        </w:tc>
      </w:tr>
      <w:tr>
        <w:trPr>
          <w:trHeight w:val="216"/>
        </w:trPr>
        <w:tc>
          <w:tcPr>
            <w:tcW w:w="25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Stuart Rose</w:t>
            </w:r>
          </w:p>
        </w:tc>
        <w:tc>
          <w:tcPr>
            <w:tcW w:w="980" w:type="dxa"/>
            <w:vAlign w:val="bottom"/>
            <w:gridSpan w:val="2"/>
            <w:shd w:val="clear" w:color="auto" w:fill="E5FF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69</w:t>
            </w:r>
          </w:p>
        </w:tc>
        <w:tc>
          <w:tcPr>
            <w:tcW w:w="260" w:type="dxa"/>
            <w:vAlign w:val="bottom"/>
            <w:shd w:val="clear" w:color="auto" w:fill="E5FFFF"/>
          </w:tcPr>
          <w:p>
            <w:pPr>
              <w:spacing w:after="0"/>
              <w:rPr>
                <w:sz w:val="18"/>
                <w:szCs w:val="18"/>
                <w:color w:val="auto"/>
              </w:rPr>
            </w:pPr>
          </w:p>
        </w:tc>
        <w:tc>
          <w:tcPr>
            <w:tcW w:w="7440" w:type="dxa"/>
            <w:vAlign w:val="bottom"/>
            <w:gridSpan w:val="3"/>
            <w:shd w:val="clear" w:color="auto" w:fill="E5FFFF"/>
          </w:tcPr>
          <w:p>
            <w:pPr>
              <w:ind w:left="26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Zafar Rizvi</w:t>
            </w:r>
          </w:p>
        </w:tc>
        <w:tc>
          <w:tcPr>
            <w:tcW w:w="9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74</w:t>
            </w:r>
          </w:p>
        </w:tc>
        <w:tc>
          <w:tcPr>
            <w:tcW w:w="260" w:type="dxa"/>
            <w:vAlign w:val="bottom"/>
          </w:tcPr>
          <w:p>
            <w:pPr>
              <w:spacing w:after="0"/>
              <w:rPr>
                <w:sz w:val="18"/>
                <w:szCs w:val="18"/>
                <w:color w:val="auto"/>
              </w:rPr>
            </w:pPr>
          </w:p>
        </w:tc>
        <w:tc>
          <w:tcPr>
            <w:tcW w:w="7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25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Douglas Bruggeman</w:t>
            </w:r>
          </w:p>
        </w:tc>
        <w:tc>
          <w:tcPr>
            <w:tcW w:w="980" w:type="dxa"/>
            <w:vAlign w:val="bottom"/>
            <w:gridSpan w:val="2"/>
            <w:shd w:val="clear" w:color="auto" w:fill="E5FFFF"/>
          </w:tcPr>
          <w:p>
            <w:pPr>
              <w:jc w:val="center"/>
              <w:ind w:left="590"/>
              <w:spacing w:after="0"/>
              <w:rPr>
                <w:sz w:val="20"/>
                <w:szCs w:val="20"/>
                <w:color w:val="auto"/>
              </w:rPr>
            </w:pPr>
            <w:r>
              <w:rPr>
                <w:rFonts w:ascii="Times New Roman" w:cs="Times New Roman" w:eastAsia="Times New Roman" w:hAnsi="Times New Roman"/>
                <w:sz w:val="18"/>
                <w:szCs w:val="18"/>
                <w:color w:val="auto"/>
                <w:w w:val="99"/>
              </w:rPr>
              <w:t>63</w:t>
            </w:r>
          </w:p>
        </w:tc>
        <w:tc>
          <w:tcPr>
            <w:tcW w:w="260" w:type="dxa"/>
            <w:vAlign w:val="bottom"/>
            <w:shd w:val="clear" w:color="auto" w:fill="E5FFFF"/>
          </w:tcPr>
          <w:p>
            <w:pPr>
              <w:spacing w:after="0"/>
              <w:rPr>
                <w:sz w:val="18"/>
                <w:szCs w:val="18"/>
                <w:color w:val="auto"/>
              </w:rPr>
            </w:pPr>
          </w:p>
        </w:tc>
        <w:tc>
          <w:tcPr>
            <w:tcW w:w="7440" w:type="dxa"/>
            <w:vAlign w:val="bottom"/>
            <w:gridSpan w:val="3"/>
            <w:shd w:val="clear" w:color="auto" w:fill="E5FFFF"/>
          </w:tcPr>
          <w:p>
            <w:pPr>
              <w:ind w:left="26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w:t>
            </w:r>
          </w:p>
        </w:tc>
      </w:tr>
      <w:tr>
        <w:trPr>
          <w:trHeight w:val="198"/>
        </w:trPr>
        <w:tc>
          <w:tcPr>
            <w:tcW w:w="25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Edward Kress</w:t>
            </w:r>
          </w:p>
        </w:tc>
        <w:tc>
          <w:tcPr>
            <w:tcW w:w="980" w:type="dxa"/>
            <w:vAlign w:val="bottom"/>
            <w:gridSpan w:val="2"/>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w w:val="99"/>
              </w:rPr>
              <w:t>74</w:t>
            </w:r>
          </w:p>
        </w:tc>
        <w:tc>
          <w:tcPr>
            <w:tcW w:w="260" w:type="dxa"/>
            <w:vAlign w:val="bottom"/>
          </w:tcPr>
          <w:p>
            <w:pPr>
              <w:spacing w:after="0"/>
              <w:rPr>
                <w:sz w:val="17"/>
                <w:szCs w:val="17"/>
                <w:color w:val="auto"/>
              </w:rPr>
            </w:pPr>
          </w:p>
        </w:tc>
        <w:tc>
          <w:tcPr>
            <w:tcW w:w="744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*Also serves as a director.</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Stuart Rose </w:t>
      </w:r>
      <w:r>
        <w:rPr>
          <w:rFonts w:ascii="Times New Roman" w:cs="Times New Roman" w:eastAsia="Times New Roman" w:hAnsi="Times New Roman"/>
          <w:sz w:val="18"/>
          <w:szCs w:val="18"/>
          <w:color w:val="auto"/>
        </w:rPr>
        <w:t>was elected our Executive Chairman of the Board in 2015. Mr. Rose had served as our Chairman of the Board and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our incorporation in 1984 as a holding company. Prior to 1984, Mr. Rose was Chairman of the Board and Chief Executive Officer of Rex Radio and Television, Inc., which he founded in 1980 to acquire the stock of a corporation which operated four retail stores.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Zafar Rizvi </w:t>
      </w:r>
      <w:r>
        <w:rPr>
          <w:rFonts w:ascii="Times New Roman" w:cs="Times New Roman" w:eastAsia="Times New Roman" w:hAnsi="Times New Roman"/>
          <w:sz w:val="18"/>
          <w:szCs w:val="18"/>
          <w:color w:val="auto"/>
        </w:rPr>
        <w:t>was elected Chief Executive Officer in 2015. Mr. Rizvi has been our President and Chief Operating Officer since 2010, was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2006 to 2010. From 1991 to 2006, Mr. Rizvi was our Vice President – Loss Prevention.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Douglas Bruggeman </w:t>
      </w:r>
      <w:r>
        <w:rPr>
          <w:rFonts w:ascii="Times New Roman" w:cs="Times New Roman" w:eastAsia="Times New Roman" w:hAnsi="Times New Roman"/>
          <w:sz w:val="18"/>
          <w:szCs w:val="18"/>
          <w:color w:val="auto"/>
        </w:rPr>
        <w:t>has been our Vice President–Finance and Treasurer since 1989 and was elected Chief Financial Officer in 2003. From 1987 to 1989,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Bruggeman was our Manager of Corporate Accounting. Mr. Bruggeman was employed with the accounting firm of Ernst &amp; Young prior to joining us in 1986.</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Edward Kress </w:t>
      </w:r>
      <w:r>
        <w:rPr>
          <w:rFonts w:ascii="Times New Roman" w:cs="Times New Roman" w:eastAsia="Times New Roman" w:hAnsi="Times New Roman"/>
          <w:sz w:val="18"/>
          <w:szCs w:val="18"/>
          <w:color w:val="auto"/>
        </w:rPr>
        <w:t>has been our Secretary since 1984. Mr. Kress has been a partner of the law firm of Dinsmore &amp; Shohl LLP (formerly Chernesky, Heyman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Kress P.L.L.), our legal counsel, since 1988. Mr. Kress has practiced law in Dayton, Ohio since 1974.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REX.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2024, there were 70 holders of record of our common stock, including shares held in nominee or street name by brokers.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5560" w:right="5500" w:hanging="5548"/>
        <w:spacing w:after="0" w:line="485" w:lineRule="auto"/>
        <w:rPr>
          <w:sz w:val="20"/>
          <w:szCs w:val="20"/>
          <w:color w:val="auto"/>
        </w:rPr>
      </w:pPr>
      <w:r>
        <w:rPr>
          <w:rFonts w:ascii="Times New Roman" w:cs="Times New Roman" w:eastAsia="Times New Roman" w:hAnsi="Times New Roman"/>
          <w:sz w:val="18"/>
          <w:szCs w:val="18"/>
          <w:color w:val="auto"/>
        </w:rPr>
        <w:t>The Company has no history of paying cash dividends on our common stock.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31, 2021, our Board of Directors increased our share repurchase authorization by an additional 1,500,000 shares (split-adjusted). At January 31, 2024, a total of 876,786 shares remained available to purchase under this authorization.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 repurchases in the fourth quarter of fiscal year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12 – Security Ownership of Certain Beneficial Owners and Management and Related Stockholder Matters for information regarding shares authorized for issuance under equity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the cumulative total shareholder return on our Common Stock against the cumulative total return of the S&amp;P 500 Stock Index and a peer group comprised of Alto Ingredients, Inc. and Green Plains, Inc. for the period commencing January 31, 2019 and ended January 31, 2024. The graph assumes an investment of $100 in our Common Stock and each index on January 31, 2019 and reinvestment of all dividends.</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Comparison of 5 Year Cumulative Total Return</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Assumes Initial Investment of $100</w:t>
      </w:r>
    </w:p>
    <w:p>
      <w:pPr>
        <w:jc w:val="center"/>
        <w:spacing w:after="0"/>
        <w:rPr>
          <w:sz w:val="20"/>
          <w:szCs w:val="20"/>
          <w:color w:val="auto"/>
        </w:rPr>
      </w:pPr>
      <w:r>
        <w:rPr>
          <w:rFonts w:ascii="Arial" w:cs="Arial" w:eastAsia="Arial" w:hAnsi="Arial"/>
          <w:sz w:val="18"/>
          <w:szCs w:val="18"/>
          <w:color w:val="auto"/>
        </w:rPr>
        <w:t>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249035" cy="2863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4903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an investor in ethanol production facilities beginning in 2006 and were an investor in a refined coal production facility during the period from 2017 through November 2021. We currently have equity investments in three ethanol production entities, two of which are majority ownership interests. Our refined coal business ceased operations in November 2021 and the facility was subsequently sold. We have classified the refined coal business as discontinued operations. We may make additional alternative energy investments in the future and are currently working on a carbon sequestration project near our One Earth Energy location.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$60.9 million in fiscal 2023 compared to approximately $27.7 million in fiscal 2022. Our ethanol business had increased profits in fiscal 2023 compared to fiscal 2022 as a result of higher crush spreads in fiscal 2023. The two largest drivers of ethanol profitability are corn and ethanol pricing, both of which experienced significant volatility within the year. Chicago Board of Trade corn prices per bushel ranged from a low of $4.40 in January 2024 to a high of $6.85</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 February 2023. S&amp;P Global Platts ethanol pricing per gallon ranged from a low of $1.52 in January 2024 to a high of $2.67 in June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We began classifying this operation as discontinued operations in the third quarter of fiscal 2021.</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Earth Sequestration, LLC, a wholly owned subsidiary of One Earth Energy, LLC, is in the developmental stage of a carbon sequestration project near the One Earth Energy ethanol plant.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In October 2022, we applied for a Class VI injection well permit for three wells with the U.S. Environmental Protection Agency (“EPA”). In addition, we have begun construction of a facility to capture, dehydrate, and compress carbon dioxide from the One Earth Energy ethanol plant to a state suitable for sequestration. We expect to complete construction by July 31, 2024, at which time testing of the facility could commence, upon completion of other infrastructure. In October 2023, we submitted an application with the Illinois Commerce Commission to build a short pipeline to deliver carbon dioxide from the ethanol plant to the sequestration site. We continue to pursue obtaining a county special-use zoning permit. Although we have made meaningful progress and significant investments in this project, we continue to complete required documentation for various government agencies and obtain permits and other approvals with no assurances of ultimate success.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NuGen Energy, LLC,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carbon dioxide output of its ethanol production facility for sequestration, as well as reduce its net carbon emissions.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2006, we entered the ethanol industry by investing in several entities organized to construct and subsequently operate ethanol producing plants. We are invested in three entities as of January 31, 2024, utilizing equity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ethanol entity ownership interests at January 31, 2024: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120" w:type="dxa"/>
            <w:vAlign w:val="bottom"/>
            <w:tcBorders>
              <w:top w:val="single" w:sz="8" w:color="auto"/>
              <w:left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REX's Current</w:t>
            </w:r>
          </w:p>
        </w:tc>
      </w:tr>
      <w:tr>
        <w:trPr>
          <w:trHeight w:val="238"/>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8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Ownership Interest</w:t>
            </w:r>
          </w:p>
        </w:tc>
      </w:tr>
      <w:tr>
        <w:trPr>
          <w:trHeight w:val="210"/>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Earth Energy, LLC</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Gibson City, IL</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75.8%</w:t>
            </w:r>
          </w:p>
        </w:tc>
      </w:tr>
      <w:tr>
        <w:trPr>
          <w:trHeight w:val="210"/>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NuGen Energy, LLC</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Marion, SD</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99.7%</w:t>
            </w:r>
          </w:p>
        </w:tc>
      </w:tr>
      <w:tr>
        <w:trPr>
          <w:trHeight w:val="191"/>
        </w:trPr>
        <w:tc>
          <w:tcPr>
            <w:tcW w:w="41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r>
      <w:tr>
        <w:trPr>
          <w:trHeight w:val="216"/>
        </w:trPr>
        <w:tc>
          <w:tcPr>
            <w:tcW w:w="412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W Burlington, LLC</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 Burlington, IA</w:t>
            </w:r>
          </w:p>
        </w:tc>
        <w:tc>
          <w:tcPr>
            <w:tcW w:w="1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12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Galva, IL</w:t>
            </w:r>
          </w:p>
        </w:tc>
        <w:tc>
          <w:tcPr>
            <w:tcW w:w="1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12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Dyersville, IA</w:t>
            </w:r>
          </w:p>
        </w:tc>
        <w:tc>
          <w:tcPr>
            <w:tcW w:w="1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412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Boyceville, WI</w:t>
            </w:r>
          </w:p>
        </w:tc>
        <w:tc>
          <w:tcPr>
            <w:tcW w:w="1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716 million gallons of ethanol over the twelve-month period ended January 31, 2024. REX’s effective ownership of gallons shipped, for the twelve-month period ended January 31, 2024, by the ethanol production facilities in which we have ownership interests was approximately 290 million gallons.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Renewable Fuel Standard II (“RFS II”), established in October 2010, has been an important factor in the growth of ethanol usage in the United States. In recent years,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The EPA, through consultation with the Department of Energy and the Department of Agriculture, can grant the refiner a full or partial waiver, or deny the waiver. The EPA issued 88 refinery exemptions for 2016-2018 compliance years, undercutting the statutory renewable fuel volumes by a total of 4.3 billion gallons. The EPA has not granted any small refinery waivers for 2019-2022 and has continued that stance in the proposed volumes for 2023-2025. There remain multiple ongoing legal challenges on how the EPA has handled the small refinery waivers, including on November 22, 2023, the Fifth U.S. Circuit Court of Appeals (the “Court”) ruled against the EPA on six SREs the EPA had previously denied. The Court remanded those six petitions back to the EPA and each refinery will continue to operate under temporary SREs previously offered to them by the Court.</w:t>
      </w:r>
    </w:p>
    <w:p>
      <w:pPr>
        <w:spacing w:after="0" w:line="187"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EPA has issued Renewable Fuel Standard volume obligations for calendar years 2023-2025. The volumes from conventional biofuels (which includes corn-based ethanol) were 15.0 billion gallons for 2023 through 2025. Additionally, in 2023, the EPA restored 250 million gallons previously waived.</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will likely impact our business by creating a new Clean Fuel Production Credit, section 45Z of the Internal Revenue Code (“45Z”), available for years 2025 to 2027. The Clean Fuel Production Credit is established at approximately $0.02 per ethanol gallon per CI point reduction below a 50 CI score threshold. The Act also raises the carbon capture tax credit from $50 per metric ton to $85 per metric ton, under section 45Q of the Internal Revenue Code (“45Q”).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impact our renewable corn oil values, as this co-product serves as a low-carbon feedstock for renewable diesel and biomass based diesel production; (b) creating a new tax credit for sustainable aviation fuel; (c) funding biofuel refueling infrastructure which could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these trends and uncertainties continue, our future operating results could be impacted.</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results from operations (amounts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w w:val="99"/>
              </w:rPr>
              <w:t>833,384</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855,000</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735,166</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806,398</w:t>
            </w:r>
          </w:p>
        </w:tc>
        <w:tc>
          <w:tcPr>
            <w:tcW w:w="0" w:type="dxa"/>
            <w:vAlign w:val="bottom"/>
          </w:tcPr>
          <w:p>
            <w:pPr>
              <w:spacing w:after="0"/>
              <w:rPr>
                <w:sz w:val="1"/>
                <w:szCs w:val="1"/>
                <w:color w:val="auto"/>
              </w:rPr>
            </w:pPr>
          </w:p>
        </w:tc>
      </w:tr>
      <w:tr>
        <w:trPr>
          <w:trHeight w:val="223"/>
        </w:trPr>
        <w:tc>
          <w:tcPr>
            <w:tcW w:w="92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98,218</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48,602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98,484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w w:val="95"/>
              </w:rPr>
              <w:t>$ (22,560)</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(9,542)</w:t>
            </w:r>
          </w:p>
        </w:tc>
        <w:tc>
          <w:tcPr>
            <w:tcW w:w="0" w:type="dxa"/>
            <w:vAlign w:val="bottom"/>
          </w:tcPr>
          <w:p>
            <w:pPr>
              <w:spacing w:after="0"/>
              <w:rPr>
                <w:sz w:val="1"/>
                <w:szCs w:val="1"/>
                <w:color w:val="auto"/>
              </w:rPr>
            </w:pPr>
          </w:p>
        </w:tc>
      </w:tr>
      <w:tr>
        <w:trPr>
          <w:trHeight w:val="43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60,935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27,697</w:t>
            </w:r>
          </w:p>
        </w:tc>
        <w:tc>
          <w:tcPr>
            <w:tcW w:w="0" w:type="dxa"/>
            <w:vAlign w:val="bottom"/>
          </w:tcPr>
          <w:p>
            <w:pPr>
              <w:spacing w:after="0"/>
              <w:rPr>
                <w:sz w:val="1"/>
                <w:szCs w:val="1"/>
                <w:color w:val="auto"/>
              </w:rPr>
            </w:pPr>
          </w:p>
        </w:tc>
      </w:tr>
      <w:tr>
        <w:trPr>
          <w:trHeight w:val="43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net sales and revenue by product group (amounts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w w:val="99"/>
              </w:rPr>
              <w:t>635,420</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649,501</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139,173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139,118</w:t>
            </w: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52,935</w:t>
            </w:r>
          </w:p>
        </w:tc>
        <w:tc>
          <w:tcPr>
            <w:tcW w:w="12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55,595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5,584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11,579</w:t>
            </w: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Derivative financial instruments losses</w:t>
            </w: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92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833,384</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855,000</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selected operating data:</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2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gallon of ethanol (net of hedging)</w:t>
            </w:r>
          </w:p>
        </w:tc>
        <w:tc>
          <w:tcPr>
            <w:tcW w:w="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Gallons of ethanol sold (in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dried distillers grains</w:t>
            </w:r>
          </w:p>
        </w:tc>
        <w:tc>
          <w:tcPr>
            <w:tcW w:w="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213.55</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232.98</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Tons of dried distillers grains sold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651,698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597,126</w:t>
            </w: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pound of distillers corn oil</w:t>
            </w:r>
          </w:p>
        </w:tc>
        <w:tc>
          <w:tcPr>
            <w:tcW w:w="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Pounds of distillers corn oil sold (in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9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modified distillers grains</w:t>
            </w:r>
          </w:p>
        </w:tc>
        <w:tc>
          <w:tcPr>
            <w:tcW w:w="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103.54</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123.66</w:t>
            </w:r>
          </w:p>
        </w:tc>
        <w:tc>
          <w:tcPr>
            <w:tcW w:w="0" w:type="dxa"/>
            <w:vAlign w:val="bottom"/>
          </w:tcPr>
          <w:p>
            <w:pPr>
              <w:spacing w:after="0"/>
              <w:rPr>
                <w:sz w:val="1"/>
                <w:szCs w:val="1"/>
                <w:color w:val="auto"/>
              </w:rPr>
            </w:pPr>
          </w:p>
        </w:tc>
      </w:t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Tons of modified distillers grains sold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53,936</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93,637</w:t>
            </w:r>
          </w:p>
        </w:tc>
        <w:tc>
          <w:tcPr>
            <w:tcW w:w="0" w:type="dxa"/>
            <w:vAlign w:val="bottom"/>
          </w:tcPr>
          <w:p>
            <w:pPr>
              <w:spacing w:after="0"/>
              <w:rPr>
                <w:sz w:val="1"/>
                <w:szCs w:val="1"/>
                <w:color w:val="auto"/>
              </w:rPr>
            </w:pPr>
          </w:p>
        </w:tc>
      </w:tr>
      <w:tr>
        <w:trPr>
          <w:trHeight w:val="373"/>
        </w:trPr>
        <w:tc>
          <w:tcPr>
            <w:tcW w:w="926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6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6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2023 and 2022 (Consolidated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Revenue </w:t>
      </w:r>
      <w:r>
        <w:rPr>
          <w:rFonts w:ascii="Times New Roman" w:cs="Times New Roman" w:eastAsia="Times New Roman" w:hAnsi="Times New Roman"/>
          <w:sz w:val="18"/>
          <w:szCs w:val="18"/>
          <w:color w:val="auto"/>
        </w:rPr>
        <w:t>– Net sales and revenue in fiscal year 2023 decreased approximately 3% compared to fiscal year 2022. While quantities sold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plants during fiscal year 2023 did increase from 2022, weaker pricing across all our products in fiscal year 2023 contributed to the overall decrease in sales between the two fiscal years.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Ethanol sales decreased in fiscal year 2023 compared to fiscal year 2022 as the average price per gallon decreased 9%, offset partially by an increase in gallons sold of 8%. The decrease in ethanol selling price resulted primarily from a decrease in commodity prices.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Dried distillers grains sales remained nearly flat for fiscal year 2023 compared to fiscal year 2022, increasing $55,000 year-over-year, as the average price per ton sold decreased 8%, offset by an increase in tons sold of 9%. The decrease in the dried distillers grains selling price resulted primarily from a decrease in corn prices as dried distillers grains prices often correlate with corn pricing. The increase in tons sold was a result of increased ethanol production during fiscal year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Distillers corn oil sales decreased 5% in fiscal year 2023 compared to fiscal year 2022 as the average selling price per pound decreased approximately 15%. The decrease in the distillers corn oil selling price resulted primarily from a decrease in commodity prices. The price decrease was partially offset by an increase in pounds sold of 12%.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Modified distillers grains sales decreased 52% in fiscal year 2023 compared to fiscal year 2022 as the number of tons sold decreased 42%, coupled with a 16% decrease in the average selling price per ton. The decrease in the modified distillers grains selling price resulted primarily from a decrease in corn prices as distillers grain pricing often correlates with corn pricing. Our consolidated plants’ decisions to sell modified or dried distillers grains fluctuate from time to time based upon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Losses on derivative financial instruments were insignificant during fiscal year 2023, compared to losses of $1.0 million in fiscal year 2022. Losses are related to our risk management activities and were impacted by the price movements and types of contracts entered into at one of our consolidated ethanol plants.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for fiscal year 2023 decreased approximately $71.2 million, or 9%, over fiscal year 2022. Corn accounted for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80% ($584.2 million) of our cost of sales during fiscal year 2023 compared to approximately 83% ($667.3 million) during fiscal year 2022. The cost of corn decreased due to lower corn prices, offset by an increase in corn used between the two periods. Natural gas accounted for approximately 4% ($31.7 million) of our cost of sales during fiscal year 2023 compared to approximately 6% ($47.4 million) during fiscal year 2022. The natural gas dollar decrease was primarily attributable to a decrease in the cost per unit.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As a result of the foregoing, gross profit for fiscal year 2023 increased approximately $49.6 million, or 102%, over fiscal year 2022.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 in fiscal year 2023 was 11.8% of net sales and revenue, versus approximately 5.7% of net sales and revenue in fiscal year 2022.</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attempt to match quantities of ethanol, distillers grains and distillers corn oil sale contracts with an appropriate quantity of grain purchase contracts over a given period of time when we can obtain an adequate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cannot predict the future movements in our realized crush spread for more than four months. We utilize derivative financial instruments, primarily exchange traded commodity future contracts and swaps, in conjunction with our grain procurement and commodity marketing activities.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 SG&amp;A expenses for fiscal year 2023 were approximately $29.4 million (3.5% of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 increase of approximately $6.6 million or 29% from approximately $22.8 million (2.7% of net sales and revenue) for fiscal year 2022. The increase was primarily related to the increase in performance bonus expense as a result of higher net income in 2023. In addition, the increase was also impacted by restricted stock awards granted to certain executive officers in the second quarter of 2023, which were expensed upon issuance.</w:t>
      </w:r>
    </w:p>
    <w:p>
      <w:pPr>
        <w:spacing w:after="0" w:line="17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 Income of Unconsolidated Ethanol Affiliates </w:t>
      </w:r>
      <w:r>
        <w:rPr>
          <w:rFonts w:ascii="Times New Roman" w:cs="Times New Roman" w:eastAsia="Times New Roman" w:hAnsi="Times New Roman"/>
          <w:sz w:val="18"/>
          <w:szCs w:val="18"/>
          <w:color w:val="auto"/>
        </w:rPr>
        <w:t>– During fiscal years 2023 and 2022, we recognized income of approximately $13.9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$8.7 million, respectively, from our equity investment in Big River Resources, LLC (“Big River”). Our investment in Big River, which has interests in four ethanol production plants, represents an effective ownership of approximately 38.4 million gallons of ethanol shipped in the trailing twelve months ended January 31,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the operating experience of Big River to be generally consistent with the trends in crush spread margins described in the “Overview” section as Big River’s results are dependent on the same key drivers as our other ethanol investments (ethanol, corn, dried distillers grains and natural gas pricing).</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Other Income </w:t>
      </w:r>
      <w:r>
        <w:rPr>
          <w:rFonts w:ascii="Times New Roman" w:cs="Times New Roman" w:eastAsia="Times New Roman" w:hAnsi="Times New Roman"/>
          <w:sz w:val="18"/>
          <w:szCs w:val="18"/>
          <w:color w:val="auto"/>
        </w:rPr>
        <w:t>– Interest and other income for fiscal year 2023 was approximately $15.7 million compared to approximately $13.0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2022. During the second quarter of 2022, the Company’s consolidated plants received COVID-19 relief grants from the USDA totaling approximately $7.8 million based on reduced production in 2020. Each plant received an additional payment from that program in 2023, combined totaling approximately $1.0 million. The remaining increase is primarily due to an increase in interest income as yields on our excess cash increased during fiscal year 2023 compared to fiscal year 2022.</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Before Income Taxes </w:t>
      </w:r>
      <w:r>
        <w:rPr>
          <w:rFonts w:ascii="Times New Roman" w:cs="Times New Roman" w:eastAsia="Times New Roman" w:hAnsi="Times New Roman"/>
          <w:sz w:val="18"/>
          <w:szCs w:val="18"/>
          <w:color w:val="auto"/>
        </w:rPr>
        <w:t>– As a result of the foregoing, income before income taxes was approximately $98.5 million for fiscal year 2023 versus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$47.5 million for fiscal year 2022.</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Our effective tax rate was a provision of 22.9% and 20.1% for fiscal years 2023 and 2022, respectively. Our effective rate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impacted by the noncontrolling interests of the companies we consolidate, as we recognize 100% of their income or loss before income taxes and noncontrolling interests and only provide an income tax provision or benefit for our portion of the subsidiaries’ income or loss. During fiscal years 2023 and 2022, our effective tax rate increased 2.2% (approximately $2.2 million) and 1.1% (approximately $0.5 million), respectively, as a result of section 162M compensation limitations. During fiscal year 2022, our effective tax rate decreased 5.4% (approximately $2.5 million) from the statutory rate, as a result of research and experimentation credits from our ethanol plants. The amount of these credits earned in future periods will vary depending on the level of qualifying research expenditures at our ethanol plants and changes in tax law. We did not perform any qualifying research in fiscal year 2023. The provision for uncertain tax positions was insignificant in fiscal year 2023 and increased our effective tax rate 4.8% (approximately $2.3 million) in fiscal year 2022 from the statutory rate.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from Continuing Operations </w:t>
      </w:r>
      <w:r>
        <w:rPr>
          <w:rFonts w:ascii="Times New Roman" w:cs="Times New Roman" w:eastAsia="Times New Roman" w:hAnsi="Times New Roman"/>
          <w:sz w:val="18"/>
          <w:szCs w:val="18"/>
          <w:color w:val="auto"/>
        </w:rPr>
        <w:t>– As a result of the foregoing, net income from continuing operations was approximately $75.9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2023 versus approximately $37.9 million for fiscal year 2022.</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Interests (continuing operations) </w:t>
      </w:r>
      <w:r>
        <w:rPr>
          <w:rFonts w:ascii="Times New Roman" w:cs="Times New Roman" w:eastAsia="Times New Roman" w:hAnsi="Times New Roman"/>
          <w:sz w:val="18"/>
          <w:szCs w:val="18"/>
          <w:color w:val="auto"/>
        </w:rPr>
        <w:t>– Income attributable to noncontrolling interests (continuing operations) was approximately $15.0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$10.2 million during fiscal years 2023 and 2022, respectively, and represents the other owners’ share of the income of NuGen and One Earth.</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REX Common Shareholders (continuing operations) </w:t>
      </w:r>
      <w:r>
        <w:rPr>
          <w:rFonts w:ascii="Times New Roman" w:cs="Times New Roman" w:eastAsia="Times New Roman" w:hAnsi="Times New Roman"/>
          <w:sz w:val="18"/>
          <w:szCs w:val="18"/>
          <w:color w:val="auto"/>
        </w:rPr>
        <w:t>– As a result of the foregoing, net income attributable to REX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(continuing operations) was approximately $60.9 million for fiscal year 2023 compared to $27.7 million for fiscal year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there was no discontinued operations activity in fiscal years 2023 and 2022, net income attributable to REX common shareholders was the same as net income attributable to REX common shareholders (continuing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2022 and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Annual Report on Form 10-K for the year ended January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cash have been income from operations. Our primary uses of cash have been capital expenditures at our ethanol plants and carbon sequestration project, stock repurchases, payments to noncontrolling interests holders and, in prior years, contributions to fund refined coal operating losses.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Outlook </w:t>
      </w:r>
      <w:r>
        <w:rPr>
          <w:rFonts w:ascii="Times New Roman" w:cs="Times New Roman" w:eastAsia="Times New Roman" w:hAnsi="Times New Roman"/>
          <w:sz w:val="18"/>
          <w:szCs w:val="18"/>
          <w:color w:val="auto"/>
        </w:rPr>
        <w:t>– Our cash and short-term investments balance of approximately $378.7 million at January 31, 2024 included approximately $331.1 million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One Earth and NuGen. We expect that One Earth and NuGen will use a majority of their cash for working capital needs, capital expenditures, general corporate purposes and dividend payments. One Earth Energy is currently working on a carbon sequestration project and is expected to have related capital expenditure needs. We expect our equity method investee to limit the payment of dividends based upon their working capital and capital expenditure needs.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investigating various uses of our excess cash. We expect capital expenditures related to the construction at the One Earth facilities to approximate $165 million to $175 million, inclusive of the carbon sequestration project and plant capacity expansion and ongoing efforts to reduce CI scoring, which we currently plan to pay from our available cash. As of January 31, 2024, we have spent $25.8 million since inception and are contractually committed to spend an additional $22.6 million toward the carbon sequestration project. As of January 31, 2024, we have spent $12.8 million since inception and are contractually committed to spend an additional $12.3 million toward plant capacity expansion and CI scoring reduction efforts. For all projects, we plan to spend $125 million to $150 million during fiscal year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stock buyback program with an authorization level of an additional approximately 877,000 shares at January 31, 2024. We typically repurchase our common stock when our stock price is trading at prices we deem to be a discount to the underlying value of our net assets. We plan to seek and evaluate various investment opportunities including ethanol and/or energy related, carbon sequestration related, agricultural or other ventures we believe fit our investment criteria.</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Net cash provided by operating activities was approximately $128.0 million for fiscal year 2023 compared to approximately $54.8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fiscal year 2022. During fiscal year 2023, operating cash flow was provided by net income from continuing operations of approximately $75.9 million and adjustments of approximately $20.2 million, which consisted of depreciation, amortization of operating lease right-of-use assets, stock-based compensation expense, income from equity method investments, interest income from investments, loss on sale of property and equipment, and the deferred income tax provision. Big River paid dividends to REX of approximately $12.0 million during fiscal year 2023. Accounts receivable decreased approximately $2.0 million, primarily a result of the timing of products shipped and the receipt of</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customer payments at One Earth and NuGen. Inventory decreased approximately $21.8 million, primarily a result of smaller quantities of work-in-process materials and lower per unit costs at January 31, 2024. Prepaid expenses and other assets increased approximately $4.5 million, primarily a result of increases in spare parts of approximately $1.3 million, prepaid insurance of $0.3 million, refundable property taxes of approximately $0.5 million, hedging of $1.8 million and the fair values of forward purchase contracts of approximately $0.5 million. Accounts payable increased approximately $7.9 million, primarily a result of the timing of inventory receipts and vendor payments. Refundable income taxes increased $2.8 million as a result of the timing of estimated tax payments. Accrued expenses and other liabilities decreased approximately $4.5 million, which was primarily a result of operating lease payments of approximately $5.4 million and a decrease in accrued income taxes of $2.0 million, partially offset by an increase in accrued payroll of approximately $3.8 million.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$54.8 million for fiscal year 2022. During fiscal year 2022, operating cash flow was provided by net income from continuing operations of approximately $37.9 million and adjustments of approximately $14.6 million, which consisted of depreciation, amortization of operating lease right-of-use assets, stock-based compensation expense, income from equity method investments, interest income from investments, and the deferred income tax provision. Big River paid dividends to REX of approximately $6.3 million during fiscal year 2022. Accounts receivable decreased approximately $0.7 million, primarily a result of the timing of products shipped and the receipt of customer payments at One Earth and NuGen. Inventory increased approximately $6.5 million, primarily a result of larger quantities of work-in-process materials and higher per unit costs at January 31, 2023. Prepaid expenses and other assets increased approximately $0.5 million, primarily a result of an increase in spare parts of approximately $1.1 million and in prepaid insurance of $0.3 million, offset by a decrease in the fair values of forward purchase contracts of $0.9 million. Accounts payable increased approximately $1.5 million, primarily a result of the timing of inventory receipts and vendor payments. Refundable income taxes decreased $3.7 million as a result of the timing of estimated tax payments. Accrued expenses and other liabilities decreased approximately $2.8 million, which was primarily a result of operating lease payments of approximately $5.0 million partially offset by an increase in accrued income taxes of approximately $2.0 million.</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Net cash provided by investing activities was approximately $28.4 million during fiscal year 2023 compared to net cash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activities of approximately $198.5 million during fiscal year 2022. Capital expenditures in fiscal year 2023 totaled approximately $37.7 million, primarily for various capital projects at our consolidated ethanol plants, including $14.4 million for expansion and CI scoring reduction projects at the One Earth facility and $15.5 million for the carbon sequestration project. During fiscal year 2023, we used cash of approximately $448.5 million for purchases of short-term investments and received cash of approximately $514.6 million related to the maturity of these types of these investments.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approximately $198.5 million during fiscal year 2022. Capital expenditures in fiscal year 2022 totaled approximately $15.6 million, the majority of which were various projects at One Earth’s and NuGen’s ethanol plants, including approximately $10.6 million related to the carbon sequestration project near the One Earth Energy ethanol plant. During fiscal year 2022, we used cash of approximately $399.4 million for purchases of short-term investments and received cash of approximately $216.7 million related to maturities of these investments as certain of these investments remained outstanding at January 31, 2023.</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Net cash used in financing activities was approximately $4.3 million during fiscal year 2023 compared to approximately $17.0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fiscal year 2022. During fiscal year 2023, we used cash of approximately $4.3 million to pay dividends to noncontrolling members of the entities that own One Earth’s and NuGen’s ethanol plants.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approximately $17.0 million during fiscal year 2022. During fiscal year 2022, we purchased approximately 471,000 shares of our common stock for approximately $13.0 million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in open market transactions. During fiscal year 2022, we used cash of approximately $4.0 million to purchase shares from and pay dividends to noncontrolling members of the entities that own One Earth’s and NuGen’s ethanol plants.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forecasts, which are primarily based on estimates of plant production, prices of ethanol, corn, distillers grains, distillers corn oil and natural gas as well as other assumptions, management believes that cash flow from operating activities together with working capital will be sufficient to meet One Earth’s and NuGen’s respective liquidity needs. However, if a material adverse change in the financial position of One Earth or NuGen should occur, or if actual sales or expenses are substantially different than what has been forecasted, One Earth’s and NuGen’s liquidity, and ability to fund future operating and capital requirements could be negatively impacted.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2.2% of our net assets are restricted pursuant to the terms of various loan agreements of Big River, our equity method investee, as of January 31, 2024. None of our consolidated subsidiaries or the parent company has restricted net assets at January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under which we are legally obligated to make future cash payments. These agreements include obligations related to purchasing inventory and natural gas and leasing rail cars. Aggregate minimum lease payments under the operating lease agreements for future fiscal years as of January 31, 2024 totaled $14.7 million, with $5.1 million payable in the next twelve months. Refer to Note 7 – Leases included in the notes to consolidated financial statements for more information. As of January 31, 2024, we had contracted future purchases of corn, natural gas, natural gas pipeline lease and other contracts for capital expenditures at our ethanol plants valued at approximately $126.3 million, with $123.0 million payable in the next twelve months. Refer to Note 11 – Commitments included in the notes to consolidated financial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Fluctuations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directly affected by the supply and demand for ethanol. The demand for ethanol typically increases during the spring and summer months and during holiday travel.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application of the following accounting policies, which are important to our financial position and results of operations, require significant assumptions, judgments and estimates on the part of management. We base our assumptions, judgments, and estimates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presented in accordance with generally accepted accounting principles (GAAP). However, because future events and their effects cannot be determined with certainty, actual results could differ from our assumptions and estimates, and such differences could be material. Further, if different assumptions, judgments and estimates had been used, the results could have been different and such differences could be material. For a summary of all of our accounting policies, including the accounting policies discussed below, see Note 1 to the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the following accounting policies are the most critical to aid in fully understanding and evaluating our reported financial results, and they require management’s most difficult, subjective, or complex judgments, resulting from the need to make estimates about the effect of matters that are inherently uncertain.</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We recognize sales of ethanol, distillers grains and distillers corn oil when obligations under the terms of the respective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 We review our long-lived assets, consisting of property and equipment, equity method investments and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right-of-use assets, for impairment whenever events or changes in circumstances indicate the carrying amount of the asset may not be recoverable. We assess long-lived assets for impairment by first determining the forecasted, undiscounted cash flows the asset group is expected to generate. If this total is less than the carrying value of the asset, we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We recorded no impairment charges in fiscal years 2023, 2022, and 2021.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recorded based on the current year amounts payable or refundable, as well as the consequences of events that give rise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tax assets and liabilities based on differences in how those events are treated for tax purposes, net of valuation allowances. We base our estimate of deferred tax assets and liabilities on current tax laws and rates and other expectations about future outcomes. Changes in existing regulatory tax laws and rates and future business results may affect the amount of deferred tax liabilities or the valuation of deferred tax assets over time. We have established valuation allowances for certain state net operating loss carryforwards. We assessed all available positive and negative evidence to determine whether we expect sufficient future taxable income will be generated to allow for the realization of existing federal deferred tax assets. We believe there is sufficient objectively verifiable income for management to conclude that it is more likely than not that the Company will utilize available federal deferred tax assets prior to their expiration. However, realization of these deferred tax assets is not certain. Changes in our current estimates for factors such as unanticipated market conditions and legislative developments could have a material effect on our ability to utilize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related to recent accounting pronouncements, see Note 1 of the Notes to the Consolidated Financial Statements.</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impact of market fluctuations associated with commodity prices as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a portion of our risk with respect to the volatility of commodity prices inherent in the ethanol industry by using forward purchase and sale contracts. At January 31, 2024, One Earth and NuGen combined had purchase commitments for approximately 17.4 million bushels of corn, the principal raw material for their ethanol plants. At January 31, 2024, One Earth and NuGen combined had purchase commitments for approximately 1.9 million MmBtu of natural gas. At January 31, 2024, One Earth and NuGen had combined sales commitments for approximately 52.7 million gallons of ethanol, 120,000 tons of distillers grains and 14.9 million pounds of distillers corn oil. Not all of our commitments are at fixed price. Our exposures to market risk, which include the impact of our risk management activities, are based on the estimated effect on pre-tax income starting on January 31, 2024,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Estimated Total</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Decrease in Pre-tax</w:t>
            </w:r>
          </w:p>
        </w:tc>
        <w:tc>
          <w:tcPr>
            <w:tcW w:w="0" w:type="dxa"/>
            <w:vAlign w:val="bottom"/>
          </w:tcPr>
          <w:p>
            <w:pPr>
              <w:spacing w:after="0"/>
              <w:rPr>
                <w:sz w:val="1"/>
                <w:szCs w:val="1"/>
                <w:color w:val="auto"/>
              </w:rPr>
            </w:pPr>
          </w:p>
        </w:tc>
      </w:tr>
      <w:tr>
        <w:trPr>
          <w:trHeight w:val="216"/>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6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Volume for the</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Income From a 10%</w:t>
            </w:r>
          </w:p>
        </w:tc>
        <w:tc>
          <w:tcPr>
            <w:tcW w:w="0" w:type="dxa"/>
            <w:vAlign w:val="bottom"/>
          </w:tcPr>
          <w:p>
            <w:pPr>
              <w:spacing w:after="0"/>
              <w:rPr>
                <w:sz w:val="1"/>
                <w:szCs w:val="1"/>
                <w:color w:val="auto"/>
              </w:rPr>
            </w:pPr>
          </w:p>
        </w:tc>
      </w:tr>
      <w:tr>
        <w:trPr>
          <w:trHeight w:val="211"/>
        </w:trPr>
        <w:tc>
          <w:tcPr>
            <w:tcW w:w="346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Next 12 Months</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Unit of Measure</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Adverse Change in Price</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4120" w:type="dxa"/>
            <w:vAlign w:val="bottom"/>
            <w:gridSpan w:val="3"/>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289,000</w:t>
            </w:r>
          </w:p>
        </w:tc>
        <w:tc>
          <w:tcPr>
            <w:tcW w:w="154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Gallons</w:t>
            </w:r>
          </w:p>
        </w:tc>
        <w:tc>
          <w:tcPr>
            <w:tcW w:w="560" w:type="dxa"/>
            <w:vAlign w:val="bottom"/>
            <w:shd w:val="clear" w:color="auto" w:fill="E5FFFF"/>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E5FFFF"/>
          </w:tcPr>
          <w:p>
            <w:pPr>
              <w:jc w:val="right"/>
              <w:ind w:right="970"/>
              <w:spacing w:after="0"/>
              <w:rPr>
                <w:sz w:val="20"/>
                <w:szCs w:val="20"/>
                <w:color w:val="auto"/>
              </w:rPr>
            </w:pPr>
            <w:r>
              <w:rPr>
                <w:rFonts w:ascii="Times New Roman" w:cs="Times New Roman" w:eastAsia="Times New Roman" w:hAnsi="Times New Roman"/>
                <w:sz w:val="18"/>
                <w:szCs w:val="18"/>
                <w:color w:val="auto"/>
                <w:w w:val="96"/>
              </w:rPr>
              <w:t>42,203</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Corn</w:t>
            </w:r>
          </w:p>
        </w:tc>
        <w:tc>
          <w:tcPr>
            <w:tcW w:w="4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Bushels</w:t>
            </w:r>
          </w:p>
        </w:tc>
        <w:tc>
          <w:tcPr>
            <w:tcW w:w="56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6"/>
              </w:rPr>
              <w:t>42,793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Distillers Grains</w:t>
            </w:r>
          </w:p>
        </w:tc>
        <w:tc>
          <w:tcPr>
            <w:tcW w:w="4120" w:type="dxa"/>
            <w:vAlign w:val="bottom"/>
            <w:gridSpan w:val="3"/>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700</w:t>
            </w:r>
          </w:p>
        </w:tc>
        <w:tc>
          <w:tcPr>
            <w:tcW w:w="154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Tons</w:t>
            </w:r>
          </w:p>
        </w:tc>
        <w:tc>
          <w:tcPr>
            <w:tcW w:w="560" w:type="dxa"/>
            <w:vAlign w:val="bottom"/>
            <w:shd w:val="clear" w:color="auto" w:fill="E5FFFF"/>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E5FFFF"/>
          </w:tcPr>
          <w:p>
            <w:pPr>
              <w:jc w:val="right"/>
              <w:ind w:right="970"/>
              <w:spacing w:after="0"/>
              <w:rPr>
                <w:sz w:val="20"/>
                <w:szCs w:val="20"/>
                <w:color w:val="auto"/>
              </w:rPr>
            </w:pPr>
            <w:r>
              <w:rPr>
                <w:rFonts w:ascii="Times New Roman" w:cs="Times New Roman" w:eastAsia="Times New Roman" w:hAnsi="Times New Roman"/>
                <w:sz w:val="18"/>
                <w:szCs w:val="18"/>
                <w:color w:val="auto"/>
                <w:w w:val="96"/>
              </w:rPr>
              <w:t>11,042</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4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92,000</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Pounds</w:t>
            </w:r>
          </w:p>
        </w:tc>
        <w:tc>
          <w:tcPr>
            <w:tcW w:w="56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4120" w:type="dxa"/>
            <w:vAlign w:val="bottom"/>
            <w:gridSpan w:val="3"/>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7,400</w:t>
            </w:r>
          </w:p>
        </w:tc>
        <w:tc>
          <w:tcPr>
            <w:tcW w:w="154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MmBtu</w:t>
            </w:r>
          </w:p>
        </w:tc>
        <w:tc>
          <w:tcPr>
            <w:tcW w:w="560" w:type="dxa"/>
            <w:vAlign w:val="bottom"/>
            <w:shd w:val="clear" w:color="auto" w:fill="E5FFFF"/>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E5FFFF"/>
          </w:tcPr>
          <w:p>
            <w:pPr>
              <w:jc w:val="right"/>
              <w:ind w:right="97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391"/>
        </w:trPr>
        <w:tc>
          <w:tcPr>
            <w:tcW w:w="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Borders>
              <w:bottom w:val="single" w:sz="8" w:color="C0C0C0"/>
            </w:tcBorders>
          </w:tcPr>
          <w:p>
            <w:pPr>
              <w:spacing w:after="0"/>
              <w:rPr>
                <w:sz w:val="21"/>
                <w:szCs w:val="21"/>
                <w:color w:val="auto"/>
              </w:rPr>
            </w:pPr>
          </w:p>
        </w:tc>
        <w:tc>
          <w:tcPr>
            <w:tcW w:w="2540" w:type="dxa"/>
            <w:vAlign w:val="bottom"/>
            <w:tcBorders>
              <w:bottom w:val="single" w:sz="8" w:color="C0C0C0"/>
            </w:tcBorders>
          </w:tcPr>
          <w:p>
            <w:pPr>
              <w:spacing w:after="0"/>
              <w:rPr>
                <w:sz w:val="21"/>
                <w:szCs w:val="21"/>
                <w:color w:val="auto"/>
              </w:rPr>
            </w:pPr>
          </w:p>
        </w:tc>
        <w:tc>
          <w:tcPr>
            <w:tcW w:w="260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15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8" w:lineRule="exact"/>
        <w:rPr>
          <w:sz w:val="20"/>
          <w:szCs w:val="20"/>
          <w:color w:val="auto"/>
        </w:rPr>
      </w:pPr>
    </w:p>
    <w:p>
      <w:pPr>
        <w:ind w:right="4360"/>
        <w:spacing w:after="0" w:line="232" w:lineRule="auto"/>
        <w:rPr>
          <w:sz w:val="20"/>
          <w:szCs w:val="20"/>
          <w:color w:val="auto"/>
        </w:rPr>
      </w:pPr>
      <w:r>
        <w:rPr>
          <w:rFonts w:ascii="Times New Roman" w:cs="Times New Roman" w:eastAsia="Times New Roman" w:hAnsi="Times New Roman"/>
          <w:sz w:val="22"/>
          <w:szCs w:val="22"/>
          <w:b w:val="1"/>
          <w:bCs w:val="1"/>
          <w:color w:val="auto"/>
        </w:rPr>
        <w:t>REX AMERICAN RESOURCES CORPORATION AND SUBSIDIARIES 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60" w:type="dxa"/>
            <w:vAlign w:val="bottom"/>
            <w:tcBorders>
              <w:bottom w:val="single" w:sz="8" w:color="E5FF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223,397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69,612</w:t>
            </w: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155,260</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211,331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23,185</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25,162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26,984</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48,744</w:t>
            </w: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5,728</w:t>
            </w:r>
          </w:p>
        </w:tc>
        <w:tc>
          <w:tcPr>
            <w:tcW w:w="2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17,549</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09"/>
        </w:trPr>
        <w:tc>
          <w:tcPr>
            <w:tcW w:w="8660" w:type="dxa"/>
            <w:vAlign w:val="bottom"/>
            <w:tcBorders>
              <w:top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452,103</w:t>
            </w:r>
          </w:p>
        </w:tc>
        <w:tc>
          <w:tcPr>
            <w:tcW w:w="4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372,644</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155,587</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13,038</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15,214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9,138</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23,179</w:t>
            </w: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34,936</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33,045</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$5.8 million and $1.5 million with related parties at January 31, 2024 and 2023,</w:t>
            </w: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42,073</w:t>
            </w:r>
          </w:p>
        </w:tc>
        <w:tc>
          <w:tcPr>
            <w:tcW w:w="240" w:type="dxa"/>
            <w:vAlign w:val="bottom"/>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34,091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4,469</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19,717</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15,328</w:t>
            </w:r>
          </w:p>
        </w:tc>
        <w:tc>
          <w:tcPr>
            <w:tcW w:w="0" w:type="dxa"/>
            <w:vAlign w:val="bottom"/>
          </w:tcPr>
          <w:p>
            <w:pPr>
              <w:spacing w:after="0"/>
              <w:rPr>
                <w:sz w:val="1"/>
                <w:szCs w:val="1"/>
                <w:color w:val="auto"/>
              </w:rPr>
            </w:pPr>
          </w:p>
        </w:tc>
      </w:tr>
      <w:tr>
        <w:trPr>
          <w:trHeight w:val="210"/>
        </w:trPr>
        <w:tc>
          <w:tcPr>
            <w:tcW w:w="8660" w:type="dxa"/>
            <w:vAlign w:val="bottom"/>
            <w:tcBorders>
              <w:bottom w:val="single" w:sz="8" w:color="E5FFFF"/>
            </w:tcBorders>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66,259</w:t>
            </w:r>
          </w:p>
        </w:tc>
        <w:tc>
          <w:tcPr>
            <w:tcW w:w="460" w:type="dxa"/>
            <w:vAlign w:val="bottom"/>
            <w:tcBorders>
              <w:bottom w:val="single" w:sz="8" w:color="E5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54,599</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1,598</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8,378</w:t>
            </w:r>
          </w:p>
        </w:tc>
        <w:tc>
          <w:tcPr>
            <w:tcW w:w="2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9,855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Borders>
              <w:top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4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(Notes 11 and 13)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Common stock, $0.01 par value; 45,000 shares authorized; 29,853 shares issued</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3,769</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8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701,761</w:t>
            </w:r>
          </w:p>
        </w:tc>
        <w:tc>
          <w:tcPr>
            <w:tcW w:w="2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640,826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12,350 and 12,463 shares, respectively</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(191,911)</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22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513,918</w:t>
            </w:r>
          </w:p>
        </w:tc>
        <w:tc>
          <w:tcPr>
            <w:tcW w:w="4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447,982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73,679</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63,012</w:t>
            </w:r>
          </w:p>
        </w:tc>
        <w:tc>
          <w:tcPr>
            <w:tcW w:w="0" w:type="dxa"/>
            <w:vAlign w:val="bottom"/>
          </w:tcPr>
          <w:p>
            <w:pPr>
              <w:spacing w:after="0"/>
              <w:rPr>
                <w:sz w:val="1"/>
                <w:szCs w:val="1"/>
                <w:color w:val="auto"/>
              </w:rPr>
            </w:pPr>
          </w:p>
        </w:tc>
      </w:tr>
      <w:tr>
        <w:trPr>
          <w:trHeight w:val="210"/>
        </w:trPr>
        <w:tc>
          <w:tcPr>
            <w:tcW w:w="8660" w:type="dxa"/>
            <w:vAlign w:val="bottom"/>
            <w:tcBorders>
              <w:top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587,597</w:t>
            </w:r>
          </w:p>
        </w:tc>
        <w:tc>
          <w:tcPr>
            <w:tcW w:w="4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510,994</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4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20" w:type="dxa"/>
            <w:vAlign w:val="bottom"/>
            <w:tcBorders>
              <w:bottom w:val="single" w:sz="8" w:color="E5FFFF"/>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5FFFF"/>
            </w:tcBorders>
          </w:tcPr>
          <w:p>
            <w:pPr>
              <w:spacing w:after="0"/>
              <w:rPr>
                <w:sz w:val="18"/>
                <w:szCs w:val="18"/>
                <w:color w:val="auto"/>
              </w:rPr>
            </w:pPr>
          </w:p>
        </w:tc>
      </w:tr>
      <w:tr>
        <w:trPr>
          <w:trHeight w:val="209"/>
        </w:trPr>
        <w:tc>
          <w:tcPr>
            <w:tcW w:w="6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833,384</w:t>
            </w: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855,000</w:t>
            </w: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774,802</w:t>
            </w:r>
          </w:p>
        </w:tc>
        <w:tc>
          <w:tcPr>
            <w:tcW w:w="100" w:type="dxa"/>
            <w:vAlign w:val="bottom"/>
            <w:shd w:val="clear" w:color="auto" w:fill="E5FFFF"/>
          </w:tcPr>
          <w:p>
            <w:pPr>
              <w:spacing w:after="0"/>
              <w:rPr>
                <w:sz w:val="18"/>
                <w:szCs w:val="18"/>
                <w:color w:val="auto"/>
              </w:rPr>
            </w:pPr>
          </w:p>
        </w:tc>
      </w:tr>
      <w:tr>
        <w:trPr>
          <w:trHeight w:val="198"/>
        </w:trPr>
        <w:tc>
          <w:tcPr>
            <w:tcW w:w="6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$117.0 million, $135.4 million and $90.2 million with related parties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years ended January 31, 2024, 2023 and 2022, respectively)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735,166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806,398</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684,173</w:t>
            </w:r>
          </w:p>
        </w:tc>
      </w:tr>
      <w:tr>
        <w:trPr>
          <w:trHeight w:val="209"/>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98,218</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48,602</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90,629</w:t>
            </w:r>
          </w:p>
        </w:tc>
      </w:tr>
      <w:tr>
        <w:trPr>
          <w:trHeight w:val="43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(29,379)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(22,827)</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(21,545)</w:t>
            </w:r>
          </w:p>
        </w:tc>
      </w:tr>
      <w:tr>
        <w:trPr>
          <w:trHeight w:val="216"/>
        </w:trPr>
        <w:tc>
          <w:tcPr>
            <w:tcW w:w="6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13,921</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8,745</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6,624</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12,959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09"/>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98,484</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47,479</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75,838</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(9,542)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(19,031)</w:t>
            </w:r>
          </w:p>
        </w:tc>
      </w:tr>
      <w:tr>
        <w:trPr>
          <w:trHeight w:val="209"/>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75,924</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37,937</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56,807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 (continuing operations)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(10,240)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(9,235)</w:t>
            </w:r>
          </w:p>
        </w:tc>
      </w:tr>
      <w:tr>
        <w:trPr>
          <w:trHeight w:val="210"/>
        </w:trPr>
        <w:tc>
          <w:tcPr>
            <w:tcW w:w="69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(continuing operations)</w:t>
            </w:r>
          </w:p>
        </w:tc>
        <w:tc>
          <w:tcPr>
            <w:tcW w:w="28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60,935</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27,697</w:t>
            </w:r>
          </w:p>
        </w:tc>
        <w:tc>
          <w:tcPr>
            <w:tcW w:w="4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47,572</w:t>
            </w:r>
          </w:p>
        </w:tc>
        <w:tc>
          <w:tcPr>
            <w:tcW w:w="100" w:type="dxa"/>
            <w:vAlign w:val="bottom"/>
            <w:tcBorders>
              <w:top w:val="single" w:sz="8" w:color="E5FFFF"/>
            </w:tcBorders>
            <w:shd w:val="clear" w:color="auto" w:fill="E5FFFF"/>
          </w:tcPr>
          <w:p>
            <w:pPr>
              <w:spacing w:after="0"/>
              <w:rPr>
                <w:sz w:val="18"/>
                <w:szCs w:val="18"/>
                <w:color w:val="auto"/>
              </w:rPr>
            </w:pPr>
          </w:p>
        </w:tc>
      </w:tr>
      <w:tr>
        <w:trPr>
          <w:trHeight w:val="41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 (includes expense of $0.3 million with</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parties for the year ended January 31, 2022)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4,395</w:t>
            </w:r>
          </w:p>
        </w:tc>
      </w:tr>
      <w:tr>
        <w:trPr>
          <w:trHeight w:val="216"/>
        </w:trPr>
        <w:tc>
          <w:tcPr>
            <w:tcW w:w="6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 (discontinued operations)</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(discontinued operations)</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8"/>
                <w:szCs w:val="18"/>
                <w:color w:val="auto"/>
              </w:rPr>
            </w:pPr>
          </w:p>
        </w:tc>
      </w:tr>
      <w:tr>
        <w:trPr>
          <w:trHeight w:val="209"/>
        </w:trPr>
        <w:tc>
          <w:tcPr>
            <w:tcW w:w="6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28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60,935</w:t>
            </w:r>
          </w:p>
        </w:tc>
        <w:tc>
          <w:tcPr>
            <w:tcW w:w="44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27,697</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52,364</w:t>
            </w:r>
          </w:p>
        </w:tc>
      </w:tr>
      <w:tr>
        <w:trPr>
          <w:trHeight w:val="20"/>
        </w:trPr>
        <w:tc>
          <w:tcPr>
            <w:tcW w:w="69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6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17,482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17,638</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17,946</w:t>
            </w:r>
          </w:p>
        </w:tc>
      </w:tr>
      <w:tr>
        <w:trPr>
          <w:trHeight w:val="20"/>
        </w:trPr>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92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Basic net income per share from continuing operations attributable to REX common</w:t>
            </w: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4"/>
        </w:trPr>
        <w:tc>
          <w:tcPr>
            <w:tcW w:w="69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50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198"/>
        </w:trPr>
        <w:tc>
          <w:tcPr>
            <w:tcW w:w="6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net income per share from discontinued operations attributable to REX common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r>
      <w:tr>
        <w:trPr>
          <w:trHeight w:val="210"/>
        </w:trPr>
        <w:tc>
          <w:tcPr>
            <w:tcW w:w="69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17,576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17,638</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17,946</w:t>
            </w:r>
          </w:p>
        </w:tc>
      </w:tr>
      <w:tr>
        <w:trPr>
          <w:trHeight w:val="20"/>
        </w:trPr>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92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 per share from continuing operations attributable to REX common</w:t>
            </w: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4"/>
        </w:trPr>
        <w:tc>
          <w:tcPr>
            <w:tcW w:w="69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50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3.47</w:t>
            </w:r>
          </w:p>
        </w:tc>
        <w:tc>
          <w:tcPr>
            <w:tcW w:w="44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198"/>
        </w:trPr>
        <w:tc>
          <w:tcPr>
            <w:tcW w:w="6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 per share from discontinued operations attributable to REX common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r>
      <w:tr>
        <w:trPr>
          <w:trHeight w:val="210"/>
        </w:trPr>
        <w:tc>
          <w:tcPr>
            <w:tcW w:w="69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ind w:right="5500"/>
        <w:spacing w:after="0" w:line="262"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SHAREHOLDERS’ EQUITY FOR THE YEARS ENDED JANUARY 31, 2024, 2023 AND 2022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color w:val="auto"/>
              </w:rPr>
              <w:t>REX Shareholders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Pr>
          <w:p>
            <w:pPr>
              <w:spacing w:after="0"/>
              <w:rPr>
                <w:sz w:val="23"/>
                <w:szCs w:val="23"/>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Treasury</w:t>
            </w: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Paid-in</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Issued</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2"/>
                <w:szCs w:val="12"/>
                <w:color w:val="auto"/>
              </w:rPr>
            </w:pPr>
          </w:p>
        </w:tc>
        <w:tc>
          <w:tcPr>
            <w:tcW w:w="9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500" w:type="dxa"/>
            <w:vAlign w:val="bottom"/>
            <w:tcBorders>
              <w:top w:val="single" w:sz="8" w:color="E5FFFF"/>
            </w:tcBorders>
            <w:shd w:val="clear" w:color="auto" w:fill="E5FF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31, 2021</w:t>
            </w:r>
          </w:p>
        </w:tc>
        <w:tc>
          <w:tcPr>
            <w:tcW w:w="780" w:type="dxa"/>
            <w:vAlign w:val="bottom"/>
            <w:tcBorders>
              <w:top w:val="single" w:sz="8" w:color="auto"/>
            </w:tcBorders>
            <w:gridSpan w:val="2"/>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29,853</w:t>
            </w:r>
          </w:p>
        </w:tc>
        <w:tc>
          <w:tcPr>
            <w:tcW w:w="180" w:type="dxa"/>
            <w:vAlign w:val="bottom"/>
            <w:tcBorders>
              <w:top w:val="single" w:sz="8" w:color="E5FFFF"/>
            </w:tcBorders>
            <w:shd w:val="clear" w:color="auto" w:fill="E5FFFF"/>
          </w:tcPr>
          <w:p>
            <w:pPr>
              <w:spacing w:after="0"/>
              <w:rPr>
                <w:sz w:val="12"/>
                <w:szCs w:val="12"/>
                <w:color w:val="auto"/>
              </w:rPr>
            </w:pPr>
          </w:p>
        </w:tc>
        <w:tc>
          <w:tcPr>
            <w:tcW w:w="18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w:t>
            </w:r>
          </w:p>
        </w:tc>
        <w:tc>
          <w:tcPr>
            <w:tcW w:w="340" w:type="dxa"/>
            <w:vAlign w:val="bottom"/>
            <w:tcBorders>
              <w:top w:val="single" w:sz="8" w:color="E5FFFF"/>
            </w:tcBorders>
            <w:shd w:val="clear" w:color="auto" w:fill="E5FFFF"/>
          </w:tcPr>
          <w:p>
            <w:pPr>
              <w:spacing w:after="0"/>
              <w:rPr>
                <w:sz w:val="12"/>
                <w:szCs w:val="12"/>
                <w:color w:val="auto"/>
              </w:rPr>
            </w:pPr>
          </w:p>
        </w:tc>
        <w:tc>
          <w:tcPr>
            <w:tcW w:w="780" w:type="dxa"/>
            <w:vAlign w:val="bottom"/>
            <w:tcBorders>
              <w:top w:val="single" w:sz="8" w:color="auto"/>
            </w:tcBorders>
            <w:gridSpan w:val="2"/>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11,877</w:t>
            </w:r>
          </w:p>
        </w:tc>
        <w:tc>
          <w:tcPr>
            <w:tcW w:w="16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(174,535)</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559,019</w:t>
            </w:r>
          </w:p>
        </w:tc>
        <w:tc>
          <w:tcPr>
            <w:tcW w:w="100" w:type="dxa"/>
            <w:vAlign w:val="bottom"/>
            <w:tcBorders>
              <w:top w:val="single" w:sz="8" w:color="E5FFFF"/>
            </w:tcBorders>
            <w:shd w:val="clear" w:color="auto" w:fill="E5FFFF"/>
          </w:tcPr>
          <w:p>
            <w:pPr>
              <w:spacing w:after="0"/>
              <w:rPr>
                <w:sz w:val="12"/>
                <w:szCs w:val="12"/>
                <w:color w:val="auto"/>
              </w:rPr>
            </w:pPr>
          </w:p>
        </w:tc>
        <w:tc>
          <w:tcPr>
            <w:tcW w:w="22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tcBorders>
            <w:shd w:val="clear" w:color="auto" w:fill="E5FF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52,400</w:t>
            </w:r>
          </w:p>
        </w:tc>
        <w:tc>
          <w:tcPr>
            <w:tcW w:w="16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437,183</w:t>
            </w: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52,364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8,838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61,202</w:t>
            </w: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w:t>
            </w: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31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Treasury stock acquired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(6,627)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(6,627)</w:t>
            </w: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Noncontrolling interests distribution</w:t>
            </w: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(4,772)</w:t>
            </w: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(4,772)</w:t>
            </w:r>
          </w:p>
        </w:tc>
        <w:tc>
          <w:tcPr>
            <w:tcW w:w="0" w:type="dxa"/>
            <w:vAlign w:val="bottom"/>
          </w:tcPr>
          <w:p>
            <w:pPr>
              <w:spacing w:after="0"/>
              <w:rPr>
                <w:sz w:val="1"/>
                <w:szCs w:val="1"/>
                <w:color w:val="auto"/>
              </w:rPr>
            </w:pPr>
          </w:p>
        </w:tc>
      </w:tr>
      <w:tr>
        <w:trPr>
          <w:trHeight w:val="171"/>
        </w:trPr>
        <w:tc>
          <w:tcPr>
            <w:tcW w:w="25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4"/>
                <w:szCs w:val="14"/>
                <w:color w:val="auto"/>
              </w:rPr>
              <w:t>and other</w:t>
            </w: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4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w:t>
            </w: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3"/>
                <w:szCs w:val="2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71"/>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compensation expense</w:t>
            </w:r>
          </w:p>
        </w:tc>
        <w:tc>
          <w:tcPr>
            <w:tcW w:w="9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2022</w:t>
            </w:r>
          </w:p>
        </w:tc>
        <w:tc>
          <w:tcPr>
            <w:tcW w:w="96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94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12,092</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(181,114)</w:t>
            </w:r>
          </w:p>
        </w:tc>
        <w:tc>
          <w:tcPr>
            <w:tcW w:w="120" w:type="dxa"/>
            <w:vAlign w:val="bottom"/>
            <w:shd w:val="clear" w:color="auto" w:fill="E5FFFF"/>
          </w:tcPr>
          <w:p>
            <w:pPr>
              <w:spacing w:after="0"/>
              <w:rPr>
                <w:sz w:val="12"/>
                <w:szCs w:val="12"/>
                <w:color w:val="auto"/>
              </w:rPr>
            </w:pPr>
          </w:p>
        </w:tc>
        <w:tc>
          <w:tcPr>
            <w:tcW w:w="8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611,607</w:t>
            </w: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56,770</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487,562</w:t>
            </w:r>
          </w:p>
        </w:tc>
        <w:tc>
          <w:tcPr>
            <w:tcW w:w="0" w:type="dxa"/>
            <w:vAlign w:val="bottom"/>
          </w:tcPr>
          <w:p>
            <w:pPr>
              <w:spacing w:after="0"/>
              <w:rPr>
                <w:sz w:val="1"/>
                <w:szCs w:val="1"/>
                <w:color w:val="auto"/>
              </w:rPr>
            </w:pPr>
          </w:p>
        </w:tc>
      </w:tr>
      <w:tr>
        <w:trPr>
          <w:trHeight w:val="31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27,697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10,240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37,937</w:t>
            </w: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94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(3,998)</w:t>
            </w:r>
          </w:p>
        </w:tc>
        <w:tc>
          <w:tcPr>
            <w:tcW w:w="0" w:type="dxa"/>
            <w:vAlign w:val="bottom"/>
          </w:tcPr>
          <w:p>
            <w:pPr>
              <w:spacing w:after="0"/>
              <w:rPr>
                <w:sz w:val="1"/>
                <w:szCs w:val="1"/>
                <w:color w:val="auto"/>
              </w:rPr>
            </w:pPr>
          </w:p>
        </w:tc>
      </w:tr>
      <w:tr>
        <w:trPr>
          <w:trHeight w:val="188"/>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other</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w:t>
            </w:r>
          </w:p>
        </w:tc>
        <w:tc>
          <w:tcPr>
            <w:tcW w:w="120" w:type="dxa"/>
            <w:vAlign w:val="bottom"/>
            <w:vMerge w:val="restart"/>
            <w:shd w:val="clear" w:color="auto" w:fill="E5FFFF"/>
          </w:tcPr>
          <w:p>
            <w:pPr>
              <w:spacing w:after="0"/>
              <w:rPr>
                <w:sz w:val="10"/>
                <w:szCs w:val="10"/>
                <w:color w:val="auto"/>
              </w:rPr>
            </w:pPr>
          </w:p>
        </w:tc>
        <w:tc>
          <w:tcPr>
            <w:tcW w:w="840" w:type="dxa"/>
            <w:vAlign w:val="bottom"/>
            <w:gridSpan w:val="2"/>
            <w:vMerge w:val="restart"/>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1020" w:type="dxa"/>
            <w:vAlign w:val="bottom"/>
            <w:gridSpan w:val="2"/>
            <w:vMerge w:val="restart"/>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980" w:type="dxa"/>
            <w:vAlign w:val="bottom"/>
            <w:gridSpan w:val="2"/>
            <w:vMerge w:val="restart"/>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shd w:val="clear" w:color="auto" w:fill="E5FFFF"/>
          </w:tcPr>
          <w:p>
            <w:pPr>
              <w:spacing w:after="0"/>
              <w:rPr>
                <w:sz w:val="10"/>
                <w:szCs w:val="10"/>
                <w:color w:val="auto"/>
              </w:rPr>
            </w:pPr>
          </w:p>
        </w:tc>
        <w:tc>
          <w:tcPr>
            <w:tcW w:w="80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578</w:t>
            </w: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78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1,522</w:t>
            </w:r>
          </w:p>
        </w:tc>
        <w:tc>
          <w:tcPr>
            <w:tcW w:w="2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171"/>
        </w:trPr>
        <w:tc>
          <w:tcPr>
            <w:tcW w:w="25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4"/>
                <w:szCs w:val="14"/>
                <w:color w:val="auto"/>
              </w:rPr>
              <w:t>based compensation expense</w:t>
            </w:r>
          </w:p>
        </w:tc>
        <w:tc>
          <w:tcPr>
            <w:tcW w:w="120" w:type="dxa"/>
            <w:vAlign w:val="bottom"/>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020" w:type="dxa"/>
            <w:vAlign w:val="bottom"/>
            <w:gridSpan w:val="2"/>
            <w:vMerge w:val="continue"/>
            <w:shd w:val="clear" w:color="auto" w:fill="E5FFFF"/>
          </w:tcPr>
          <w:p>
            <w:pPr>
              <w:spacing w:after="0"/>
              <w:rPr>
                <w:sz w:val="14"/>
                <w:szCs w:val="14"/>
                <w:color w:val="auto"/>
              </w:rPr>
            </w:pPr>
          </w:p>
        </w:tc>
        <w:tc>
          <w:tcPr>
            <w:tcW w:w="940" w:type="dxa"/>
            <w:vAlign w:val="bottom"/>
            <w:gridSpan w:val="3"/>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0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4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2023</w:t>
            </w:r>
          </w:p>
        </w:tc>
        <w:tc>
          <w:tcPr>
            <w:tcW w:w="1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29,853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12,463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(193,721)</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640,826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63,012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510,994</w:t>
            </w: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60,935</w:t>
            </w: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14,989</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75,924</w:t>
            </w:r>
          </w:p>
        </w:tc>
        <w:tc>
          <w:tcPr>
            <w:tcW w:w="0" w:type="dxa"/>
            <w:vAlign w:val="bottom"/>
          </w:tcPr>
          <w:p>
            <w:pPr>
              <w:spacing w:after="0"/>
              <w:rPr>
                <w:sz w:val="1"/>
                <w:szCs w:val="1"/>
                <w:color w:val="auto"/>
              </w:rPr>
            </w:pPr>
          </w:p>
        </w:tc>
      </w:tr>
      <w:tr>
        <w:trPr>
          <w:trHeight w:val="31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Noncontrolling interests distribution</w:t>
            </w: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(4,344)</w:t>
            </w: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(4,344)</w:t>
            </w:r>
          </w:p>
        </w:tc>
        <w:tc>
          <w:tcPr>
            <w:tcW w:w="0" w:type="dxa"/>
            <w:vAlign w:val="bottom"/>
          </w:tcPr>
          <w:p>
            <w:pPr>
              <w:spacing w:after="0"/>
              <w:rPr>
                <w:sz w:val="1"/>
                <w:szCs w:val="1"/>
                <w:color w:val="auto"/>
              </w:rPr>
            </w:pPr>
          </w:p>
        </w:tc>
      </w:tr>
      <w:tr>
        <w:trPr>
          <w:trHeight w:val="171"/>
        </w:trPr>
        <w:tc>
          <w:tcPr>
            <w:tcW w:w="25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4"/>
                <w:szCs w:val="14"/>
                <w:color w:val="auto"/>
              </w:rPr>
              <w:t>and other</w:t>
            </w: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4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w:t>
            </w: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1,810</w:t>
            </w:r>
          </w:p>
        </w:tc>
        <w:tc>
          <w:tcPr>
            <w:tcW w:w="120" w:type="dxa"/>
            <w:vAlign w:val="bottom"/>
          </w:tcPr>
          <w:p>
            <w:pPr>
              <w:spacing w:after="0"/>
              <w:rPr>
                <w:sz w:val="23"/>
                <w:szCs w:val="2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3,191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5,001</w:t>
            </w:r>
          </w:p>
        </w:tc>
        <w:tc>
          <w:tcPr>
            <w:tcW w:w="0" w:type="dxa"/>
            <w:vAlign w:val="bottom"/>
          </w:tcPr>
          <w:p>
            <w:pPr>
              <w:spacing w:after="0"/>
              <w:rPr>
                <w:sz w:val="1"/>
                <w:szCs w:val="1"/>
                <w:color w:val="auto"/>
              </w:rPr>
            </w:pPr>
          </w:p>
        </w:tc>
      </w:tr>
      <w:tr>
        <w:trPr>
          <w:trHeight w:val="171"/>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compensation expense</w:t>
            </w:r>
          </w:p>
        </w:tc>
        <w:tc>
          <w:tcPr>
            <w:tcW w:w="9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2024</w:t>
            </w:r>
          </w:p>
        </w:tc>
        <w:tc>
          <w:tcPr>
            <w:tcW w:w="960" w:type="dxa"/>
            <w:vAlign w:val="bottom"/>
            <w:gridSpan w:val="3"/>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30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94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2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(191,911)</w:t>
            </w:r>
          </w:p>
        </w:tc>
        <w:tc>
          <w:tcPr>
            <w:tcW w:w="120" w:type="dxa"/>
            <w:vAlign w:val="bottom"/>
            <w:shd w:val="clear" w:color="auto" w:fill="E5FF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3,769</w:t>
            </w:r>
          </w:p>
        </w:tc>
        <w:tc>
          <w:tcPr>
            <w:tcW w:w="26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701,761</w:t>
            </w: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73,679</w:t>
            </w:r>
          </w:p>
        </w:tc>
        <w:tc>
          <w:tcPr>
            <w:tcW w:w="30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587,597</w:t>
            </w:r>
          </w:p>
        </w:tc>
        <w:tc>
          <w:tcPr>
            <w:tcW w:w="0" w:type="dxa"/>
            <w:vAlign w:val="bottom"/>
          </w:tcPr>
          <w:p>
            <w:pPr>
              <w:spacing w:after="0"/>
              <w:rPr>
                <w:sz w:val="1"/>
                <w:szCs w:val="1"/>
                <w:color w:val="auto"/>
              </w:rPr>
            </w:pPr>
          </w:p>
        </w:tc>
      </w:tr>
      <w:tr>
        <w:trPr>
          <w:trHeight w:val="20"/>
        </w:trPr>
        <w:tc>
          <w:tcPr>
            <w:tcW w:w="25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88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09"/>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75,924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37,937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61,202</w:t>
            </w: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4,395</w:t>
            </w:r>
          </w:p>
        </w:tc>
        <w:tc>
          <w:tcPr>
            <w:tcW w:w="80" w:type="dxa"/>
            <w:vAlign w:val="bottom"/>
            <w:shd w:val="clear" w:color="auto" w:fill="E5FFFF"/>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37,937</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56,807</w:t>
            </w:r>
          </w:p>
        </w:tc>
        <w:tc>
          <w:tcPr>
            <w:tcW w:w="100" w:type="dxa"/>
            <w:vAlign w:val="bottom"/>
            <w:gridSpan w:val="2"/>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17,976</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18,031</w:t>
            </w: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5,245</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5,328</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5,560</w:t>
            </w: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(13,921)</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(8,745)</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(6,624)</w:t>
            </w: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6,266</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5,514</w:t>
            </w: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(10,008)</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(2,839)</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real estate and property and equipment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14,627</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12,730</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1,977</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(6,108)</w:t>
            </w: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(6,519)</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(4,799)</w:t>
            </w: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(4,495)</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refundable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3,715</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7,868</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1,478</w:t>
            </w:r>
          </w:p>
        </w:tc>
        <w:tc>
          <w:tcPr>
            <w:tcW w:w="20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16,005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(2,752)</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09"/>
        </w:trPr>
        <w:tc>
          <w:tcPr>
            <w:tcW w:w="68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3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127,970</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54,795</w:t>
            </w:r>
          </w:p>
        </w:tc>
        <w:tc>
          <w:tcPr>
            <w:tcW w:w="4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100" w:type="dxa"/>
            <w:vAlign w:val="bottom"/>
            <w:tcBorders>
              <w:top w:val="single" w:sz="8" w:color="E5FFFF"/>
            </w:tcBorders>
            <w:gridSpan w:val="2"/>
            <w:shd w:val="clear" w:color="auto" w:fill="E5FFFF"/>
          </w:tcPr>
          <w:p>
            <w:pPr>
              <w:spacing w:after="0"/>
              <w:rPr>
                <w:sz w:val="18"/>
                <w:szCs w:val="18"/>
                <w:color w:val="auto"/>
              </w:rPr>
            </w:pPr>
          </w:p>
        </w:tc>
      </w:tr>
      <w:tr>
        <w:trPr>
          <w:trHeight w:val="216"/>
        </w:trPr>
        <w:tc>
          <w:tcPr>
            <w:tcW w:w="6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(6,716)</w:t>
            </w:r>
          </w:p>
        </w:tc>
        <w:tc>
          <w:tcPr>
            <w:tcW w:w="80" w:type="dxa"/>
            <w:vAlign w:val="bottom"/>
          </w:tcPr>
          <w:p>
            <w:pPr>
              <w:spacing w:after="0"/>
              <w:rPr>
                <w:sz w:val="18"/>
                <w:szCs w:val="18"/>
                <w:color w:val="auto"/>
              </w:rPr>
            </w:pPr>
          </w:p>
        </w:tc>
      </w:tr>
      <w:tr>
        <w:trPr>
          <w:trHeight w:val="210"/>
        </w:trPr>
        <w:tc>
          <w:tcPr>
            <w:tcW w:w="68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127,970</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54,795</w:t>
            </w:r>
          </w:p>
        </w:tc>
        <w:tc>
          <w:tcPr>
            <w:tcW w:w="4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91,711</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(37,663)</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(15,578)</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(5,126)</w:t>
            </w: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(448,507)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(399,350)</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(88,949)</w:t>
            </w: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514,586</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216,735</w:t>
            </w:r>
          </w:p>
        </w:tc>
        <w:tc>
          <w:tcPr>
            <w:tcW w:w="20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99,309</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8"/>
                <w:szCs w:val="18"/>
                <w:color w:val="auto"/>
              </w:rPr>
            </w:pPr>
          </w:p>
        </w:tc>
      </w:tr>
      <w:tr>
        <w:trPr>
          <w:trHeight w:val="209"/>
        </w:trPr>
        <w:tc>
          <w:tcPr>
            <w:tcW w:w="6880" w:type="dxa"/>
            <w:vAlign w:val="bottom"/>
            <w:tcBorders>
              <w:bottom w:val="single" w:sz="8" w:color="E5FFFF"/>
            </w:tcBorders>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24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(198,507)</w:t>
            </w:r>
          </w:p>
        </w:tc>
        <w:tc>
          <w:tcPr>
            <w:tcW w:w="44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10"/>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acquired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(13,012)</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tcPr>
          <w:p>
            <w:pPr>
              <w:spacing w:after="0"/>
              <w:rPr>
                <w:sz w:val="18"/>
                <w:szCs w:val="18"/>
                <w:color w:val="auto"/>
              </w:rPr>
            </w:pP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Capital contributions from minority investor</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(4,772)</w:t>
            </w:r>
          </w:p>
        </w:tc>
        <w:tc>
          <w:tcPr>
            <w:tcW w:w="80" w:type="dxa"/>
            <w:vAlign w:val="bottom"/>
          </w:tcPr>
          <w:p>
            <w:pPr>
              <w:spacing w:after="0"/>
              <w:rPr>
                <w:sz w:val="18"/>
                <w:szCs w:val="18"/>
                <w:color w:val="auto"/>
              </w:rPr>
            </w:pPr>
          </w:p>
        </w:tc>
      </w:tr>
      <w:tr>
        <w:trPr>
          <w:trHeight w:val="210"/>
        </w:trPr>
        <w:tc>
          <w:tcPr>
            <w:tcW w:w="68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 from continuing operations</w:t>
            </w:r>
          </w:p>
        </w:tc>
        <w:tc>
          <w:tcPr>
            <w:tcW w:w="3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4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6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 from discontinued operations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0"/>
        </w:trPr>
        <w:tc>
          <w:tcPr>
            <w:tcW w:w="68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4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152,050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(160,721)</w:t>
            </w:r>
          </w:p>
        </w:tc>
        <w:tc>
          <w:tcPr>
            <w:tcW w:w="2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85,910</w:t>
            </w:r>
          </w:p>
        </w:tc>
      </w:tr>
      <w:tr>
        <w:trPr>
          <w:trHeight w:val="216"/>
        </w:trPr>
        <w:tc>
          <w:tcPr>
            <w:tcW w:w="68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3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71,347</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232,068</w:t>
            </w:r>
          </w:p>
        </w:tc>
        <w:tc>
          <w:tcPr>
            <w:tcW w:w="2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146,158</w:t>
            </w:r>
          </w:p>
        </w:tc>
        <w:tc>
          <w:tcPr>
            <w:tcW w:w="80" w:type="dxa"/>
            <w:vAlign w:val="bottom"/>
            <w:shd w:val="clear" w:color="auto" w:fill="E5FFFF"/>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year</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71,347</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(Amounts in Thousands)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 cash financing activities-Stock awards issued</w:t>
            </w:r>
          </w:p>
        </w:tc>
        <w:tc>
          <w:tcPr>
            <w:tcW w:w="1220" w:type="dxa"/>
            <w:vAlign w:val="bottom"/>
            <w:gridSpan w:val="2"/>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965</w:t>
            </w:r>
          </w:p>
        </w:tc>
        <w:tc>
          <w:tcPr>
            <w:tcW w:w="540" w:type="dxa"/>
            <w:vAlign w:val="bottom"/>
            <w:gridSpan w:val="2"/>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1,539</w:t>
            </w:r>
          </w:p>
        </w:tc>
        <w:tc>
          <w:tcPr>
            <w:tcW w:w="240" w:type="dxa"/>
            <w:vAlign w:val="bottom"/>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 cash financing activities-Stock awards accrued</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2,172</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6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 cash investing activities-Accrued capital expenditures</w:t>
            </w:r>
          </w:p>
        </w:tc>
        <w:tc>
          <w:tcPr>
            <w:tcW w:w="1220" w:type="dxa"/>
            <w:vAlign w:val="bottom"/>
            <w:gridSpan w:val="2"/>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918</w:t>
            </w:r>
          </w:p>
        </w:tc>
        <w:tc>
          <w:tcPr>
            <w:tcW w:w="540" w:type="dxa"/>
            <w:vAlign w:val="bottom"/>
            <w:gridSpan w:val="2"/>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3,210</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9,321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w:t>
            </w:r>
          </w:p>
        </w:tc>
      </w:tr>
      <w:tr>
        <w:trPr>
          <w:trHeight w:val="216"/>
        </w:trPr>
        <w:tc>
          <w:tcPr>
            <w:tcW w:w="624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total cash, cash equivalents and restricted cash:</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223,397</w:t>
            </w:r>
          </w:p>
        </w:tc>
        <w:tc>
          <w:tcPr>
            <w:tcW w:w="540" w:type="dxa"/>
            <w:vAlign w:val="bottom"/>
            <w:gridSpan w:val="2"/>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69,612</w:t>
            </w:r>
          </w:p>
        </w:tc>
        <w:tc>
          <w:tcPr>
            <w:tcW w:w="240" w:type="dxa"/>
            <w:vAlign w:val="bottom"/>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229,846</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1,735</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w:t>
            </w:r>
          </w:p>
        </w:tc>
      </w:tr>
      <w:tr>
        <w:trPr>
          <w:trHeight w:val="209"/>
        </w:trPr>
        <w:tc>
          <w:tcPr>
            <w:tcW w:w="62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60" w:type="dxa"/>
            <w:vAlign w:val="bottom"/>
            <w:tcBorders>
              <w:top w:val="single" w:sz="8" w:color="E5FFFF"/>
              <w:bottom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223,397</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71,347</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232,068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jc w:val="both"/>
        <w:ind w:left="4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Principles of Consolidation – </w:t>
      </w:r>
      <w:r>
        <w:rPr>
          <w:rFonts w:ascii="Times New Roman" w:cs="Times New Roman" w:eastAsia="Times New Roman" w:hAnsi="Times New Roman"/>
          <w:sz w:val="18"/>
          <w:szCs w:val="18"/>
          <w:color w:val="auto"/>
        </w:rPr>
        <w:t>The accompanying financial statements consolidate the operating results and financial position of REX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Resources Corporation and its wholly-owned and majority owned subsidiaries (the “Company” or “REX”). All intercompany balances and transactions have been eliminated. As of January 31, 2024, the Company owns interests in three operating entities – two are consolidated and one is accounted for using the equity method of accounting. The results of One Earth are included on a delayed basis of one month lag as One Earth has a fiscal year end of December 31. The other consolidated entity has the same fiscal year end as the parent company.</w:t>
      </w:r>
    </w:p>
    <w:p>
      <w:pPr>
        <w:spacing w:after="0" w:line="179"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 Split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21, 2022, the Board of Directors of the Company adopted resolutions declaring a three-for-one split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170"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Fiscal Year – </w:t>
      </w:r>
      <w:r>
        <w:rPr>
          <w:rFonts w:ascii="Times New Roman" w:cs="Times New Roman" w:eastAsia="Times New Roman" w:hAnsi="Times New Roman"/>
          <w:sz w:val="18"/>
          <w:szCs w:val="18"/>
          <w:color w:val="auto"/>
        </w:rPr>
        <w:t>All references in these consolidated financial statements to a particular fiscal year are to the Company’s fiscal year ended January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refers to its fiscal year by reference to the year immediately preceding the January 31 fiscal year end date. For example, “fiscal year 2023” means the period February 1, 2023 to January 31, 2024.</w:t>
      </w:r>
    </w:p>
    <w:p>
      <w:pPr>
        <w:spacing w:after="0" w:line="170"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 Beginning in the third quarter of 2021, the Company has one reportable segment, ethanol and by-products. Within the ethanol and by-products segment, the Company has equity investments in three ethanol limited liability companies, two of which are majority ownership interests. Prior period amounts have been reclassified to conform to current segment reporting.</w:t>
      </w:r>
    </w:p>
    <w:p>
      <w:pPr>
        <w:spacing w:after="0" w:line="172" w:lineRule="exact"/>
        <w:rPr>
          <w:rFonts w:ascii="Times New Roman" w:cs="Times New Roman" w:eastAsia="Times New Roman" w:hAnsi="Times New Roman"/>
          <w:sz w:val="18"/>
          <w:szCs w:val="18"/>
          <w:b w:val="1"/>
          <w:bCs w:val="1"/>
          <w:color w:val="auto"/>
        </w:rPr>
      </w:pPr>
    </w:p>
    <w:p>
      <w:pPr>
        <w:ind w:left="44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applying the criteria set forth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 determined that based on the nature of the products and production process and the expected financial results, the Company’s operations at its ethanol plants are aggregated into one reporting segment.</w:t>
      </w:r>
    </w:p>
    <w:p>
      <w:pPr>
        <w:spacing w:after="0" w:line="156" w:lineRule="exact"/>
        <w:rPr>
          <w:rFonts w:ascii="Times New Roman" w:cs="Times New Roman" w:eastAsia="Times New Roman" w:hAnsi="Times New Roman"/>
          <w:sz w:val="18"/>
          <w:szCs w:val="18"/>
          <w:b w:val="1"/>
          <w:bCs w:val="1"/>
          <w:color w:val="auto"/>
        </w:rPr>
      </w:pPr>
    </w:p>
    <w:p>
      <w:pPr>
        <w:jc w:val="both"/>
        <w:ind w:lef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in conformity with accounting principles generally accepted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6" w:lineRule="exact"/>
        <w:rPr>
          <w:rFonts w:ascii="Times New Roman" w:cs="Times New Roman" w:eastAsia="Times New Roman" w:hAnsi="Times New Roman"/>
          <w:sz w:val="18"/>
          <w:szCs w:val="18"/>
          <w:b w:val="1"/>
          <w:bCs w:val="1"/>
          <w:color w:val="auto"/>
        </w:rPr>
      </w:pPr>
    </w:p>
    <w:p>
      <w:pPr>
        <w:ind w:left="4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Cash Equivalents – </w:t>
      </w:r>
      <w:r>
        <w:rPr>
          <w:rFonts w:ascii="Times New Roman" w:cs="Times New Roman" w:eastAsia="Times New Roman" w:hAnsi="Times New Roman"/>
          <w:sz w:val="18"/>
          <w:szCs w:val="18"/>
          <w:color w:val="auto"/>
        </w:rPr>
        <w:t>Cash equivalents are principally short-term investments with original maturities of three months or less. The carrying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 approximates fair value.</w:t>
      </w:r>
    </w:p>
    <w:p>
      <w:pPr>
        <w:spacing w:after="0" w:line="154"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Concentrations of Risk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 maintains cash and cash equivalents in accounts with financial institutions which exceed federally insured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limits. The Company has not experienced any losses in such accounts. The Company does not believe there is significant credit risk related to its cash and cash equivalents.</w:t>
      </w:r>
    </w:p>
    <w:p>
      <w:pPr>
        <w:spacing w:after="0" w:line="175"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Company sells its products to a limited number of larger commercial buyers, which may increase the chance of loss due to non-performance by a counterparty. Nine (fiscal year 2023), eight (fiscal year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2022), and nine (fiscal year 2021) customers accounted for approximately 92%, 90%, and 85% of the Company’s net sales and revenue during fiscal years 2023, 2022, and 2021, respectively. At January 31, 2024 and 2023, six and four customers represented approximately 93% and 81%, respectively, of the Company’s accounts receivable balance. The Company has not experienced any significant losses in such accounts.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Receivables — </w:t>
      </w:r>
      <w:r>
        <w:rPr>
          <w:rFonts w:ascii="Times New Roman" w:cs="Times New Roman" w:eastAsia="Times New Roman" w:hAnsi="Times New Roman"/>
          <w:sz w:val="18"/>
          <w:szCs w:val="18"/>
          <w:color w:val="auto"/>
        </w:rPr>
        <w:t>Trade receivables are recorded at their estimated net realizable value. Accounts are considered past due if payment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on a timely basis in accordance with the Company’s credit terms. Accounts considered uncollectible are written off in the period they are determined to be uncollectible. As of January 31, 2024 and 2023, the Company believes that all amounts are collectible and an allowance for credit losses was not considered necessary.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 Inventories are carried at the lower of cost or net realizable value. Cost for all inventories is determined using the first-in, first-out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 Inventory is permanently written down for instances when cost exceeds estimated net realizable value; such write-downs are based primarily upon commodity prices as the market value of inventory is often dependent upon changes in commodity prices. The Company recorded approximately $0.8 million and $0.7 million of inventory write-downs in cost of sales at January 31, 2024 and January 31, 2023, respectively. Fluctuations in the write-down of inventory generally relate to the levels and composition of such inventory at a given point in time and commodity prices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components of inventory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other finished goods</w:t>
            </w:r>
          </w:p>
        </w:tc>
        <w:tc>
          <w:tcPr>
            <w:tcW w:w="154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44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Grain and other raw materials</w:t>
            </w:r>
          </w:p>
        </w:tc>
        <w:tc>
          <w:tcPr>
            <w:tcW w:w="138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44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25,855</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4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 </w:t>
      </w:r>
      <w:r>
        <w:rPr>
          <w:rFonts w:ascii="Times New Roman" w:cs="Times New Roman" w:eastAsia="Times New Roman" w:hAnsi="Times New Roman"/>
          <w:sz w:val="18"/>
          <w:szCs w:val="18"/>
          <w:color w:val="auto"/>
        </w:rPr>
        <w:t>Property and equipment is recorded at cost or the fair value on the date of acquisition (for property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in a business combination). Depreciation is computed using the straight-line method. Estimated useful lives are 15 to 40 years for buildings and improvements, and 3 to 20 years for machinery, fixtures and equipment.</w:t>
      </w:r>
    </w:p>
    <w:p>
      <w:pPr>
        <w:spacing w:after="0" w:line="13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121"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color w:val="auto"/>
        </w:rPr>
        <w:t>The components of property and equipment are as follows (amounts in thousands):</w:t>
      </w:r>
    </w:p>
    <w:p>
      <w:pPr>
        <w:spacing w:after="0" w:line="221"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31" w:lineRule="exact"/>
        <w:rPr>
          <w:sz w:val="20"/>
          <w:szCs w:val="20"/>
          <w:color w:val="auto"/>
        </w:rPr>
      </w:pPr>
    </w:p>
    <w:p>
      <w:pPr>
        <w:jc w:val="both"/>
        <w:ind w:left="540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14605</wp:posOffset>
            </wp:positionV>
            <wp:extent cx="1320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ectPr>
          <w:pgSz w:w="11900" w:h="16838" w:orient="portrait"/>
          <w:cols w:equalWidth="0" w:num="1">
            <w:col w:w="10820"/>
          </w:cols>
          <w:pgMar w:left="740" w:top="121"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46291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2915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wp:posOffset>
            </wp:positionV>
            <wp:extent cx="46291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915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Machinery, equipment and fixtures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160020</wp:posOffset>
            </wp:positionV>
            <wp:extent cx="46291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29150" cy="1371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462915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29150" cy="16319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30,194</w:t>
            </w: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60" w:type="dxa"/>
            <w:vAlign w:val="bottom"/>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307,326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299,665</w:t>
            </w:r>
          </w:p>
        </w:tc>
        <w:tc>
          <w:tcPr>
            <w:tcW w:w="60" w:type="dxa"/>
            <w:vAlign w:val="bottom"/>
          </w:tcPr>
          <w:p>
            <w:pPr>
              <w:spacing w:after="0"/>
              <w:rPr>
                <w:sz w:val="19"/>
                <w:szCs w:val="19"/>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60" w:type="dxa"/>
            <w:vAlign w:val="bottom"/>
          </w:tcPr>
          <w:p>
            <w:pPr>
              <w:spacing w:after="0"/>
              <w:rPr>
                <w:sz w:val="20"/>
                <w:szCs w:val="20"/>
                <w:color w:val="auto"/>
              </w:rPr>
            </w:pPr>
          </w:p>
        </w:tc>
      </w:tr>
      <w:tr>
        <w:trPr>
          <w:trHeight w:val="407"/>
        </w:trPr>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400,873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363,821</w:t>
            </w:r>
          </w:p>
        </w:tc>
        <w:tc>
          <w:tcPr>
            <w:tcW w:w="60" w:type="dxa"/>
            <w:vAlign w:val="bottom"/>
          </w:tcPr>
          <w:p>
            <w:pPr>
              <w:spacing w:after="0"/>
              <w:rPr>
                <w:sz w:val="24"/>
                <w:szCs w:val="24"/>
                <w:color w:val="auto"/>
              </w:rPr>
            </w:pPr>
          </w:p>
        </w:tc>
      </w:tr>
      <w:tr>
        <w:trPr>
          <w:trHeight w:val="248"/>
        </w:trPr>
        <w:tc>
          <w:tcPr>
            <w:tcW w:w="14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(245,286)</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(228,324)</w:t>
            </w:r>
          </w:p>
        </w:tc>
      </w:tr>
      <w:tr>
        <w:trPr>
          <w:trHeight w:val="45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155,587</w:t>
            </w:r>
          </w:p>
        </w:tc>
        <w:tc>
          <w:tcPr>
            <w:tcW w:w="44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60" w:type="dxa"/>
            <w:vAlign w:val="bottom"/>
          </w:tcPr>
          <w:p>
            <w:pPr>
              <w:spacing w:after="0"/>
              <w:rPr>
                <w:sz w:val="24"/>
                <w:szCs w:val="24"/>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4440" w:space="720"/>
            <w:col w:w="5660"/>
          </w:cols>
          <w:pgMar w:left="740" w:top="121" w:right="339" w:bottom="1440" w:gutter="0" w:footer="0" w:header="0"/>
          <w:type w:val="continuous"/>
        </w:sectPr>
      </w:pP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360-05,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 Company reviews its long-lived assets, consisting of property and equipment, equity method investments and operating lease right-of-use assets, for impairment whenever events or changes in circumstances indicate the carrying amount of the asset may not be recoverable. The Company assesses long-lived assets for impairment by first determining the forecasted, undiscounted cash flows the asset group is expected to generate. If this total is less than the carrying value of the asset, the Company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The Company recorded no impairment charges in fiscal years 2023, 2022, and 2021.</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expense was approximately $17.8 million, $18.0 million, and $18.0 million in fiscal years 2023, 2022, and 2021, respectively.</w:t>
      </w:r>
    </w:p>
    <w:p>
      <w:pPr>
        <w:spacing w:after="0" w:line="22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 </w:t>
      </w:r>
      <w:r>
        <w:rPr>
          <w:rFonts w:ascii="Times New Roman" w:cs="Times New Roman" w:eastAsia="Times New Roman" w:hAnsi="Times New Roman"/>
          <w:sz w:val="18"/>
          <w:szCs w:val="18"/>
          <w:color w:val="auto"/>
        </w:rPr>
        <w:t>The method of accounting applied to long-term investments, whether consolidated, equity or cost, involves an evaluation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limited liability companies in which it may have a less than 20% ownership interest, using the equity method of accounting when the factors discussed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of Big River on a delayed basis of one month as it has a fiscal year end of December 31.</w:t>
      </w:r>
    </w:p>
    <w:p>
      <w:pPr>
        <w:spacing w:after="0" w:line="19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its investments for impairment due to declines in market value considered to be other than temporary. Such impairment evaluations include, in addition to persistent, declining market prices,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21" w:right="339" w:bottom="1440" w:gutter="0" w:footer="0" w:header="0"/>
          <w:type w:val="continuous"/>
        </w:sectPr>
      </w:pPr>
    </w:p>
    <w:bookmarkStart w:id="43" w:name="page44"/>
    <w:bookmarkEnd w:id="43"/>
    <w:p>
      <w:pPr>
        <w:ind w:left="440" w:right="140"/>
        <w:spacing w:after="0" w:line="282" w:lineRule="auto"/>
        <w:rPr>
          <w:sz w:val="20"/>
          <w:szCs w:val="20"/>
          <w:color w:val="auto"/>
        </w:rPr>
      </w:pPr>
      <w:r>
        <w:rPr>
          <w:rFonts w:ascii="Times New Roman" w:cs="Times New Roman" w:eastAsia="Times New Roman" w:hAnsi="Times New Roman"/>
          <w:sz w:val="18"/>
          <w:szCs w:val="18"/>
          <w:color w:val="auto"/>
        </w:rPr>
        <w:t>Short-term investments, consisting of U.S. government obligations, are considered held-to-maturity, and therefore are carried at amortized historical cost.</w:t>
      </w:r>
    </w:p>
    <w:p>
      <w:pPr>
        <w:spacing w:after="0" w:line="158"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Company recognizes sales of ethanol, distillers grains and distillers corn oil when obligations under the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contracts 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w:t>
      </w:r>
      <w:r>
        <w:rPr>
          <w:rFonts w:ascii="Times New Roman" w:cs="Times New Roman" w:eastAsia="Times New Roman" w:hAnsi="Times New Roman"/>
          <w:sz w:val="18"/>
          <w:szCs w:val="18"/>
          <w:color w:val="auto"/>
        </w:rPr>
        <w:t>Cost of sales includes depreciation, costs of raw materials, third-party freight charges, purchasing and receiving costs, inspection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other distribution expenses, warehousing costs, plant repair and maintenance costs, plant management, certain compensation costs and general facility overhead charges.</w:t>
      </w:r>
    </w:p>
    <w:p>
      <w:pPr>
        <w:spacing w:after="0" w:line="171" w:lineRule="exact"/>
        <w:rPr>
          <w:sz w:val="20"/>
          <w:szCs w:val="20"/>
          <w:color w:val="auto"/>
        </w:rPr>
      </w:pPr>
    </w:p>
    <w:p>
      <w:pPr>
        <w:jc w:val="both"/>
        <w:ind w:lef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 </w:t>
      </w:r>
      <w:r>
        <w:rPr>
          <w:rFonts w:ascii="Times New Roman" w:cs="Times New Roman" w:eastAsia="Times New Roman" w:hAnsi="Times New Roman"/>
          <w:sz w:val="18"/>
          <w:szCs w:val="18"/>
          <w:color w:val="auto"/>
        </w:rPr>
        <w:t>The Company includes non-production related costs such as professional fees, selling charges, operating lease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payroll in SG&amp;A expenses.</w:t>
      </w:r>
    </w:p>
    <w:p>
      <w:pPr>
        <w:spacing w:after="0" w:line="155" w:lineRule="exact"/>
        <w:rPr>
          <w:sz w:val="20"/>
          <w:szCs w:val="20"/>
          <w:color w:val="auto"/>
        </w:rPr>
      </w:pPr>
    </w:p>
    <w:p>
      <w:pPr>
        <w:jc w:val="both"/>
        <w:ind w:left="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Accounting Principles– </w:t>
      </w:r>
      <w:r>
        <w:rPr>
          <w:rFonts w:ascii="Times New Roman" w:cs="Times New Roman" w:eastAsia="Times New Roman" w:hAnsi="Times New Roman"/>
          <w:sz w:val="18"/>
          <w:szCs w:val="18"/>
          <w:color w:val="auto"/>
        </w:rPr>
        <w:t>Effective during fiscal year 2023, the Company changed the method of accounting for shipping and 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for products sold to customers from recorded within “Selling, general and administrative expenses” to recorded within “Cost of sales” on the accompanying Consolidated Statements of Operations. While both presentations are allowable under accounting principles generally accepted in the United States of America, the Company believes that this change in classification is preferable because it improves the comparability of gross margin between periods and among industry peers.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show the effect of the retrospective change to the Consolidated Statements of Operations previously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31, 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560" w:type="dxa"/>
            <w:vAlign w:val="bottom"/>
            <w:gridSpan w:val="3"/>
          </w:tcPr>
          <w:p>
            <w:pPr>
              <w:ind w:left="242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4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Currently</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4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8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560" w:type="dxa"/>
            <w:vAlign w:val="bottom"/>
            <w:gridSpan w:val="2"/>
            <w:shd w:val="clear" w:color="auto" w:fill="E5FF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800,269</w:t>
            </w:r>
          </w:p>
        </w:tc>
        <w:tc>
          <w:tcPr>
            <w:tcW w:w="580" w:type="dxa"/>
            <w:vAlign w:val="bottom"/>
            <w:gridSpan w:val="2"/>
            <w:shd w:val="clear" w:color="auto" w:fill="E5FF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6,129</w:t>
            </w:r>
          </w:p>
        </w:tc>
        <w:tc>
          <w:tcPr>
            <w:tcW w:w="340" w:type="dxa"/>
            <w:vAlign w:val="bottom"/>
            <w:shd w:val="clear" w:color="auto" w:fill="E5FFFF"/>
          </w:tcPr>
          <w:p>
            <w:pPr>
              <w:spacing w:after="0"/>
              <w:rPr>
                <w:sz w:val="18"/>
                <w:szCs w:val="18"/>
                <w:color w:val="auto"/>
              </w:rPr>
            </w:pPr>
          </w:p>
        </w:tc>
        <w:tc>
          <w:tcPr>
            <w:tcW w:w="200" w:type="dxa"/>
            <w:vAlign w:val="bottom"/>
            <w:gridSpan w:val="2"/>
            <w:shd w:val="clear" w:color="auto" w:fill="E5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806,398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25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54,731</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(6,129)</w:t>
            </w:r>
          </w:p>
        </w:tc>
        <w:tc>
          <w:tcPr>
            <w:tcW w:w="34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48,602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8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gridSpan w:val="2"/>
            <w:shd w:val="clear" w:color="auto" w:fill="E5FFFF"/>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(28,956)</w:t>
            </w:r>
          </w:p>
        </w:tc>
        <w:tc>
          <w:tcPr>
            <w:tcW w:w="580" w:type="dxa"/>
            <w:vAlign w:val="bottom"/>
            <w:gridSpan w:val="2"/>
            <w:shd w:val="clear" w:color="auto" w:fill="E5FF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6,129</w:t>
            </w:r>
          </w:p>
        </w:tc>
        <w:tc>
          <w:tcPr>
            <w:tcW w:w="340" w:type="dxa"/>
            <w:vAlign w:val="bottom"/>
            <w:shd w:val="clear" w:color="auto" w:fill="E5FFFF"/>
          </w:tcPr>
          <w:p>
            <w:pPr>
              <w:spacing w:after="0"/>
              <w:rPr>
                <w:sz w:val="18"/>
                <w:szCs w:val="18"/>
                <w:color w:val="auto"/>
              </w:rPr>
            </w:pPr>
          </w:p>
        </w:tc>
        <w:tc>
          <w:tcPr>
            <w:tcW w:w="200" w:type="dxa"/>
            <w:vAlign w:val="bottom"/>
            <w:gridSpan w:val="2"/>
            <w:shd w:val="clear" w:color="auto" w:fill="E5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(22,827)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820" w:type="dxa"/>
            <w:vAlign w:val="bottom"/>
            <w:tcBorders>
              <w:bottom w:val="single" w:sz="8" w:color="C0C0C0"/>
            </w:tcBorders>
          </w:tcPr>
          <w:p>
            <w:pPr>
              <w:spacing w:after="0"/>
              <w:rPr>
                <w:sz w:val="21"/>
                <w:szCs w:val="21"/>
                <w:color w:val="auto"/>
              </w:rPr>
            </w:pPr>
          </w:p>
        </w:tc>
        <w:tc>
          <w:tcPr>
            <w:tcW w:w="24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31, 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00" w:type="dxa"/>
            <w:vAlign w:val="bottom"/>
            <w:gridSpan w:val="3"/>
          </w:tcPr>
          <w:p>
            <w:pPr>
              <w:ind w:left="186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4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Currently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4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0" w:type="dxa"/>
            <w:vAlign w:val="bottom"/>
            <w:gridSpan w:val="2"/>
            <w:shd w:val="clear" w:color="auto" w:fill="E5FF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677,242</w:t>
            </w:r>
          </w:p>
        </w:tc>
        <w:tc>
          <w:tcPr>
            <w:tcW w:w="580" w:type="dxa"/>
            <w:vAlign w:val="bottom"/>
            <w:gridSpan w:val="2"/>
            <w:shd w:val="clear" w:color="auto" w:fill="E5FF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6,931</w:t>
            </w:r>
          </w:p>
        </w:tc>
        <w:tc>
          <w:tcPr>
            <w:tcW w:w="340" w:type="dxa"/>
            <w:vAlign w:val="bottom"/>
            <w:shd w:val="clear" w:color="auto" w:fill="E5FFFF"/>
          </w:tcPr>
          <w:p>
            <w:pPr>
              <w:spacing w:after="0"/>
              <w:rPr>
                <w:sz w:val="18"/>
                <w:szCs w:val="18"/>
                <w:color w:val="auto"/>
              </w:rPr>
            </w:pPr>
          </w:p>
        </w:tc>
        <w:tc>
          <w:tcPr>
            <w:tcW w:w="200" w:type="dxa"/>
            <w:vAlign w:val="bottom"/>
            <w:gridSpan w:val="2"/>
            <w:shd w:val="clear" w:color="auto" w:fill="E5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684,173</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97,560</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(6,931)</w:t>
            </w:r>
          </w:p>
        </w:tc>
        <w:tc>
          <w:tcPr>
            <w:tcW w:w="34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0" w:type="dxa"/>
            <w:vAlign w:val="bottom"/>
            <w:gridSpan w:val="2"/>
            <w:shd w:val="clear" w:color="auto" w:fill="E5FF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(28,476)</w:t>
            </w:r>
          </w:p>
        </w:tc>
        <w:tc>
          <w:tcPr>
            <w:tcW w:w="580" w:type="dxa"/>
            <w:vAlign w:val="bottom"/>
            <w:gridSpan w:val="2"/>
            <w:shd w:val="clear" w:color="auto" w:fill="E5FFFF"/>
          </w:tcPr>
          <w:p>
            <w:pPr>
              <w:ind w:left="50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6,931</w:t>
            </w:r>
          </w:p>
        </w:tc>
        <w:tc>
          <w:tcPr>
            <w:tcW w:w="340" w:type="dxa"/>
            <w:vAlign w:val="bottom"/>
            <w:shd w:val="clear" w:color="auto" w:fill="E5FFFF"/>
          </w:tcPr>
          <w:p>
            <w:pPr>
              <w:spacing w:after="0"/>
              <w:rPr>
                <w:sz w:val="18"/>
                <w:szCs w:val="18"/>
                <w:color w:val="auto"/>
              </w:rPr>
            </w:pPr>
          </w:p>
        </w:tc>
        <w:tc>
          <w:tcPr>
            <w:tcW w:w="200" w:type="dxa"/>
            <w:vAlign w:val="bottom"/>
            <w:gridSpan w:val="2"/>
            <w:shd w:val="clear" w:color="auto" w:fill="E5FF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 Certain of the forward corn purchase and ethanol, distillers grains and distillers corn oil sale contracts are accounted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under the “normal purchases and normal sales” scope exemption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because these arrangements are for purchases of grain that will be delivered in quantities expected to be used and sales of ethanol, distillers grains and distillers corn oil that will be produced in quantities expected to be sold by us over a reasonable period of time in the normal course of business. During fiscal years 2023, 2022, and 2021 there were no material settlements of forward contracts that were recorded at fair value. The Company recorded an asset and liability of $0.6 million and $0.8 million, respectively, associated with contracts not accounted for under the “normal purchases and normal sales” scope exception of ASC 815 at January 31, 2024. The Company recorded an asset and liability of $0.1 million and $0.4 million, respectively, associated with contracts not accounted for under the “normal purchases and normal sales” scope exception of ASC 815 at January 31, 2023.</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 The Company has a stock-based compensation plan, approved by its shareholders, which reserved a total of 1,650,000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equity and liability awards in its consolidated financial statements over the requisite service period on a straight-line basis. See Note 10 for a further discussion of restricted stock.</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 As part of the Coronavirus Aid, Relief, and Economic Security Act, passed in 2020, $700 million in funds were made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Department of Agriculture to distribute to impacted producers of ethanol, biodiesel, and other renewable fuels under the Biofuel Producer Program. The U.S.</w:t>
      </w:r>
    </w:p>
    <w:p>
      <w:pPr>
        <w:spacing w:after="0" w:line="13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117" w:right="339" w:bottom="1440" w:gutter="0" w:footer="0" w:header="0"/>
        </w:sectPr>
      </w:pPr>
    </w:p>
    <w:bookmarkStart w:id="45" w:name="page46"/>
    <w:bookmarkEnd w:id="45"/>
    <w:p>
      <w:pPr>
        <w:jc w:val="both"/>
        <w:ind w:left="432"/>
        <w:spacing w:after="0" w:line="266" w:lineRule="auto"/>
        <w:rPr>
          <w:sz w:val="20"/>
          <w:szCs w:val="20"/>
          <w:color w:val="auto"/>
        </w:rPr>
      </w:pPr>
      <w:r>
        <w:rPr>
          <w:rFonts w:ascii="Times New Roman" w:cs="Times New Roman" w:eastAsia="Times New Roman" w:hAnsi="Times New Roman"/>
          <w:sz w:val="18"/>
          <w:szCs w:val="18"/>
          <w:color w:val="auto"/>
        </w:rPr>
        <w:t>Department of Agriculture (“USDA”) distributed funds to applicants in May 2022. Our consolidated plants received a total of approximately $1.0 million and $7.8 million from this program in fiscal years 2023 and 2022, respectively, which was recorded within “Interest and other income, net” in the Consolidated Statements of Operations. The Company has no further reporting or other obligations related to the receipt of these funds.</w:t>
      </w:r>
    </w:p>
    <w:p>
      <w:pPr>
        <w:spacing w:after="0" w:line="172" w:lineRule="exact"/>
        <w:rPr>
          <w:sz w:val="20"/>
          <w:szCs w:val="20"/>
          <w:color w:val="auto"/>
        </w:rPr>
      </w:pPr>
    </w:p>
    <w:p>
      <w:pPr>
        <w:jc w:val="both"/>
        <w:ind w:left="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provides for deferred tax liabilities and assets for the future tax consequences attributable to differences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w:t>
      </w:r>
    </w:p>
    <w:p>
      <w:pPr>
        <w:spacing w:after="0" w:line="176" w:lineRule="exact"/>
        <w:rPr>
          <w:sz w:val="20"/>
          <w:szCs w:val="20"/>
          <w:color w:val="auto"/>
        </w:rPr>
      </w:pPr>
    </w:p>
    <w:p>
      <w:pPr>
        <w:jc w:val="both"/>
        <w:ind w:left="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w:t>
      </w:r>
      <w:r>
        <w:rPr>
          <w:rFonts w:ascii="Times New Roman" w:cs="Times New Roman" w:eastAsia="Times New Roman" w:hAnsi="Times New Roman"/>
          <w:sz w:val="18"/>
          <w:szCs w:val="18"/>
          <w:color w:val="auto"/>
        </w:rPr>
        <w:t>– The Company has no components of other comprehensive income, and therefore, comprehensive income equals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w:t>
      </w:r>
    </w:p>
    <w:p>
      <w:pPr>
        <w:spacing w:after="0" w:line="155" w:lineRule="exact"/>
        <w:rPr>
          <w:sz w:val="20"/>
          <w:szCs w:val="20"/>
          <w:color w:val="auto"/>
        </w:rPr>
      </w:pPr>
    </w:p>
    <w:p>
      <w:pPr>
        <w:jc w:val="both"/>
        <w:ind w:left="41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 </w:t>
      </w:r>
      <w:r>
        <w:rPr>
          <w:rFonts w:ascii="Times New Roman" w:cs="Times New Roman" w:eastAsia="Times New Roman" w:hAnsi="Times New Roman"/>
          <w:sz w:val="18"/>
          <w:szCs w:val="18"/>
          <w:color w:val="auto"/>
        </w:rPr>
        <w:t>In November 2023, the Financial Accounting Standards Board (“FASB”)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2023-07, “Segment Reporting (Topic 280): Improvements to Reportable Segment Disclosure”, which improves reportable segment disclosure requirements through enhanced disclosure about significant segment expenses. This ASU is effective for public entities that are required to report segment information in accordance with Topic 280 for fiscal years beginning after December 15, 2023, and interim periods within fiscal years beginning December 15, 2024. Early adoption is permitted. The Company is currently evaluating the impact of this ASU.</w:t>
      </w:r>
    </w:p>
    <w:p>
      <w:pPr>
        <w:spacing w:after="0" w:line="183" w:lineRule="exact"/>
        <w:rPr>
          <w:sz w:val="20"/>
          <w:szCs w:val="20"/>
          <w:color w:val="auto"/>
        </w:rPr>
      </w:pPr>
    </w:p>
    <w:p>
      <w:pPr>
        <w:jc w:val="both"/>
        <w:ind w:left="412"/>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This ASU is effective for all entities that are subject to Topic 740 for fiscal years beginning after December 15, 2024. Early adoption and retrospective application are permitted, but not required. The Company is currently evaluating the impact of this ASU.</w:t>
      </w:r>
    </w:p>
    <w:p>
      <w:pPr>
        <w:spacing w:after="0" w:line="176" w:lineRule="exact"/>
        <w:rPr>
          <w:sz w:val="20"/>
          <w:szCs w:val="20"/>
          <w:color w:val="auto"/>
        </w:rPr>
      </w:pPr>
    </w:p>
    <w:p>
      <w:pPr>
        <w:ind w:left="412" w:hanging="412"/>
        <w:spacing w:after="0"/>
        <w:tabs>
          <w:tab w:leader="none" w:pos="41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 AND REVENUE</w:t>
      </w:r>
    </w:p>
    <w:p>
      <w:pPr>
        <w:spacing w:after="0" w:line="229" w:lineRule="exact"/>
        <w:rPr>
          <w:rFonts w:ascii="Times New Roman" w:cs="Times New Roman" w:eastAsia="Times New Roman" w:hAnsi="Times New Roman"/>
          <w:sz w:val="18"/>
          <w:szCs w:val="18"/>
          <w:b w:val="1"/>
          <w:bCs w:val="1"/>
          <w:color w:val="auto"/>
        </w:rPr>
      </w:pPr>
    </w:p>
    <w:p>
      <w:pPr>
        <w:jc w:val="both"/>
        <w:ind w:left="4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80" w:lineRule="exact"/>
        <w:rPr>
          <w:sz w:val="20"/>
          <w:szCs w:val="20"/>
          <w:color w:val="auto"/>
        </w:rPr>
      </w:pPr>
    </w:p>
    <w:p>
      <w:pPr>
        <w:jc w:val="both"/>
        <w:ind w:left="432" w:right="20"/>
        <w:spacing w:after="0" w:line="266" w:lineRule="auto"/>
        <w:rPr>
          <w:sz w:val="20"/>
          <w:szCs w:val="20"/>
          <w:color w:val="auto"/>
        </w:rPr>
      </w:pPr>
      <w:r>
        <w:rPr>
          <w:rFonts w:ascii="Times New Roman" w:cs="Times New Roman" w:eastAsia="Times New Roman" w:hAnsi="Times New Roman"/>
          <w:sz w:val="18"/>
          <w:szCs w:val="18"/>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13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46" w:name="page47"/>
    <w:bookmarkEnd w:id="46"/>
    <w:tbl>
      <w:tblPr>
        <w:tblLayout w:type="fixed"/>
        <w:tblInd w:w="432" w:type="dxa"/>
        <w:tblCellMar>
          <w:top w:w="0" w:type="dxa"/>
          <w:left w:w="0" w:type="dxa"/>
          <w:bottom w:w="0" w:type="dxa"/>
          <w:right w:w="0" w:type="dxa"/>
        </w:tblCellMar>
      </w:tblPr>
      <w:tr>
        <w:trPr>
          <w:trHeight w:val="234"/>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disaggregated revenue by product (amounts in 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60" w:type="dxa"/>
            <w:vAlign w:val="bottom"/>
            <w:gridSpan w:val="3"/>
            <w:shd w:val="clear" w:color="auto" w:fill="E5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Sales of products, continuing operations:</w:t>
            </w:r>
          </w:p>
        </w:tc>
        <w:tc>
          <w:tcPr>
            <w:tcW w:w="3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Ethanol</w:t>
            </w:r>
          </w:p>
        </w:tc>
        <w:tc>
          <w:tcPr>
            <w:tcW w:w="3360" w:type="dxa"/>
            <w:vAlign w:val="bottom"/>
            <w:tcBorders>
              <w:top w:val="single" w:sz="8" w:color="E5FFFF"/>
            </w:tcBorders>
            <w:gridSpan w:val="2"/>
          </w:tcPr>
          <w:p>
            <w:pPr>
              <w:spacing w:after="0"/>
              <w:rPr>
                <w:sz w:val="24"/>
                <w:szCs w:val="24"/>
                <w:color w:val="auto"/>
              </w:rPr>
            </w:pPr>
          </w:p>
        </w:tc>
        <w:tc>
          <w:tcPr>
            <w:tcW w:w="42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w w:val="95"/>
              </w:rPr>
              <w:t>635,420</w:t>
            </w:r>
          </w:p>
        </w:tc>
        <w:tc>
          <w:tcPr>
            <w:tcW w:w="64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w w:val="99"/>
              </w:rPr>
              <w:t>649,501</w:t>
            </w:r>
          </w:p>
        </w:tc>
        <w:tc>
          <w:tcPr>
            <w:tcW w:w="540" w:type="dxa"/>
            <w:vAlign w:val="bottom"/>
            <w:tcBorders>
              <w:top w:val="single" w:sz="8" w:color="E5FFFF"/>
            </w:tcBorders>
          </w:tcPr>
          <w:p>
            <w:pPr>
              <w:spacing w:after="0"/>
              <w:rPr>
                <w:sz w:val="24"/>
                <w:szCs w:val="24"/>
                <w:color w:val="auto"/>
              </w:rPr>
            </w:pPr>
          </w:p>
        </w:tc>
        <w:tc>
          <w:tcPr>
            <w:tcW w:w="10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rPr>
              <w:t>613,597</w:t>
            </w:r>
          </w:p>
        </w:tc>
        <w:tc>
          <w:tcPr>
            <w:tcW w:w="100" w:type="dxa"/>
            <w:vAlign w:val="bottom"/>
            <w:tcBorders>
              <w:top w:val="single" w:sz="8" w:color="E5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5"/>
              </w:rPr>
              <w:t>139,173</w:t>
            </w:r>
          </w:p>
        </w:tc>
        <w:tc>
          <w:tcPr>
            <w:tcW w:w="5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139,118</w:t>
            </w:r>
          </w:p>
        </w:tc>
        <w:tc>
          <w:tcPr>
            <w:tcW w:w="5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125,009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3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5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5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financial instruments losses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54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sales</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833,384</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855,000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60" w:type="dxa"/>
            <w:vAlign w:val="bottom"/>
            <w:gridSpan w:val="3"/>
            <w:shd w:val="clear" w:color="auto" w:fill="E5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Sales of products, discontinued operations:</w:t>
            </w:r>
          </w:p>
        </w:tc>
        <w:tc>
          <w:tcPr>
            <w:tcW w:w="3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3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Refined coal</w:t>
            </w:r>
            <w:r>
              <w:rPr>
                <w:rFonts w:ascii="Times New Roman" w:cs="Times New Roman" w:eastAsia="Times New Roman" w:hAnsi="Times New Roman"/>
                <w:sz w:val="29"/>
                <w:szCs w:val="29"/>
                <w:color w:val="auto"/>
                <w:vertAlign w:val="superscript"/>
              </w:rPr>
              <w:t>1</w:t>
            </w:r>
          </w:p>
        </w:tc>
        <w:tc>
          <w:tcPr>
            <w:tcW w:w="3200" w:type="dxa"/>
            <w:vAlign w:val="bottom"/>
            <w:tcBorders>
              <w:top w:val="single" w:sz="8" w:color="E5FFFF"/>
            </w:tcBorders>
          </w:tcPr>
          <w:p>
            <w:pPr>
              <w:spacing w:after="0"/>
              <w:rPr>
                <w:sz w:val="24"/>
                <w:szCs w:val="24"/>
                <w:color w:val="auto"/>
              </w:rPr>
            </w:pPr>
          </w:p>
        </w:tc>
        <w:tc>
          <w:tcPr>
            <w:tcW w:w="42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E5FFFF"/>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E5FF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92" w:right="620" w:hanging="6"/>
        <w:spacing w:after="0" w:line="195" w:lineRule="auto"/>
        <w:tabs>
          <w:tab w:leader="none" w:pos="604" w:val="left"/>
        </w:tabs>
        <w:numPr>
          <w:ilvl w:val="1"/>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Refined coal sales were recorded net of the cost of coal as the Company purchased the coal feedstock from the same customer to which the processed refined coal was sold.</w:t>
      </w:r>
    </w:p>
    <w:p>
      <w:pPr>
        <w:spacing w:after="0" w:line="195" w:lineRule="exact"/>
        <w:rPr>
          <w:rFonts w:ascii="Times New Roman" w:cs="Times New Roman" w:eastAsia="Times New Roman" w:hAnsi="Times New Roman"/>
          <w:sz w:val="30"/>
          <w:szCs w:val="30"/>
          <w:color w:val="auto"/>
          <w:vertAlign w:val="superscript"/>
        </w:rPr>
      </w:pPr>
    </w:p>
    <w:p>
      <w:pPr>
        <w:ind w:left="412" w:hanging="412"/>
        <w:spacing w:after="0"/>
        <w:tabs>
          <w:tab w:leader="none" w:pos="41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5" w:lineRule="exact"/>
        <w:rPr>
          <w:rFonts w:ascii="Times New Roman" w:cs="Times New Roman" w:eastAsia="Times New Roman" w:hAnsi="Times New Roman"/>
          <w:sz w:val="18"/>
          <w:szCs w:val="18"/>
          <w:b w:val="1"/>
          <w:bCs w:val="1"/>
          <w:color w:val="auto"/>
        </w:rPr>
      </w:pPr>
    </w:p>
    <w:p>
      <w:pPr>
        <w:ind w:left="4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Equity Method Investment in Big River</w:t>
      </w:r>
    </w:p>
    <w:p>
      <w:pPr>
        <w:spacing w:after="0" w:line="229" w:lineRule="exact"/>
        <w:rPr>
          <w:rFonts w:ascii="Times New Roman" w:cs="Times New Roman" w:eastAsia="Times New Roman" w:hAnsi="Times New Roman"/>
          <w:sz w:val="18"/>
          <w:szCs w:val="18"/>
          <w:b w:val="1"/>
          <w:bCs w:val="1"/>
          <w:color w:val="auto"/>
        </w:rPr>
      </w:pPr>
    </w:p>
    <w:p>
      <w:pPr>
        <w:ind w:left="4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equity method investment in Big River is accounted for under ASC 323. The following table summarizes the investment (amounts in thousands):</w:t>
      </w:r>
    </w:p>
    <w:p>
      <w:pPr>
        <w:spacing w:after="0" w:line="171" w:lineRule="exact"/>
        <w:rPr>
          <w:sz w:val="20"/>
          <w:szCs w:val="20"/>
          <w:color w:val="auto"/>
        </w:rPr>
      </w:pPr>
    </w:p>
    <w:tbl>
      <w:tblPr>
        <w:tblLayout w:type="fixed"/>
        <w:tblInd w:w="432"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3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6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33,045</w:t>
            </w:r>
          </w:p>
        </w:tc>
      </w:tr>
      <w:tr>
        <w:trPr>
          <w:trHeight w:val="20"/>
        </w:trPr>
        <w:tc>
          <w:tcPr>
            <w:tcW w:w="3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Ownership percentage</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both"/>
        <w:ind w:left="412"/>
        <w:spacing w:after="0" w:line="255" w:lineRule="auto"/>
        <w:rPr>
          <w:sz w:val="20"/>
          <w:szCs w:val="20"/>
          <w:color w:val="auto"/>
        </w:rPr>
      </w:pPr>
      <w:r>
        <w:rPr>
          <w:rFonts w:ascii="Times New Roman" w:cs="Times New Roman" w:eastAsia="Times New Roman" w:hAnsi="Times New Roman"/>
          <w:sz w:val="18"/>
          <w:szCs w:val="18"/>
          <w:color w:val="auto"/>
        </w:rPr>
        <w:t>The Company invested approximately $20.0 million in Big River which is a holding company for several entities. Big River, through its various entities (both wholly and partially owned), operates four ethanol manufacturing facilities, that combined shipped approximately 430.0 million gallons of ethanol in the twelve months ended January 31, 2024. The Company recorded income of approximately $13.9 million, $8.7 million, and $6.6 million as its share of earnings from Big River during fiscal years 2023, 2022, and 2021, respectively. The Company received dividends of approximately $12.0 million, $6.3 million, and $5.5 million from Big River during fiscal years 2023, 2022, and 2021, respectively. At January 31, 2024, the carrying value of the investment in Big River was approximately $34.9 million; the amount of underlying equity in the net assets of Big River was approximately $36.6 million.</w:t>
      </w:r>
    </w:p>
    <w:p>
      <w:pPr>
        <w:spacing w:after="0" w:line="14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equity method investee as of and for its fiscal year end is presented in the following tables (amounts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351,278</w:t>
            </w:r>
          </w:p>
        </w:tc>
        <w:tc>
          <w:tcPr>
            <w:tcW w:w="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319,367</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Non current assets</w:t>
            </w:r>
          </w:p>
        </w:tc>
        <w:tc>
          <w:tcPr>
            <w:tcW w:w="170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144,933</w:t>
            </w:r>
          </w:p>
        </w:tc>
        <w:tc>
          <w:tcPr>
            <w:tcW w:w="44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151,039</w:t>
            </w:r>
          </w:p>
        </w:tc>
        <w:tc>
          <w:tcPr>
            <w:tcW w:w="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496,211</w:t>
            </w:r>
          </w:p>
        </w:tc>
        <w:tc>
          <w:tcPr>
            <w:tcW w:w="44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470,406</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70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44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105,746</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18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355,385</w:t>
            </w:r>
          </w:p>
        </w:tc>
        <w:tc>
          <w:tcPr>
            <w:tcW w:w="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305,447</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44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37,326</w:t>
            </w:r>
          </w:p>
        </w:tc>
        <w:tc>
          <w:tcPr>
            <w:tcW w:w="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70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390,465</w:t>
            </w:r>
          </w:p>
        </w:tc>
        <w:tc>
          <w:tcPr>
            <w:tcW w:w="44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342,773</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11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1,379,651</w:t>
            </w:r>
          </w:p>
        </w:tc>
        <w:tc>
          <w:tcPr>
            <w:tcW w:w="6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1,509,406</w:t>
            </w:r>
          </w:p>
        </w:tc>
        <w:tc>
          <w:tcPr>
            <w:tcW w:w="6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1,332,555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6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6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84,814</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135,012</w:t>
            </w:r>
          </w:p>
        </w:tc>
        <w:tc>
          <w:tcPr>
            <w:tcW w:w="6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84,814</w:t>
            </w:r>
          </w:p>
        </w:tc>
        <w:tc>
          <w:tcPr>
            <w:tcW w:w="6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64,243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Big River has debt agreements that limit and restrict amounts the entity can pay in the form of dividends or advances to owners. The restricted net assets of Big River at January 31, 2024 are approximately $110.3 million; the Company’s proportionate share of restricted net assets of Big River is approximately $11.4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January 31, 2024, the Company owned United States Treasury Bills (classified as short-term investments) that had an amortized cost, or carrying value, of approximately $155.3 million, which materially approximates fair value. The contractual maturity of these investments was less than one year. The yield to maturity rate was approximately 5.5%. As carrying value materially approximates fair value, unrecognized holding gains or losses were insignificant.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January 31, 2023, the Company owned United States Treasury Bills (classified as short-term investments) that had an amortized cost, or carrying value, of approximately $211.3 million, which materially approximates fair value. The contractual maturity of these investments was less than one year. The yield to maturity rate was approximately 3.9%. As carrying value materially approximates fair value, unrecognized holding gains or losses were insignificant.</w:t>
      </w:r>
    </w:p>
    <w:p>
      <w:pPr>
        <w:spacing w:after="0" w:line="1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21" w:right="339" w:bottom="1440" w:gutter="0" w:footer="0" w:header="0"/>
        </w:sectPr>
      </w:pPr>
    </w:p>
    <w:bookmarkStart w:id="48" w:name="page49"/>
    <w:bookmarkEnd w:id="48"/>
    <w:p>
      <w:pPr>
        <w:ind w:left="412" w:hanging="412"/>
        <w:spacing w:after="0"/>
        <w:tabs>
          <w:tab w:leader="none" w:pos="4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rFonts w:ascii="Times New Roman" w:cs="Times New Roman" w:eastAsia="Times New Roman" w:hAnsi="Times New Roman"/>
          <w:sz w:val="18"/>
          <w:szCs w:val="18"/>
          <w:b w:val="1"/>
          <w:bCs w:val="1"/>
          <w:color w:val="auto"/>
        </w:rPr>
      </w:pPr>
    </w:p>
    <w:p>
      <w:pPr>
        <w:jc w:val="both"/>
        <w:ind w:left="432"/>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5" w:lineRule="exact"/>
        <w:rPr>
          <w:sz w:val="20"/>
          <w:szCs w:val="20"/>
          <w:color w:val="auto"/>
        </w:rPr>
      </w:pPr>
    </w:p>
    <w:p>
      <w:pPr>
        <w:jc w:val="both"/>
        <w:ind w:left="432"/>
        <w:spacing w:after="0" w:line="261" w:lineRule="auto"/>
        <w:rPr>
          <w:sz w:val="20"/>
          <w:szCs w:val="20"/>
          <w:color w:val="auto"/>
        </w:rPr>
      </w:pPr>
      <w:r>
        <w:rPr>
          <w:rFonts w:ascii="Times New Roman" w:cs="Times New Roman" w:eastAsia="Times New Roman" w:hAnsi="Times New Roman"/>
          <w:sz w:val="18"/>
          <w:szCs w:val="18"/>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financial instruments at fair value.</w:t>
      </w:r>
    </w:p>
    <w:p>
      <w:pPr>
        <w:spacing w:after="0" w:line="180" w:lineRule="exact"/>
        <w:rPr>
          <w:sz w:val="20"/>
          <w:szCs w:val="20"/>
          <w:color w:val="auto"/>
        </w:rPr>
      </w:pPr>
    </w:p>
    <w:p>
      <w:pPr>
        <w:jc w:val="both"/>
        <w:ind w:left="432" w:firstLine="324"/>
        <w:spacing w:after="0" w:line="282" w:lineRule="auto"/>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 Level 1 assets and liabilities include derivative contracts that are traded in an active exchange market.</w:t>
      </w:r>
    </w:p>
    <w:p>
      <w:pPr>
        <w:spacing w:after="0" w:line="162" w:lineRule="exact"/>
        <w:rPr>
          <w:sz w:val="20"/>
          <w:szCs w:val="20"/>
          <w:color w:val="auto"/>
        </w:rPr>
      </w:pPr>
    </w:p>
    <w:p>
      <w:pPr>
        <w:jc w:val="both"/>
        <w:ind w:left="432" w:firstLine="324"/>
        <w:spacing w:after="0" w:line="261"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derivative contracts whose value is determined using a pricing model with inputs that are observable in the market or can be derived principally or corroborated by observable market data.</w:t>
      </w:r>
    </w:p>
    <w:p>
      <w:pPr>
        <w:spacing w:after="0" w:line="180" w:lineRule="exact"/>
        <w:rPr>
          <w:sz w:val="20"/>
          <w:szCs w:val="20"/>
          <w:color w:val="auto"/>
        </w:rPr>
      </w:pPr>
    </w:p>
    <w:p>
      <w:pPr>
        <w:jc w:val="both"/>
        <w:ind w:left="432" w:firstLine="324"/>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methods, or similar techniques, as well as instruments for which the determination of fair value requires significant management judgment or estimation. Unobservable inputs are developed based on the best information available, which may include the Company’s own data.</w:t>
      </w:r>
    </w:p>
    <w:p>
      <w:pPr>
        <w:spacing w:after="0" w:line="180" w:lineRule="exact"/>
        <w:rPr>
          <w:sz w:val="20"/>
          <w:szCs w:val="20"/>
          <w:color w:val="auto"/>
        </w:rPr>
      </w:pPr>
    </w:p>
    <w:p>
      <w:pPr>
        <w:jc w:val="both"/>
        <w:ind w:left="432"/>
        <w:spacing w:after="0" w:line="254" w:lineRule="auto"/>
        <w:rPr>
          <w:sz w:val="20"/>
          <w:szCs w:val="20"/>
          <w:color w:val="auto"/>
        </w:rPr>
      </w:pPr>
      <w:r>
        <w:rPr>
          <w:rFonts w:ascii="Times New Roman" w:cs="Times New Roman" w:eastAsia="Times New Roman" w:hAnsi="Times New Roman"/>
          <w:sz w:val="18"/>
          <w:szCs w:val="18"/>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 The fair values of property and equipment are determined by using various models that discount future expected cash flows.</w:t>
      </w:r>
    </w:p>
    <w:p>
      <w:pPr>
        <w:spacing w:after="0" w:line="192" w:lineRule="exact"/>
        <w:rPr>
          <w:sz w:val="20"/>
          <w:szCs w:val="20"/>
          <w:color w:val="auto"/>
        </w:rPr>
      </w:pPr>
    </w:p>
    <w:p>
      <w:pPr>
        <w:jc w:val="both"/>
        <w:ind w:left="432"/>
        <w:spacing w:after="0" w:line="261" w:lineRule="auto"/>
        <w:rPr>
          <w:sz w:val="20"/>
          <w:szCs w:val="20"/>
          <w:color w:val="auto"/>
        </w:rPr>
      </w:pPr>
      <w:r>
        <w:rPr>
          <w:rFonts w:ascii="Times New Roman" w:cs="Times New Roman" w:eastAsia="Times New Roman" w:hAnsi="Times New Roman"/>
          <w:sz w:val="18"/>
          <w:szCs w:val="18"/>
          <w:color w:val="auto"/>
        </w:rPr>
        <w:t>To ensure the prudent application of estimates and management judgment in determining the fair value of derivative assets and liabilities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w:t>
      </w:r>
    </w:p>
    <w:p>
      <w:pPr>
        <w:spacing w:after="0" w:line="13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at January 31, 2024 on a recurring basis are summarized below (amounts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4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41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asset (1)</w:t>
            </w:r>
          </w:p>
        </w:tc>
        <w:tc>
          <w:tcPr>
            <w:tcW w:w="11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top w:val="single" w:sz="8" w:color="E5FFFF"/>
            </w:tcBorders>
            <w:shd w:val="clear" w:color="auto" w:fill="E5FFFF"/>
          </w:tcPr>
          <w:p>
            <w:pPr>
              <w:spacing w:after="0"/>
              <w:rPr>
                <w:sz w:val="18"/>
                <w:szCs w:val="18"/>
                <w:color w:val="auto"/>
              </w:rPr>
            </w:pP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contracts liability (4)</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4"/>
                <w:szCs w:val="24"/>
                <w:color w:val="auto"/>
              </w:rPr>
            </w:pPr>
          </w:p>
        </w:tc>
      </w:tr>
      <w:tr>
        <w:trPr>
          <w:trHeight w:val="229"/>
        </w:trPr>
        <w:tc>
          <w:tcPr>
            <w:tcW w:w="41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Commodity futures – in a loss position(2)</w:t>
            </w:r>
          </w:p>
        </w:tc>
        <w:tc>
          <w:tcPr>
            <w:tcW w:w="112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FFFF"/>
          </w:tcPr>
          <w:p>
            <w:pPr>
              <w:spacing w:after="0"/>
              <w:rPr>
                <w:sz w:val="19"/>
                <w:szCs w:val="19"/>
                <w:color w:val="auto"/>
              </w:rPr>
            </w:pPr>
          </w:p>
        </w:tc>
        <w:tc>
          <w:tcPr>
            <w:tcW w:w="320" w:type="dxa"/>
            <w:vAlign w:val="bottom"/>
            <w:tcBorders>
              <w:bottom w:val="single" w:sz="8" w:color="auto"/>
            </w:tcBorders>
            <w:shd w:val="clear" w:color="auto" w:fill="E5FFFF"/>
          </w:tcPr>
          <w:p>
            <w:pPr>
              <w:spacing w:after="0"/>
              <w:rPr>
                <w:sz w:val="19"/>
                <w:szCs w:val="19"/>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E5FFFF"/>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at January 31, 2023 on a recurring basis are summarized below (amounts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41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asset (1)</w:t>
            </w:r>
          </w:p>
        </w:tc>
        <w:tc>
          <w:tcPr>
            <w:tcW w:w="11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E5FFFF"/>
            </w:tcBorders>
            <w:shd w:val="clear" w:color="auto" w:fill="E5FFFF"/>
          </w:tcPr>
          <w:p>
            <w:pPr>
              <w:spacing w:after="0"/>
              <w:rPr>
                <w:sz w:val="18"/>
                <w:szCs w:val="18"/>
                <w:color w:val="auto"/>
              </w:rPr>
            </w:pPr>
          </w:p>
        </w:tc>
      </w:tr>
      <w:tr>
        <w:trPr>
          <w:trHeight w:val="229"/>
        </w:trPr>
        <w:tc>
          <w:tcPr>
            <w:tcW w:w="41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Commodity futures – in a gain position (3)</w:t>
            </w:r>
          </w:p>
        </w:tc>
        <w:tc>
          <w:tcPr>
            <w:tcW w:w="110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5FF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5FFFF"/>
            </w:tcBorders>
          </w:tcPr>
          <w:p>
            <w:pPr>
              <w:spacing w:after="0"/>
              <w:rPr>
                <w:sz w:val="19"/>
                <w:szCs w:val="19"/>
                <w:color w:val="auto"/>
              </w:rPr>
            </w:pPr>
          </w:p>
        </w:tc>
        <w:tc>
          <w:tcPr>
            <w:tcW w:w="2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E5FFFF"/>
            </w:tcBorders>
          </w:tcPr>
          <w:p>
            <w:pPr>
              <w:spacing w:after="0"/>
              <w:rPr>
                <w:sz w:val="19"/>
                <w:szCs w:val="19"/>
                <w:color w:val="auto"/>
              </w:rPr>
            </w:pPr>
          </w:p>
        </w:tc>
      </w:tr>
      <w:tr>
        <w:trPr>
          <w:trHeight w:val="223"/>
        </w:trPr>
        <w:tc>
          <w:tcPr>
            <w:tcW w:w="416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Borders>
              <w:bottom w:val="single" w:sz="8" w:color="E5FFFF"/>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E5FFFF"/>
            </w:tcBorders>
            <w:shd w:val="clear" w:color="auto" w:fill="E5FFFF"/>
          </w:tcPr>
          <w:p>
            <w:pPr>
              <w:spacing w:after="0"/>
              <w:rPr>
                <w:sz w:val="19"/>
                <w:szCs w:val="19"/>
                <w:color w:val="auto"/>
              </w:rPr>
            </w:pPr>
          </w:p>
        </w:tc>
        <w:tc>
          <w:tcPr>
            <w:tcW w:w="320" w:type="dxa"/>
            <w:vAlign w:val="bottom"/>
            <w:tcBorders>
              <w:bottom w:val="single" w:sz="8" w:color="auto"/>
            </w:tcBorders>
            <w:shd w:val="clear" w:color="auto" w:fill="E5FF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5FFFF"/>
            </w:tcBorders>
            <w:shd w:val="clear" w:color="auto" w:fill="E5FFFF"/>
          </w:tcPr>
          <w:p>
            <w:pPr>
              <w:spacing w:after="0"/>
              <w:rPr>
                <w:sz w:val="19"/>
                <w:szCs w:val="19"/>
                <w:color w:val="auto"/>
              </w:rPr>
            </w:pPr>
          </w:p>
        </w:tc>
        <w:tc>
          <w:tcPr>
            <w:tcW w:w="2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E5FFFF"/>
            </w:tcBorders>
            <w:shd w:val="clear" w:color="auto" w:fill="E5FF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contracts liability (4)</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4"/>
                <w:szCs w:val="24"/>
                <w:color w:val="auto"/>
              </w:rPr>
            </w:pPr>
          </w:p>
        </w:tc>
      </w:tr>
      <w:tr>
        <w:trPr>
          <w:trHeight w:val="229"/>
        </w:trPr>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Commodity futures – in a loss position(5)</w:t>
            </w:r>
          </w:p>
        </w:tc>
        <w:tc>
          <w:tcPr>
            <w:tcW w:w="1100" w:type="dxa"/>
            <w:vAlign w:val="bottom"/>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spacing w:after="0"/>
              <w:rPr>
                <w:sz w:val="19"/>
                <w:szCs w:val="19"/>
                <w:color w:val="auto"/>
              </w:rPr>
            </w:pPr>
          </w:p>
        </w:tc>
        <w:tc>
          <w:tcPr>
            <w:tcW w:w="3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FFFF"/>
          </w:tcPr>
          <w:p>
            <w:pPr>
              <w:spacing w:after="0"/>
              <w:rPr>
                <w:sz w:val="19"/>
                <w:szCs w:val="19"/>
                <w:color w:val="auto"/>
              </w:rPr>
            </w:pPr>
          </w:p>
        </w:tc>
        <w:tc>
          <w:tcPr>
            <w:tcW w:w="320" w:type="dxa"/>
            <w:vAlign w:val="bottom"/>
            <w:tcBorders>
              <w:bottom w:val="single" w:sz="8" w:color="auto"/>
            </w:tcBorders>
            <w:shd w:val="clear" w:color="auto" w:fill="E5FFFF"/>
          </w:tcPr>
          <w:p>
            <w:pPr>
              <w:spacing w:after="0"/>
              <w:rPr>
                <w:sz w:val="19"/>
                <w:szCs w:val="19"/>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E5FFFF"/>
          </w:tcPr>
          <w:p>
            <w:pPr>
              <w:spacing w:after="0"/>
              <w:rPr>
                <w:sz w:val="19"/>
                <w:szCs w:val="19"/>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 contracts asset is included in “Prepaid expenses and other” on the accompanying Consolidated Balance Sheets.</w:t>
      </w:r>
    </w:p>
    <w:p>
      <w:pPr>
        <w:spacing w:after="0" w:line="238" w:lineRule="exact"/>
        <w:rPr>
          <w:rFonts w:ascii="Times New Roman" w:cs="Times New Roman" w:eastAsia="Times New Roman" w:hAnsi="Times New Roman"/>
          <w:sz w:val="18"/>
          <w:szCs w:val="18"/>
          <w:color w:val="auto"/>
        </w:rPr>
      </w:pPr>
    </w:p>
    <w:p>
      <w:pPr>
        <w:ind w:left="420" w:right="20" w:hanging="414"/>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liability is netted with cash collateral due from broker and included in “Prepaid expense and other” on the accompanying Consolidated Balance Sheets.</w:t>
      </w:r>
    </w:p>
    <w:p>
      <w:pPr>
        <w:spacing w:after="0" w:line="175" w:lineRule="exact"/>
        <w:rPr>
          <w:rFonts w:ascii="Times New Roman" w:cs="Times New Roman" w:eastAsia="Times New Roman" w:hAnsi="Times New Roman"/>
          <w:sz w:val="18"/>
          <w:szCs w:val="18"/>
          <w:color w:val="auto"/>
        </w:rPr>
      </w:pPr>
    </w:p>
    <w:p>
      <w:pPr>
        <w:ind w:left="420" w:hanging="41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asset is included in “Prepaid expenses and other” on the accompanying Consolidated Balance Sheets.</w:t>
      </w:r>
    </w:p>
    <w:p>
      <w:pPr>
        <w:spacing w:after="0" w:line="238" w:lineRule="exact"/>
        <w:rPr>
          <w:rFonts w:ascii="Times New Roman" w:cs="Times New Roman" w:eastAsia="Times New Roman" w:hAnsi="Times New Roman"/>
          <w:sz w:val="18"/>
          <w:szCs w:val="18"/>
          <w:color w:val="auto"/>
        </w:rPr>
      </w:pPr>
    </w:p>
    <w:p>
      <w:pPr>
        <w:ind w:left="420" w:hanging="414"/>
        <w:spacing w:after="0" w:line="282"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 contracts liability is included in “Accrued expenses and other current liabilities” on the accompanying Consolidated Balance Sheets.</w:t>
      </w:r>
    </w:p>
    <w:p>
      <w:pPr>
        <w:spacing w:after="0" w:line="175" w:lineRule="exact"/>
        <w:rPr>
          <w:rFonts w:ascii="Times New Roman" w:cs="Times New Roman" w:eastAsia="Times New Roman" w:hAnsi="Times New Roman"/>
          <w:sz w:val="18"/>
          <w:szCs w:val="18"/>
          <w:color w:val="auto"/>
        </w:rPr>
      </w:pPr>
    </w:p>
    <w:p>
      <w:pPr>
        <w:ind w:left="420" w:hanging="41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asset is included in “Accrued expenses and other current liabilities” on the accompanying Consolidated Balance Sheets.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other financial instruments were elected to be measured at fair value in accordance with ASC 470-20-25-21. The carrying value of all other financial assets and liabilities approximate fair value.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 were no assets measured at fair value at January 31, 2024 and 2023 on a non-recurring basis.</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21" w:right="339" w:bottom="1440" w:gutter="0" w:footer="0" w:header="0"/>
        </w:sectPr>
      </w:pPr>
    </w:p>
    <w:bookmarkStart w:id="50" w:name="page51"/>
    <w:bookmarkEnd w:id="50"/>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other noncurrent assets are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25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Deferred taxes</w:t>
            </w:r>
          </w:p>
        </w:tc>
        <w:tc>
          <w:tcPr>
            <w:tcW w:w="2580" w:type="dxa"/>
            <w:vAlign w:val="bottom"/>
            <w:gridSpan w:val="2"/>
            <w:shd w:val="clear" w:color="auto" w:fill="E5FF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7,837</w:t>
            </w:r>
          </w:p>
        </w:tc>
        <w:tc>
          <w:tcPr>
            <w:tcW w:w="5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21,964</w:t>
            </w:r>
          </w:p>
        </w:tc>
        <w:tc>
          <w:tcPr>
            <w:tcW w:w="0" w:type="dxa"/>
            <w:vAlign w:val="bottom"/>
          </w:tcPr>
          <w:p>
            <w:pPr>
              <w:spacing w:after="0"/>
              <w:rPr>
                <w:sz w:val="1"/>
                <w:szCs w:val="1"/>
                <w:color w:val="auto"/>
              </w:rPr>
            </w:pPr>
          </w:p>
        </w:tc>
      </w:tr>
      <w:tr>
        <w:trPr>
          <w:trHeight w:val="230"/>
        </w:trPr>
        <w:tc>
          <w:tcPr>
            <w:tcW w:w="3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shd w:val="clear" w:color="auto" w:fill="E5FF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9,138</w:t>
            </w:r>
          </w:p>
        </w:tc>
        <w:tc>
          <w:tcPr>
            <w:tcW w:w="5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23,179</w:t>
            </w:r>
          </w:p>
        </w:tc>
        <w:tc>
          <w:tcPr>
            <w:tcW w:w="0" w:type="dxa"/>
            <w:vAlign w:val="bottom"/>
          </w:tcPr>
          <w:p>
            <w:pPr>
              <w:spacing w:after="0"/>
              <w:rPr>
                <w:sz w:val="1"/>
                <w:szCs w:val="1"/>
                <w:color w:val="auto"/>
              </w:rPr>
            </w:pPr>
          </w:p>
        </w:tc>
      </w:tr>
      <w:tr>
        <w:trPr>
          <w:trHeight w:val="20"/>
        </w:trPr>
        <w:tc>
          <w:tcPr>
            <w:tcW w:w="3220" w:type="dxa"/>
            <w:vAlign w:val="bottom"/>
            <w:tcBorders>
              <w:top w:val="single" w:sz="8" w:color="E5FFFF"/>
            </w:tcBorders>
          </w:tcPr>
          <w:p>
            <w:pPr>
              <w:spacing w:after="0" w:line="20" w:lineRule="exact"/>
              <w:rPr>
                <w:sz w:val="1"/>
                <w:szCs w:val="1"/>
                <w:color w:val="auto"/>
              </w:rPr>
            </w:pPr>
          </w:p>
        </w:tc>
        <w:tc>
          <w:tcPr>
            <w:tcW w:w="174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-1036320</wp:posOffset>
            </wp:positionV>
            <wp:extent cx="274320" cy="1020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4320" cy="1020445"/>
                    </a:xfrm>
                    <a:prstGeom prst="rect">
                      <a:avLst/>
                    </a:prstGeom>
                    <a:noFill/>
                  </pic:spPr>
                </pic:pic>
              </a:graphicData>
            </a:graphic>
          </wp:anchor>
        </w:drawing>
      </w:r>
    </w:p>
    <w:p>
      <w:pPr>
        <w:spacing w:after="0" w:line="174"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expenses and other current liabilities are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209"/>
        </w:trPr>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Accrued payroll and related items</w:t>
            </w:r>
          </w:p>
        </w:tc>
        <w:tc>
          <w:tcPr>
            <w:tcW w:w="122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9,457</w:t>
            </w:r>
          </w:p>
        </w:tc>
        <w:tc>
          <w:tcPr>
            <w:tcW w:w="5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4,428</w:t>
            </w:r>
          </w:p>
        </w:tc>
      </w:tr>
      <w:tr>
        <w:trPr>
          <w:trHeight w:val="216"/>
        </w:trPr>
        <w:tc>
          <w:tcPr>
            <w:tcW w:w="4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utility charges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4,116</w:t>
            </w:r>
          </w:p>
        </w:tc>
      </w:tr>
      <w:tr>
        <w:trPr>
          <w:trHeight w:val="216"/>
        </w:trPr>
        <w:tc>
          <w:tcPr>
            <w:tcW w:w="402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Accrued transportation related items</w:t>
            </w: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2,972</w:t>
            </w: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4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Commodity futures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02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Forward purchase contracts</w:t>
            </w: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4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real estate taxes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402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Accrued income taxes</w:t>
            </w: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2,049</w:t>
            </w:r>
          </w:p>
        </w:tc>
      </w:tr>
      <w:tr>
        <w:trPr>
          <w:trHeight w:val="230"/>
        </w:trPr>
        <w:tc>
          <w:tcPr>
            <w:tcW w:w="4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1,152</w:t>
            </w:r>
          </w:p>
        </w:tc>
      </w:tr>
      <w:tr>
        <w:trPr>
          <w:trHeight w:val="209"/>
        </w:trPr>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402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19,717</w:t>
            </w:r>
          </w:p>
        </w:tc>
        <w:tc>
          <w:tcPr>
            <w:tcW w:w="5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15,328</w:t>
            </w:r>
          </w:p>
        </w:tc>
      </w:tr>
      <w:tr>
        <w:trPr>
          <w:trHeight w:val="20"/>
        </w:trPr>
        <w:tc>
          <w:tcPr>
            <w:tcW w:w="402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-1859915</wp:posOffset>
            </wp:positionV>
            <wp:extent cx="274320" cy="1843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4320" cy="1843405"/>
                    </a:xfrm>
                    <a:prstGeom prst="rect">
                      <a:avLst/>
                    </a:prstGeom>
                    <a:noFill/>
                  </pic:spPr>
                </pic:pic>
              </a:graphicData>
            </a:graphic>
          </wp:anchor>
        </w:drawing>
      </w:r>
    </w:p>
    <w:p>
      <w:pPr>
        <w:spacing w:after="0" w:line="174"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elected the practical expedient, available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81" w:lineRule="exact"/>
        <w:rPr>
          <w:rFonts w:ascii="Times New Roman" w:cs="Times New Roman" w:eastAsia="Times New Roman" w:hAnsi="Times New Roman"/>
          <w:sz w:val="18"/>
          <w:szCs w:val="18"/>
          <w:b w:val="1"/>
          <w:bCs w:val="1"/>
          <w:color w:val="auto"/>
        </w:rPr>
      </w:pPr>
    </w:p>
    <w:p>
      <w:pPr>
        <w:jc w:val="both"/>
        <w:ind w:left="4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2024, the Company has lease agreements, as lessee, for railcars. All the leases are accounted for as operating leases. The lease agreements do not contain a specified implicit interest rate; therefore, the Company’s estimated incremental borrowing rate was used to determine the present value of future minimum lease payments.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ind w:left="440"/>
        <w:spacing w:after="0" w:line="282" w:lineRule="auto"/>
        <w:rPr>
          <w:sz w:val="20"/>
          <w:szCs w:val="20"/>
          <w:color w:val="auto"/>
        </w:rPr>
      </w:pPr>
      <w:r>
        <w:rPr>
          <w:rFonts w:ascii="Times New Roman" w:cs="Times New Roman" w:eastAsia="Times New Roman" w:hAnsi="Times New Roman"/>
          <w:sz w:val="18"/>
          <w:szCs w:val="18"/>
          <w:color w:val="auto"/>
        </w:rPr>
        <w:t>For fiscal years 2023, 2022, and 2021, the components of lease expense, classified as SG&amp;A expenses on the Consolidated Statement of Operations are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6,386</w:t>
            </w:r>
          </w:p>
        </w:tc>
        <w:tc>
          <w:tcPr>
            <w:tcW w:w="360" w:type="dxa"/>
            <w:vAlign w:val="bottom"/>
            <w:gridSpan w:val="2"/>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18"/>
                <w:szCs w:val="18"/>
                <w:color w:val="auto"/>
              </w:rPr>
              <w:t>7,360</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6,346</w:t>
            </w:r>
          </w:p>
        </w:tc>
      </w:tr>
      <w:tr>
        <w:trPr>
          <w:trHeight w:val="230"/>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Variable lease expense</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1,907</w:t>
            </w:r>
          </w:p>
        </w:tc>
      </w:tr>
      <w:tr>
        <w:trPr>
          <w:trHeight w:val="223"/>
        </w:trPr>
        <w:tc>
          <w:tcPr>
            <w:tcW w:w="4400" w:type="dxa"/>
            <w:vAlign w:val="bottom"/>
            <w:tcBorders>
              <w:top w:val="single" w:sz="8" w:color="E5FFFF"/>
              <w:bottom w:val="single" w:sz="8" w:color="E5FFFF"/>
            </w:tcBorders>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Total lease expense</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38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274320" cy="874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4320" cy="874395"/>
                    </a:xfrm>
                    <a:prstGeom prst="rect">
                      <a:avLst/>
                    </a:prstGeom>
                    <a:noFill/>
                  </pic:spPr>
                </pic:pic>
              </a:graphicData>
            </a:graphic>
          </wp:anchor>
        </w:drawing>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future minimum rentals on such leases at January 31, 2024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2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4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Rentals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2025</w:t>
            </w:r>
          </w:p>
        </w:tc>
        <w:tc>
          <w:tcPr>
            <w:tcW w:w="2400" w:type="dxa"/>
            <w:vAlign w:val="bottom"/>
            <w:shd w:val="clear" w:color="auto" w:fill="E5FFFF"/>
          </w:tcPr>
          <w:p>
            <w:pPr>
              <w:spacing w:after="0"/>
              <w:rPr>
                <w:sz w:val="18"/>
                <w:szCs w:val="18"/>
                <w:color w:val="auto"/>
              </w:rPr>
            </w:pPr>
          </w:p>
        </w:tc>
        <w:tc>
          <w:tcPr>
            <w:tcW w:w="1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2026</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2027</w:t>
            </w:r>
          </w:p>
        </w:tc>
        <w:tc>
          <w:tcPr>
            <w:tcW w:w="24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2028</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2029</w:t>
            </w:r>
          </w:p>
        </w:tc>
        <w:tc>
          <w:tcPr>
            <w:tcW w:w="240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6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shd w:val="clear" w:color="auto" w:fill="E5FFFF"/>
          </w:tcPr>
          <w:p>
            <w:pPr>
              <w:spacing w:after="0"/>
              <w:rPr>
                <w:sz w:val="19"/>
                <w:szCs w:val="19"/>
                <w:color w:val="auto"/>
              </w:rPr>
            </w:pPr>
          </w:p>
        </w:tc>
        <w:tc>
          <w:tcPr>
            <w:tcW w:w="43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6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-1585595</wp:posOffset>
            </wp:positionV>
            <wp:extent cx="274320" cy="1569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4320" cy="1569085"/>
                    </a:xfrm>
                    <a:prstGeom prst="rect">
                      <a:avLst/>
                    </a:prstGeom>
                    <a:noFill/>
                  </pic:spPr>
                </pic:pic>
              </a:graphicData>
            </a:graphic>
          </wp:anchor>
        </w:drawing>
      </w:r>
    </w:p>
    <w:p>
      <w:pPr>
        <w:spacing w:after="0" w:line="17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At January 31, 2024, the weighted average remaining lease term was 3.4 years, and the weighted average discount rate was 5.94% for the above leases.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January 31, 2023, the weighted average remaining lease term was 3.7 years, and the weighted average discount rate was 5.51%.</w:t>
      </w:r>
    </w:p>
    <w:p>
      <w:pPr>
        <w:spacing w:after="0" w:line="221"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21, 2022, the Board of Directors of the Company adopted resolutions declaring a three-for-one split of the Company’s 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purchase any shares of its common stock during fiscal year 2023. During fiscal years 2022 and 2021 the Company purchased approximately 472,000 shares and 252,000 shares of its common stock for approximately $13.0 million and $6.6 million, respectively. At January 31, 2024, the Company had prior authorization by its Board of Directors to purchase, in open market transactions, an additional approximately 877,000 shares of its common stock.</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t>Information regarding the Company’s common stock is as follows (amounts in thousands):</w:t>
      </w:r>
    </w:p>
    <w:p>
      <w:pPr>
        <w:spacing w:after="0" w:line="235"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74320" cy="857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8572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19685</wp:posOffset>
            </wp:positionV>
            <wp:extent cx="13112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6" w:lineRule="exact"/>
        <w:rPr>
          <w:sz w:val="20"/>
          <w:szCs w:val="20"/>
          <w:color w:val="auto"/>
        </w:rPr>
      </w:pPr>
    </w:p>
    <w:p>
      <w:pPr>
        <w:ind w:left="546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19685</wp:posOffset>
            </wp:positionV>
            <wp:extent cx="13112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Authorized shares</w:t>
            </w:r>
          </w:p>
        </w:tc>
        <w:tc>
          <w:tcPr>
            <w:tcW w:w="2720" w:type="dxa"/>
            <w:vAlign w:val="bottom"/>
            <w:shd w:val="clear" w:color="auto" w:fill="E5FFFF"/>
          </w:tcPr>
          <w:p>
            <w:pPr>
              <w:jc w:val="right"/>
              <w:ind w:right="230"/>
              <w:spacing w:after="0"/>
              <w:rPr>
                <w:sz w:val="20"/>
                <w:szCs w:val="20"/>
                <w:color w:val="auto"/>
              </w:rPr>
            </w:pPr>
            <w:r>
              <w:rPr>
                <w:rFonts w:ascii="Times New Roman" w:cs="Times New Roman" w:eastAsia="Times New Roman" w:hAnsi="Times New Roman"/>
                <w:sz w:val="18"/>
                <w:szCs w:val="18"/>
                <w:color w:val="auto"/>
              </w:rPr>
              <w:t>45,000</w:t>
            </w: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Issued shares</w:t>
            </w:r>
          </w:p>
        </w:tc>
        <w:tc>
          <w:tcPr>
            <w:tcW w:w="2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29,853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29,853</w:t>
            </w:r>
          </w:p>
        </w:tc>
      </w:tr>
      <w:tr>
        <w:trPr>
          <w:trHeight w:val="216"/>
        </w:trPr>
        <w:tc>
          <w:tcPr>
            <w:tcW w:w="370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Outstanding shares</w:t>
            </w:r>
          </w:p>
        </w:tc>
        <w:tc>
          <w:tcPr>
            <w:tcW w:w="2720" w:type="dxa"/>
            <w:vAlign w:val="bottom"/>
            <w:shd w:val="clear" w:color="auto" w:fill="E5FFFF"/>
          </w:tcPr>
          <w:p>
            <w:pPr>
              <w:jc w:val="right"/>
              <w:ind w:right="230"/>
              <w:spacing w:after="0"/>
              <w:rPr>
                <w:sz w:val="20"/>
                <w:szCs w:val="20"/>
                <w:color w:val="auto"/>
              </w:rPr>
            </w:pPr>
            <w:r>
              <w:rPr>
                <w:rFonts w:ascii="Times New Roman" w:cs="Times New Roman" w:eastAsia="Times New Roman" w:hAnsi="Times New Roman"/>
                <w:sz w:val="18"/>
                <w:szCs w:val="18"/>
                <w:color w:val="auto"/>
              </w:rPr>
              <w:t>17,504</w:t>
            </w: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17,390</w:t>
            </w:r>
          </w:p>
        </w:tc>
      </w:tr>
    </w:tbl>
    <w:p>
      <w:pPr>
        <w:spacing w:after="0" w:line="194"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rFonts w:ascii="Times New Roman" w:cs="Times New Roman" w:eastAsia="Times New Roman" w:hAnsi="Times New Roman"/>
          <w:sz w:val="18"/>
          <w:szCs w:val="18"/>
          <w:b w:val="1"/>
          <w:bCs w:val="1"/>
          <w:color w:val="auto"/>
        </w:rPr>
      </w:pPr>
    </w:p>
    <w:p>
      <w:pPr>
        <w:ind w:left="4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87" w:lineRule="exact"/>
        <w:rPr>
          <w:rFonts w:ascii="Times New Roman" w:cs="Times New Roman" w:eastAsia="Times New Roman" w:hAnsi="Times New Roman"/>
          <w:sz w:val="18"/>
          <w:szCs w:val="18"/>
          <w:b w:val="1"/>
          <w:bCs w:val="1"/>
          <w:color w:val="auto"/>
        </w:rPr>
      </w:pPr>
    </w:p>
    <w:p>
      <w:pPr>
        <w:ind w:left="440" w:right="8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the fair values of the Company’s derivative financial instruments and the line items on the Consolidated Balance Sheets in which the fair values are reflected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40" w:type="dxa"/>
            <w:vAlign w:val="bottom"/>
          </w:tcPr>
          <w:p>
            <w:pPr>
              <w:spacing w:after="0"/>
              <w:rPr>
                <w:sz w:val="18"/>
                <w:szCs w:val="18"/>
                <w:color w:val="auto"/>
              </w:rPr>
            </w:pPr>
          </w:p>
        </w:tc>
        <w:tc>
          <w:tcPr>
            <w:tcW w:w="22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230"/>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Fair Value at January 31,</w:t>
            </w:r>
          </w:p>
        </w:tc>
        <w:tc>
          <w:tcPr>
            <w:tcW w:w="140" w:type="dxa"/>
            <w:vAlign w:val="bottom"/>
          </w:tcPr>
          <w:p>
            <w:pPr>
              <w:spacing w:after="0"/>
              <w:rPr>
                <w:sz w:val="19"/>
                <w:szCs w:val="19"/>
                <w:color w:val="auto"/>
              </w:rPr>
            </w:pPr>
          </w:p>
        </w:tc>
        <w:tc>
          <w:tcPr>
            <w:tcW w:w="22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Fair Value at January 31,</w:t>
            </w:r>
          </w:p>
        </w:tc>
      </w:tr>
      <w:tr>
        <w:trPr>
          <w:trHeight w:val="238"/>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Forward purchase contracts (1)</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36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802</w:t>
            </w:r>
          </w:p>
        </w:tc>
        <w:tc>
          <w:tcPr>
            <w:tcW w:w="3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r>
      <w:tr>
        <w:trPr>
          <w:trHeight w:val="432"/>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collateral balance (3)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2,152</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Commodity futures (2)</w:t>
            </w:r>
          </w:p>
        </w:tc>
        <w:tc>
          <w:tcPr>
            <w:tcW w:w="14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E5FFFF"/>
          </w:tcPr>
          <w:p>
            <w:pPr>
              <w:spacing w:after="0"/>
              <w:rPr>
                <w:sz w:val="19"/>
                <w:szCs w:val="19"/>
                <w:color w:val="auto"/>
              </w:rPr>
            </w:pPr>
          </w:p>
        </w:tc>
        <w:tc>
          <w:tcPr>
            <w:tcW w:w="10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5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position with broker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1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2,434</w:t>
            </w:r>
          </w:p>
        </w:tc>
        <w:tc>
          <w:tcPr>
            <w:tcW w:w="36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802</w:t>
            </w:r>
          </w:p>
        </w:tc>
        <w:tc>
          <w:tcPr>
            <w:tcW w:w="3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r>
      <w:tr>
        <w:trPr>
          <w:trHeight w:val="20"/>
        </w:trPr>
        <w:tc>
          <w:tcPr>
            <w:tcW w:w="5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274320" cy="1577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4320" cy="1577340"/>
                    </a:xfrm>
                    <a:prstGeom prst="rect">
                      <a:avLst/>
                    </a:prstGeom>
                    <a:noFill/>
                  </pic:spPr>
                </pic:pic>
              </a:graphicData>
            </a:graphic>
          </wp:anchor>
        </w:drawing>
      </w:r>
    </w:p>
    <w:p>
      <w:pPr>
        <w:spacing w:after="0" w:line="178" w:lineRule="exact"/>
        <w:rPr>
          <w:sz w:val="20"/>
          <w:szCs w:val="20"/>
          <w:color w:val="auto"/>
        </w:rPr>
      </w:pPr>
    </w:p>
    <w:p>
      <w:pPr>
        <w:jc w:val="both"/>
        <w:ind w:left="880" w:hanging="440"/>
        <w:spacing w:after="0" w:line="25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purchase contracts assets are included in “Prepaid expenses and other” on the accompanying Consolidated Balance Sheets. These contracts are for purchases of approximately 9.3 million and 5.2 million bushels of corn at January 31, 2024 and 2023, respectively. Forward purchase contracts liabilities are included in “Accrued expenses and other current liabilities” on the accompanying Consolidated Balance Sheets. These contracts are for purchases of approximately 8.2 million and 12.8 million bushels of corn at January 31, 2024 and 2023, respectively.</w:t>
      </w:r>
    </w:p>
    <w:p>
      <w:pPr>
        <w:spacing w:after="0" w:line="18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futures assets are included in “Prepaid expenses and other” on the accompanying Consolidated Balance Sheets. These contracts included short/sell positions and long/buy positions for approximately 255,000 and 6.9 million bushels of corn, respectively at January 31, 2024. These contracts also included short/sell positions for approximately 210,000 gallons of ethanol at</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872"/>
        <w:spacing w:after="0" w:line="282" w:lineRule="auto"/>
        <w:rPr>
          <w:sz w:val="20"/>
          <w:szCs w:val="20"/>
          <w:color w:val="auto"/>
        </w:rPr>
      </w:pPr>
      <w:r>
        <w:rPr>
          <w:rFonts w:ascii="Times New Roman" w:cs="Times New Roman" w:eastAsia="Times New Roman" w:hAnsi="Times New Roman"/>
          <w:sz w:val="18"/>
          <w:szCs w:val="18"/>
          <w:color w:val="auto"/>
        </w:rPr>
        <w:t>January 31, 2024. These contracts included short/sell positions and long/buy positions for approximately 3.2 million and 725,000 bushels, respectively at January 31, 2023.</w:t>
      </w:r>
    </w:p>
    <w:p>
      <w:pPr>
        <w:spacing w:after="0" w:line="162" w:lineRule="exact"/>
        <w:rPr>
          <w:sz w:val="20"/>
          <w:szCs w:val="20"/>
          <w:color w:val="auto"/>
        </w:rPr>
      </w:pPr>
    </w:p>
    <w:p>
      <w:pPr>
        <w:ind w:left="872"/>
        <w:spacing w:after="0" w:line="282" w:lineRule="auto"/>
        <w:rPr>
          <w:sz w:val="20"/>
          <w:szCs w:val="20"/>
          <w:color w:val="auto"/>
        </w:rPr>
      </w:pPr>
      <w:r>
        <w:rPr>
          <w:rFonts w:ascii="Times New Roman" w:cs="Times New Roman" w:eastAsia="Times New Roman" w:hAnsi="Times New Roman"/>
          <w:sz w:val="18"/>
          <w:szCs w:val="18"/>
          <w:color w:val="auto"/>
        </w:rPr>
        <w:t>Commodity futures liabilities are included in “Accrued expense and other current liabilities” on the accompanying Consolidated Balance Sheets. These contracts included short/sell positions for approximately 1.4 million bushels at January 31, 2023.</w:t>
      </w:r>
    </w:p>
    <w:p>
      <w:pPr>
        <w:spacing w:after="0" w:line="162" w:lineRule="exact"/>
        <w:rPr>
          <w:sz w:val="20"/>
          <w:szCs w:val="20"/>
          <w:color w:val="auto"/>
        </w:rPr>
      </w:pPr>
    </w:p>
    <w:p>
      <w:pPr>
        <w:jc w:val="both"/>
        <w:ind w:left="872" w:hanging="440"/>
        <w:spacing w:after="0" w:line="256" w:lineRule="auto"/>
        <w:tabs>
          <w:tab w:leader="none" w:pos="8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2024, and 2023,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January 31, 2024 and 2023, the Company was required to maintain collateral with the counterparty in the amount of approximately $2,152,000, recorded within “Prepaid expenses and other” on the accompanying Consolidated Balance Sheets and $1,735,000, included with “Restricted cash” on the accompanying Consolidated Balance Sheets, respectively.</w:t>
      </w:r>
    </w:p>
    <w:p>
      <w:pPr>
        <w:spacing w:after="0" w:line="187"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See Note 4 which contains fair value information related to derivative financial instruments.</w:t>
      </w:r>
    </w:p>
    <w:p>
      <w:pPr>
        <w:spacing w:after="0" w:line="225" w:lineRule="exact"/>
        <w:rPr>
          <w:sz w:val="20"/>
          <w:szCs w:val="20"/>
          <w:color w:val="auto"/>
        </w:rPr>
      </w:pPr>
    </w:p>
    <w:p>
      <w:pPr>
        <w:jc w:val="both"/>
        <w:ind w:left="432" w:right="1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gains (losses) recognized in income on the Company’s derivative financial instruments and the line items on the accompanying Consolidated Statements of Operations in which the fair values are reflected for the years ended January 31, 2024, 2023 and 2022 (amounts in thousands):</w:t>
      </w:r>
    </w:p>
    <w:p>
      <w:pPr>
        <w:spacing w:after="0" w:line="172" w:lineRule="exact"/>
        <w:rPr>
          <w:sz w:val="20"/>
          <w:szCs w:val="20"/>
          <w:color w:val="auto"/>
        </w:rPr>
      </w:pPr>
    </w:p>
    <w:tbl>
      <w:tblPr>
        <w:tblLayout w:type="fixed"/>
        <w:tblInd w:w="432" w:type="dxa"/>
        <w:tblCellMar>
          <w:top w:w="0" w:type="dxa"/>
          <w:left w:w="0" w:type="dxa"/>
          <w:bottom w:w="0" w:type="dxa"/>
          <w:right w:w="0" w:type="dxa"/>
        </w:tblCellMar>
      </w:tblPr>
      <w:tr>
        <w:trPr>
          <w:trHeight w:val="229"/>
        </w:trPr>
        <w:tc>
          <w:tcPr>
            <w:tcW w:w="2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820" w:type="dxa"/>
            <w:vAlign w:val="bottom"/>
          </w:tcPr>
          <w:p>
            <w:pPr>
              <w:spacing w:after="0"/>
              <w:rPr>
                <w:sz w:val="19"/>
                <w:szCs w:val="19"/>
                <w:color w:val="auto"/>
              </w:rPr>
            </w:pPr>
          </w:p>
        </w:tc>
      </w:tr>
      <w:tr>
        <w:trPr>
          <w:trHeight w:val="238"/>
        </w:trPr>
        <w:tc>
          <w:tcPr>
            <w:tcW w:w="2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2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(12,714)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bl>
    <w:p>
      <w:pPr>
        <w:spacing w:after="0" w:line="194" w:lineRule="exact"/>
        <w:rPr>
          <w:sz w:val="20"/>
          <w:szCs w:val="20"/>
          <w:color w:val="auto"/>
        </w:rPr>
      </w:pPr>
    </w:p>
    <w:p>
      <w:pPr>
        <w:ind w:left="432" w:hanging="432"/>
        <w:spacing w:after="0"/>
        <w:tabs>
          <w:tab w:leader="none" w:pos="43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9" w:lineRule="exact"/>
        <w:rPr>
          <w:rFonts w:ascii="Times New Roman" w:cs="Times New Roman" w:eastAsia="Times New Roman" w:hAnsi="Times New Roman"/>
          <w:sz w:val="18"/>
          <w:szCs w:val="18"/>
          <w:b w:val="1"/>
          <w:bCs w:val="1"/>
          <w:color w:val="auto"/>
        </w:rPr>
      </w:pPr>
    </w:p>
    <w:p>
      <w:pPr>
        <w:jc w:val="both"/>
        <w:ind w:left="4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the REX American Resources Corporation 2015 Incentive Plan, approved by its shareholders, which reserved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equity awards in its consolidated financial statements over the requisite service period on a straight-line basis. At January 31, 2024, 1,229,116 shares remain available for issuance under the Plan, excluding the impact of the 67,500 restricted stock units that may vest between zero and 135,000 shares of stock depending on certain performance metrics being achieved.</w:t>
      </w:r>
    </w:p>
    <w:p>
      <w:pPr>
        <w:spacing w:after="0" w:line="15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As a component of their compensation, restricted stock has been granted to directors and certain employees at the market price of REX common stock on the date of the grant. In addition, one-quarter (one-third prior to 2022) of executives’ incentive compensation is payable by an award of restricted stock based on the then market price of REX common stock. The Company’s board of directors has determined that the grant date will be June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or the next business day, for all grants of restricted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January 31, 2024 and 2023, unrecognized compensation cost related to nonvested restricted stock was approximately $453,000 and $450,000, related to shares not considered vested for accounting purposes due to retirement eligibility. Based on retirement eligibility provisions, a portion of restricted stock grants are expensed at grant date, based on grant date fair value. At January 31, 2024, 21,778 shares were unvested for accounting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legally non-vested restricted stock award activity for fiscal years 2023, 2022, and 2021:</w:t>
      </w:r>
    </w:p>
    <w:p>
      <w:pPr>
        <w:sectPr>
          <w:pgSz w:w="11900" w:h="16838" w:orient="portrait"/>
          <w:cols w:equalWidth="0" w:num="1">
            <w:col w:w="10800"/>
          </w:cols>
          <w:pgMar w:left="76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Non-Vested at January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Non-Vested at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Non-Vested at January 31,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Non-Vested at January 31, 2023</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-125095</wp:posOffset>
            </wp:positionV>
            <wp:extent cx="6412230" cy="1714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171450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jc w:val="center"/>
              <w:ind w:right="6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Average Remaining</w:t>
            </w: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Non-Vested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VestingTerm</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480" w:type="dxa"/>
            <w:vAlign w:val="bottom"/>
            <w:gridSpan w:val="2"/>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81,264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2,320</w:t>
            </w:r>
          </w:p>
        </w:tc>
        <w:tc>
          <w:tcPr>
            <w:tcW w:w="46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113,726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32,135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896</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453"/>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162,855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5,369</w:t>
            </w:r>
          </w:p>
        </w:tc>
        <w:tc>
          <w:tcPr>
            <w:tcW w:w="46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3"/>
          </w:tcPr>
          <w:p>
            <w:pPr>
              <w:jc w:val="center"/>
              <w:ind w:right="6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Average Remaining</w:t>
            </w: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Non-Vested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VestingTerm</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480" w:type="dxa"/>
            <w:vAlign w:val="bottom"/>
            <w:gridSpan w:val="2"/>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30,167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773</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70,689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19,142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472</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453"/>
        </w:trPr>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81,264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2,320</w:t>
            </w:r>
          </w:p>
        </w:tc>
        <w:tc>
          <w:tcPr>
            <w:tcW w:w="46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-1979295</wp:posOffset>
            </wp:positionV>
            <wp:extent cx="6412230" cy="1714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171450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137160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380" w:space="720"/>
            <w:col w:w="6700"/>
          </w:cols>
          <w:pgMar w:left="760" w:top="117"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center"/>
              <w:ind w:right="6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Remaining</w:t>
            </w:r>
          </w:p>
        </w:tc>
      </w:tr>
      <w:tr>
        <w:trPr>
          <w:trHeight w:val="216"/>
        </w:trPr>
        <w:tc>
          <w:tcPr>
            <w:tcW w:w="454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r>
      <w:tr>
        <w:trPr>
          <w:trHeight w:val="238"/>
        </w:trPr>
        <w:tc>
          <w:tcPr>
            <w:tcW w:w="454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426"/>
        </w:trPr>
        <w:tc>
          <w:tcPr>
            <w:tcW w:w="45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54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Non-Vested at January 31, 2021</w:t>
            </w:r>
          </w:p>
        </w:tc>
        <w:tc>
          <w:tcPr>
            <w:tcW w:w="15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59,102</w:t>
            </w:r>
          </w:p>
        </w:tc>
        <w:tc>
          <w:tcPr>
            <w:tcW w:w="4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E5FFFF"/>
          </w:tcPr>
          <w:p>
            <w:pPr>
              <w:jc w:val="right"/>
              <w:ind w:right="480"/>
              <w:spacing w:after="0"/>
              <w:rPr>
                <w:sz w:val="20"/>
                <w:szCs w:val="20"/>
                <w:color w:val="auto"/>
              </w:rPr>
            </w:pPr>
            <w:r>
              <w:rPr>
                <w:rFonts w:ascii="Times New Roman" w:cs="Times New Roman" w:eastAsia="Times New Roman" w:hAnsi="Times New Roman"/>
                <w:sz w:val="18"/>
                <w:szCs w:val="18"/>
                <w:color w:val="auto"/>
              </w:rPr>
              <w:t>1,398</w:t>
            </w:r>
          </w:p>
        </w:tc>
        <w:tc>
          <w:tcPr>
            <w:tcW w:w="17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275</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29"/>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900</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5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54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Non-Vested at January 31, 2022</w:t>
            </w:r>
          </w:p>
        </w:tc>
        <w:tc>
          <w:tcPr>
            <w:tcW w:w="15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30,167</w:t>
            </w:r>
          </w:p>
        </w:tc>
        <w:tc>
          <w:tcPr>
            <w:tcW w:w="4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E5FFFF"/>
          </w:tcPr>
          <w:p>
            <w:pPr>
              <w:jc w:val="right"/>
              <w:ind w:right="480"/>
              <w:spacing w:after="0"/>
              <w:rPr>
                <w:sz w:val="20"/>
                <w:szCs w:val="20"/>
                <w:color w:val="auto"/>
              </w:rPr>
            </w:pPr>
            <w:r>
              <w:rPr>
                <w:rFonts w:ascii="Times New Roman" w:cs="Times New Roman" w:eastAsia="Times New Roman" w:hAnsi="Times New Roman"/>
                <w:sz w:val="18"/>
                <w:szCs w:val="18"/>
                <w:color w:val="auto"/>
              </w:rPr>
              <w:t>773</w:t>
            </w:r>
          </w:p>
        </w:tc>
        <w:tc>
          <w:tcPr>
            <w:tcW w:w="17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540" w:type="dxa"/>
            <w:vAlign w:val="bottom"/>
            <w:tcBorders>
              <w:top w:val="single" w:sz="8" w:color="E5FF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16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-1868170</wp:posOffset>
            </wp:positionV>
            <wp:extent cx="274320" cy="1851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4320" cy="1851660"/>
                    </a:xfrm>
                    <a:prstGeom prst="rect">
                      <a:avLst/>
                    </a:prstGeom>
                    <a:noFill/>
                  </pic:spPr>
                </pic:pic>
              </a:graphicData>
            </a:graphic>
          </wp:anchor>
        </w:drawing>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In May 2022, the Company issued a total of 67,500 RSUs to certain officers. The number of RSUs eligible to vest will be determined based on how the Company’s TSR compares to the TSR of companies that comprise the Russell 2000 Index during the three-year performance period ending December 31, 2024. The number of RSUs eligible to vest ranges from zero percent to two hundred percent, depending on actual performance during the performance period. At grant date, the fair value of the RSUs was approximately $2.7 million based on a Monte-Carlo simulation model.</w:t>
      </w:r>
    </w:p>
    <w:p>
      <w:pPr>
        <w:spacing w:after="0" w:line="180"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For the years ended January 31, 2024 and 2023, the Company recognized compensation cost of approximately $1.1 million and $0.7 million, respectively, related to RSUs. Unrecognized compensation cost related to nonvested RSUs was approximately $0.9 million and $2.0 million at January 31, 2024 and 2023, respectively.</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determined there to be no dilutive impact on earnings per shares for January 31, 2023 and 2022. At January 31, 2024, we calculated the diluted weighted average shares as follows (amounts in thousands):</w:t>
      </w:r>
    </w:p>
    <w:p>
      <w:pPr>
        <w:sectPr>
          <w:pgSz w:w="11900" w:h="16838" w:orient="portrait"/>
          <w:cols w:equalWidth="0" w:num="1">
            <w:col w:w="11240"/>
          </w:cols>
          <w:pgMar w:left="320" w:top="131" w:right="339" w:bottom="1440" w:gutter="0" w:footer="0" w:header="0"/>
        </w:sectPr>
      </w:pP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Weighted average shares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277360" cy="445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77360" cy="44577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Dilutive effect of RSUs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Weighted average shares - diluted</w:t>
      </w:r>
    </w:p>
    <w:p>
      <w:pPr>
        <w:spacing w:after="0" w:line="295"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18"/>
          <w:szCs w:val="18"/>
          <w:color w:val="auto"/>
        </w:rPr>
        <w:t>17,482</w:t>
      </w:r>
    </w:p>
    <w:p>
      <w:pPr>
        <w:spacing w:after="0" w:line="27"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18"/>
          <w:szCs w:val="18"/>
          <w:color w:val="auto"/>
        </w:rPr>
        <w:t>94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34290</wp:posOffset>
            </wp:positionV>
            <wp:extent cx="4540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5480" w:space="720"/>
            <w:col w:w="5040"/>
          </w:cols>
          <w:pgMar w:left="320" w:top="131" w:right="339" w:bottom="1440" w:gutter="0" w:footer="0" w:header="0"/>
          <w:type w:val="continuous"/>
        </w:sectPr>
      </w:pPr>
    </w:p>
    <w:p>
      <w:pPr>
        <w:spacing w:after="0" w:line="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At January 31, 2024, One Earth and NuGen had combined forward purchase contracts for approximately 17.4 million bushels of corn, the principal raw material for their ethanol plants and they had combined forward purchase contracts for approximately 1.9 MmBtu of natural gas.</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At January 31, 2024, One Earth and NuGen had combined sales commitments for approximately 52.7 million gallons of ethanol, 120,000 tons of distillers grains and 14.9 million pounds of distillers corn oil.</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At January 31, 2024, One Earth had signed contracts in place for capital projects of approximately $34.9 million, primarily related to its carbon capture and sequestration project and plant expansion.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6" w:name="page57"/>
    <w:bookmarkEnd w:id="56"/>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One Earth has entered into a 10-year agreement in 2009 with an unrelated party for the use of a portion of that party’s natural gas pipeline. A new 15-year agreement, with monthly payments of $29,250 was effective February 1, 2019. One Earth paid approximately $351,000 in fiscal years 2023, 2022, and 2021 pursuant to the agreement.</w:t>
      </w:r>
    </w:p>
    <w:p>
      <w:pPr>
        <w:spacing w:after="0" w:line="176"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One Earth and NuGen each have a contract with an unrelated party (“Distillers Grains Marketers”) for distillers grains marketing services. Under the terms of the contracts, the Distillers Grains Marketers will purchase all of One Earth’s and NuGen’s distillers grains production during the term of the contracts. The contracts call for One Earth and NuGen to pay a fee per ton of distillers grains sold for the Distillers Grains Marketers’ services. The terms of the agreements are for one year and renew automatically for additional one-year terms, unless either party sends notice to the other party of its intent to terminate the agreement at least 90 days prior to the expiration of the then current term of the agreement. One Earth and NuGen combined incurred fees of approximately $1,199,000, $1,159,000, and $1,190,000 in fiscal years 2023, 2022, and 2021, respectively, for these marketing services.</w:t>
      </w:r>
    </w:p>
    <w:p>
      <w:pPr>
        <w:spacing w:after="0" w:line="18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refined coal entity had various agreements (site license, operating agreements, etc.) containing payment terms based upon production of refined coal under which the Company was required to pay various fees. These fees totaled approximately $5,404,000 in fiscal year 2021.</w:t>
      </w:r>
    </w:p>
    <w:p>
      <w:pPr>
        <w:spacing w:after="0" w:line="158"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fiscal years 2023, 2022, and 2021 consist of the following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Current</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4,485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E5FFFF"/>
          </w:tcPr>
          <w:p>
            <w:pPr>
              <w:ind w:left="620"/>
              <w:spacing w:after="0"/>
              <w:rPr>
                <w:sz w:val="20"/>
                <w:szCs w:val="20"/>
                <w:color w:val="auto"/>
              </w:rPr>
            </w:pPr>
            <w:r>
              <w:rPr>
                <w:rFonts w:ascii="Times New Roman" w:cs="Times New Roman" w:eastAsia="Times New Roman" w:hAnsi="Times New Roman"/>
                <w:sz w:val="18"/>
                <w:szCs w:val="18"/>
                <w:color w:val="auto"/>
              </w:rPr>
              <w:t>Deferred</w:t>
            </w:r>
          </w:p>
        </w:tc>
        <w:tc>
          <w:tcPr>
            <w:tcW w:w="180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2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48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80" w:type="dxa"/>
            <w:vAlign w:val="bottom"/>
            <w:shd w:val="clear" w:color="auto" w:fill="E5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18,682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7,410</w:t>
            </w:r>
          </w:p>
        </w:tc>
        <w:tc>
          <w:tcPr>
            <w:tcW w:w="2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16,514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State and Local:</w:t>
            </w:r>
          </w:p>
        </w:tc>
        <w:tc>
          <w:tcPr>
            <w:tcW w:w="18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4,167</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E5FFFF"/>
          </w:tcPr>
          <w:p>
            <w:pPr>
              <w:ind w:left="620"/>
              <w:spacing w:after="0"/>
              <w:rPr>
                <w:sz w:val="20"/>
                <w:szCs w:val="20"/>
                <w:color w:val="auto"/>
              </w:rPr>
            </w:pPr>
            <w:r>
              <w:rPr>
                <w:rFonts w:ascii="Times New Roman" w:cs="Times New Roman" w:eastAsia="Times New Roman" w:hAnsi="Times New Roman"/>
                <w:sz w:val="18"/>
                <w:szCs w:val="18"/>
                <w:color w:val="auto"/>
              </w:rPr>
              <w:t>Deferred</w:t>
            </w:r>
          </w:p>
        </w:tc>
        <w:tc>
          <w:tcPr>
            <w:tcW w:w="18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(2,035)</w:t>
            </w:r>
          </w:p>
        </w:tc>
        <w:tc>
          <w:tcPr>
            <w:tcW w:w="22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4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22,560</w:t>
            </w:r>
          </w:p>
        </w:tc>
        <w:tc>
          <w:tcPr>
            <w:tcW w:w="4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5FFFF"/>
          </w:tcPr>
          <w:p>
            <w:pPr>
              <w:jc w:val="right"/>
              <w:ind w:right="480"/>
              <w:spacing w:after="0"/>
              <w:rPr>
                <w:sz w:val="20"/>
                <w:szCs w:val="20"/>
                <w:color w:val="auto"/>
              </w:rPr>
            </w:pPr>
            <w:r>
              <w:rPr>
                <w:rFonts w:ascii="Times New Roman" w:cs="Times New Roman" w:eastAsia="Times New Roman" w:hAnsi="Times New Roman"/>
                <w:sz w:val="18"/>
                <w:szCs w:val="18"/>
                <w:color w:val="auto"/>
              </w:rPr>
              <w:t>9,542</w:t>
            </w:r>
          </w:p>
        </w:tc>
        <w:tc>
          <w:tcPr>
            <w:tcW w:w="220" w:type="dxa"/>
            <w:vAlign w:val="bottom"/>
            <w:shd w:val="clear" w:color="auto" w:fill="E5FF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19,031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E5FFFF"/>
            </w:tcBorders>
          </w:tcPr>
          <w:p>
            <w:pPr>
              <w:spacing w:after="0" w:line="20" w:lineRule="exact"/>
              <w:rPr>
                <w:sz w:val="1"/>
                <w:szCs w:val="1"/>
                <w:color w:val="auto"/>
              </w:rPr>
            </w:pPr>
          </w:p>
        </w:tc>
        <w:tc>
          <w:tcPr>
            <w:tcW w:w="1800" w:type="dxa"/>
            <w:vAlign w:val="bottom"/>
            <w:tcBorders>
              <w:top w:val="single" w:sz="8" w:color="E5FFFF"/>
              <w:bottom w:val="single" w:sz="8" w:color="E5FF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0C0C0"/>
            </w:tcBorders>
          </w:tcPr>
          <w:p>
            <w:pPr>
              <w:spacing w:after="0"/>
              <w:rPr>
                <w:sz w:val="21"/>
                <w:szCs w:val="21"/>
                <w:color w:val="auto"/>
              </w:rPr>
            </w:pPr>
          </w:p>
        </w:tc>
        <w:tc>
          <w:tcPr>
            <w:tcW w:w="180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-2605405</wp:posOffset>
            </wp:positionV>
            <wp:extent cx="274320" cy="2168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4320" cy="21685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deferred tax assets and liabilities are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5880" w:type="dxa"/>
            <w:vAlign w:val="bottom"/>
            <w:tcBorders>
              <w:bottom w:val="single" w:sz="8" w:color="E5FFFF"/>
            </w:tcBorders>
          </w:tcPr>
          <w:p>
            <w:pPr>
              <w:spacing w:after="0"/>
              <w:rPr>
                <w:sz w:val="20"/>
                <w:szCs w:val="20"/>
                <w:color w:val="auto"/>
              </w:rPr>
            </w:pPr>
          </w:p>
        </w:tc>
        <w:tc>
          <w:tcPr>
            <w:tcW w:w="146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E5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E5FFFF"/>
            </w:tcBorders>
          </w:tcPr>
          <w:p>
            <w:pPr>
              <w:spacing w:after="0"/>
              <w:rPr>
                <w:sz w:val="20"/>
                <w:szCs w:val="20"/>
                <w:color w:val="auto"/>
              </w:rPr>
            </w:pPr>
          </w:p>
        </w:tc>
        <w:tc>
          <w:tcPr>
            <w:tcW w:w="60" w:type="dxa"/>
            <w:vAlign w:val="bottom"/>
            <w:tcBorders>
              <w:bottom w:val="single" w:sz="8" w:color="E5FFFF"/>
            </w:tcBorders>
          </w:tcPr>
          <w:p>
            <w:pPr>
              <w:spacing w:after="0"/>
              <w:rPr>
                <w:sz w:val="20"/>
                <w:szCs w:val="20"/>
                <w:color w:val="auto"/>
              </w:rPr>
            </w:pPr>
          </w:p>
        </w:tc>
      </w:tr>
      <w:tr>
        <w:trPr>
          <w:trHeight w:val="209"/>
        </w:trPr>
        <w:tc>
          <w:tcPr>
            <w:tcW w:w="588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Assets:</w:t>
            </w:r>
          </w:p>
        </w:tc>
        <w:tc>
          <w:tcPr>
            <w:tcW w:w="1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r>
      <w:tr>
        <w:trPr>
          <w:trHeight w:val="216"/>
        </w:trPr>
        <w:tc>
          <w:tcPr>
            <w:tcW w:w="5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12,296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26,061</w:t>
            </w:r>
          </w:p>
        </w:tc>
        <w:tc>
          <w:tcPr>
            <w:tcW w:w="60" w:type="dxa"/>
            <w:vAlign w:val="bottom"/>
          </w:tcPr>
          <w:p>
            <w:pPr>
              <w:spacing w:after="0"/>
              <w:rPr>
                <w:sz w:val="18"/>
                <w:szCs w:val="18"/>
                <w:color w:val="auto"/>
              </w:rPr>
            </w:pPr>
          </w:p>
        </w:tc>
      </w:tr>
      <w:tr>
        <w:trPr>
          <w:trHeight w:val="216"/>
        </w:trPr>
        <w:tc>
          <w:tcPr>
            <w:tcW w:w="5880" w:type="dxa"/>
            <w:vAlign w:val="bottom"/>
            <w:shd w:val="clear" w:color="auto" w:fill="E5FFFF"/>
          </w:tcPr>
          <w:p>
            <w:pPr>
              <w:ind w:left="620"/>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401"/>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0" w:type="dxa"/>
            <w:vAlign w:val="bottom"/>
            <w:shd w:val="clear" w:color="auto" w:fill="E5FFFF"/>
          </w:tcPr>
          <w:p>
            <w:pPr>
              <w:spacing w:after="0"/>
              <w:rPr>
                <w:sz w:val="18"/>
                <w:szCs w:val="18"/>
                <w:color w:val="auto"/>
              </w:rPr>
            </w:pPr>
          </w:p>
        </w:tc>
      </w:tr>
      <w:tr>
        <w:trPr>
          <w:trHeight w:val="216"/>
        </w:trPr>
        <w:tc>
          <w:tcPr>
            <w:tcW w:w="5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State net operating loss carryforward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18"/>
                <w:szCs w:val="18"/>
                <w:color w:val="auto"/>
              </w:rPr>
            </w:pPr>
          </w:p>
        </w:tc>
      </w:tr>
      <w:tr>
        <w:trPr>
          <w:trHeight w:val="216"/>
        </w:trPr>
        <w:tc>
          <w:tcPr>
            <w:tcW w:w="5880" w:type="dxa"/>
            <w:vAlign w:val="bottom"/>
            <w:shd w:val="clear" w:color="auto" w:fill="E5FFFF"/>
          </w:tcPr>
          <w:p>
            <w:pPr>
              <w:ind w:left="620"/>
              <w:spacing w:after="0"/>
              <w:rPr>
                <w:sz w:val="20"/>
                <w:szCs w:val="20"/>
                <w:color w:val="auto"/>
              </w:rPr>
            </w:pPr>
            <w:r>
              <w:rPr>
                <w:rFonts w:ascii="Times New Roman" w:cs="Times New Roman" w:eastAsia="Times New Roman" w:hAnsi="Times New Roman"/>
                <w:sz w:val="18"/>
                <w:szCs w:val="18"/>
                <w:color w:val="auto"/>
              </w:rPr>
              <w:t>Other items</w:t>
            </w:r>
          </w:p>
        </w:tc>
        <w:tc>
          <w:tcPr>
            <w:tcW w:w="1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401"/>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E5FFFF"/>
          </w:tcPr>
          <w:p>
            <w:pPr>
              <w:spacing w:after="0"/>
              <w:rPr>
                <w:sz w:val="18"/>
                <w:szCs w:val="18"/>
                <w:color w:val="auto"/>
              </w:rPr>
            </w:pPr>
          </w:p>
        </w:tc>
      </w:tr>
      <w:tr>
        <w:trPr>
          <w:trHeight w:val="229"/>
        </w:trPr>
        <w:tc>
          <w:tcPr>
            <w:tcW w:w="5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Valuation allowance</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r>
      <w:tr>
        <w:trPr>
          <w:trHeight w:val="210"/>
        </w:trPr>
        <w:tc>
          <w:tcPr>
            <w:tcW w:w="5880" w:type="dxa"/>
            <w:vAlign w:val="bottom"/>
            <w:tcBorders>
              <w:top w:val="single" w:sz="8" w:color="E5FFFF"/>
            </w:tcBorders>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480" w:type="dxa"/>
            <w:vAlign w:val="bottom"/>
            <w:tcBorders>
              <w:top w:val="single" w:sz="8" w:color="E5FFFF"/>
            </w:tcBorders>
            <w:shd w:val="clear" w:color="auto" w:fill="E5FFFF"/>
          </w:tcPr>
          <w:p>
            <w:pPr>
              <w:spacing w:after="0"/>
              <w:rPr>
                <w:sz w:val="18"/>
                <w:szCs w:val="18"/>
                <w:color w:val="auto"/>
              </w:rPr>
            </w:pPr>
          </w:p>
        </w:tc>
        <w:tc>
          <w:tcPr>
            <w:tcW w:w="28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2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r>
      <w:tr>
        <w:trPr>
          <w:trHeight w:val="425"/>
        </w:trPr>
        <w:tc>
          <w:tcPr>
            <w:tcW w:w="5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880" w:type="dxa"/>
            <w:vAlign w:val="bottom"/>
            <w:shd w:val="clear" w:color="auto" w:fill="E5FFFF"/>
          </w:tcPr>
          <w:p>
            <w:pPr>
              <w:ind w:left="620"/>
              <w:spacing w:after="0"/>
              <w:rPr>
                <w:sz w:val="20"/>
                <w:szCs w:val="20"/>
                <w:color w:val="auto"/>
              </w:rPr>
            </w:pPr>
            <w:r>
              <w:rPr>
                <w:rFonts w:ascii="Times New Roman" w:cs="Times New Roman" w:eastAsia="Times New Roman" w:hAnsi="Times New Roman"/>
                <w:sz w:val="18"/>
                <w:szCs w:val="18"/>
                <w:color w:val="auto"/>
              </w:rPr>
              <w:t>Basis in pass through entities, including depreciation</w:t>
            </w:r>
          </w:p>
        </w:tc>
        <w:tc>
          <w:tcPr>
            <w:tcW w:w="1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341"/>
              <w:spacing w:after="0"/>
              <w:rPr>
                <w:sz w:val="20"/>
                <w:szCs w:val="20"/>
                <w:color w:val="auto"/>
              </w:rPr>
            </w:pPr>
            <w:r>
              <w:rPr>
                <w:rFonts w:ascii="Times New Roman" w:cs="Times New Roman" w:eastAsia="Times New Roman" w:hAnsi="Times New Roman"/>
                <w:sz w:val="18"/>
                <w:szCs w:val="18"/>
                <w:color w:val="auto"/>
              </w:rPr>
              <w:t>(6,334)</w:t>
            </w:r>
          </w:p>
        </w:tc>
        <w:tc>
          <w:tcPr>
            <w:tcW w:w="28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(5,821)</w:t>
            </w:r>
          </w:p>
        </w:tc>
      </w:tr>
      <w:tr>
        <w:trPr>
          <w:trHeight w:val="230"/>
        </w:trPr>
        <w:tc>
          <w:tcPr>
            <w:tcW w:w="5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09"/>
        </w:trPr>
        <w:tc>
          <w:tcPr>
            <w:tcW w:w="5880" w:type="dxa"/>
            <w:vAlign w:val="bottom"/>
            <w:tcBorders>
              <w:top w:val="single" w:sz="8" w:color="E5FFFF"/>
            </w:tcBorders>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480" w:type="dxa"/>
            <w:vAlign w:val="bottom"/>
            <w:tcBorders>
              <w:top w:val="single" w:sz="8" w:color="E5FFFF"/>
            </w:tcBorders>
            <w:shd w:val="clear" w:color="auto" w:fill="E5FF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80" w:type="dxa"/>
            <w:vAlign w:val="bottom"/>
            <w:tcBorders>
              <w:top w:val="single" w:sz="8" w:color="E5FFFF"/>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453"/>
        </w:trPr>
        <w:tc>
          <w:tcPr>
            <w:tcW w:w="5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deferred tax asset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6,239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60" w:type="dxa"/>
            <w:vAlign w:val="bottom"/>
          </w:tcPr>
          <w:p>
            <w:pPr>
              <w:spacing w:after="0"/>
              <w:rPr>
                <w:sz w:val="24"/>
                <w:szCs w:val="24"/>
                <w:color w:val="auto"/>
              </w:rPr>
            </w:pPr>
          </w:p>
        </w:tc>
      </w:tr>
      <w:tr>
        <w:trPr>
          <w:trHeight w:val="20"/>
        </w:trPr>
        <w:tc>
          <w:tcPr>
            <w:tcW w:w="5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-2305685</wp:posOffset>
            </wp:positionV>
            <wp:extent cx="274320" cy="22885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4320" cy="2288540"/>
                    </a:xfrm>
                    <a:prstGeom prst="rect">
                      <a:avLst/>
                    </a:prstGeom>
                    <a:noFill/>
                  </pic:spPr>
                </pic:pic>
              </a:graphicData>
            </a:graphic>
          </wp:anchor>
        </w:drawing>
      </w:r>
    </w:p>
    <w:p>
      <w:pPr>
        <w:spacing w:after="0" w:line="178"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The net deferred tax asset is reported on the accompanying Consolidated Balance Sheets based on net position by tax jurisdiction, with federal positions recorded as net assets and state positions recorded as net liabilities. At January 31, 2024 and 2023, respectively, approximately $7.8 million and $22.0 million are recorded as assets on the Consolidated Balance Sheets within “Other assets” and $1.6 million and $1.1 million are recorded as liabilities on the accompanying Consolidated Balance Sheets within “Deferred taxes”.</w:t>
      </w:r>
    </w:p>
    <w:p>
      <w:pPr>
        <w:spacing w:after="0" w:line="180" w:lineRule="exact"/>
        <w:rPr>
          <w:sz w:val="20"/>
          <w:szCs w:val="20"/>
          <w:color w:val="auto"/>
        </w:rPr>
      </w:pPr>
    </w:p>
    <w:p>
      <w:pPr>
        <w:ind w:left="440" w:right="440"/>
        <w:spacing w:after="0" w:line="312" w:lineRule="auto"/>
        <w:rPr>
          <w:sz w:val="20"/>
          <w:szCs w:val="20"/>
          <w:color w:val="auto"/>
        </w:rPr>
      </w:pPr>
      <w:r>
        <w:rPr>
          <w:rFonts w:ascii="Times New Roman" w:cs="Times New Roman" w:eastAsia="Times New Roman" w:hAnsi="Times New Roman"/>
          <w:sz w:val="17"/>
          <w:szCs w:val="17"/>
          <w:color w:val="auto"/>
        </w:rPr>
        <w:t>The Company has a general business credit carryforward of approximately $12.3 million and $26.1 million at January 31, 2024 and 2023, respectively. The Company can carry these credits forward for up to twenty years. The carryforward period begins to expire in fiscal year 2039.</w:t>
      </w:r>
    </w:p>
    <w:p>
      <w:pPr>
        <w:spacing w:after="0" w:line="140" w:lineRule="exact"/>
        <w:rPr>
          <w:sz w:val="20"/>
          <w:szCs w:val="20"/>
          <w:color w:val="auto"/>
        </w:rPr>
      </w:pPr>
    </w:p>
    <w:p>
      <w:pPr>
        <w:jc w:val="both"/>
        <w:ind w:left="440" w:right="280"/>
        <w:spacing w:after="0" w:line="266" w:lineRule="auto"/>
        <w:rPr>
          <w:sz w:val="20"/>
          <w:szCs w:val="20"/>
          <w:color w:val="auto"/>
        </w:rPr>
      </w:pPr>
      <w:r>
        <w:rPr>
          <w:rFonts w:ascii="Times New Roman" w:cs="Times New Roman" w:eastAsia="Times New Roman" w:hAnsi="Times New Roman"/>
          <w:sz w:val="18"/>
          <w:szCs w:val="18"/>
          <w:color w:val="auto"/>
        </w:rPr>
        <w:t>The Company has a valuation allowance of approximately $160,000 and $192,000 at January 31, 2024 and 2023, respectively, related to state net operating loss carryforwards. The Company decreased the valuation allowance by $32,000 in fiscal year 2023. These adjustments to the valuation allowance are a result of estimates of realizing certain future state tax benefits.</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176" w:lineRule="exact"/>
        <w:rPr>
          <w:sz w:val="20"/>
          <w:szCs w:val="20"/>
          <w:color w:val="auto"/>
        </w:rPr>
      </w:pPr>
    </w:p>
    <w:p>
      <w:pPr>
        <w:ind w:left="440" w:right="360"/>
        <w:spacing w:after="0" w:line="266" w:lineRule="auto"/>
        <w:rPr>
          <w:sz w:val="20"/>
          <w:szCs w:val="20"/>
          <w:color w:val="auto"/>
        </w:rPr>
      </w:pPr>
      <w:r>
        <w:rPr>
          <w:rFonts w:ascii="Times New Roman" w:cs="Times New Roman" w:eastAsia="Times New Roman" w:hAnsi="Times New Roman"/>
          <w:sz w:val="18"/>
          <w:szCs w:val="18"/>
          <w:color w:val="auto"/>
        </w:rPr>
        <w:t>Through its refined coal operation, the Company earned production tax credits pursuant to IRC Section 45. The Company ceased operation of its refined coal business on November 18, 2021. The credits can be used to reduce future income tax liabilities for up to 20 years. These credits increased the income tax benefit from discontinued operations by approximately $11.3 million during fiscal year 2021.</w:t>
      </w:r>
    </w:p>
    <w:p>
      <w:pPr>
        <w:spacing w:after="0" w:line="176"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During fiscal years 2022 and 2021, the Company recognized an income tax benefit (provision) for federal and state research and experimentation credits (net of uncertain tax position expense) of approximately $0.4 million and $(3.0) million, respectively. The credits can be used to reduce future income tax liabilities for up to 20 years.</w:t>
      </w:r>
    </w:p>
    <w:p>
      <w:pPr>
        <w:spacing w:after="0" w:line="176"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 Company paid income taxes of approximately $12,730,000, $2,795,000, and $7,239,0000 in fiscal years 2023, 2022, and 2021, respectively. The Company did not receive any refunds in fiscal years 2023, 2022 and 2021.</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Reconciliations of the federal statutory tax and the Company’s income tax expense for fiscal years 2023, 2022, and 2021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220" w:type="dxa"/>
            <w:vAlign w:val="bottom"/>
            <w:shd w:val="clear" w:color="auto" w:fill="E5FF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8"/>
                <w:szCs w:val="18"/>
                <w:color w:val="auto"/>
              </w:rPr>
              <w:t>20,682</w:t>
            </w:r>
          </w:p>
        </w:tc>
        <w:tc>
          <w:tcPr>
            <w:tcW w:w="44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5FFFF"/>
          </w:tcPr>
          <w:p>
            <w:pPr>
              <w:jc w:val="right"/>
              <w:ind w:right="480"/>
              <w:spacing w:after="0"/>
              <w:rPr>
                <w:sz w:val="20"/>
                <w:szCs w:val="20"/>
                <w:color w:val="auto"/>
              </w:rPr>
            </w:pPr>
            <w:r>
              <w:rPr>
                <w:rFonts w:ascii="Times New Roman" w:cs="Times New Roman" w:eastAsia="Times New Roman" w:hAnsi="Times New Roman"/>
                <w:sz w:val="18"/>
                <w:szCs w:val="18"/>
                <w:color w:val="auto"/>
              </w:rPr>
              <w:t>9,971</w:t>
            </w:r>
          </w:p>
        </w:tc>
        <w:tc>
          <w:tcPr>
            <w:tcW w:w="220" w:type="dxa"/>
            <w:vAlign w:val="bottom"/>
            <w:shd w:val="clear" w:color="auto" w:fill="E5FF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Research and experimentation credits</w:t>
            </w:r>
          </w:p>
        </w:tc>
        <w:tc>
          <w:tcPr>
            <w:tcW w:w="2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(2,542)</w:t>
            </w:r>
          </w:p>
        </w:tc>
        <w:tc>
          <w:tcPr>
            <w:tcW w:w="22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Nondeductibe compensation expense</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Uncertain tax positions</w:t>
            </w:r>
          </w:p>
        </w:tc>
        <w:tc>
          <w:tcPr>
            <w:tcW w:w="2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480"/>
              <w:spacing w:after="0"/>
              <w:rPr>
                <w:sz w:val="20"/>
                <w:szCs w:val="20"/>
                <w:color w:val="auto"/>
              </w:rPr>
            </w:pPr>
            <w:r>
              <w:rPr>
                <w:rFonts w:ascii="Times New Roman" w:cs="Times New Roman" w:eastAsia="Times New Roman" w:hAnsi="Times New Roman"/>
                <w:sz w:val="18"/>
                <w:szCs w:val="18"/>
                <w:color w:val="auto"/>
              </w:rPr>
              <w:t>2,281</w:t>
            </w: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30"/>
        </w:trPr>
        <w:tc>
          <w:tcPr>
            <w:tcW w:w="576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760" w:type="dxa"/>
            <w:vAlign w:val="bottom"/>
            <w:vMerge w:val="continue"/>
          </w:tcPr>
          <w:p>
            <w:pPr>
              <w:spacing w:after="0"/>
              <w:rPr>
                <w:sz w:val="24"/>
                <w:szCs w:val="24"/>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9,542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-1585595</wp:posOffset>
            </wp:positionV>
            <wp:extent cx="274320" cy="1569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4320" cy="1569085"/>
                    </a:xfrm>
                    <a:prstGeom prst="rect">
                      <a:avLst/>
                    </a:prstGeom>
                    <a:noFill/>
                  </pic:spPr>
                </pic:pic>
              </a:graphicData>
            </a:graphic>
          </wp:anchor>
        </w:drawing>
      </w:r>
    </w:p>
    <w:p>
      <w:pPr>
        <w:spacing w:after="0" w:line="17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In general, the Company is no longer subject to U.S. federal, state or local income tax examinations by tax authorities for fiscal years ended January 31, 2014 and prior. The Company is currently undergoing a federal income tax examination for the years ended January 31, 2015 through January 31, 2022 related to tax credits claimed on returns during those years.</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applies the provisions of ASC 740-10-25-5 for uncertain tax positions. As of January 31, 2024, total unrecognized tax benefits were approximately $18,895,000, and accrued penalties and interest were approximately $70,000. If the Company were to prevail on all unrecognized tax benefits recorded, the provision for income taxes would be reduced by approximately $18,812,000. In addition, the impact of penalties and interest would also benefit the effective tax rate. Interest and penalties associated with unrecognized tax benefits are recorded within income tax expense.</w:t>
      </w:r>
    </w:p>
    <w:p>
      <w:pPr>
        <w:spacing w:after="0" w:line="180"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The Company accounts for uncertainty in income taxes by determining whether it is more likely than not the position will be sustained on audit, including resolution of any related tax audits. A reconciliation of the beginning and ending amount of unrecognized tax benefits, including interest and penalties, is as follows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4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40" w:type="dxa"/>
            <w:vAlign w:val="bottom"/>
          </w:tcPr>
          <w:p>
            <w:pPr>
              <w:spacing w:after="0"/>
              <w:rPr>
                <w:sz w:val="20"/>
                <w:szCs w:val="20"/>
                <w:color w:val="auto"/>
              </w:rPr>
            </w:pPr>
          </w:p>
        </w:tc>
      </w:tr>
      <w:tr>
        <w:trPr>
          <w:trHeight w:val="210"/>
        </w:trPr>
        <w:tc>
          <w:tcPr>
            <w:tcW w:w="4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4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6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19,088</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40" w:type="dxa"/>
            <w:vAlign w:val="bottom"/>
            <w:shd w:val="clear" w:color="auto" w:fill="E5FFFF"/>
          </w:tcPr>
          <w:p>
            <w:pPr>
              <w:spacing w:after="0"/>
              <w:rPr>
                <w:sz w:val="18"/>
                <w:szCs w:val="18"/>
                <w:color w:val="auto"/>
              </w:rPr>
            </w:pPr>
          </w:p>
        </w:tc>
      </w:tr>
      <w:tr>
        <w:trPr>
          <w:trHeight w:val="216"/>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for tax positions for prior years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8"/>
                <w:szCs w:val="18"/>
                <w:color w:val="auto"/>
              </w:rPr>
            </w:pPr>
          </w:p>
        </w:tc>
      </w:tr>
      <w:tr>
        <w:trPr>
          <w:trHeight w:val="230"/>
        </w:trPr>
        <w:tc>
          <w:tcPr>
            <w:tcW w:w="4140" w:type="dxa"/>
            <w:vAlign w:val="bottom"/>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Changes for tax positions for current year</w:t>
            </w:r>
          </w:p>
        </w:tc>
        <w:tc>
          <w:tcPr>
            <w:tcW w:w="4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04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E5FFFF"/>
          </w:tcPr>
          <w:p>
            <w:pPr>
              <w:spacing w:after="0"/>
              <w:rPr>
                <w:sz w:val="19"/>
                <w:szCs w:val="19"/>
                <w:color w:val="auto"/>
              </w:rPr>
            </w:pP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40" w:type="dxa"/>
            <w:vAlign w:val="bottom"/>
            <w:shd w:val="clear" w:color="auto" w:fill="E5FFFF"/>
          </w:tcPr>
          <w:p>
            <w:pPr>
              <w:spacing w:after="0"/>
              <w:rPr>
                <w:sz w:val="19"/>
                <w:szCs w:val="19"/>
                <w:color w:val="auto"/>
              </w:rPr>
            </w:pPr>
          </w:p>
        </w:tc>
      </w:tr>
      <w:tr>
        <w:trPr>
          <w:trHeight w:val="453"/>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44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3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19,088</w:t>
            </w:r>
          </w:p>
        </w:tc>
        <w:tc>
          <w:tcPr>
            <w:tcW w:w="40" w:type="dxa"/>
            <w:vAlign w:val="bottom"/>
          </w:tcPr>
          <w:p>
            <w:pPr>
              <w:spacing w:after="0"/>
              <w:rPr>
                <w:sz w:val="24"/>
                <w:szCs w:val="24"/>
                <w:color w:val="auto"/>
              </w:rPr>
            </w:pPr>
          </w:p>
        </w:tc>
      </w:tr>
      <w:tr>
        <w:trPr>
          <w:trHeight w:val="20"/>
        </w:trPr>
        <w:tc>
          <w:tcPr>
            <w:tcW w:w="4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274320" cy="1156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 cy="1156970"/>
                    </a:xfrm>
                    <a:prstGeom prst="rect">
                      <a:avLst/>
                    </a:prstGeom>
                    <a:noFill/>
                  </pic:spPr>
                </pic:pic>
              </a:graphicData>
            </a:graphic>
          </wp:anchor>
        </w:drawing>
      </w:r>
    </w:p>
    <w:p>
      <w:pPr>
        <w:spacing w:after="0" w:line="17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At January 31, 2024 and 2023, approximately $16.4 million of the unrecognized tax benefits balance was recorded on the accompanying Consolidated Balance Sheets within “Other assets” and $0.6 million was recorded within “Other long-term liabilities”. At January 31, 2024 and 2023, respectively, approximately $2.0 million and $2.1 million of the unrecognized tax benefits balance was recorded on the accompanying Consolidated Balance Sheets within “Refundable income taxes”.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440" w:hanging="432"/>
        <w:spacing w:after="0"/>
        <w:tabs>
          <w:tab w:leader="none" w:pos="4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involved in various legal actions arising in the normal course of business. After taking into consideration legal counsels’ evaluation of such actions, management is of the opinion that their outcome will not have a material effect on the Company’s consolidated financial statements. There were no liabilities recorded at January 31, 2024 as the Company did not believe that there was a probable and reasonably estimable loss associated with any legal contingencies.</w:t>
      </w:r>
    </w:p>
    <w:p>
      <w:pPr>
        <w:spacing w:after="0" w:line="175"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rFonts w:ascii="Times New Roman" w:cs="Times New Roman" w:eastAsia="Times New Roman" w:hAnsi="Times New Roman"/>
          <w:sz w:val="18"/>
          <w:szCs w:val="18"/>
          <w:b w:val="1"/>
          <w:bCs w:val="1"/>
          <w:color w:val="auto"/>
        </w:rPr>
      </w:pPr>
    </w:p>
    <w:p>
      <w:pPr>
        <w:jc w:val="both"/>
        <w:ind w:left="4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18, 2021, the Company ceased operation of its refined coal business as tax credits could no longer be earned on its operation. Beginning in the third quarter of fiscal year 2021, the results of the operations of the refined coal business have been recognized as discontinued operations. There were no amounts reclassified as discontinued operations in fiscal years 2023 and 2022.</w:t>
      </w:r>
    </w:p>
    <w:p>
      <w:pPr>
        <w:spacing w:after="0" w:line="175"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 is a table reflecting certain items of the Consolidated Condensed Statement of Operations that were reclassified as discontinued operations for fiscal year 2021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r>
      <w:tr>
        <w:trPr>
          <w:trHeight w:val="209"/>
        </w:trPr>
        <w:tc>
          <w:tcPr>
            <w:tcW w:w="6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6920" w:type="dxa"/>
            <w:vAlign w:val="bottom"/>
            <w:shd w:val="clear" w:color="auto" w:fill="E5FFFF"/>
          </w:tcPr>
          <w:p>
            <w:pPr>
              <w:ind w:left="440"/>
              <w:spacing w:after="0" w:line="256" w:lineRule="exact"/>
              <w:rPr>
                <w:sz w:val="20"/>
                <w:szCs w:val="20"/>
                <w:color w:val="auto"/>
              </w:rPr>
            </w:pPr>
            <w:r>
              <w:rPr>
                <w:rFonts w:ascii="Times New Roman" w:cs="Times New Roman" w:eastAsia="Times New Roman" w:hAnsi="Times New Roman"/>
                <w:sz w:val="18"/>
                <w:szCs w:val="18"/>
                <w:color w:val="auto"/>
              </w:rPr>
              <w:t>Net sales and revenue</w:t>
            </w:r>
            <w:r>
              <w:rPr>
                <w:rFonts w:ascii="Times New Roman" w:cs="Times New Roman" w:eastAsia="Times New Roman" w:hAnsi="Times New Roman"/>
                <w:sz w:val="29"/>
                <w:szCs w:val="29"/>
                <w:color w:val="auto"/>
                <w:vertAlign w:val="superscript"/>
              </w:rPr>
              <w:t>1</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8,602</w:t>
            </w:r>
          </w:p>
        </w:tc>
      </w:tr>
      <w:tr>
        <w:trPr>
          <w:trHeight w:val="209"/>
        </w:trPr>
        <w:tc>
          <w:tcPr>
            <w:tcW w:w="6920" w:type="dxa"/>
            <w:vAlign w:val="bottom"/>
            <w:tcBorders>
              <w:top w:val="single" w:sz="8" w:color="E5FFFF"/>
            </w:tcBorders>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Gross loss</w:t>
            </w:r>
          </w:p>
        </w:tc>
        <w:tc>
          <w:tcPr>
            <w:tcW w:w="20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60" w:type="dxa"/>
            <w:vAlign w:val="bottom"/>
            <w:tcBorders>
              <w:top w:val="single" w:sz="8" w:color="E5FFFF"/>
            </w:tcBorders>
            <w:shd w:val="clear" w:color="auto" w:fill="E5FFFF"/>
          </w:tcPr>
          <w:p>
            <w:pPr>
              <w:spacing w:after="0"/>
              <w:rPr>
                <w:sz w:val="18"/>
                <w:szCs w:val="18"/>
                <w:color w:val="auto"/>
              </w:rPr>
            </w:pPr>
          </w:p>
        </w:tc>
      </w:tr>
      <w:tr>
        <w:trPr>
          <w:trHeight w:val="229"/>
        </w:trPr>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r>
      <w:tr>
        <w:trPr>
          <w:trHeight w:val="210"/>
        </w:trPr>
        <w:tc>
          <w:tcPr>
            <w:tcW w:w="6920" w:type="dxa"/>
            <w:vAlign w:val="bottom"/>
            <w:tcBorders>
              <w:top w:val="single" w:sz="8" w:color="E5FFFF"/>
            </w:tcBorders>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60" w:type="dxa"/>
            <w:vAlign w:val="bottom"/>
            <w:tcBorders>
              <w:top w:val="single" w:sz="8" w:color="E5FFFF"/>
            </w:tcBorders>
            <w:shd w:val="clear" w:color="auto" w:fill="E5FFFF"/>
          </w:tcPr>
          <w:p>
            <w:pPr>
              <w:spacing w:after="0"/>
              <w:rPr>
                <w:sz w:val="18"/>
                <w:szCs w:val="18"/>
                <w:color w:val="auto"/>
              </w:rPr>
            </w:pPr>
          </w:p>
        </w:tc>
      </w:tr>
      <w:tr>
        <w:trPr>
          <w:trHeight w:val="229"/>
        </w:trPr>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13,295</w:t>
            </w:r>
          </w:p>
        </w:tc>
      </w:tr>
      <w:tr>
        <w:trPr>
          <w:trHeight w:val="210"/>
        </w:trPr>
        <w:tc>
          <w:tcPr>
            <w:tcW w:w="6920" w:type="dxa"/>
            <w:vAlign w:val="bottom"/>
            <w:tcBorders>
              <w:top w:val="single" w:sz="8" w:color="E5FFFF"/>
            </w:tcBorders>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20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60" w:type="dxa"/>
            <w:vAlign w:val="bottom"/>
            <w:tcBorders>
              <w:top w:val="single" w:sz="8" w:color="E5FFFF"/>
            </w:tcBorders>
            <w:shd w:val="clear" w:color="auto" w:fill="E5FFFF"/>
          </w:tcPr>
          <w:p>
            <w:pPr>
              <w:spacing w:after="0"/>
              <w:rPr>
                <w:sz w:val="18"/>
                <w:szCs w:val="18"/>
                <w:color w:val="auto"/>
              </w:rPr>
            </w:pPr>
          </w:p>
        </w:tc>
      </w:tr>
      <w:tr>
        <w:trPr>
          <w:trHeight w:val="270"/>
        </w:trPr>
        <w:tc>
          <w:tcPr>
            <w:tcW w:w="6920" w:type="dxa"/>
            <w:vAlign w:val="bottom"/>
          </w:tcPr>
          <w:p>
            <w:pPr>
              <w:ind w:left="440"/>
              <w:spacing w:after="0" w:line="270"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6920" w:type="dxa"/>
            <w:vAlign w:val="bottom"/>
            <w:tcBorders>
              <w:top w:val="single" w:sz="8" w:color="E5FFFF"/>
              <w:bottom w:val="single" w:sz="8" w:color="E5FFFF"/>
            </w:tcBorders>
            <w:shd w:val="clear" w:color="auto" w:fill="E5FFFF"/>
          </w:tcPr>
          <w:p>
            <w:pPr>
              <w:ind w:left="440"/>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200" w:type="dxa"/>
            <w:vAlign w:val="bottom"/>
            <w:tcBorders>
              <w:top w:val="single" w:sz="8" w:color="auto"/>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-1679575</wp:posOffset>
            </wp:positionV>
            <wp:extent cx="274320" cy="1663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 cy="1663065"/>
                    </a:xfrm>
                    <a:prstGeom prst="rect">
                      <a:avLst/>
                    </a:prstGeom>
                    <a:noFill/>
                  </pic:spPr>
                </pic:pic>
              </a:graphicData>
            </a:graphic>
          </wp:anchor>
        </w:drawing>
      </w:r>
    </w:p>
    <w:p>
      <w:pPr>
        <w:spacing w:after="0" w:line="218" w:lineRule="exact"/>
        <w:rPr>
          <w:sz w:val="20"/>
          <w:szCs w:val="20"/>
          <w:color w:val="auto"/>
        </w:rPr>
      </w:pPr>
    </w:p>
    <w:p>
      <w:pPr>
        <w:ind w:left="440" w:right="340"/>
        <w:spacing w:after="0" w:line="195" w:lineRule="auto"/>
        <w:tabs>
          <w:tab w:leader="none" w:pos="552"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Refined coal sales were recorded net of the cost of coal as the Company purchased the coal feedstock from the customer to which the processed refined coal was sold.</w:t>
      </w:r>
    </w:p>
    <w:p>
      <w:pPr>
        <w:spacing w:after="0" w:line="240" w:lineRule="exact"/>
        <w:rPr>
          <w:sz w:val="20"/>
          <w:szCs w:val="20"/>
          <w:color w:val="auto"/>
        </w:rPr>
      </w:pPr>
    </w:p>
    <w:p>
      <w:pPr>
        <w:ind w:left="440" w:right="280"/>
        <w:spacing w:after="0" w:line="195" w:lineRule="auto"/>
        <w:tabs>
          <w:tab w:leader="none" w:pos="552"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loss attributable to noncontrolling interest represents the minority investor’s share of the loss before income taxes as noncontrolling interests does not include any gain from the refined coal tax credits.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January 31, 2024 and 2023, there were no amounts on the balance sheet reclassified to discontinued operations.</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ind w:left="452" w:hanging="452"/>
        <w:spacing w:after="0"/>
        <w:tabs>
          <w:tab w:leader="none" w:pos="45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rFonts w:ascii="Times New Roman" w:cs="Times New Roman" w:eastAsia="Times New Roman" w:hAnsi="Times New Roman"/>
          <w:sz w:val="18"/>
          <w:szCs w:val="18"/>
          <w:b w:val="1"/>
          <w:bCs w:val="1"/>
          <w:color w:val="auto"/>
        </w:rPr>
      </w:pPr>
    </w:p>
    <w:p>
      <w:pPr>
        <w:jc w:val="both"/>
        <w:ind w:left="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2023, 2022, and 2021, One Earth and NuGen, combined, purchased approximately $117.0 million, $135.4 million, and $90.2 million, respectively, of corn and other supplies from minority equity investors. The Company had amounts payable to related parties of approximately $5.8 million, and $1.5 million at January 31, 2024 and 2023, respectively.</w:t>
      </w:r>
    </w:p>
    <w:p>
      <w:pPr>
        <w:spacing w:after="0" w:line="175" w:lineRule="exact"/>
        <w:rPr>
          <w:rFonts w:ascii="Times New Roman" w:cs="Times New Roman" w:eastAsia="Times New Roman" w:hAnsi="Times New Roman"/>
          <w:sz w:val="18"/>
          <w:szCs w:val="18"/>
          <w:b w:val="1"/>
          <w:bCs w:val="1"/>
          <w:color w:val="auto"/>
        </w:rPr>
      </w:pPr>
    </w:p>
    <w:p>
      <w:pPr>
        <w:jc w:val="both"/>
        <w:ind w:left="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 2021, the Company recognized commission expense of approximately $0.3 million, payable to the minority investor in the refined coal entity. The commission expense is associated with the refined coal business, and as such, there was no commission expense recorded in fiscal year 2023 or 2022.</w:t>
      </w:r>
    </w:p>
    <w:p>
      <w:pPr>
        <w:spacing w:after="0" w:line="175" w:lineRule="exact"/>
        <w:rPr>
          <w:rFonts w:ascii="Times New Roman" w:cs="Times New Roman" w:eastAsia="Times New Roman" w:hAnsi="Times New Roman"/>
          <w:sz w:val="18"/>
          <w:szCs w:val="18"/>
          <w:b w:val="1"/>
          <w:bCs w:val="1"/>
          <w:color w:val="auto"/>
        </w:rPr>
      </w:pPr>
    </w:p>
    <w:p>
      <w:pPr>
        <w:ind w:left="43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 2023 and 2021, the Company received approximately $22,000 and $304,000 in capital contributions from the minority investor in the refined coal entity. The Company did not receive capital contributions related to the refined coal entity in fiscal year 2022.</w:t>
      </w:r>
    </w:p>
    <w:p>
      <w:pPr>
        <w:spacing w:after="0" w:line="162" w:lineRule="exact"/>
        <w:rPr>
          <w:sz w:val="20"/>
          <w:szCs w:val="20"/>
          <w:color w:val="auto"/>
        </w:rPr>
      </w:pPr>
    </w:p>
    <w:p>
      <w:pPr>
        <w:ind w:left="5352"/>
        <w:spacing w:after="0"/>
        <w:rPr>
          <w:sz w:val="20"/>
          <w:szCs w:val="20"/>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552"/>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61" w:name="page62"/>
    <w:bookmarkEnd w:id="61"/>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REX American Resources Corporation and subsidiaries (the Company) as of January 31, 2024, the related consolidated statements of operations, equity and cash flows for the year then ended, and the related notes and schedule (collectively, the financial statements). In our opinion, the financial statements present fairly, in all material respects, the financial position of the Company as of January 31, 2024,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March 29, 2024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discussed in notes 1 and 12, the Company provides for deferred tax liabilities and assets for the future tax consequences attributable to differences between the 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 At January 31, 2024, the Company has a valuation allowance of approximately $160,000. In addition, the Company accounts for uncertainty in income taxes by determining whether it is more likely than not that the position will be sustained on audit, including resolution of any related tax audits. The Company has a general business credit carryforward of approximately $12,300,000 (net of any uncertain tax positions) at January 31, 2024, which generally consist of federal research and experimentation credits and federal refined coal credits. The Company has total unrecognized tax benefits of approximately $18,895,000 at January 31, 2024. The Company also is currently undergoing a federal income tax examination for the years ended January 31, 2015 through January 31, 2022.</w:t>
      </w:r>
    </w:p>
    <w:p>
      <w:pPr>
        <w:spacing w:after="0" w:line="18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Due to the inherent uncertainty in forecasting financial results, coupled with the specialized tax knowledge required to accurately predict future taxable income and deductions, we identified management’s assertion that the federal deferred income tax assets are more likely than not to be realized and valuation of the unrecognized tax benefit as critical audit matters. Performance of our audit procedures to evaluate management’s judgments required a high degree of auditor judgment and the involvement of our tax specialists.</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With the assistance of income tax specialists, our audit procedures related to the evaluation of whether deferred tax assets are more likely than not realizable and the valuation of uncertain tax benefits included the following, among others:</w:t>
      </w:r>
    </w:p>
    <w:p>
      <w:pPr>
        <w:spacing w:after="0" w:line="162" w:lineRule="exact"/>
        <w:rPr>
          <w:sz w:val="20"/>
          <w:szCs w:val="20"/>
          <w:color w:val="auto"/>
        </w:rPr>
      </w:pPr>
    </w:p>
    <w:p>
      <w:pPr>
        <w:ind w:left="660" w:right="80" w:hanging="328"/>
        <w:spacing w:after="0" w:line="281" w:lineRule="auto"/>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We obtained an understanding of the relevant controls related to income taxes, including those over the evaluation of the valuation allowance and uncertain tax positions, and we tested such controls for design and operating effectiveness.</w:t>
      </w:r>
    </w:p>
    <w:p>
      <w:pPr>
        <w:spacing w:after="0" w:line="12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accuracy of management’s schedule of future reversals of temporary differences by comparing to related schedules and expected reversal patterns and by evaluating current tax laws.</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reasonableness of management’s forecasted future income by comparing to normalized historical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ability to carryforward tax attributes, primarily general business credits and the timing of expiration.</w:t>
      </w:r>
    </w:p>
    <w:p>
      <w:pPr>
        <w:spacing w:after="0" w:line="156" w:lineRule="exact"/>
        <w:rPr>
          <w:rFonts w:ascii="Arial" w:cs="Arial" w:eastAsia="Arial" w:hAnsi="Arial"/>
          <w:sz w:val="18"/>
          <w:szCs w:val="18"/>
          <w:color w:val="auto"/>
        </w:rPr>
      </w:pPr>
    </w:p>
    <w:p>
      <w:pPr>
        <w:ind w:left="660" w:right="400" w:hanging="328"/>
        <w:spacing w:after="0" w:line="281" w:lineRule="auto"/>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management’s estimate of the uncertain tax position by considering historical results of federal income tax examinations under similar circumstances.</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mathematical accuracy of the Company’s valuation allowance analysis and uncertain tax position analysis.</w:t>
      </w:r>
    </w:p>
    <w:p>
      <w:pPr>
        <w:spacing w:after="0" w:line="18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sufficiency of the Company’s disclosures related to the realizability of deferred income tax assets and the effects of uncertain tax positions 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ind w:right="2360" w:firstLine="2380"/>
        <w:spacing w:after="0" w:line="436"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shareholders and the Board of Directors of REX American Resources Corporation </w:t>
      </w:r>
      <w:r>
        <w:rPr>
          <w:rFonts w:ascii="Times New Roman" w:cs="Times New Roman" w:eastAsia="Times New Roman" w:hAnsi="Times New Roman"/>
          <w:sz w:val="19"/>
          <w:szCs w:val="19"/>
          <w:b w:val="1"/>
          <w:bCs w:val="1"/>
          <w:color w:val="auto"/>
        </w:rPr>
        <w:t>Opinion on the Financial Statements</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 of REX American Resources, Inc. and subsidiaries (the "Company") as of January 31, 2023, the related consolidated statements of statements of operations, shareholders’ equity, and cash flows, for the years ended January 31, 2023 and 2022, and the related notes the schedule listed in the Index at Item 15 (collectively referred to as the "financial statements"). In our opinion, the fiscal 2022 and 2021 financial statements present fairly, in all material respects, the financial position of the Company as of January 31, 2023, and the results of its operations and its cash flows for the years ended January 31, 2023 and 2022, in conformity with accounting principles generally accepted in the United States of America.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 in Accounting Principle</w:t>
      </w:r>
    </w:p>
    <w:p>
      <w:pPr>
        <w:spacing w:after="0" w:line="19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8"/>
          <w:szCs w:val="18"/>
          <w:color w:val="auto"/>
        </w:rPr>
        <w:t>As discussed in Note 1 to the financial statements, the accompanying fiscal 2022 and 2021 financial statements have been retrospectively adjusted for a change in the method of accounting for shipping and handling costs for products sold to customers from being recorded within “Selling, general and administrative expenses” to being recorded within “Cost of sales” on the accompanying Consolidated Statements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9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Dayton, Ohio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30, 2023 (March 29, 2024, as to the basis of presentation described in Note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began serving as the Company’s auditor in 2002. In 2023 we became the predecessor auditor.</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65" w:name="page66"/>
    <w:bookmarkEnd w:id="65"/>
    <w:p>
      <w:pPr>
        <w:ind w:left="60"/>
        <w:spacing w:after="0"/>
        <w:rPr>
          <w:sz w:val="20"/>
          <w:szCs w:val="20"/>
          <w:color w:val="auto"/>
        </w:rPr>
      </w:pPr>
      <w:r>
        <w:rPr>
          <w:rFonts w:ascii="Arial" w:cs="Arial" w:eastAsia="Arial" w:hAnsi="Arial"/>
          <w:sz w:val="25"/>
          <w:szCs w:val="25"/>
          <w:b w:val="1"/>
          <w:bCs w:val="1"/>
          <w:color w:val="auto"/>
        </w:rPr>
        <w:t>REX AMERICAN RESOURCES CORPORATION AND SUBSIDIARIES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YEARS ENDED JANUARY 31, 2024, 2023 AND 2022</w:t>
      </w:r>
    </w:p>
    <w:p>
      <w:pPr>
        <w:ind w:left="60"/>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760" w:type="dxa"/>
            <w:vAlign w:val="bottom"/>
            <w:gridSpan w:val="4"/>
            <w:vMerge w:val="restart"/>
          </w:tcPr>
          <w:p>
            <w:pPr>
              <w:ind w:left="180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17"/>
                <w:szCs w:val="17"/>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b w:val="1"/>
                <w:bCs w:val="1"/>
                <w:color w:val="auto"/>
              </w:rPr>
              <w:t>Additions</w:t>
            </w:r>
          </w:p>
        </w:tc>
        <w:tc>
          <w:tcPr>
            <w:tcW w:w="280" w:type="dxa"/>
            <w:vAlign w:val="bottom"/>
          </w:tcPr>
          <w:p>
            <w:pPr>
              <w:spacing w:after="0"/>
              <w:rPr>
                <w:sz w:val="17"/>
                <w:szCs w:val="17"/>
                <w:color w:val="auto"/>
              </w:rPr>
            </w:pPr>
          </w:p>
        </w:tc>
        <w:tc>
          <w:tcPr>
            <w:tcW w:w="18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Deductions</w:t>
            </w:r>
          </w:p>
        </w:tc>
        <w:tc>
          <w:tcPr>
            <w:tcW w:w="980" w:type="dxa"/>
            <w:vAlign w:val="bottom"/>
            <w:gridSpan w:val="4"/>
            <w:vMerge w:val="restart"/>
          </w:tcPr>
          <w:p>
            <w:pPr>
              <w:jc w:val="center"/>
              <w:ind w:left="73"/>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760" w:type="dxa"/>
            <w:vAlign w:val="bottom"/>
            <w:gridSpan w:val="4"/>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8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20" w:type="dxa"/>
            <w:vAlign w:val="bottom"/>
            <w:gridSpan w:val="5"/>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Charged to</w:t>
            </w:r>
          </w:p>
        </w:tc>
        <w:tc>
          <w:tcPr>
            <w:tcW w:w="440" w:type="dxa"/>
            <w:vAlign w:val="bottom"/>
            <w:vMerge w:val="continue"/>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4"/>
              </w:rPr>
              <w:t>Charges for</w:t>
            </w:r>
          </w:p>
        </w:tc>
        <w:tc>
          <w:tcPr>
            <w:tcW w:w="440" w:type="dxa"/>
            <w:vAlign w:val="bottom"/>
            <w:vMerge w:val="continue"/>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760" w:type="dxa"/>
            <w:vAlign w:val="bottom"/>
            <w:gridSpan w:val="4"/>
          </w:tcPr>
          <w:p>
            <w:pPr>
              <w:ind w:left="1700"/>
              <w:spacing w:after="0" w:line="202" w:lineRule="exact"/>
              <w:rPr>
                <w:sz w:val="20"/>
                <w:szCs w:val="20"/>
                <w:color w:val="auto"/>
              </w:rPr>
            </w:pPr>
            <w:r>
              <w:rPr>
                <w:rFonts w:ascii="Arial" w:cs="Arial" w:eastAsia="Arial" w:hAnsi="Arial"/>
                <w:sz w:val="18"/>
                <w:szCs w:val="18"/>
                <w:b w:val="1"/>
                <w:bCs w:val="1"/>
                <w:color w:val="auto"/>
              </w:rPr>
              <w:t>Beginning</w:t>
            </w:r>
          </w:p>
        </w:tc>
        <w:tc>
          <w:tcPr>
            <w:tcW w:w="240" w:type="dxa"/>
            <w:vAlign w:val="bottom"/>
          </w:tcPr>
          <w:p>
            <w:pPr>
              <w:spacing w:after="0"/>
              <w:rPr>
                <w:sz w:val="17"/>
                <w:szCs w:val="17"/>
                <w:color w:val="auto"/>
              </w:rPr>
            </w:pPr>
          </w:p>
        </w:tc>
        <w:tc>
          <w:tcPr>
            <w:tcW w:w="1120" w:type="dxa"/>
            <w:vAlign w:val="bottom"/>
            <w:gridSpan w:val="5"/>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Cost and</w:t>
            </w:r>
          </w:p>
        </w:tc>
        <w:tc>
          <w:tcPr>
            <w:tcW w:w="1860" w:type="dxa"/>
            <w:vAlign w:val="bottom"/>
            <w:gridSpan w:val="5"/>
          </w:tcPr>
          <w:p>
            <w:pPr>
              <w:ind w:left="220"/>
              <w:spacing w:after="0" w:line="202" w:lineRule="exact"/>
              <w:rPr>
                <w:sz w:val="20"/>
                <w:szCs w:val="20"/>
                <w:color w:val="auto"/>
              </w:rPr>
            </w:pPr>
            <w:r>
              <w:rPr>
                <w:rFonts w:ascii="Arial" w:cs="Arial" w:eastAsia="Arial" w:hAnsi="Arial"/>
                <w:sz w:val="18"/>
                <w:szCs w:val="18"/>
                <w:b w:val="1"/>
                <w:bCs w:val="1"/>
                <w:color w:val="auto"/>
              </w:rPr>
              <w:t>Which Reserves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End</w:t>
            </w:r>
          </w:p>
        </w:tc>
        <w:tc>
          <w:tcPr>
            <w:tcW w:w="0" w:type="dxa"/>
            <w:vAlign w:val="bottom"/>
          </w:tcPr>
          <w:p>
            <w:pPr>
              <w:spacing w:after="0"/>
              <w:rPr>
                <w:sz w:val="1"/>
                <w:szCs w:val="1"/>
                <w:color w:val="auto"/>
              </w:rPr>
            </w:pPr>
          </w:p>
        </w:tc>
      </w:tr>
      <w:tr>
        <w:trPr>
          <w:trHeight w:val="247"/>
        </w:trPr>
        <w:tc>
          <w:tcPr>
            <w:tcW w:w="4280" w:type="dxa"/>
            <w:vAlign w:val="bottom"/>
          </w:tcPr>
          <w:p>
            <w:pPr>
              <w:spacing w:after="0"/>
              <w:rPr>
                <w:sz w:val="21"/>
                <w:szCs w:val="21"/>
                <w:color w:val="auto"/>
              </w:rPr>
            </w:pPr>
          </w:p>
        </w:tc>
        <w:tc>
          <w:tcPr>
            <w:tcW w:w="2760" w:type="dxa"/>
            <w:vAlign w:val="bottom"/>
            <w:gridSpan w:val="4"/>
          </w:tcPr>
          <w:p>
            <w:pPr>
              <w:ind w:left="1840"/>
              <w:spacing w:after="0"/>
              <w:rPr>
                <w:sz w:val="20"/>
                <w:szCs w:val="20"/>
                <w:color w:val="auto"/>
              </w:rPr>
            </w:pPr>
            <w:r>
              <w:rPr>
                <w:rFonts w:ascii="Arial" w:cs="Arial" w:eastAsia="Arial" w:hAnsi="Arial"/>
                <w:sz w:val="18"/>
                <w:szCs w:val="18"/>
                <w:b w:val="1"/>
                <w:bCs w:val="1"/>
                <w:color w:val="auto"/>
              </w:rPr>
              <w:t>of Year</w:t>
            </w:r>
          </w:p>
        </w:tc>
        <w:tc>
          <w:tcPr>
            <w:tcW w:w="13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9"/>
              </w:rPr>
              <w:t>Expenses</w:t>
            </w:r>
          </w:p>
        </w:tc>
        <w:tc>
          <w:tcPr>
            <w:tcW w:w="1860" w:type="dxa"/>
            <w:vAlign w:val="bottom"/>
            <w:gridSpan w:val="5"/>
          </w:tcPr>
          <w:p>
            <w:pPr>
              <w:ind w:left="340"/>
              <w:spacing w:after="0"/>
              <w:rPr>
                <w:sz w:val="20"/>
                <w:szCs w:val="20"/>
                <w:color w:val="auto"/>
              </w:rPr>
            </w:pPr>
            <w:r>
              <w:rPr>
                <w:rFonts w:ascii="Arial" w:cs="Arial" w:eastAsia="Arial" w:hAnsi="Arial"/>
                <w:sz w:val="18"/>
                <w:szCs w:val="18"/>
                <w:b w:val="1"/>
                <w:bCs w:val="1"/>
                <w:color w:val="auto"/>
              </w:rPr>
              <w:t>Were Created</w:t>
            </w:r>
          </w:p>
        </w:tc>
        <w:tc>
          <w:tcPr>
            <w:tcW w:w="980" w:type="dxa"/>
            <w:vAlign w:val="bottom"/>
            <w:gridSpan w:val="4"/>
          </w:tcPr>
          <w:p>
            <w:pPr>
              <w:ind w:left="260"/>
              <w:spacing w:after="0"/>
              <w:rPr>
                <w:sz w:val="20"/>
                <w:szCs w:val="20"/>
                <w:color w:val="auto"/>
              </w:rPr>
            </w:pPr>
            <w:r>
              <w:rPr>
                <w:rFonts w:ascii="Arial" w:cs="Arial" w:eastAsia="Arial" w:hAnsi="Arial"/>
                <w:sz w:val="18"/>
                <w:szCs w:val="18"/>
                <w:b w:val="1"/>
                <w:bCs w:val="1"/>
                <w:color w:val="auto"/>
              </w:rPr>
              <w:t>of Year</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E5FFFF"/>
          </w:tcPr>
          <w:p>
            <w:pPr>
              <w:jc w:val="right"/>
              <w:ind w:right="3770"/>
              <w:spacing w:after="0"/>
              <w:rPr>
                <w:sz w:val="20"/>
                <w:szCs w:val="20"/>
                <w:color w:val="auto"/>
              </w:rPr>
            </w:pPr>
            <w:r>
              <w:rPr>
                <w:rFonts w:ascii="Times New Roman" w:cs="Times New Roman" w:eastAsia="Times New Roman" w:hAnsi="Times New Roman"/>
                <w:sz w:val="18"/>
                <w:szCs w:val="18"/>
                <w:color w:val="auto"/>
                <w:w w:val="97"/>
              </w:rPr>
              <w:t>2024:</w:t>
            </w:r>
          </w:p>
        </w:tc>
        <w:tc>
          <w:tcPr>
            <w:tcW w:w="1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E5FFFF"/>
          </w:tcPr>
          <w:p>
            <w:pPr>
              <w:jc w:val="right"/>
              <w:ind w:right="3770"/>
              <w:spacing w:after="0"/>
              <w:rPr>
                <w:sz w:val="20"/>
                <w:szCs w:val="20"/>
                <w:color w:val="auto"/>
              </w:rPr>
            </w:pPr>
            <w:r>
              <w:rPr>
                <w:rFonts w:ascii="Times New Roman" w:cs="Times New Roman" w:eastAsia="Times New Roman" w:hAnsi="Times New Roman"/>
                <w:sz w:val="18"/>
                <w:szCs w:val="18"/>
                <w:color w:val="auto"/>
                <w:w w:val="97"/>
              </w:rPr>
              <w:t>2023:</w:t>
            </w:r>
          </w:p>
        </w:tc>
        <w:tc>
          <w:tcPr>
            <w:tcW w:w="1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E5FFFF"/>
          </w:tcPr>
          <w:p>
            <w:pPr>
              <w:jc w:val="right"/>
              <w:ind w:right="3770"/>
              <w:spacing w:after="0"/>
              <w:rPr>
                <w:sz w:val="20"/>
                <w:szCs w:val="20"/>
                <w:color w:val="auto"/>
              </w:rPr>
            </w:pPr>
            <w:r>
              <w:rPr>
                <w:rFonts w:ascii="Times New Roman" w:cs="Times New Roman" w:eastAsia="Times New Roman" w:hAnsi="Times New Roman"/>
                <w:sz w:val="18"/>
                <w:szCs w:val="18"/>
                <w:color w:val="auto"/>
                <w:w w:val="97"/>
              </w:rPr>
              <w:t>2022:</w:t>
            </w:r>
          </w:p>
        </w:tc>
        <w:tc>
          <w:tcPr>
            <w:tcW w:w="1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Chief Financial Officer, the effectiveness of our disclosure controls and procedures (as defined in Rules 13a–15(e) and 15d–15(e) under the Securities Exchange Act of 1934) as of the end of the period covered by this report. Based on that evaluation, our Chief Executive Officer and Chief Financial Officer concluded that our disclosure controls and procedures are effective at the reasonable assurance level to ensure that information required to be disclosed by us in the reports that we file or submit under the Securities Exchange Act of 1934 is recorded, processed, summarized and reported within the time periods specified in the Securities and Exchange Commission’s rules and forms. Our officers concluded that our disclosure controls and procedures are also effective at the reasonable assurance level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Material Changes to Internal Control Over Financial Reporting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left="660" w:right="80"/>
        <w:spacing w:after="0" w:line="28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financial statements in accordance with accounting principles generally accepted in the United States of America.</w:t>
      </w:r>
    </w:p>
    <w:p>
      <w:pPr>
        <w:spacing w:after="0" w:line="158"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deemed to be effective can provide only reasonable assurance with respect to financial statement preparation and presentation.</w:t>
      </w:r>
    </w:p>
    <w:p>
      <w:pPr>
        <w:spacing w:after="0" w:line="162"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assessed the effectiveness of our internal control over financial reporting as of January 31, 2024 based on the Internal Control-Integrated Framework (2013) issued by the Committee of Sponsoring Organizations of the Treadway Commission (“COSO”). Based upon this assessment, our management concluded that our internal control over financial reporting was effective as of January 31, 2024 based on those criteria.</w:t>
      </w:r>
    </w:p>
    <w:p>
      <w:pPr>
        <w:spacing w:after="0" w:line="180"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2024 has been audited by RSM US LLP, an independent registered public accounting firm, as stated in their report which is included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 ZAFAR A. RIZVI</w:t>
            </w:r>
          </w:p>
        </w:tc>
        <w:tc>
          <w:tcPr>
            <w:tcW w:w="5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800" w:type="dxa"/>
            <w:vAlign w:val="bottom"/>
          </w:tcPr>
          <w:p>
            <w:pPr>
              <w:spacing w:after="0"/>
              <w:rPr>
                <w:sz w:val="18"/>
                <w:szCs w:val="18"/>
                <w:color w:val="auto"/>
              </w:rPr>
            </w:pPr>
          </w:p>
        </w:tc>
      </w:tr>
      <w:tr>
        <w:trPr>
          <w:trHeight w:val="234"/>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Zafar A. Rizvi</w:t>
            </w:r>
          </w:p>
        </w:tc>
        <w:tc>
          <w:tcPr>
            <w:tcW w:w="5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7"/>
              </w:rPr>
              <w:t>March 29, 2024</w:t>
            </w:r>
          </w:p>
        </w:tc>
      </w:tr>
      <w:tr>
        <w:trPr>
          <w:trHeight w:val="414"/>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 DOUGLAS L. BRUGGEMAN</w:t>
            </w:r>
          </w:p>
        </w:tc>
        <w:tc>
          <w:tcPr>
            <w:tcW w:w="5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w:t>
            </w:r>
          </w:p>
        </w:tc>
        <w:tc>
          <w:tcPr>
            <w:tcW w:w="1800" w:type="dxa"/>
            <w:vAlign w:val="bottom"/>
          </w:tcPr>
          <w:p>
            <w:pPr>
              <w:spacing w:after="0"/>
              <w:rPr>
                <w:sz w:val="24"/>
                <w:szCs w:val="24"/>
                <w:color w:val="auto"/>
              </w:rPr>
            </w:pPr>
          </w:p>
        </w:tc>
      </w:tr>
      <w:tr>
        <w:trPr>
          <w:trHeight w:val="234"/>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Douglas L. Bruggeman</w:t>
            </w:r>
          </w:p>
        </w:tc>
        <w:tc>
          <w:tcPr>
            <w:tcW w:w="5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7"/>
              </w:rPr>
              <w:t>March 29, 2024</w:t>
            </w:r>
          </w:p>
        </w:tc>
      </w:tr>
      <w:tr>
        <w:trPr>
          <w:trHeight w:val="392"/>
        </w:trPr>
        <w:tc>
          <w:tcPr>
            <w:tcW w:w="3740" w:type="dxa"/>
            <w:vAlign w:val="bottom"/>
          </w:tcPr>
          <w:p>
            <w:pPr>
              <w:spacing w:after="0"/>
              <w:rPr>
                <w:sz w:val="24"/>
                <w:szCs w:val="24"/>
                <w:color w:val="auto"/>
              </w:rPr>
            </w:pPr>
          </w:p>
        </w:tc>
        <w:tc>
          <w:tcPr>
            <w:tcW w:w="57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67</w:t>
            </w:r>
          </w:p>
        </w:tc>
        <w:tc>
          <w:tcPr>
            <w:tcW w:w="1800" w:type="dxa"/>
            <w:vAlign w:val="bottom"/>
          </w:tcPr>
          <w:p>
            <w:pPr>
              <w:spacing w:after="0"/>
              <w:rPr>
                <w:sz w:val="24"/>
                <w:szCs w:val="24"/>
                <w:color w:val="auto"/>
              </w:rPr>
            </w:pPr>
          </w:p>
        </w:tc>
      </w:tr>
      <w:tr>
        <w:trPr>
          <w:trHeight w:val="250"/>
        </w:trPr>
        <w:tc>
          <w:tcPr>
            <w:tcW w:w="3740" w:type="dxa"/>
            <w:vAlign w:val="bottom"/>
            <w:tcBorders>
              <w:bottom w:val="single" w:sz="8" w:color="C0C0C0"/>
            </w:tcBorders>
          </w:tcPr>
          <w:p>
            <w:pPr>
              <w:spacing w:after="0"/>
              <w:rPr>
                <w:sz w:val="21"/>
                <w:szCs w:val="21"/>
                <w:color w:val="auto"/>
              </w:rPr>
            </w:pPr>
          </w:p>
        </w:tc>
        <w:tc>
          <w:tcPr>
            <w:tcW w:w="5700" w:type="dxa"/>
            <w:vAlign w:val="bottom"/>
            <w:tcBorders>
              <w:bottom w:val="single" w:sz="8" w:color="C0C0C0"/>
            </w:tcBorders>
          </w:tcPr>
          <w:p>
            <w:pPr>
              <w:spacing w:after="0"/>
              <w:rPr>
                <w:sz w:val="21"/>
                <w:szCs w:val="21"/>
                <w:color w:val="auto"/>
              </w:rPr>
            </w:pPr>
          </w:p>
        </w:tc>
        <w:tc>
          <w:tcPr>
            <w:tcW w:w="18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19" w:right="339" w:bottom="1440" w:gutter="0" w:footer="0" w:header="0"/>
        </w:sectPr>
      </w:pPr>
    </w:p>
    <w:bookmarkStart w:id="67" w:name="page68"/>
    <w:bookmarkEnd w:id="67"/>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have audited REX American Resources Corporation’s (the Company) internal control over financial reporting as of January 31, 2024,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January 31, 2024, based on criteria established in Internal Control — Integrated Framework issued by the Committee of Sponsoring Organizations of the Treadway Commission in 2013.</w:t>
      </w:r>
    </w:p>
    <w:p>
      <w:pPr>
        <w:spacing w:after="0" w:line="1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as of January 31, 2024 and for the year then ended, and our report dated March 29, 2024 expressed an unqualified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8" w:name="page69"/>
    <w:bookmarkEnd w:id="6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herein by reference to the Proxy Statement for our Annual Meeting of Shareholders on June 11, 2024, except for certain information concerning our executive officers which is set forth in Part I of this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set forth in the Proxy Statement for our Annual Meeting of Shareholders on June 11, 2024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set forth in the Proxy Statement for our Annual Meeting of Shareholders on June 11, 2024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set forth in the Proxy Statement for our Annual Meeting of Shareholders on June 11, 2024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set forth in the Proxy Statement for our Annual Meeting of Shareholders on June 11, 2024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REX American Resources Corporation and subsidiaries are filed as a part of this report at Item 8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Balance Sheets as of January 31, 2024 and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January 31, 2024, 2023 and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January 31, 2024, 2023 and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January 31, 2024, 2023 and 2022</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Firm-RSM US LLP (PCAOB ID No. 49)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Firm-Deloitte &amp; Touche LLP (PCOAB ID. 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(a)(2)(i) </w:t>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at Item 8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1300" w:right="2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3(a)</w:t>
      </w:r>
      <w:r>
        <w:rPr>
          <w:sz w:val="20"/>
          <w:szCs w:val="20"/>
          <w:color w:val="auto"/>
        </w:rPr>
        <w:tab/>
      </w:r>
      <w:hyperlink r:id="rId106">
        <w:r>
          <w:rPr>
            <w:rFonts w:ascii="Times New Roman" w:cs="Times New Roman" w:eastAsia="Times New Roman" w:hAnsi="Times New Roman"/>
            <w:sz w:val="18"/>
            <w:szCs w:val="18"/>
            <w:u w:val="single" w:color="auto"/>
            <w:color w:val="0000EE"/>
          </w:rPr>
          <w:t>Certificate of Incorporation, as amended (incorporated by reference to Exhibit 3(a) to Form 10-Q for quarter ended July 31, 2010, File</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No. 001-09097)</w:t>
        </w:r>
      </w:hyperlink>
    </w:p>
    <w:p>
      <w:pPr>
        <w:spacing w:after="0" w:line="162"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3(b)</w:t>
      </w:r>
      <w:r>
        <w:rPr>
          <w:sz w:val="20"/>
          <w:szCs w:val="20"/>
          <w:color w:val="auto"/>
        </w:rPr>
        <w:tab/>
      </w:r>
      <w:hyperlink r:id="rId107">
        <w:r>
          <w:rPr>
            <w:rFonts w:ascii="Times New Roman" w:cs="Times New Roman" w:eastAsia="Times New Roman" w:hAnsi="Times New Roman"/>
            <w:sz w:val="18"/>
            <w:szCs w:val="18"/>
            <w:u w:val="single" w:color="auto"/>
            <w:color w:val="0000EE"/>
          </w:rPr>
          <w:t>By-Laws, as amended (incorporated by reference to Exhibit 3(a) to Form 8-K filed June 8, 2015, File No. 001-09097)</w:t>
        </w:r>
      </w:hyperlink>
    </w:p>
    <w:p>
      <w:pPr>
        <w:spacing w:after="0" w:line="225" w:lineRule="exact"/>
        <w:rPr>
          <w:sz w:val="20"/>
          <w:szCs w:val="20"/>
          <w:color w:val="auto"/>
        </w:rPr>
      </w:pPr>
    </w:p>
    <w:p>
      <w:pPr>
        <w:ind w:left="1300" w:right="2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4(a)</w:t>
      </w:r>
      <w:r>
        <w:rPr>
          <w:sz w:val="20"/>
          <w:szCs w:val="20"/>
          <w:color w:val="auto"/>
        </w:rPr>
        <w:tab/>
      </w:r>
      <w:hyperlink r:id="rId108">
        <w:r>
          <w:rPr>
            <w:rFonts w:ascii="Times New Roman" w:cs="Times New Roman" w:eastAsia="Times New Roman" w:hAnsi="Times New Roman"/>
            <w:sz w:val="18"/>
            <w:szCs w:val="18"/>
            <w:u w:val="single" w:color="auto"/>
            <w:color w:val="0000EE"/>
          </w:rPr>
          <w:t>Description of Securities Registered Under Section 12 of the Exchange Act (incorporated by reference to Exhibit 4(a) to Form 10-K filed</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April 1, 2020, File No. 001-09097)</w:t>
        </w:r>
      </w:hyperlink>
    </w:p>
    <w:p>
      <w:pPr>
        <w:spacing w:after="0" w:line="162" w:lineRule="exact"/>
        <w:rPr>
          <w:sz w:val="20"/>
          <w:szCs w:val="20"/>
          <w:color w:val="auto"/>
        </w:rPr>
      </w:pPr>
    </w:p>
    <w:p>
      <w:pPr>
        <w:ind w:left="130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10(a)*</w:t>
      </w:r>
      <w:r>
        <w:rPr>
          <w:sz w:val="20"/>
          <w:szCs w:val="20"/>
          <w:color w:val="auto"/>
        </w:rPr>
        <w:tab/>
      </w:r>
      <w:hyperlink r:id="rId109">
        <w:r>
          <w:rPr>
            <w:rFonts w:ascii="Times New Roman" w:cs="Times New Roman" w:eastAsia="Times New Roman" w:hAnsi="Times New Roman"/>
            <w:sz w:val="18"/>
            <w:szCs w:val="18"/>
            <w:u w:val="single" w:color="auto"/>
            <w:color w:val="0000EE"/>
          </w:rPr>
          <w:t>Employment Agreement dated May 24, 2022 between Rex Radio and Television, Inc. (a subsidiary of the Company) and Zafar A. Rizvi</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(incorporated by reference to Exhibit 10.1 to Form 8-K filed May 27, 2022, File No. 001-09097)</w:t>
        </w:r>
      </w:hyperlink>
    </w:p>
    <w:p>
      <w:pPr>
        <w:spacing w:after="0" w:line="162" w:lineRule="exact"/>
        <w:rPr>
          <w:sz w:val="20"/>
          <w:szCs w:val="20"/>
          <w:color w:val="auto"/>
        </w:rPr>
      </w:pPr>
    </w:p>
    <w:p>
      <w:pPr>
        <w:ind w:left="130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10(b)*</w:t>
      </w:r>
      <w:r>
        <w:rPr>
          <w:sz w:val="20"/>
          <w:szCs w:val="20"/>
          <w:color w:val="auto"/>
        </w:rPr>
        <w:tab/>
      </w:r>
      <w:hyperlink r:id="rId110">
        <w:r>
          <w:rPr>
            <w:rFonts w:ascii="Times New Roman" w:cs="Times New Roman" w:eastAsia="Times New Roman" w:hAnsi="Times New Roman"/>
            <w:sz w:val="18"/>
            <w:szCs w:val="18"/>
            <w:u w:val="single" w:color="auto"/>
            <w:color w:val="0000EE"/>
          </w:rPr>
          <w:t>Employment Agreement dated May 24, 2022 between Rex Radio and Television, Inc. (a subsidiary of the Company) and Douglas L.</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Bruggeman (incorporated by reference to Exhibit 10.2 to Form 8-K filed May 27, 2022, File No. 001-09097)</w:t>
        </w:r>
      </w:hyperlink>
    </w:p>
    <w:p>
      <w:pPr>
        <w:spacing w:after="0" w:line="162" w:lineRule="exact"/>
        <w:rPr>
          <w:sz w:val="20"/>
          <w:szCs w:val="20"/>
          <w:color w:val="auto"/>
        </w:rPr>
      </w:pPr>
    </w:p>
    <w:p>
      <w:pPr>
        <w:ind w:left="130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10(c)*</w:t>
      </w:r>
      <w:r>
        <w:rPr>
          <w:sz w:val="20"/>
          <w:szCs w:val="20"/>
          <w:color w:val="auto"/>
        </w:rPr>
        <w:tab/>
      </w:r>
      <w:hyperlink r:id="rId111">
        <w:r>
          <w:rPr>
            <w:rFonts w:ascii="Times New Roman" w:cs="Times New Roman" w:eastAsia="Times New Roman" w:hAnsi="Times New Roman"/>
            <w:sz w:val="18"/>
            <w:szCs w:val="18"/>
            <w:u w:val="single" w:color="auto"/>
            <w:color w:val="0000EE"/>
          </w:rPr>
          <w:t>Employment Agreement dated May 24, 2022 between Rex Radio and Television, Inc. (a subsidiary of the Company) and Stuart A. Rose</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(incorporated by reference to Exhibit 10.3 to Form 8-K filed May 27, 2022, File No. 001-09097)</w:t>
        </w:r>
      </w:hyperlink>
    </w:p>
    <w:p>
      <w:pPr>
        <w:spacing w:after="0" w:line="162" w:lineRule="exact"/>
        <w:rPr>
          <w:sz w:val="20"/>
          <w:szCs w:val="20"/>
          <w:color w:val="auto"/>
        </w:rPr>
      </w:pPr>
    </w:p>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10(d)*</w:t>
      </w:r>
      <w:r>
        <w:rPr>
          <w:sz w:val="20"/>
          <w:szCs w:val="20"/>
          <w:color w:val="auto"/>
        </w:rPr>
        <w:tab/>
      </w:r>
      <w:hyperlink r:id="rId112">
        <w:r>
          <w:rPr>
            <w:rFonts w:ascii="Times New Roman" w:cs="Times New Roman" w:eastAsia="Times New Roman" w:hAnsi="Times New Roman"/>
            <w:sz w:val="18"/>
            <w:szCs w:val="18"/>
            <w:u w:val="single" w:color="auto"/>
            <w:color w:val="0000EE"/>
          </w:rPr>
          <w:t>2015 Incentive Plan (incorporated by reference to Exhibit 10(d) to Form 8-K filed June 8, 2015, File No. 001-09097)</w:t>
        </w:r>
      </w:hyperlink>
    </w:p>
    <w:p>
      <w:pPr>
        <w:spacing w:after="0" w:line="225" w:lineRule="exact"/>
        <w:rPr>
          <w:sz w:val="20"/>
          <w:szCs w:val="20"/>
          <w:color w:val="auto"/>
        </w:rPr>
      </w:pPr>
    </w:p>
    <w:p>
      <w:pPr>
        <w:ind w:left="1300" w:hanging="639"/>
        <w:spacing w:after="0" w:line="28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10(e)*</w:t>
      </w:r>
      <w:r>
        <w:rPr>
          <w:sz w:val="20"/>
          <w:szCs w:val="20"/>
          <w:color w:val="auto"/>
        </w:rPr>
        <w:tab/>
      </w:r>
      <w:hyperlink r:id="rId113">
        <w:r>
          <w:rPr>
            <w:rFonts w:ascii="Times New Roman" w:cs="Times New Roman" w:eastAsia="Times New Roman" w:hAnsi="Times New Roman"/>
            <w:sz w:val="18"/>
            <w:szCs w:val="18"/>
            <w:u w:val="single" w:color="auto"/>
            <w:color w:val="0000EE"/>
          </w:rPr>
          <w:t>Form of Restricted Stock Award Agreement under the REX American Resources 2015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Exhibit 10.1 to Form 8-K filed June 22, 2022, File No. 001-09097)</w:t>
        </w:r>
      </w:hyperlink>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10(f)*</w:t>
      </w:r>
      <w:r>
        <w:rPr>
          <w:sz w:val="20"/>
          <w:szCs w:val="20"/>
          <w:color w:val="auto"/>
        </w:rPr>
        <w:tab/>
      </w:r>
      <w:hyperlink r:id="rId115">
        <w:r>
          <w:rPr>
            <w:rFonts w:ascii="Times New Roman" w:cs="Times New Roman" w:eastAsia="Times New Roman" w:hAnsi="Times New Roman"/>
            <w:sz w:val="18"/>
            <w:szCs w:val="18"/>
            <w:u w:val="single" w:color="auto"/>
            <w:color w:val="0000EE"/>
          </w:rPr>
          <w:t>Form of REX American Resources Corporation Restricted Stock Unit Award Agreement (Employee-Performance Based Vesting Award)</w:t>
        </w:r>
      </w:hyperlink>
    </w:p>
    <w:p>
      <w:pPr>
        <w:spacing w:after="0" w:line="27" w:lineRule="exact"/>
        <w:rPr>
          <w:sz w:val="20"/>
          <w:szCs w:val="20"/>
          <w:color w:val="auto"/>
        </w:rPr>
      </w:pPr>
    </w:p>
    <w:p>
      <w:pPr>
        <w:ind w:left="1300"/>
        <w:spacing w:after="0"/>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(incorporated by reference to Exhibit 10.4 to Form 8-K filed May 27, 2022, File No. 001-09097)</w:t>
        </w:r>
      </w:hyperlink>
    </w:p>
    <w:p>
      <w:pPr>
        <w:spacing w:after="0" w:line="20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 of the registrant:</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u w:val="single" w:color="auto"/>
          <w:color w:val="0000EE"/>
        </w:rPr>
        <w:t>Subsidiaries of registrant</w:t>
      </w:r>
    </w:p>
    <w:p>
      <w:pPr>
        <w:spacing w:after="0" w:line="223"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Consents of experts and counsel:</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23(a)   </w:t>
      </w:r>
      <w:r>
        <w:rPr>
          <w:rFonts w:ascii="Times New Roman" w:cs="Times New Roman" w:eastAsia="Times New Roman" w:hAnsi="Times New Roman"/>
          <w:sz w:val="18"/>
          <w:szCs w:val="18"/>
          <w:u w:val="single" w:color="auto"/>
          <w:color w:val="0000EE"/>
        </w:rPr>
        <w:t>Consent of RSM US LLP, Independent Registered Public Accounting Firm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23(b)</w:t>
      </w:r>
      <w:r>
        <w:rPr>
          <w:sz w:val="20"/>
          <w:szCs w:val="20"/>
          <w:color w:val="auto"/>
        </w:rPr>
        <w:tab/>
      </w:r>
      <w:r>
        <w:rPr>
          <w:rFonts w:ascii="Times New Roman" w:cs="Times New Roman" w:eastAsia="Times New Roman" w:hAnsi="Times New Roman"/>
          <w:sz w:val="18"/>
          <w:szCs w:val="18"/>
          <w:u w:val="single" w:color="auto"/>
          <w:color w:val="0000EE"/>
        </w:rPr>
        <w:t>Consent of Deloitte &amp; Touche LLP, Independent Registered Public Accounting Firm</w:t>
      </w:r>
    </w:p>
    <w:p>
      <w:pPr>
        <w:spacing w:after="0" w:line="22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13a-14(a)/15d-14(a) Certifications:</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0000EE"/>
        </w:rPr>
        <w:t>Certifications</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1350 Certifications:</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0000EE"/>
        </w:rPr>
        <w:t>Certifications</w:t>
      </w:r>
    </w:p>
    <w:p>
      <w:pPr>
        <w:spacing w:after="0" w:line="22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 relating to erroneously awarded compensation:</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u w:val="single" w:color="auto"/>
          <w:color w:val="0000EE"/>
        </w:rPr>
        <w:t>REX American Resources Corporation Compensation Recovery Policy</w:t>
      </w:r>
    </w:p>
    <w:p>
      <w:pPr>
        <w:spacing w:after="0" w:line="22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Data File:</w:t>
      </w:r>
    </w:p>
    <w:p>
      <w:pPr>
        <w:spacing w:after="0" w:line="227"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101The following information from REX American Resources Corporation Annual Report on Form 10-K for the fiscal year ended January 31, 2024, formatted in iXBRL: (i) Consolidated Balance Sheets, (ii) Consolidated Statements of Operations, (iii) Consolidated Statements of Shareholders’ Equity, (iv) Consolidated Statements of Cash Flows and (v) Notes to Consolidated Financial Statements.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The cover page from REX American Resources Corporation on Form 10-K for the year ended January 31, 2024</w:t>
      </w:r>
    </w:p>
    <w:p>
      <w:pPr>
        <w:spacing w:after="0" w:line="221"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color w:val="auto"/>
        </w:rPr>
        <w:t>Copies of the Exhibits not filed herewith may be obtained by writing to Edward M. Kress, Secretary, REX American Resources Corporation, 7720 Paragon Road, Dayton, Ohio 45459.</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Those exhibits marked with an asterisk (*) above are management contracts or compensatory plans or arrangements for directors or executive officers of the registrant.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REX AMERICAN RESOURCES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ZAFAR A. RIZVI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180" w:type="dxa"/>
            <w:vAlign w:val="bottom"/>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Capacity</w:t>
            </w:r>
          </w:p>
        </w:tc>
        <w:tc>
          <w:tcPr>
            <w:tcW w:w="4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Pr>
          <w:p>
            <w:pPr>
              <w:spacing w:after="0"/>
              <w:rPr>
                <w:sz w:val="17"/>
                <w:szCs w:val="17"/>
                <w:color w:val="auto"/>
              </w:rPr>
            </w:pPr>
          </w:p>
        </w:tc>
      </w:tr>
      <w:tr>
        <w:trPr>
          <w:trHeight w:val="4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STUART A. ROSE</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A. Rose</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ZAFAR A. RIZVI</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 (principal executive</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Zafar A. Rizvi</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DOUGLAS L. BRUGGEMAN</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L. Bruggeman</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M. KRESS</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 Kress</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CHARLES A. ELCAN</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 Elcan</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 HARRIS</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 Harris</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MERVYN L. ALPHONSO</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Mervyn L. Alphonso</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LEE I. FISHER</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I. Fisher</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ANNE C. MACMILLAN</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C. MacMillan</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41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CHERYL L. BUSTOS</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Cheryl L. Bustos</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March 29, 2024</w:t>
            </w:r>
          </w:p>
        </w:tc>
      </w:tr>
      <w:tr>
        <w:trPr>
          <w:trHeight w:val="391"/>
        </w:trPr>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72</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60" w:type="dxa"/>
            <w:vAlign w:val="bottom"/>
            <w:tcBorders>
              <w:bottom w:val="single" w:sz="8" w:color="C0C0C0"/>
            </w:tcBorders>
          </w:tcPr>
          <w:p>
            <w:pPr>
              <w:spacing w:after="0"/>
              <w:rPr>
                <w:sz w:val="21"/>
                <w:szCs w:val="21"/>
                <w:color w:val="auto"/>
              </w:rPr>
            </w:pPr>
          </w:p>
        </w:tc>
        <w:tc>
          <w:tcPr>
            <w:tcW w:w="318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456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color w:val="auto"/>
        </w:rPr>
        <w:t>EXHIBIT 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SUBSIDIARIES OF REX AMERICAN RESOURCES CORPORATION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spacing w:after="0"/>
              <w:rPr>
                <w:sz w:val="22"/>
                <w:szCs w:val="22"/>
                <w:color w:val="auto"/>
              </w:rPr>
            </w:pP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78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auto"/>
              </w:rPr>
              <w:t>State of Incorporation</w:t>
            </w: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2040" w:type="dxa"/>
            <w:vAlign w:val="bottom"/>
            <w:vMerge w:val="restart"/>
          </w:tcPr>
          <w:p>
            <w:pPr>
              <w:spacing w:after="0"/>
              <w:rPr>
                <w:sz w:val="9"/>
                <w:szCs w:val="9"/>
                <w:color w:val="auto"/>
              </w:rPr>
            </w:pPr>
          </w:p>
        </w:tc>
        <w:tc>
          <w:tcPr>
            <w:tcW w:w="2740" w:type="dxa"/>
            <w:vAlign w:val="bottom"/>
            <w:gridSpan w:val="2"/>
            <w:vMerge w:val="restart"/>
          </w:tcPr>
          <w:p>
            <w:pPr>
              <w:spacing w:after="0" w:line="230" w:lineRule="exact"/>
              <w:rPr>
                <w:sz w:val="20"/>
                <w:szCs w:val="20"/>
                <w:color w:val="auto"/>
              </w:rPr>
            </w:pPr>
            <w:r>
              <w:rPr>
                <w:rFonts w:ascii="Times New Roman" w:cs="Times New Roman" w:eastAsia="Times New Roman" w:hAnsi="Times New Roman"/>
                <w:sz w:val="22"/>
                <w:szCs w:val="22"/>
                <w:color w:val="auto"/>
              </w:rPr>
              <w:t>or Organization</w:t>
            </w:r>
          </w:p>
        </w:tc>
        <w:tc>
          <w:tcPr>
            <w:tcW w:w="0" w:type="dxa"/>
            <w:vAlign w:val="bottom"/>
          </w:tcPr>
          <w:p>
            <w:pPr>
              <w:spacing w:after="0"/>
              <w:rPr>
                <w:sz w:val="1"/>
                <w:szCs w:val="1"/>
                <w:color w:val="auto"/>
              </w:rPr>
            </w:pPr>
          </w:p>
        </w:tc>
      </w:tr>
      <w:tr>
        <w:trPr>
          <w:trHeight w:val="102"/>
        </w:trPr>
        <w:tc>
          <w:tcPr>
            <w:tcW w:w="40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Alistar Enterprises, LLC</w:t>
            </w:r>
            <w:r>
              <w:rPr>
                <w:rFonts w:ascii="Times New Roman" w:cs="Times New Roman" w:eastAsia="Times New Roman" w:hAnsi="Times New Roman"/>
                <w:sz w:val="35"/>
                <w:szCs w:val="35"/>
                <w:color w:val="auto"/>
                <w:vertAlign w:val="superscript"/>
              </w:rPr>
              <w:t>(1)</w:t>
            </w:r>
          </w:p>
        </w:tc>
        <w:tc>
          <w:tcPr>
            <w:tcW w:w="2040" w:type="dxa"/>
            <w:vAlign w:val="bottom"/>
          </w:tcPr>
          <w:p>
            <w:pPr>
              <w:spacing w:after="0"/>
              <w:rPr>
                <w:sz w:val="24"/>
                <w:szCs w:val="24"/>
                <w:color w:val="auto"/>
              </w:rPr>
            </w:pPr>
          </w:p>
        </w:tc>
        <w:tc>
          <w:tcPr>
            <w:tcW w:w="13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AVA Acquisition Corp.</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68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Rex Radio and Television, Inc.</w:t>
            </w:r>
            <w:r>
              <w:rPr>
                <w:rFonts w:ascii="Times New Roman" w:cs="Times New Roman" w:eastAsia="Times New Roman" w:hAnsi="Times New Roman"/>
                <w:sz w:val="35"/>
                <w:szCs w:val="35"/>
                <w:color w:val="auto"/>
                <w:vertAlign w:val="superscript"/>
              </w:rPr>
              <w:t>(2)</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Rex Acquisition, LLC</w:t>
            </w:r>
            <w:r>
              <w:rPr>
                <w:rFonts w:ascii="Times New Roman" w:cs="Times New Roman" w:eastAsia="Times New Roman" w:hAnsi="Times New Roman"/>
                <w:sz w:val="35"/>
                <w:szCs w:val="35"/>
                <w:color w:val="auto"/>
                <w:vertAlign w:val="superscript"/>
              </w:rPr>
              <w:t>(3)</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REX Carbon, LLC</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68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RGPP I, LLC</w:t>
            </w:r>
            <w:r>
              <w:rPr>
                <w:rFonts w:ascii="Times New Roman" w:cs="Times New Roman" w:eastAsia="Times New Roman" w:hAnsi="Times New Roman"/>
                <w:sz w:val="35"/>
                <w:szCs w:val="35"/>
                <w:color w:val="auto"/>
                <w:vertAlign w:val="superscript"/>
              </w:rPr>
              <w:t>(4)</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REX/GPP II, LLC</w:t>
            </w:r>
            <w:r>
              <w:rPr>
                <w:rFonts w:ascii="Times New Roman" w:cs="Times New Roman" w:eastAsia="Times New Roman" w:hAnsi="Times New Roman"/>
                <w:sz w:val="35"/>
                <w:szCs w:val="35"/>
                <w:color w:val="auto"/>
                <w:vertAlign w:val="superscript"/>
              </w:rPr>
              <w:t>(4)</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REX Investment, LLC</w:t>
            </w:r>
            <w:r>
              <w:rPr>
                <w:rFonts w:ascii="Times New Roman" w:cs="Times New Roman" w:eastAsia="Times New Roman" w:hAnsi="Times New Roman"/>
                <w:sz w:val="35"/>
                <w:szCs w:val="35"/>
                <w:color w:val="auto"/>
                <w:vertAlign w:val="superscript"/>
              </w:rPr>
              <w:t>(5)</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REX IP, LLC</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68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REX Marketing Group, LLC</w:t>
            </w:r>
            <w:r>
              <w:rPr>
                <w:rFonts w:ascii="Times New Roman" w:cs="Times New Roman" w:eastAsia="Times New Roman" w:hAnsi="Times New Roman"/>
                <w:sz w:val="35"/>
                <w:szCs w:val="35"/>
                <w:color w:val="auto"/>
                <w:vertAlign w:val="superscript"/>
              </w:rPr>
              <w:t>(4)</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South Dakota</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RRC1, LLC</w:t>
            </w:r>
            <w:r>
              <w:rPr>
                <w:rFonts w:ascii="Times New Roman" w:cs="Times New Roman" w:eastAsia="Times New Roman" w:hAnsi="Times New Roman"/>
                <w:sz w:val="35"/>
                <w:szCs w:val="35"/>
                <w:color w:val="auto"/>
                <w:vertAlign w:val="superscript"/>
              </w:rPr>
              <w:t>(6)</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Incorporated</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688"/>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Big River Holding, LLC</w:t>
            </w:r>
            <w:r>
              <w:rPr>
                <w:rFonts w:ascii="Times New Roman" w:cs="Times New Roman" w:eastAsia="Times New Roman" w:hAnsi="Times New Roman"/>
                <w:sz w:val="35"/>
                <w:szCs w:val="35"/>
                <w:color w:val="auto"/>
                <w:vertAlign w:val="superscript"/>
              </w:rPr>
              <w:t>(7)</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Big River, LLC</w:t>
            </w:r>
            <w:r>
              <w:rPr>
                <w:rFonts w:ascii="Times New Roman" w:cs="Times New Roman" w:eastAsia="Times New Roman" w:hAnsi="Times New Roman"/>
                <w:sz w:val="35"/>
                <w:szCs w:val="35"/>
                <w:color w:val="auto"/>
                <w:vertAlign w:val="superscript"/>
              </w:rPr>
              <w:t>(8)</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Cardinal Holding, LLC</w:t>
            </w:r>
            <w:r>
              <w:rPr>
                <w:rFonts w:ascii="Times New Roman" w:cs="Times New Roman" w:eastAsia="Times New Roman" w:hAnsi="Times New Roman"/>
                <w:sz w:val="35"/>
                <w:szCs w:val="35"/>
                <w:color w:val="auto"/>
                <w:vertAlign w:val="superscript"/>
              </w:rPr>
              <w:t>(4)(7)</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Highwater Holding, LLC</w:t>
            </w:r>
            <w:r>
              <w:rPr>
                <w:rFonts w:ascii="Times New Roman" w:cs="Times New Roman" w:eastAsia="Times New Roman" w:hAnsi="Times New Roman"/>
                <w:sz w:val="35"/>
                <w:szCs w:val="35"/>
                <w:color w:val="auto"/>
                <w:vertAlign w:val="superscript"/>
              </w:rPr>
              <w:t>(4)(7)</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Highwater, LLC</w:t>
            </w:r>
            <w:r>
              <w:rPr>
                <w:rFonts w:ascii="Times New Roman" w:cs="Times New Roman" w:eastAsia="Times New Roman" w:hAnsi="Times New Roman"/>
                <w:sz w:val="35"/>
                <w:szCs w:val="35"/>
                <w:color w:val="auto"/>
                <w:vertAlign w:val="superscript"/>
              </w:rPr>
              <w:t>(4)(8)</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Levelland Holding, LLC</w:t>
            </w:r>
            <w:r>
              <w:rPr>
                <w:rFonts w:ascii="Times New Roman" w:cs="Times New Roman" w:eastAsia="Times New Roman" w:hAnsi="Times New Roman"/>
                <w:sz w:val="35"/>
                <w:szCs w:val="35"/>
                <w:color w:val="auto"/>
                <w:vertAlign w:val="superscript"/>
              </w:rPr>
              <w:t>(4)(7)</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646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Farmers Energy Levelland, LLC</w:t>
            </w:r>
            <w:r>
              <w:rPr>
                <w:rFonts w:ascii="Times New Roman" w:cs="Times New Roman" w:eastAsia="Times New Roman" w:hAnsi="Times New Roman"/>
                <w:sz w:val="35"/>
                <w:szCs w:val="35"/>
                <w:color w:val="auto"/>
                <w:vertAlign w:val="superscript"/>
              </w:rPr>
              <w:t>(4)(8)</w:t>
            </w:r>
          </w:p>
        </w:tc>
        <w:tc>
          <w:tcPr>
            <w:tcW w:w="204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90"/>
        </w:trPr>
        <w:tc>
          <w:tcPr>
            <w:tcW w:w="4080" w:type="dxa"/>
            <w:vAlign w:val="bottom"/>
            <w:tcBorders>
              <w:bottom w:val="single" w:sz="8" w:color="C0C0C0"/>
            </w:tcBorders>
          </w:tcPr>
          <w:p>
            <w:pPr>
              <w:spacing w:after="0"/>
              <w:rPr>
                <w:sz w:val="7"/>
                <w:szCs w:val="7"/>
                <w:color w:val="auto"/>
              </w:rPr>
            </w:pPr>
          </w:p>
        </w:tc>
        <w:tc>
          <w:tcPr>
            <w:tcW w:w="520" w:type="dxa"/>
            <w:vAlign w:val="bottom"/>
            <w:tcBorders>
              <w:bottom w:val="single" w:sz="8" w:color="C0C0C0"/>
            </w:tcBorders>
          </w:tcPr>
          <w:p>
            <w:pPr>
              <w:spacing w:after="0"/>
              <w:rPr>
                <w:sz w:val="7"/>
                <w:szCs w:val="7"/>
                <w:color w:val="auto"/>
              </w:rPr>
            </w:pPr>
          </w:p>
        </w:tc>
        <w:tc>
          <w:tcPr>
            <w:tcW w:w="1860" w:type="dxa"/>
            <w:vAlign w:val="bottom"/>
            <w:tcBorders>
              <w:bottom w:val="single" w:sz="8" w:color="C0C0C0"/>
            </w:tcBorders>
          </w:tcPr>
          <w:p>
            <w:pPr>
              <w:spacing w:after="0"/>
              <w:rPr>
                <w:sz w:val="7"/>
                <w:szCs w:val="7"/>
                <w:color w:val="auto"/>
              </w:rPr>
            </w:pPr>
          </w:p>
        </w:tc>
        <w:tc>
          <w:tcPr>
            <w:tcW w:w="2040" w:type="dxa"/>
            <w:vAlign w:val="bottom"/>
            <w:tcBorders>
              <w:bottom w:val="single" w:sz="8" w:color="C0C0C0"/>
            </w:tcBorders>
          </w:tcPr>
          <w:p>
            <w:pPr>
              <w:spacing w:after="0"/>
              <w:rPr>
                <w:sz w:val="7"/>
                <w:szCs w:val="7"/>
                <w:color w:val="auto"/>
              </w:rPr>
            </w:pPr>
          </w:p>
        </w:tc>
        <w:tc>
          <w:tcPr>
            <w:tcW w:w="1360" w:type="dxa"/>
            <w:vAlign w:val="bottom"/>
            <w:tcBorders>
              <w:bottom w:val="single" w:sz="8" w:color="C0C0C0"/>
            </w:tcBorders>
          </w:tcPr>
          <w:p>
            <w:pPr>
              <w:spacing w:after="0"/>
              <w:rPr>
                <w:sz w:val="7"/>
                <w:szCs w:val="7"/>
                <w:color w:val="auto"/>
              </w:rPr>
            </w:pPr>
          </w:p>
        </w:tc>
        <w:tc>
          <w:tcPr>
            <w:tcW w:w="1380" w:type="dxa"/>
            <w:vAlign w:val="bottom"/>
            <w:tcBorders>
              <w:bottom w:val="single" w:sz="8" w:color="C0C0C0"/>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73" w:name="page74"/>
    <w:bookmarkEnd w:id="73"/>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475"/>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Millennium Holding, LLC</w:t>
            </w:r>
            <w:r>
              <w:rPr>
                <w:rFonts w:ascii="Times New Roman" w:cs="Times New Roman" w:eastAsia="Times New Roman" w:hAnsi="Times New Roman"/>
                <w:sz w:val="35"/>
                <w:szCs w:val="35"/>
                <w:color w:val="auto"/>
                <w:vertAlign w:val="superscript"/>
              </w:rPr>
              <w:t>(4)(7)</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Millennium, LLC</w:t>
            </w:r>
            <w:r>
              <w:rPr>
                <w:rFonts w:ascii="Times New Roman" w:cs="Times New Roman" w:eastAsia="Times New Roman" w:hAnsi="Times New Roman"/>
                <w:sz w:val="35"/>
                <w:szCs w:val="35"/>
                <w:color w:val="auto"/>
                <w:vertAlign w:val="superscript"/>
              </w:rPr>
              <w:t>(4)(8)</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One Earth Holding, LLC</w:t>
            </w:r>
            <w:r>
              <w:rPr>
                <w:rFonts w:ascii="Times New Roman" w:cs="Times New Roman" w:eastAsia="Times New Roman" w:hAnsi="Times New Roman"/>
                <w:sz w:val="35"/>
                <w:szCs w:val="35"/>
                <w:color w:val="auto"/>
                <w:vertAlign w:val="superscript"/>
              </w:rPr>
              <w:t>(7)</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One Earth, LLC</w:t>
            </w:r>
            <w:r>
              <w:rPr>
                <w:rFonts w:ascii="Times New Roman" w:cs="Times New Roman" w:eastAsia="Times New Roman" w:hAnsi="Times New Roman"/>
                <w:sz w:val="35"/>
                <w:szCs w:val="35"/>
                <w:color w:val="auto"/>
                <w:vertAlign w:val="superscript"/>
              </w:rPr>
              <w:t>(8)</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One Earth Energy, LLC</w:t>
            </w:r>
            <w:r>
              <w:rPr>
                <w:rFonts w:ascii="Times New Roman" w:cs="Times New Roman" w:eastAsia="Times New Roman" w:hAnsi="Times New Roman"/>
                <w:sz w:val="35"/>
                <w:szCs w:val="35"/>
                <w:color w:val="auto"/>
                <w:vertAlign w:val="superscript"/>
              </w:rPr>
              <w:t>(9)</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Illinois</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One Earth Sequestration, LLC</w:t>
            </w:r>
            <w:r>
              <w:rPr>
                <w:rFonts w:ascii="Times New Roman" w:cs="Times New Roman" w:eastAsia="Times New Roman" w:hAnsi="Times New Roman"/>
                <w:sz w:val="35"/>
                <w:szCs w:val="35"/>
                <w:color w:val="auto"/>
                <w:vertAlign w:val="superscript"/>
              </w:rPr>
              <w:t>(10)</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Illinois</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Patriot Holding, LLC</w:t>
            </w:r>
            <w:r>
              <w:rPr>
                <w:rFonts w:ascii="Times New Roman" w:cs="Times New Roman" w:eastAsia="Times New Roman" w:hAnsi="Times New Roman"/>
                <w:sz w:val="35"/>
                <w:szCs w:val="35"/>
                <w:color w:val="auto"/>
                <w:vertAlign w:val="superscript"/>
              </w:rPr>
              <w:t>(7)</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Patriot, LLC</w:t>
            </w:r>
            <w:r>
              <w:rPr>
                <w:rFonts w:ascii="Times New Roman" w:cs="Times New Roman" w:eastAsia="Times New Roman" w:hAnsi="Times New Roman"/>
                <w:sz w:val="35"/>
                <w:szCs w:val="35"/>
                <w:color w:val="auto"/>
                <w:vertAlign w:val="superscript"/>
              </w:rPr>
              <w:t>(8)</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338"/>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FEI Investment Incorporated</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Delaware</w:t>
            </w:r>
          </w:p>
        </w:tc>
      </w:tr>
      <w:tr>
        <w:trPr>
          <w:trHeight w:val="688"/>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Future Energy, LLC</w:t>
            </w:r>
            <w:r>
              <w:rPr>
                <w:rFonts w:ascii="Times New Roman" w:cs="Times New Roman" w:eastAsia="Times New Roman" w:hAnsi="Times New Roman"/>
                <w:sz w:val="35"/>
                <w:szCs w:val="35"/>
                <w:color w:val="auto"/>
                <w:vertAlign w:val="superscript"/>
              </w:rPr>
              <w:t>(11)</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FE-II, LLC</w:t>
            </w:r>
            <w:r>
              <w:rPr>
                <w:rFonts w:ascii="Times New Roman" w:cs="Times New Roman" w:eastAsia="Times New Roman" w:hAnsi="Times New Roman"/>
                <w:sz w:val="35"/>
                <w:szCs w:val="35"/>
                <w:color w:val="auto"/>
                <w:vertAlign w:val="superscript"/>
              </w:rPr>
              <w:t>(12)</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REX NuGen Holding, LLC</w:t>
            </w:r>
            <w:r>
              <w:rPr>
                <w:rFonts w:ascii="Times New Roman" w:cs="Times New Roman" w:eastAsia="Times New Roman" w:hAnsi="Times New Roman"/>
                <w:sz w:val="35"/>
                <w:szCs w:val="35"/>
                <w:color w:val="auto"/>
                <w:vertAlign w:val="superscript"/>
              </w:rPr>
              <w:t>(7)</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w w:val="96"/>
              </w:rPr>
              <w:t>South Dakota</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REX NuGen, LLC</w:t>
            </w:r>
            <w:r>
              <w:rPr>
                <w:rFonts w:ascii="Times New Roman" w:cs="Times New Roman" w:eastAsia="Times New Roman" w:hAnsi="Times New Roman"/>
                <w:sz w:val="35"/>
                <w:szCs w:val="35"/>
                <w:color w:val="auto"/>
                <w:vertAlign w:val="superscript"/>
              </w:rPr>
              <w:t>(8)</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w w:val="96"/>
              </w:rPr>
              <w:t>South Dakota</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22"/>
                <w:szCs w:val="22"/>
                <w:color w:val="auto"/>
              </w:rPr>
              <w:t>NuGen Energy, LLC</w:t>
            </w:r>
            <w:r>
              <w:rPr>
                <w:rFonts w:ascii="Times New Roman" w:cs="Times New Roman" w:eastAsia="Times New Roman" w:hAnsi="Times New Roman"/>
                <w:sz w:val="35"/>
                <w:szCs w:val="35"/>
                <w:color w:val="auto"/>
                <w:vertAlign w:val="superscript"/>
              </w:rPr>
              <w:t>(9)</w:t>
            </w:r>
          </w:p>
        </w:tc>
        <w:tc>
          <w:tcPr>
            <w:tcW w:w="3060" w:type="dxa"/>
            <w:vAlign w:val="bottom"/>
          </w:tcPr>
          <w:p>
            <w:pPr>
              <w:ind w:left="1880"/>
              <w:spacing w:after="0"/>
              <w:rPr>
                <w:sz w:val="20"/>
                <w:szCs w:val="20"/>
                <w:color w:val="auto"/>
              </w:rPr>
            </w:pPr>
            <w:r>
              <w:rPr>
                <w:rFonts w:ascii="Times New Roman" w:cs="Times New Roman" w:eastAsia="Times New Roman" w:hAnsi="Times New Roman"/>
                <w:sz w:val="22"/>
                <w:szCs w:val="22"/>
                <w:color w:val="auto"/>
                <w:w w:val="96"/>
              </w:rPr>
              <w:t>South Dakota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1423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6" w:lineRule="exact"/>
        <w:rPr>
          <w:sz w:val="20"/>
          <w:szCs w:val="20"/>
          <w:color w:val="auto"/>
        </w:rPr>
      </w:pPr>
    </w:p>
    <w:p>
      <w:pPr>
        <w:ind w:left="452" w:hanging="452"/>
        <w:spacing w:after="0"/>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RRC1, LLC</w:t>
      </w:r>
    </w:p>
    <w:p>
      <w:pPr>
        <w:spacing w:after="0" w:line="14" w:lineRule="exact"/>
        <w:rPr>
          <w:rFonts w:ascii="Times New Roman" w:cs="Times New Roman" w:eastAsia="Times New Roman" w:hAnsi="Times New Roman"/>
          <w:sz w:val="18"/>
          <w:szCs w:val="18"/>
          <w:color w:val="auto"/>
        </w:rPr>
      </w:pP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AVA Acquisition Corp.</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Rex Radio and Television, Inc.</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Non-operating or inactive subsidiary.</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AVA Acquisition Corp. is the managing member and owns a 98.032% Class A membership interest, a 95.46% Class B membership interest and a 100% Class C membership interest.</w:t>
      </w:r>
    </w:p>
    <w:p>
      <w:pPr>
        <w:spacing w:after="0" w:line="1" w:lineRule="exact"/>
        <w:rPr>
          <w:rFonts w:ascii="Times New Roman" w:cs="Times New Roman" w:eastAsia="Times New Roman" w:hAnsi="Times New Roman"/>
          <w:sz w:val="18"/>
          <w:szCs w:val="18"/>
          <w:color w:val="auto"/>
        </w:rPr>
      </w:pP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AVA Acquisition Corp. owns a 95.35% percentage interest.</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First-tier wholly-owned subsidiary of Farmers Energy Incorporated.</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Second-tier wholly-owned subsidiary of Farmers Energy Incorporated.</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Third-tier majority-owned subsidiary of Farmers Energy Incorporated.</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Fourth-tier majority-owned subsidiary of Farmers Energy Incorporated.</w:t>
      </w:r>
    </w:p>
    <w:p>
      <w:pPr>
        <w:ind w:left="452" w:hanging="452"/>
        <w:spacing w:after="0" w:line="230" w:lineRule="auto"/>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Majority-owned subsidiary of REX IP, LLC.</w:t>
      </w:r>
    </w:p>
    <w:p>
      <w:pPr>
        <w:ind w:left="452" w:hanging="452"/>
        <w:spacing w:after="0"/>
        <w:tabs>
          <w:tab w:leader="none" w:pos="4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Future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92"/>
          </w:cols>
          <w:pgMar w:left="328" w:top="621" w:right="8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 (No. 333-205419) on Form S-8 of REX American Resources Corporation of our report dated March 29, 2024, relating to the consolidated financial statements and the financial statement schedule, and the effectiveness of internal control over financial reporting of REX American Resources Corporation, appearing in this Annual Report on Form 10-K of REX American Resources Corporation for the year ended January 31, 2024.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Des Moines, Iowa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29, 2024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23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79"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333-205419 on Form S-8 of our report dated March 30, 2023 (March 29, 2024, as to the basis of presentation described in Note 1), relating to the financial statements of REX American Resources Corporation and subsidiaries (the “Company”) as of January 31, 2023 and for the years ended January 31, 2023 and 2022 appearing in this Annual Report on Form 10-K for the year ended January 31,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Dayton, Ohio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8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left="-656" w:firstLine="656"/>
        <w:spacing w:after="0" w:line="282" w:lineRule="auto"/>
        <w:tabs>
          <w:tab w:leader="none" w:pos="1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8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Date: March 29, 2024</w:t>
      </w:r>
    </w:p>
    <w:p>
      <w:pPr>
        <w:spacing w:after="0" w:line="212"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142875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621" w:right="419" w:bottom="1440" w:gutter="0" w:footer="0" w:header="0"/>
        </w:sectPr>
      </w:pPr>
    </w:p>
    <w:bookmarkStart w:id="78" w:name="page79"/>
    <w:bookmarkEnd w:id="7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20" w:hanging="16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52"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617" w:right="399" w:bottom="1440" w:gutter="0" w:footer="0" w:header="0"/>
        </w:sectPr>
      </w:pPr>
    </w:p>
    <w:bookmarkStart w:id="79" w:name="page80"/>
    <w:bookmarkEnd w:id="79"/>
    <w:p>
      <w:pPr>
        <w:ind w:left="-656" w:firstLine="656"/>
        <w:spacing w:after="0" w:line="282" w:lineRule="auto"/>
        <w:tabs>
          <w:tab w:leader="none" w:pos="1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100" w:firstLine="644"/>
        <w:spacing w:after="0" w:line="282" w:lineRule="auto"/>
        <w:tabs>
          <w:tab w:leader="none" w:pos="8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380" w:firstLine="644"/>
        <w:spacing w:after="0" w:line="282" w:lineRule="auto"/>
        <w:tabs>
          <w:tab w:leader="none" w:pos="9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Date: March 29, 2024</w:t>
      </w:r>
    </w:p>
    <w:p>
      <w:pPr>
        <w:spacing w:after="0" w:line="225"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142875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621" w:right="4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Annual Report on Form 10-K for the period ended January 31, 2024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ind w:left="1006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REX AMERICAN RESOURCES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November 15, 2023)</w:t>
      </w:r>
    </w:p>
    <w:p>
      <w:pPr>
        <w:spacing w:after="0" w:line="205" w:lineRule="exact"/>
        <w:rPr>
          <w:sz w:val="20"/>
          <w:szCs w:val="20"/>
          <w:color w:val="auto"/>
        </w:rPr>
      </w:pPr>
    </w:p>
    <w:p>
      <w:pPr>
        <w:jc w:val="both"/>
        <w:ind w:firstLine="656"/>
        <w:spacing w:after="0" w:line="236" w:lineRule="auto"/>
        <w:tabs>
          <w:tab w:leader="none" w:pos="877"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r>
        <w:rPr>
          <w:rFonts w:ascii="Times New Roman" w:cs="Times New Roman" w:eastAsia="Times New Roman" w:hAnsi="Times New Roman"/>
          <w:sz w:val="22"/>
          <w:szCs w:val="22"/>
          <w:color w:val="auto"/>
        </w:rPr>
        <w:t>.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REX American Resources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adopted as of November 15, 2023 this Compensation Recovery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recovery of certain executive compensation in the event of an accounting restatement resulting from material noncompliance with financial reporting requirements under the federal securities laws. This Policy is intended to comply with Section 10D of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rules of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promulgated thereunder and the listing requirements of the New York Stock Exchange, or such other national securities exchange on which the Company’s securities may be listed from time to time (the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b w:val="1"/>
          <w:bCs w:val="1"/>
          <w:color w:val="auto"/>
        </w:rPr>
      </w:pPr>
    </w:p>
    <w:p>
      <w:pPr>
        <w:ind w:firstLine="656"/>
        <w:spacing w:after="0" w:line="262" w:lineRule="auto"/>
        <w:tabs>
          <w:tab w:leader="none" w:pos="927"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Executive Officers</w:t>
      </w:r>
      <w:r>
        <w:rPr>
          <w:rFonts w:ascii="Times New Roman" w:cs="Times New Roman" w:eastAsia="Times New Roman" w:hAnsi="Times New Roman"/>
          <w:sz w:val="22"/>
          <w:szCs w:val="22"/>
          <w:color w:val="auto"/>
        </w:rPr>
        <w:t>. This Policy applies to the Company’s current and former executive officers,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Board in accordance with Section 10D of the Exchange Act (the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b w:val="1"/>
          <w:bCs w:val="1"/>
          <w:color w:val="auto"/>
        </w:rPr>
      </w:pPr>
    </w:p>
    <w:p>
      <w:pPr>
        <w:ind w:left="880" w:hanging="224"/>
        <w:spacing w:after="0"/>
        <w:tabs>
          <w:tab w:leader="none" w:pos="8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in General; Applicable Restatements</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 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 is material to the previously issued financial statements, or (ii) would result in a material misstatement if the error were corrected in the current period or left uncorrected in the current period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Compensation Committee of the Board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cause the Company to promptly recover, to the fullest extent permitted under applicable law (and subject to the exceptions set forth below), any erroneously awarded Incentive Compensation (as defined in Section 4 below) received by each Executive Officer during the three completed fiscal years immediately preceding the date on which the Company is required to prepare such a Restatement (including, where required under Section 10D of the Exchange Act, any transition period resulting from a change in the Company’s fiscal year).</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b. For purposes of clarity, a “Restatement” shall not be deemed to include changes to the Company’s financial restatements that do not involve the correction of an error resulting from material non-compliance with financial reporting requirements, as determined in accordance with applicable accounting standards and guidance. By way of example, based on current accounting standards and guidance, a “Restatement” would not include changes to the Company’s financial statements resulting solely from: (i) retrospective application of a change in accounting principles; (ii) retrospective revision to reportable segment information due to a change in the structure of the Company’s internal organization; (iii) retrospective reclassification due to a discontinued operation; (iv) retrospective application of a change in reporting entity, such as from a reorganization of entities under common control; or (v) retrospective revision for stock splits, stock dividends, reverse stock splits or other changes in capital structure.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c. For purposes of this Policy, the date that the Company is required to prepare a Restatement shall be the earlier of (i) the date that the Board (or the officer or officers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jc w:val="both"/>
        <w:spacing w:after="0" w:line="244" w:lineRule="auto"/>
        <w:rPr>
          <w:sz w:val="20"/>
          <w:szCs w:val="20"/>
          <w:color w:val="auto"/>
        </w:rPr>
      </w:pPr>
      <w:r>
        <w:rPr>
          <w:rFonts w:ascii="Times New Roman" w:cs="Times New Roman" w:eastAsia="Times New Roman" w:hAnsi="Times New Roman"/>
          <w:sz w:val="22"/>
          <w:szCs w:val="22"/>
          <w:color w:val="auto"/>
        </w:rPr>
        <w:t>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d. For purposes of this Policy, Incentive Compensation shall be deemed to be received by an Executive Officer in the Company’s fiscal period during which the applicable Financial Reporting Measure (as defined in Section 4 below) specified in the Incentive Compensation award is attained, even if the payment or grant of the Incentive Compensation occurs after the end of that period.</w:t>
      </w:r>
    </w:p>
    <w:p>
      <w:pPr>
        <w:spacing w:after="0" w:line="203" w:lineRule="exact"/>
        <w:rPr>
          <w:sz w:val="20"/>
          <w:szCs w:val="20"/>
          <w:color w:val="auto"/>
        </w:rPr>
      </w:pPr>
    </w:p>
    <w:p>
      <w:pPr>
        <w:jc w:val="both"/>
        <w:ind w:firstLine="656"/>
        <w:spacing w:after="0" w:line="228" w:lineRule="auto"/>
        <w:tabs>
          <w:tab w:leader="none" w:pos="89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Incentive Compensation</w:t>
      </w:r>
      <w:r>
        <w:rPr>
          <w:rFonts w:ascii="Times New Roman" w:cs="Times New Roman" w:eastAsia="Times New Roman" w:hAnsi="Times New Roman"/>
          <w:sz w:val="22"/>
          <w:szCs w:val="22"/>
          <w:color w:val="auto"/>
        </w:rPr>
        <w:t>. For purposes of this Policy, “</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means any compensation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earned or vested based wholly or in part on the attainment of a Financial Reporting Measure (as defined below). For purposes of this Policy, “</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are measures that are determined and presented in accordance with the accounting principles used in preparing the Company’s financial statements, and any measures that are derived wholly or in part from such measures, regardless of whether such measures are presented within the Company’s financial statements or included in a filing with the Commission. Financial Reporting Measures include stock price and total shareholder return.</w:t>
      </w:r>
    </w:p>
    <w:p>
      <w:pPr>
        <w:spacing w:after="0" w:line="178" w:lineRule="exact"/>
        <w:rPr>
          <w:rFonts w:ascii="Times New Roman" w:cs="Times New Roman" w:eastAsia="Times New Roman" w:hAnsi="Times New Roman"/>
          <w:sz w:val="22"/>
          <w:szCs w:val="22"/>
          <w:b w:val="1"/>
          <w:bCs w:val="1"/>
          <w:color w:val="auto"/>
        </w:rPr>
      </w:pPr>
    </w:p>
    <w:p>
      <w:pPr>
        <w:ind w:left="880" w:hanging="224"/>
        <w:spacing w:after="0"/>
        <w:tabs>
          <w:tab w:leader="none" w:pos="8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Erroneously Awarded Compensation: Amount Subject to Recovery</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 The amount to be recovered from an Executive Officer pursuant to this Policy in the event of a Restatement shall equal the amount of Incentive Compensation received by the Executive Officer that exceeds the amount of Incentive Compensation that otherwise would have been received had it been determined based on the restated amounts, computed without regard to any taxes paid.</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b. Where the amount of erroneously awarded Incentive Compensation is not subject to mathematical recalculation directly from the information in the Restatement (as in the case of Incentive Compensation based on stock price or total shareholder return), the Committee shall determine such amount based on a reasonable estimate of the effect of the Restatement on the applicable Financial Reporting Measure, and the Committee shall maintain documentation of any such estimate and provide such documentation to the Exchange.</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c. To the extent that this Policy otherwise would provide for recovery of Incentive Compensation that the Company has recovered from an Executive Officer pursuant to Section 304 of the Sarbanes-Oxley Act of 2002 (or pursuant to any other recovery obligation), the amount already so recovered from such Executive Officer may be credited against the recovery otherwise required under this Policy.</w:t>
      </w:r>
    </w:p>
    <w:p>
      <w:pPr>
        <w:spacing w:after="0" w:line="203" w:lineRule="exact"/>
        <w:rPr>
          <w:sz w:val="20"/>
          <w:szCs w:val="20"/>
          <w:color w:val="auto"/>
        </w:rPr>
      </w:pPr>
    </w:p>
    <w:p>
      <w:pPr>
        <w:jc w:val="both"/>
        <w:ind w:firstLine="656"/>
        <w:spacing w:after="0" w:line="246" w:lineRule="auto"/>
        <w:tabs>
          <w:tab w:leader="none" w:pos="868"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Exceptions to Recovery</w:t>
      </w:r>
      <w:r>
        <w:rPr>
          <w:rFonts w:ascii="Times New Roman" w:cs="Times New Roman" w:eastAsia="Times New Roman" w:hAnsi="Times New Roman"/>
          <w:sz w:val="22"/>
          <w:szCs w:val="22"/>
          <w:color w:val="auto"/>
        </w:rPr>
        <w:t>. Notwithstanding anything herein to the contrary, the Company need not recover erroneously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awarded Incentive Compensation from an Executive Officer to the extent that the Committee determines that such recovery would be impracticable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either:</w:t>
      </w:r>
    </w:p>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 The direct expense paid to a third party to assist in enforcing this Policy would exceed the amount to be recovered (determined by the Committee after making and documenting</w:t>
      </w:r>
    </w:p>
    <w:p>
      <w:pPr>
        <w:spacing w:after="0" w:line="1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83" w:name="page84"/>
    <w:bookmarkEnd w:id="83"/>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a reasonable attempt to recover such erroneously awarded compensation, and providing documentation to the Exchange of such reasonable attempt to recover the compensation); </w:t>
      </w:r>
      <w:r>
        <w:rPr>
          <w:rFonts w:ascii="Times New Roman" w:cs="Times New Roman" w:eastAsia="Times New Roman" w:hAnsi="Times New Roman"/>
          <w:sz w:val="22"/>
          <w:szCs w:val="22"/>
          <w:i w:val="1"/>
          <w:iCs w:val="1"/>
          <w:color w:val="auto"/>
        </w:rPr>
        <w:t>or</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b. Recovery would likely cause an otherwise tax-qualified retirement plan, under which benefits are broadly available to employees of the Company, to fail to meet the requirements of Section 401(a)(13) or Section 411(a) of the Internal Revenue Code and regulations thereunder; </w:t>
      </w:r>
      <w:r>
        <w:rPr>
          <w:rFonts w:ascii="Times New Roman" w:cs="Times New Roman" w:eastAsia="Times New Roman" w:hAnsi="Times New Roman"/>
          <w:sz w:val="22"/>
          <w:szCs w:val="22"/>
          <w:i w:val="1"/>
          <w:iCs w:val="1"/>
          <w:color w:val="auto"/>
        </w:rPr>
        <w:t>or</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c. Recovery would violate home country law where that law was adopted prior to November 28, 2022 (determined by the Committee after the Company has obtained an opinion of home country counsel acceptable to the Exchange, that recovery would result in such a violation, and such opinion is provided to the Exchange).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7. Methods of Recovery</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 The Committee will determine, in its absolute discretion and taking into account the applicable facts and circumstances, the method or methods for recovering any erroneously awarded Incentive Compensation hereunder, which method(s) need not be applied on a consistent basis; provided in any case that any such method provides for reasonably prompt recovery and otherwise complies with any requirements of the Exchange and applicable law. By way of example and not in limitation of the foregoing, methods of recovery that the Committee, in its discretion, may determine to use under the Policy may include, to the extent permitted by applicable law (including, without limitation, Section 409A of the Internal Revenue Code of 1986, as amended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one or more of the following methods (which rights shall be cumulative and not exclusive): (i) repayment by the Executive Officer in immediately available funds, (ii) the forfeiture or repayment of Incentive Compensation, (iii) the forfeiture or repayment of time-based equity or cash incentive compensation awards, (iv) the surrender of shares of Company common stock held by the Executive Officer pursuant to any applicable Company guidelines or policies regarding stock ownership or retention, (v) the forfeiture of, or offset against, benefits under a deferred compensation plan, and/or (vi) the offset of all or a portion of the amount of the erroneously awarded Incentive Compensation against other compensation payable to the Executive Officer.</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 To the fullest extent permitted by applicable law (including, without limitation, Section 409A), the Committee may, in its sole discretion, delay the vesting or payment of any compensation otherwise payable to an Executive Officer to provide a reasonable period of time to conduct or complete an investigation into whether this Policy is applicable, and if so, how it should be enforced, under the circumstances.</w:t>
      </w:r>
    </w:p>
    <w:p>
      <w:pPr>
        <w:spacing w:after="0" w:line="203" w:lineRule="exact"/>
        <w:rPr>
          <w:sz w:val="20"/>
          <w:szCs w:val="20"/>
          <w:color w:val="auto"/>
        </w:rPr>
      </w:pPr>
    </w:p>
    <w:p>
      <w:pPr>
        <w:jc w:val="both"/>
        <w:ind w:firstLine="656"/>
        <w:spacing w:after="0" w:line="238" w:lineRule="auto"/>
        <w:tabs>
          <w:tab w:leader="none" w:pos="877"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Indemnification</w:t>
      </w:r>
      <w:r>
        <w:rPr>
          <w:rFonts w:ascii="Times New Roman" w:cs="Times New Roman" w:eastAsia="Times New Roman" w:hAnsi="Times New Roman"/>
          <w:sz w:val="22"/>
          <w:szCs w:val="22"/>
          <w:color w:val="auto"/>
        </w:rPr>
        <w:t>. Notwithstanding the terms of any agreement, policy or governing document of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contrary, the Company shall not indemnify any Executive Officer against (a) the loss of any erroneously awarded Incentive Compensation, or (b) any claim relating to the Company’s enforcement of its rights under this Policy. By signing the Acknowledgement Agreement (defined below), each Executive Officer irrevocably agrees never to institute any claim against the Company or any subsidiary, knowingly and voluntarily waives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7830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jc w:val="both"/>
        <w:spacing w:after="0" w:line="236" w:lineRule="auto"/>
        <w:rPr>
          <w:sz w:val="20"/>
          <w:szCs w:val="20"/>
          <w:color w:val="auto"/>
        </w:rPr>
      </w:pPr>
      <w:r>
        <w:rPr>
          <w:rFonts w:ascii="Times New Roman" w:cs="Times New Roman" w:eastAsia="Times New Roman" w:hAnsi="Times New Roman"/>
          <w:sz w:val="22"/>
          <w:szCs w:val="22"/>
          <w:color w:val="auto"/>
        </w:rPr>
        <w:t>his or her ability, if any, to bring any such claim, and releases the Company and any subsidiary from any such claim, for indemnification with respect to any expenses (including attorneys’ fees), judgments or amounts of compensation paid or forfeited by the Executive Officer in connection with the application or enforcement of this Policy; and if, notwithstanding the foregoing, any such claim for indemnification is allowed by a court of competent jurisdiction, then, the Executive Officer shall be deemed irrevocably to have agreed not to pursue such claim and hereby agrees to execute any and all documents necessary to request dismissal or withdrawal of such claim.</w:t>
      </w:r>
    </w:p>
    <w:p>
      <w:pPr>
        <w:spacing w:after="0" w:line="205" w:lineRule="exact"/>
        <w:rPr>
          <w:sz w:val="20"/>
          <w:szCs w:val="20"/>
          <w:color w:val="auto"/>
        </w:rPr>
      </w:pPr>
    </w:p>
    <w:p>
      <w:pPr>
        <w:jc w:val="both"/>
        <w:ind w:firstLine="656"/>
        <w:spacing w:after="0" w:line="236" w:lineRule="auto"/>
        <w:tabs>
          <w:tab w:leader="none" w:pos="904"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This Policy shall be administered by the Committee. The Committee shall have full and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make all determinations under this Policy. In this regard, the Committee shall have no obligation to treat any Executive Officer uniformly and the Committee may make determinations selectively among Executive Officers in its business judgment. All determinations and decisions made by the Committee pursuant to the provisions of this Policy shall be final, conclusive and binding on all persons, including the Company, its subsidiaries, its stockholders and its employees. It is intended that this Policy be interpreted in a manner that is consistent with the requirements of Section 10D of the Exchange Act and any applicable rules or standards adopted by the Commission or the Exchange.</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37" w:lineRule="auto"/>
        <w:tabs>
          <w:tab w:leader="none" w:pos="985"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Not Exclusive</w:t>
      </w:r>
      <w:r>
        <w:rPr>
          <w:rFonts w:ascii="Times New Roman" w:cs="Times New Roman" w:eastAsia="Times New Roman" w:hAnsi="Times New Roman"/>
          <w:sz w:val="22"/>
          <w:szCs w:val="22"/>
          <w:color w:val="auto"/>
        </w:rPr>
        <w:t>. The remedies specified in this Policy shall not be exclusive and shall be in addition to every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right or remedy at law or in equity that may be available to the Company. The repayment or forfeiture of Incentive Compensation or other amounts pursuant to the Policy shall not in any way limit or affect the Company’s right to pursue disciplinary action or dismissal, take legal action or pursue any other remedies available to the Company (including, without limitation, the exercise of any rights of recovery, recoupment, forfeiture or offset that may be available to the Company pursuant to the terms of any other applicable Company policy, employment agreement, equity plan or award agreement).</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9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This Policy shall be effective as of the date it is adopted by the Board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to any Incentive Compensation that is (a) approved, awarded or granted to an Executive Officer on or after the Effective Date, or (b) received by an Executive Officer on or after the effective date of the listing standards adopted by the Exchange pursuant to Section 10D of the Exchange Act.</w:t>
      </w:r>
    </w:p>
    <w:p>
      <w:pPr>
        <w:spacing w:after="0" w:line="198" w:lineRule="exact"/>
        <w:rPr>
          <w:rFonts w:ascii="Times New Roman" w:cs="Times New Roman" w:eastAsia="Times New Roman" w:hAnsi="Times New Roman"/>
          <w:sz w:val="22"/>
          <w:szCs w:val="22"/>
          <w:b w:val="1"/>
          <w:bCs w:val="1"/>
          <w:color w:val="auto"/>
        </w:rPr>
      </w:pPr>
    </w:p>
    <w:p>
      <w:pPr>
        <w:jc w:val="both"/>
        <w:ind w:firstLine="656"/>
        <w:spacing w:after="0" w:line="236" w:lineRule="auto"/>
        <w:tabs>
          <w:tab w:leader="none" w:pos="972"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Termination</w:t>
      </w:r>
      <w:r>
        <w:rPr>
          <w:rFonts w:ascii="Times New Roman" w:cs="Times New Roman" w:eastAsia="Times New Roman" w:hAnsi="Times New Roman"/>
          <w:sz w:val="22"/>
          <w:szCs w:val="22"/>
          <w:color w:val="auto"/>
        </w:rPr>
        <w:t>. The Board may amend this Policy from time to time in its discretion and shall amend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as it may deem necessary to comply with the rules of the Commission and the listing standards of the Exchange under Section 10D of the Exchange Act (in any event without the consent of an Executive Officer or any other individual). The Board may terminate this Policy at any time. Notwithstanding the foregoing, no amendment or termination of this Policy shall be effective to the extent that such amendment or termination would (after taking into account any actions taken by the Company contemporaneously with such amendment or termination) cause the Company to violate any federal securities law, any rule of the Commission, or any listing standards of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783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jc w:val="both"/>
        <w:ind w:firstLine="656"/>
        <w:spacing w:after="0" w:line="233" w:lineRule="auto"/>
        <w:tabs>
          <w:tab w:leader="none" w:pos="1009"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Exclusive Forum</w:t>
      </w:r>
      <w:r>
        <w:rPr>
          <w:rFonts w:ascii="Times New Roman" w:cs="Times New Roman" w:eastAsia="Times New Roman" w:hAnsi="Times New Roman"/>
          <w:sz w:val="22"/>
          <w:szCs w:val="22"/>
          <w:color w:val="auto"/>
        </w:rPr>
        <w:t>. To the extent not preempted by federal law, this Policy shall be governed,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interpreted and enforced in accordance with the substantive laws of the State of Delaware, without regard to conflicts of law principles. Notwithstanding any dispute resolution policy maintained by the Company or any subsidiary to the contrary, any action directly or indirectly arising out of or related to this Policy may be brought only in the Court of Chancery of the State of Delaware (the “</w:t>
      </w:r>
      <w:r>
        <w:rPr>
          <w:rFonts w:ascii="Times New Roman" w:cs="Times New Roman" w:eastAsia="Times New Roman" w:hAnsi="Times New Roman"/>
          <w:sz w:val="22"/>
          <w:szCs w:val="22"/>
          <w:u w:val="single" w:color="auto"/>
          <w:color w:val="auto"/>
        </w:rPr>
        <w:t>Court of Chancery</w:t>
      </w:r>
      <w:r>
        <w:rPr>
          <w:rFonts w:ascii="Times New Roman" w:cs="Times New Roman" w:eastAsia="Times New Roman" w:hAnsi="Times New Roman"/>
          <w:sz w:val="22"/>
          <w:szCs w:val="22"/>
          <w:color w:val="auto"/>
        </w:rPr>
        <w:t>”) or, to the extent the Court of Chancery does not have subject matter jurisdiction, the United States District Court for the District of Delaware and the appellate courts having jurisdiction of appeals in such courts (the “</w:t>
      </w:r>
      <w:r>
        <w:rPr>
          <w:rFonts w:ascii="Times New Roman" w:cs="Times New Roman" w:eastAsia="Times New Roman" w:hAnsi="Times New Roman"/>
          <w:sz w:val="22"/>
          <w:szCs w:val="22"/>
          <w:u w:val="single" w:color="auto"/>
          <w:color w:val="auto"/>
        </w:rPr>
        <w:t>Delaware Federal Court</w:t>
      </w:r>
      <w:r>
        <w:rPr>
          <w:rFonts w:ascii="Times New Roman" w:cs="Times New Roman" w:eastAsia="Times New Roman" w:hAnsi="Times New Roman"/>
          <w:sz w:val="22"/>
          <w:szCs w:val="22"/>
          <w:color w:val="auto"/>
        </w:rPr>
        <w:t>”) or, to the extent neither the Court of Chancery nor the Delaware Federal Court has subject matter jurisdiction, the Superior Court of the State of Delaware (the “</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Solely with respect to any such action, the Company and each Executive Officer (a) irrevocably submits to the exclusive jurisdiction of the Chosen Courts, (b) waives any objection to laying venue in any such action in the Chosen Courts, and (c) waives any objection that the Chosen Courts are an inconvenient forum or do not have jurisdiction over any party hereto. Notwithstanding the existence of any other dispute between the Company and an Executive Officer, the governing law and choice of forum for any action directly or indirectly arising out of or related to this Policy shall be governed exclusively by the terms of this Policy, and to the extent necessary to comply with this Policy, any action directly or indirectly arising out of or related to this Policy shall be severed from any other dispute between the Company and an Executive Officer. For avoidance of doubt, no action directly or indirectly arising out of or related to this Policy may be brought in any forum other than the Chosen Courts.</w:t>
      </w:r>
    </w:p>
    <w:p>
      <w:pPr>
        <w:spacing w:after="0" w:line="201" w:lineRule="exact"/>
        <w:rPr>
          <w:rFonts w:ascii="Times New Roman" w:cs="Times New Roman" w:eastAsia="Times New Roman" w:hAnsi="Times New Roman"/>
          <w:sz w:val="22"/>
          <w:szCs w:val="22"/>
          <w:b w:val="1"/>
          <w:bCs w:val="1"/>
          <w:color w:val="auto"/>
        </w:rPr>
      </w:pPr>
    </w:p>
    <w:p>
      <w:pPr>
        <w:jc w:val="both"/>
        <w:ind w:firstLine="656"/>
        <w:spacing w:after="0" w:line="237" w:lineRule="auto"/>
        <w:tabs>
          <w:tab w:leader="none" w:pos="1019"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Waiver</w:t>
      </w:r>
      <w:r>
        <w:rPr>
          <w:rFonts w:ascii="Times New Roman" w:cs="Times New Roman" w:eastAsia="Times New Roman" w:hAnsi="Times New Roman"/>
          <w:sz w:val="22"/>
          <w:szCs w:val="22"/>
          <w:color w:val="auto"/>
        </w:rPr>
        <w:t>. If any provision of this Policy is determined to be unenforceable or invalid under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such provision will be applied to the maximum extent permitted by applicable law and shall automatically be deemed amended in a manner consistent with its objectives to the extent necessary to conform to any limitations required under applicable law. The waiver by the Company or the Committee with respect to compliance of any provision of this Policy by an Executive Officer shall not operate or be construed as a waiver of any other provision of this Policy, or of any subsequent acts or omissions by an Executive Officer under this Policy.</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46" w:lineRule="auto"/>
        <w:tabs>
          <w:tab w:leader="none" w:pos="985"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Filings</w:t>
      </w:r>
      <w:r>
        <w:rPr>
          <w:rFonts w:ascii="Times New Roman" w:cs="Times New Roman" w:eastAsia="Times New Roman" w:hAnsi="Times New Roman"/>
          <w:sz w:val="22"/>
          <w:szCs w:val="22"/>
          <w:color w:val="auto"/>
        </w:rPr>
        <w:t>. The Committee shall cause the Company to make any filings with, or submissions to, the Commission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Exchange that may be required pursuant to rules or standards adopted by the Commission or the Exchange pursuant to Section 10D of the Exchange Act.</w:t>
      </w:r>
    </w:p>
    <w:p>
      <w:pPr>
        <w:spacing w:after="0" w:line="194"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Acknowledgement by Executive Officers</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a. The Committee shall require each Executive Officer serving as such on or after the Effective Date to sign and return to the Company an acknowledgement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in such other form as may be prescribed by the Committee from time to time) (the “</w:t>
      </w:r>
      <w:r>
        <w:rPr>
          <w:rFonts w:ascii="Times New Roman" w:cs="Times New Roman" w:eastAsia="Times New Roman" w:hAnsi="Times New Roman"/>
          <w:sz w:val="22"/>
          <w:szCs w:val="22"/>
          <w:u w:val="single" w:color="auto"/>
          <w:color w:val="auto"/>
        </w:rPr>
        <w:t>Acknowledgement Agreement</w:t>
      </w:r>
      <w:r>
        <w:rPr>
          <w:rFonts w:ascii="Times New Roman" w:cs="Times New Roman" w:eastAsia="Times New Roman" w:hAnsi="Times New Roman"/>
          <w:sz w:val="22"/>
          <w:szCs w:val="22"/>
          <w:color w:val="auto"/>
        </w:rPr>
        <w:t>”), pursuant to which the Executive Officer will affirmatively agree to be bound by, and to comply with, the terms and conditions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b. Moreover, any award agreement or other document setting forth the terms and conditions of Incentive Compensation (collectively, a “</w:t>
      </w:r>
      <w:r>
        <w:rPr>
          <w:rFonts w:ascii="Times New Roman" w:cs="Times New Roman" w:eastAsia="Times New Roman" w:hAnsi="Times New Roman"/>
          <w:sz w:val="22"/>
          <w:szCs w:val="22"/>
          <w:u w:val="single" w:color="auto"/>
          <w:color w:val="auto"/>
        </w:rPr>
        <w:t>Covered Agreement</w:t>
      </w:r>
      <w:r>
        <w:rPr>
          <w:rFonts w:ascii="Times New Roman" w:cs="Times New Roman" w:eastAsia="Times New Roman" w:hAnsi="Times New Roman"/>
          <w:sz w:val="22"/>
          <w:szCs w:val="22"/>
          <w:color w:val="auto"/>
        </w:rPr>
        <w:t>”) may include a provision incorporating the terms and conditions of the Policy; provided that the Company’s failure to incorporate the Policy into any Covered Agreement shall not waive the Company’s right to enforce the Policy. In the event of any inconsistency between the provisions of the Policy and the applicable Covered Agreement, the terms of the Policy shall govern, notwithstanding any provision in the Covered Agreement to the contrary.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REX AMERICAN RESOURCES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Acknowledgement Agreement to the REX American Resources Corporation Compensation Recovery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is made and entered into as of the date set forth below. Capitalized terms used in this Acknowledgement Agreement, but not otherwise defined in it, shall have the meanings set forth in the Policy.</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As an Executive Officer of the Company, I hereby acknowledge the receipt of a copy of the Policy, affirm that I have read and understand the Policy, and agree to be bound by, and to comply with, the terms and conditions of the Policy as in effect from time to time (the terms of which are fully incorporated herein), in each case during my service as an Executive Officer of the Company and thereafter for as long as required under the Policy.</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I agree to fully cooperate with the Company in the event it is required to enforce the Policy. In this regard, I agree to repay to the Company fully and promptly, upon demand (in immediately available funds denominated in U.S. dollars or otherwise as specified by the Company pursuant to the Policy), all amounts of erroneously awarded Incentive Compensation, as may be determined by the Committee in its discretion and set out in the Company’s demand for repayment, plus such interest or earnings as may be determined by the Committee in its discretion and set out in the Company’s demand for repayment.</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I also agree that my obligation to repay the erroneously awarded Incentive Compensation shall be absolute and unconditional, irrespective of any defense or any rights of set-off, recoupment or counterclaim I might otherwise have against the Company. In this regard, I voluntarily, irrevocably and unconditionally waive any objection to, or any claim for damages or loss related to, the Company pursuing any other method of recovery of erroneously awarded Incentive Compensation that is deemed appropriate by the Committee in its sole discretion (including, without limitation, the methods of recovery set forth in the Policy).</w:t>
      </w:r>
    </w:p>
    <w:p>
      <w:pPr>
        <w:spacing w:after="0" w:line="19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 further acknowledge and agree that in no event shall any of the terms of the Policy, or any action taken by the Company to enforce its rights under the Policy, be deemed to constitute “good reason” for purposes of determining any right I may otherwise have to receive any severance or other benefits under any Company plan, policy, agreement or arrangement in connection with the termination of my employment. Further, I acknowledge and agree that the Company’s rights under the Policy are in addition to, and not in lieu of, any other legal remedies or rights of recovery, recoupment, forfeiture or offset that may be available to the Company.</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My execution of this Acknowledgement Agreement is in consideration of, and is a condition to, my opportunity to participate in, and receive future awards under, the Company’s Incentive Compensation programs; provided, however, that nothing in this Acknowledgement Agreement or the Policy shall be deemed to obligate the Company to make any specific Incentive Compensation awards in the future.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is on the following page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WITNESS WHEREOF, the Executive Officer listed below, intending to be legally bound, consents and agrees to the terms of the REX American Resources Corporation Compensation Recovery Policy and this Acknowledgement Agreement as of the date set forth below.</w:t>
      </w: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5709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2143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2"/>
    </w:lvl>
    <w:lvl w:ilvl="1">
      <w:lvlJc w:val="left"/>
      <w:lvlText w:val="1"/>
      <w:numFmt w:val="bullet"/>
      <w:start w:val="1"/>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3"/>
    </w:lvl>
  </w:abstractNum>
  <w:abstractNum w:abstractNumId="13">
    <w:nsid w:val="B03E0C6"/>
    <w:multiLevelType w:val="hybridMultilevel"/>
    <w:lvl w:ilvl="0">
      <w:lvlJc w:val="left"/>
      <w:lvlText w:val="%1."/>
      <w:numFmt w:val="decimal"/>
      <w:start w:val="10"/>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bullet"/>
      <w:start w:val="1"/>
    </w:lvl>
  </w:abstractNum>
  <w:abstractNum w:abstractNumId="18">
    <w:nsid w:val="836C40E"/>
    <w:multiLevelType w:val="hybridMultilevel"/>
    <w:lvl w:ilvl="0">
      <w:lvlJc w:val="left"/>
      <w:lvlText w:val="2"/>
      <w:numFmt w:val="bullet"/>
      <w:start w:val="1"/>
    </w:lvl>
  </w:abstractNum>
  <w:abstractNum w:abstractNumId="19">
    <w:nsid w:val="2901D82"/>
    <w:multiLevelType w:val="hybridMultilevel"/>
    <w:lvl w:ilvl="0">
      <w:lvlJc w:val="left"/>
      <w:lvlText w:val="%1."/>
      <w:numFmt w:val="decimal"/>
      <w:start w:val="15"/>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21"/>
    </w:lvl>
  </w:abstractNum>
  <w:abstractNum w:abstractNumId="23">
    <w:nsid w:val="7C3DBD3D"/>
    <w:multiLevelType w:val="hybridMultilevel"/>
    <w:lvl w:ilvl="0">
      <w:lvlJc w:val="left"/>
      <w:lvlText w:val="(%1)"/>
      <w:numFmt w:val="decimal"/>
      <w:start w:val="23"/>
    </w:lvl>
  </w:abstractNum>
  <w:abstractNum w:abstractNumId="24">
    <w:nsid w:val="737B8DDC"/>
    <w:multiLevelType w:val="hybridMultilevel"/>
    <w:lvl w:ilvl="0">
      <w:lvlJc w:val="left"/>
      <w:lvlText w:val="(%1)"/>
      <w:numFmt w:val="decimal"/>
      <w:start w:val="31"/>
    </w:lvl>
  </w:abstractNum>
  <w:abstractNum w:abstractNumId="25">
    <w:nsid w:val="6CEAF087"/>
    <w:multiLevelType w:val="hybridMultilevel"/>
    <w:lvl w:ilvl="0">
      <w:lvlJc w:val="left"/>
      <w:lvlText w:val="(%1)"/>
      <w:numFmt w:val="decimal"/>
      <w:start w:val="97"/>
    </w:lvl>
  </w:abstractNum>
  <w:abstractNum w:abstractNumId="26">
    <w:nsid w:val="22221A70"/>
    <w:multiLevelType w:val="hybridMultilevel"/>
    <w:lvl w:ilvl="0">
      <w:lvlJc w:val="left"/>
      <w:lvlText w:val="(%1)"/>
      <w:numFmt w:val="decimal"/>
      <w:start w:val="10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decimal"/>
      <w:start w:val="5"/>
    </w:lvl>
    <w:lvl w:ilvl="1">
      <w:lvlJc w:val="left"/>
      <w:lvlText w:val="(%2)"/>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Letter"/>
      <w:start w:val="1"/>
    </w:lvl>
  </w:abstractNum>
  <w:abstractNum w:abstractNumId="31">
    <w:nsid w:val="5577F8E1"/>
    <w:multiLevelType w:val="hybridMultilevel"/>
    <w:lvl w:ilvl="0">
      <w:lvlJc w:val="left"/>
      <w:lvlText w:val="%1."/>
      <w:numFmt w:val="decimal"/>
      <w:start w:val="5"/>
    </w:lvl>
    <w:lvl w:ilvl="1">
      <w:lvlJc w:val="left"/>
      <w:lvlText w:val="(%2)"/>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4"/>
    </w:lvl>
  </w:abstractNum>
  <w:abstractNum w:abstractNumId="34">
    <w:nsid w:val="3804823E"/>
    <w:multiLevelType w:val="hybridMultilevel"/>
    <w:lvl w:ilvl="0">
      <w:lvlJc w:val="left"/>
      <w:lvlText w:val="%1."/>
      <w:numFmt w:val="decimal"/>
      <w:start w:val="6"/>
    </w:lvl>
  </w:abstractNum>
  <w:abstractNum w:abstractNumId="35">
    <w:nsid w:val="77465F01"/>
    <w:multiLevelType w:val="hybridMultilevel"/>
    <w:lvl w:ilvl="0">
      <w:lvlJc w:val="left"/>
      <w:lvlText w:val="%1."/>
      <w:numFmt w:val="decimal"/>
      <w:start w:val="8"/>
    </w:lvl>
  </w:abstractNum>
  <w:abstractNum w:abstractNumId="36">
    <w:nsid w:val="7724C67E"/>
    <w:multiLevelType w:val="hybridMultilevel"/>
    <w:lvl w:ilvl="0">
      <w:lvlJc w:val="left"/>
      <w:lvlText w:val="%1."/>
      <w:numFmt w:val="decimal"/>
      <w:start w:val="9"/>
    </w:lvl>
  </w:abstractNum>
  <w:abstractNum w:abstractNumId="37">
    <w:nsid w:val="5C482A9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4"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06" Type="http://schemas.openxmlformats.org/officeDocument/2006/relationships/hyperlink" Target="http://www.sec.gov/Archives/edgar/data/744187/000093041310004768/c62728_ex3-a.htm" TargetMode="External"/><Relationship Id="rId107" Type="http://schemas.openxmlformats.org/officeDocument/2006/relationships/hyperlink" Target="http://www.sec.gov/Archives/edgar/data/744187/000093041315002774/c81598_ex3a.htm" TargetMode="External"/><Relationship Id="rId108" Type="http://schemas.openxmlformats.org/officeDocument/2006/relationships/hyperlink" Target="http://www.sec.gov/Archives/edgar/data/744187/000093041320000944/c95495_4a.htm" TargetMode="External"/><Relationship Id="rId109" Type="http://schemas.openxmlformats.org/officeDocument/2006/relationships/hyperlink" Target="http://www.sec.gov/Archives/edgar/data/744187/000093041322001116/c103822_ex10-1.htm" TargetMode="External"/><Relationship Id="rId110" Type="http://schemas.openxmlformats.org/officeDocument/2006/relationships/hyperlink" Target="http://www.sec.gov/Archives/edgar/data/744187/000093041322001116/c103822_ex10-2.htm" TargetMode="External"/><Relationship Id="rId111" Type="http://schemas.openxmlformats.org/officeDocument/2006/relationships/hyperlink" Target="http://www.sec.gov/Archives/edgar/data/744187/000093041322001116/c103822_ex10-3.htm" TargetMode="External"/><Relationship Id="rId112" Type="http://schemas.openxmlformats.org/officeDocument/2006/relationships/hyperlink" Target="http://www.sec.gov/Archives/edgar/data/744187/000093041315002774/c81598_ex10d.htm" TargetMode="External"/><Relationship Id="rId113" Type="http://schemas.openxmlformats.org/officeDocument/2006/relationships/hyperlink" Target="http://www.sec.gov/Archives/edgar/data/744187/000093041322001197/c104000_ex10-1.htm" TargetMode="External"/><Relationship Id="rId115" Type="http://schemas.openxmlformats.org/officeDocument/2006/relationships/hyperlink" Target="http://www.sec.gov/Archives/edgar/data/744187/000093041322001116/c103822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2024-03-29T13:30:04Z</dcterms:created>
  <dcterms:modified xsi:type="dcterms:W3CDTF">2024-03-29T13:30:04Z</dcterms:modified>
</cp:coreProperties>
</file>