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460" w:right="1620" w:hanging="452"/>
        <w:spacing w:after="0" w:line="263" w:lineRule="auto"/>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60" w:right="1620" w:hanging="452"/>
        <w:spacing w:after="0" w:line="490"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p>
      <w:pPr>
        <w:spacing w:after="0" w:line="29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31-1095548</w:t>
      </w:r>
    </w:p>
    <w:p>
      <w:pPr>
        <w:spacing w:after="0" w:line="31"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00" w:lineRule="exact"/>
        <w:rPr>
          <w:sz w:val="24"/>
          <w:szCs w:val="24"/>
          <w:color w:val="auto"/>
        </w:rPr>
      </w:pPr>
    </w:p>
    <w:p>
      <w:pPr>
        <w:sectPr>
          <w:pgSz w:w="11900" w:h="16838" w:orient="portrait"/>
          <w:cols w:equalWidth="0" w:num="2">
            <w:col w:w="5700" w:space="720"/>
            <w:col w:w="4820"/>
          </w:cols>
          <w:pgMar w:left="320" w:top="495" w:right="339" w:bottom="1440" w:gutter="0" w:footer="0" w:header="0"/>
          <w:type w:val="continuous"/>
        </w:sectPr>
      </w:pPr>
    </w:p>
    <w:p>
      <w:pPr>
        <w:spacing w:after="0" w:line="14" w:lineRule="exact"/>
        <w:rPr>
          <w:sz w:val="24"/>
          <w:szCs w:val="24"/>
          <w:color w:val="auto"/>
        </w:rPr>
      </w:pPr>
    </w:p>
    <w:p>
      <w:pPr>
        <w:jc w:val="center"/>
        <w:ind w:left="284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p>
      <w:pPr>
        <w:spacing w:after="0" w:line="31" w:lineRule="exact"/>
        <w:rPr>
          <w:sz w:val="24"/>
          <w:szCs w:val="24"/>
          <w:color w:val="auto"/>
        </w:rPr>
      </w:pPr>
    </w:p>
    <w:p>
      <w:pPr>
        <w:jc w:val="center"/>
        <w:ind w:left="2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45459</w:t>
      </w:r>
    </w:p>
    <w:p>
      <w:pPr>
        <w:spacing w:after="0" w:line="31" w:lineRule="exact"/>
        <w:rPr>
          <w:sz w:val="24"/>
          <w:szCs w:val="24"/>
          <w:color w:val="auto"/>
        </w:rPr>
      </w:pPr>
    </w:p>
    <w:p>
      <w:pPr>
        <w:jc w:val="center"/>
        <w:ind w:right="296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6740" w:space="720"/>
            <w:col w:w="3780"/>
          </w:cols>
          <w:pgMar w:left="320" w:top="495"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10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360"/>
        <w:spacing w:after="0"/>
        <w:tabs>
          <w:tab w:leader="none" w:pos="374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900"/>
        <w:spacing w:after="0"/>
        <w:tabs>
          <w:tab w:leader="none" w:pos="444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598805</wp:posOffset>
            </wp:positionH>
            <wp:positionV relativeFrom="paragraph">
              <wp:posOffset>48895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sectPr>
          <w:pgSz w:w="11900" w:h="16838" w:orient="portrait"/>
          <w:cols w:equalWidth="0" w:num="2">
            <w:col w:w="3400" w:space="160"/>
            <w:col w:w="7680"/>
          </w:cols>
          <w:pgMar w:left="320" w:top="495" w:right="339" w:bottom="1440" w:gutter="0" w:footer="0" w:header="0"/>
          <w:type w:val="continuous"/>
        </w:sect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495" w:right="339" w:bottom="1440" w:gutter="0" w:footer="0" w:header="0"/>
          <w:type w:val="continuous"/>
        </w:sectPr>
      </w:pPr>
    </w:p>
    <w:p>
      <w:pPr>
        <w:spacing w:after="0" w:line="11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160" w:space="720"/>
            <w:col w:w="3360"/>
          </w:cols>
          <w:pgMar w:left="320" w:top="495" w:right="339" w:bottom="1440" w:gutter="0" w:footer="0" w:header="0"/>
          <w:type w:val="continuous"/>
        </w:sectPr>
      </w:pPr>
    </w:p>
    <w:p>
      <w:pPr>
        <w:spacing w:after="0" w:line="3"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At the close of business on December 3, 2025, the registrant had 32,937,718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0" w:type="dxa"/>
            <w:vAlign w:val="bottom"/>
            <w:gridSpan w:val="15"/>
          </w:tcPr>
          <w:p>
            <w:pPr>
              <w:jc w:val="center"/>
              <w:ind w:right="78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4"/>
          </w:tcPr>
          <w:p>
            <w:pPr>
              <w:jc w:val="center"/>
              <w:ind w:right="3500"/>
              <w:spacing w:after="0"/>
              <w:rPr>
                <w:sz w:val="20"/>
                <w:szCs w:val="20"/>
                <w:color w:val="auto"/>
              </w:rPr>
            </w:pPr>
            <w:r>
              <w:rPr>
                <w:rFonts w:ascii="Times New Roman" w:cs="Times New Roman" w:eastAsia="Times New Roman" w:hAnsi="Times New Roman"/>
                <w:sz w:val="22"/>
                <w:szCs w:val="22"/>
                <w:color w:val="auto"/>
                <w:w w:val="99"/>
              </w:rPr>
              <w:t>INDEX</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433"/>
        </w:trPr>
        <w:tc>
          <w:tcPr>
            <w:tcW w:w="1140" w:type="dxa"/>
            <w:vAlign w:val="bottom"/>
            <w:gridSpan w:val="5"/>
          </w:tcPr>
          <w:p>
            <w:pPr>
              <w:spacing w:after="0"/>
              <w:rPr>
                <w:sz w:val="20"/>
                <w:szCs w:val="20"/>
                <w:color w:val="auto"/>
              </w:rPr>
            </w:pPr>
            <w:r>
              <w:rPr>
                <w:rFonts w:ascii="Times New Roman" w:cs="Times New Roman" w:eastAsia="Times New Roman" w:hAnsi="Times New Roman"/>
                <w:sz w:val="22"/>
                <w:szCs w:val="22"/>
                <w:color w:val="0000EE"/>
              </w:rPr>
              <w:t>PART I.</w:t>
            </w: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2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rPr>
              <w:t>Financial Statements</w:t>
            </w:r>
          </w:p>
        </w:tc>
        <w:tc>
          <w:tcPr>
            <w:tcW w:w="5980" w:type="dxa"/>
            <w:vAlign w:val="bottom"/>
            <w:gridSpan w:val="9"/>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Consolidated Balance Sheets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w:t>
            </w:r>
          </w:p>
        </w:tc>
        <w:tc>
          <w:tcPr>
            <w:tcW w:w="618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8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Equity</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Cash</w:t>
            </w:r>
          </w:p>
        </w:tc>
        <w:tc>
          <w:tcPr>
            <w:tcW w:w="568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Flows</w:t>
            </w:r>
          </w:p>
        </w:tc>
        <w:tc>
          <w:tcPr>
            <w:tcW w:w="14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80" w:type="dxa"/>
            <w:vAlign w:val="bottom"/>
            <w:gridSpan w:val="17"/>
          </w:tcPr>
          <w:p>
            <w:pPr>
              <w:spacing w:after="0" w:line="223" w:lineRule="exact"/>
              <w:rPr>
                <w:sz w:val="20"/>
                <w:szCs w:val="20"/>
                <w:color w:val="auto"/>
              </w:rPr>
            </w:pPr>
            <w:r>
              <w:rPr>
                <w:rFonts w:ascii="Times New Roman" w:cs="Times New Roman" w:eastAsia="Times New Roman" w:hAnsi="Times New Roman"/>
                <w:sz w:val="22"/>
                <w:szCs w:val="22"/>
                <w:color w:val="0000EE"/>
              </w:rPr>
              <w:t>Notes to Consolidated Financial Statements</w:t>
            </w: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52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Management’s Discussion and Analysis of Financial Condition and Results of Operations</w:t>
            </w:r>
          </w:p>
        </w:tc>
        <w:tc>
          <w:tcPr>
            <w:tcW w:w="9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52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3440" w:type="dxa"/>
            <w:vAlign w:val="bottom"/>
            <w:gridSpan w:val="2"/>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Controls and Procedures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340" w:type="dxa"/>
            <w:vAlign w:val="bottom"/>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18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rPr>
              <w:t>Legal Proceedings</w:t>
            </w:r>
          </w:p>
        </w:tc>
        <w:tc>
          <w:tcPr>
            <w:tcW w:w="6420" w:type="dxa"/>
            <w:vAlign w:val="bottom"/>
            <w:gridSpan w:val="11"/>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360" w:type="dxa"/>
            <w:vAlign w:val="bottom"/>
            <w:gridSpan w:val="2"/>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Risk Factors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16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Unregistered Sales of Equity Securities and Use of Proceeds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520" w:type="dxa"/>
            <w:vAlign w:val="bottom"/>
            <w:gridSpan w:val="4"/>
          </w:tcPr>
          <w:p>
            <w:pPr>
              <w:spacing w:after="0"/>
              <w:rPr>
                <w:sz w:val="24"/>
                <w:szCs w:val="24"/>
                <w:color w:val="auto"/>
              </w:rPr>
            </w:pPr>
          </w:p>
        </w:tc>
        <w:tc>
          <w:tcPr>
            <w:tcW w:w="52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rPr>
              <w:t>Defaults upon Senior Securities</w:t>
            </w:r>
          </w:p>
        </w:tc>
        <w:tc>
          <w:tcPr>
            <w:tcW w:w="3460" w:type="dxa"/>
            <w:vAlign w:val="bottom"/>
            <w:gridSpan w:val="3"/>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2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rPr>
              <w:t>Mine Safety Disclosures</w:t>
            </w:r>
          </w:p>
        </w:tc>
        <w:tc>
          <w:tcPr>
            <w:tcW w:w="5940" w:type="dxa"/>
            <w:vAlign w:val="bottom"/>
            <w:gridSpan w:val="8"/>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52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Other Information</w:t>
            </w:r>
          </w:p>
        </w:tc>
        <w:tc>
          <w:tcPr>
            <w:tcW w:w="520" w:type="dxa"/>
            <w:vAlign w:val="bottom"/>
            <w:tcBorders>
              <w:top w:val="single" w:sz="8" w:color="0000EE"/>
            </w:tcBorders>
            <w:gridSpan w:val="2"/>
          </w:tcPr>
          <w:p>
            <w:pPr>
              <w:spacing w:after="0"/>
              <w:rPr>
                <w:sz w:val="24"/>
                <w:szCs w:val="24"/>
                <w:color w:val="auto"/>
              </w:rPr>
            </w:pPr>
          </w:p>
        </w:tc>
        <w:tc>
          <w:tcPr>
            <w:tcW w:w="6560" w:type="dxa"/>
            <w:vAlign w:val="bottom"/>
            <w:gridSpan w:val="12"/>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520" w:type="dxa"/>
            <w:vAlign w:val="bottom"/>
            <w:gridSpan w:val="4"/>
          </w:tcPr>
          <w:p>
            <w:pPr>
              <w:spacing w:after="0"/>
              <w:rPr>
                <w:sz w:val="24"/>
                <w:szCs w:val="24"/>
                <w:color w:val="auto"/>
              </w:rPr>
            </w:pPr>
          </w:p>
        </w:tc>
        <w:tc>
          <w:tcPr>
            <w:tcW w:w="86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Exhibits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464"/>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500" w:type="dxa"/>
            <w:vAlign w:val="bottom"/>
            <w:gridSpan w:val="13"/>
          </w:tcPr>
          <w:p>
            <w:pPr>
              <w:jc w:val="center"/>
              <w:ind w:left="2932"/>
              <w:spacing w:after="0"/>
              <w:rPr>
                <w:sz w:val="20"/>
                <w:szCs w:val="20"/>
                <w:color w:val="auto"/>
              </w:rPr>
            </w:pPr>
            <w:r>
              <w:rPr>
                <w:rFonts w:ascii="Times New Roman" w:cs="Times New Roman" w:eastAsia="Times New Roman" w:hAnsi="Times New Roman"/>
                <w:sz w:val="22"/>
                <w:szCs w:val="22"/>
                <w:color w:val="auto"/>
                <w:w w:val="90"/>
              </w:rPr>
              <w:t>2</w:t>
            </w: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Commonly Used Defined Terms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ectPr>
          <w:pgSz w:w="11900" w:h="16838" w:orient="portrait"/>
          <w:cols w:equalWidth="0" w:num="1">
            <w:col w:w="11240"/>
          </w:cols>
          <w:pgMar w:left="320" w:top="401"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REX/the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NuGen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 River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REX American Resources Corporation, and its majority and wholly owned subsidiaries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NuGen Energy, LLC – REX owns 99.7%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 Energy, LLC and subsidiaries – REX owns 76.1%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 River, LLC, and subsidiaries – REX owns 10.3%</w:t>
      </w:r>
    </w:p>
    <w:p>
      <w:pPr>
        <w:spacing w:after="0" w:line="200" w:lineRule="exact"/>
        <w:rPr>
          <w:sz w:val="20"/>
          <w:szCs w:val="20"/>
          <w:color w:val="auto"/>
        </w:rPr>
      </w:pPr>
    </w:p>
    <w:p>
      <w:pPr>
        <w:sectPr>
          <w:pgSz w:w="11900" w:h="16838" w:orient="portrait"/>
          <w:cols w:equalWidth="0" w:num="2">
            <w:col w:w="1440" w:space="720"/>
            <w:col w:w="9080"/>
          </w:cols>
          <w:pgMar w:left="320" w:top="401"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Industry Terms:</w:t>
      </w:r>
    </w:p>
    <w:p>
      <w:pPr>
        <w:sectPr>
          <w:pgSz w:w="11900" w:h="16838" w:orient="portrait"/>
          <w:cols w:equalWidth="0" w:num="1">
            <w:col w:w="11240"/>
          </w:cols>
          <w:pgMar w:left="320" w:top="401"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r>
        <w:rPr>
          <w:rFonts w:ascii="Times New Roman" w:cs="Times New Roman" w:eastAsia="Times New Roman" w:hAnsi="Times New Roman"/>
          <w:sz w:val="14"/>
          <w:szCs w:val="14"/>
          <w:color w:val="auto"/>
        </w:rPr>
        <w:t>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FEOC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 Section 41</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Carbon Intensity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Carbon dioxide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Gasoline blended with up to 10% ethanol by volume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Gasoline blended with up to 15% ethanol by volume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Environmental Protection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Entity of Concern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Greenhouse Gas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Reduction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Revenue Code of 1986,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Revenue Code § 41 - Credit for Increasing Research Activities</w:t>
      </w:r>
    </w:p>
    <w:p>
      <w:pPr>
        <w:spacing w:after="0" w:line="9" w:lineRule="exact"/>
        <w:rPr>
          <w:sz w:val="20"/>
          <w:szCs w:val="20"/>
          <w:color w:val="auto"/>
        </w:rPr>
      </w:pPr>
    </w:p>
    <w:p>
      <w:pPr>
        <w:sectPr>
          <w:pgSz w:w="11900" w:h="16838" w:orient="portrait"/>
          <w:cols w:equalWidth="0" w:num="2">
            <w:col w:w="1440" w:space="720"/>
            <w:col w:w="9080"/>
          </w:cols>
          <w:pgMar w:left="320" w:top="401" w:right="339" w:bottom="1440" w:gutter="0" w:footer="0" w:header="0"/>
          <w:type w:val="continuous"/>
        </w:sect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IRC Section 45/Section 45</w:t>
        <w:tab/>
        <w:t>Internal Revenue Code § 45 - Electricity Produced from Certain Renewable Resources, etc.</w:t>
      </w: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OBBBA</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PHMSA</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Pipeline and Hazardous Materials Safety Administration</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RFS II</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Renewable Fuel Standard II</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RIN(s)</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Renewable Identification Number(s)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RVOs</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Renewable Volume Obligations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45Q/45Q</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45Q of the Internal Revenue Code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Section 45Z/45Z</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45Z of the Internal Revenue Code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SB</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Illinois Senate Bill</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SAF</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Sustainable Aviation Fuel</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SRE(s)</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Small Refinery Exemption(s)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USDA</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USMCA</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States-Mexico-Canada Agreement</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and General Business Terms:</w:t>
            </w:r>
          </w:p>
        </w:tc>
      </w:tr>
      <w:tr>
        <w:trPr>
          <w:trHeight w:val="29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ASC 280</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ASC 815</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ASC 820</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TSR</w:t>
            </w:r>
          </w:p>
        </w:tc>
        <w:tc>
          <w:tcPr>
            <w:tcW w:w="9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444"/>
        </w:trPr>
        <w:tc>
          <w:tcPr>
            <w:tcW w:w="1720" w:type="dxa"/>
            <w:vAlign w:val="bottom"/>
          </w:tcPr>
          <w:p>
            <w:pPr>
              <w:spacing w:after="0"/>
              <w:rPr>
                <w:sz w:val="24"/>
                <w:szCs w:val="24"/>
                <w:color w:val="auto"/>
              </w:rPr>
            </w:pPr>
          </w:p>
        </w:tc>
        <w:tc>
          <w:tcPr>
            <w:tcW w:w="9520" w:type="dxa"/>
            <w:vAlign w:val="bottom"/>
          </w:tcPr>
          <w:p>
            <w:pPr>
              <w:ind w:left="3860"/>
              <w:spacing w:after="0"/>
              <w:rPr>
                <w:sz w:val="20"/>
                <w:szCs w:val="20"/>
                <w:color w:val="auto"/>
              </w:rPr>
            </w:pPr>
            <w:r>
              <w:rPr>
                <w:rFonts w:ascii="Times New Roman" w:cs="Times New Roman" w:eastAsia="Times New Roman" w:hAnsi="Times New Roman"/>
                <w:sz w:val="22"/>
                <w:szCs w:val="22"/>
                <w:color w:val="auto"/>
              </w:rPr>
              <w:t>3</w:t>
            </w:r>
          </w:p>
        </w:tc>
      </w:tr>
      <w:tr>
        <w:trPr>
          <w:trHeight w:val="238"/>
        </w:trPr>
        <w:tc>
          <w:tcPr>
            <w:tcW w:w="1720" w:type="dxa"/>
            <w:vAlign w:val="bottom"/>
            <w:tcBorders>
              <w:bottom w:val="single" w:sz="8" w:color="C0C0C0"/>
            </w:tcBorders>
          </w:tcPr>
          <w:p>
            <w:pPr>
              <w:spacing w:after="0"/>
              <w:rPr>
                <w:sz w:val="20"/>
                <w:szCs w:val="20"/>
                <w:color w:val="auto"/>
              </w:rPr>
            </w:pPr>
          </w:p>
        </w:tc>
        <w:tc>
          <w:tcPr>
            <w:tcW w:w="95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1" w:right="33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4"/>
                <w:szCs w:val="24"/>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198"/>
        </w:trPr>
        <w:tc>
          <w:tcPr>
            <w:tcW w:w="8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272,004</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196,255</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63,537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162,820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27,442</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21,511</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27,675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31,676</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4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6,067</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6,445</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14,938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17,112</w:t>
            </w:r>
          </w:p>
        </w:tc>
        <w:tc>
          <w:tcPr>
            <w:tcW w:w="0" w:type="dxa"/>
            <w:vAlign w:val="bottom"/>
          </w:tcPr>
          <w:p>
            <w:pPr>
              <w:spacing w:after="0"/>
              <w:rPr>
                <w:sz w:val="1"/>
                <w:szCs w:val="1"/>
                <w:color w:val="auto"/>
              </w:rPr>
            </w:pPr>
          </w:p>
        </w:tc>
      </w:tr>
      <w:tr>
        <w:trPr>
          <w:trHeight w:val="209"/>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411,663</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435,819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260,173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210,683</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19,291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20,985</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18,032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16,721</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4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39,579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23"/>
        </w:trPr>
        <w:tc>
          <w:tcPr>
            <w:tcW w:w="822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750,059</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720,008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$0.6 million and $1.4 million with related parties at October 31, 2025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January 31, 2025,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33,616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6,859</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1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E5FFFF"/>
          </w:tcPr>
          <w:p>
            <w:pPr>
              <w:spacing w:after="0"/>
              <w:rPr>
                <w:sz w:val="19"/>
                <w:szCs w:val="19"/>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16,537</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16,360</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57,481</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50,443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12,818</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15,367</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1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2,793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taxes payable</w:t>
            </w:r>
          </w:p>
        </w:tc>
        <w:tc>
          <w:tcPr>
            <w:tcW w:w="140" w:type="dxa"/>
            <w:vAlign w:val="bottom"/>
            <w:shd w:val="clear" w:color="auto" w:fill="E5FFFF"/>
          </w:tcPr>
          <w:p>
            <w:pPr>
              <w:spacing w:after="0"/>
              <w:rPr>
                <w:sz w:val="18"/>
                <w:szCs w:val="18"/>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7,843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2,769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0"/>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36,375</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1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E5FFFF"/>
          </w:tcPr>
          <w:p>
            <w:pPr>
              <w:spacing w:after="0"/>
              <w:rPr>
                <w:sz w:val="19"/>
                <w:szCs w:val="19"/>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566,594</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559,993</w:t>
            </w:r>
          </w:p>
        </w:tc>
        <w:tc>
          <w:tcPr>
            <w:tcW w:w="0" w:type="dxa"/>
            <w:vAlign w:val="bottom"/>
          </w:tcPr>
          <w:p>
            <w:pPr>
              <w:spacing w:after="0"/>
              <w:rPr>
                <w:sz w:val="1"/>
                <w:szCs w:val="1"/>
                <w:color w:val="auto"/>
              </w:rPr>
            </w:pPr>
          </w:p>
        </w:tc>
      </w:tr>
      <w:tr>
        <w:trPr>
          <w:trHeight w:val="21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566,923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560,337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E5FFFF"/>
          </w:tcPr>
          <w:p>
            <w:pPr>
              <w:spacing w:after="0"/>
              <w:rPr>
                <w:sz w:val="19"/>
                <w:szCs w:val="19"/>
                <w:color w:val="auto"/>
              </w:rPr>
            </w:pPr>
          </w:p>
        </w:tc>
        <w:tc>
          <w:tcPr>
            <w:tcW w:w="13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89,280</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83,265</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656,203</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643,602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750,059</w:t>
            </w:r>
          </w:p>
        </w:tc>
        <w:tc>
          <w:tcPr>
            <w:tcW w:w="20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720,008</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2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12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540" w:type="dxa"/>
            <w:vAlign w:val="bottom"/>
            <w:gridSpan w:val="2"/>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175,625</w:t>
            </w:r>
          </w:p>
        </w:tc>
        <w:tc>
          <w:tcPr>
            <w:tcW w:w="560" w:type="dxa"/>
            <w:vAlign w:val="bottom"/>
            <w:gridSpan w:val="2"/>
            <w:shd w:val="clear" w:color="auto" w:fill="E5FF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174,877</w:t>
            </w:r>
          </w:p>
        </w:tc>
        <w:tc>
          <w:tcPr>
            <w:tcW w:w="320" w:type="dxa"/>
            <w:vAlign w:val="bottom"/>
            <w:shd w:val="clear" w:color="auto" w:fill="E5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492,528</w:t>
            </w:r>
          </w:p>
        </w:tc>
        <w:tc>
          <w:tcPr>
            <w:tcW w:w="320" w:type="dxa"/>
            <w:vAlign w:val="bottom"/>
            <w:shd w:val="clear" w:color="auto" w:fill="E5FF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484,263</w:t>
            </w:r>
          </w:p>
        </w:tc>
        <w:tc>
          <w:tcPr>
            <w:tcW w:w="0" w:type="dxa"/>
            <w:vAlign w:val="bottom"/>
          </w:tcPr>
          <w:p>
            <w:pPr>
              <w:spacing w:after="0"/>
              <w:rPr>
                <w:sz w:val="1"/>
                <w:szCs w:val="1"/>
                <w:color w:val="auto"/>
              </w:rPr>
            </w:pPr>
          </w:p>
        </w:tc>
      </w:tr>
      <w:tr>
        <w:trPr>
          <w:trHeight w:val="198"/>
        </w:trPr>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$19,437 and $22,739 with related parties for the</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October 31, 2025 and 2024, respectively, and $73,290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and $81,726 with related parties for the nine months ended October 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139,493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135,196</w:t>
            </w:r>
          </w:p>
        </w:tc>
        <w:tc>
          <w:tcPr>
            <w:tcW w:w="320" w:type="dxa"/>
            <w:vAlign w:val="bottom"/>
          </w:tcPr>
          <w:p>
            <w:pPr>
              <w:spacing w:after="0"/>
              <w:rPr>
                <w:sz w:val="21"/>
                <w:szCs w:val="21"/>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427,735</w:t>
            </w:r>
          </w:p>
        </w:tc>
        <w:tc>
          <w:tcPr>
            <w:tcW w:w="32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410,358</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36,132</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39,681</w:t>
            </w:r>
          </w:p>
        </w:tc>
        <w:tc>
          <w:tcPr>
            <w:tcW w:w="320" w:type="dxa"/>
            <w:vAlign w:val="bottom"/>
            <w:shd w:val="clear" w:color="auto" w:fill="E5FFFF"/>
          </w:tcPr>
          <w:p>
            <w:pPr>
              <w:spacing w:after="0"/>
              <w:rPr>
                <w:sz w:val="18"/>
                <w:szCs w:val="18"/>
                <w:color w:val="auto"/>
              </w:rPr>
            </w:pPr>
          </w:p>
        </w:tc>
        <w:tc>
          <w:tcPr>
            <w:tcW w:w="112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64,793</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73,905</w:t>
            </w: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(8,214)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(8,426)</w:t>
            </w:r>
          </w:p>
        </w:tc>
        <w:tc>
          <w:tcPr>
            <w:tcW w:w="320" w:type="dxa"/>
            <w:vAlign w:val="bottom"/>
          </w:tcPr>
          <w:p>
            <w:pPr>
              <w:spacing w:after="0"/>
              <w:rPr>
                <w:sz w:val="24"/>
                <w:szCs w:val="24"/>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(20,359)</w:t>
            </w:r>
          </w:p>
        </w:tc>
        <w:tc>
          <w:tcPr>
            <w:tcW w:w="32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(20,977)</w:t>
            </w: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4,388</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3,621</w:t>
            </w:r>
          </w:p>
        </w:tc>
        <w:tc>
          <w:tcPr>
            <w:tcW w:w="320" w:type="dxa"/>
            <w:vAlign w:val="bottom"/>
            <w:shd w:val="clear" w:color="auto" w:fill="E5FFFF"/>
          </w:tcPr>
          <w:p>
            <w:pPr>
              <w:spacing w:after="0"/>
              <w:rPr>
                <w:sz w:val="18"/>
                <w:szCs w:val="18"/>
                <w:color w:val="auto"/>
              </w:rPr>
            </w:pPr>
          </w:p>
        </w:tc>
        <w:tc>
          <w:tcPr>
            <w:tcW w:w="112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6,285</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7,086</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4,629</w:t>
            </w:r>
          </w:p>
        </w:tc>
        <w:tc>
          <w:tcPr>
            <w:tcW w:w="32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10,461</w:t>
            </w:r>
          </w:p>
        </w:tc>
        <w:tc>
          <w:tcPr>
            <w:tcW w:w="3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14,950</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35,457</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39,505</w:t>
            </w:r>
          </w:p>
        </w:tc>
        <w:tc>
          <w:tcPr>
            <w:tcW w:w="320" w:type="dxa"/>
            <w:vAlign w:val="bottom"/>
            <w:shd w:val="clear" w:color="auto" w:fill="E5FFFF"/>
          </w:tcPr>
          <w:p>
            <w:pPr>
              <w:spacing w:after="0"/>
              <w:rPr>
                <w:sz w:val="18"/>
                <w:szCs w:val="18"/>
                <w:color w:val="auto"/>
              </w:rPr>
            </w:pPr>
          </w:p>
        </w:tc>
        <w:tc>
          <w:tcPr>
            <w:tcW w:w="112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61,180</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74,964</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(7,988)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(9,402)</w:t>
            </w:r>
          </w:p>
        </w:tc>
        <w:tc>
          <w:tcPr>
            <w:tcW w:w="32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(13,711)</w:t>
            </w:r>
          </w:p>
        </w:tc>
        <w:tc>
          <w:tcPr>
            <w:tcW w:w="3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(17,581)</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27,469</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30,103</w:t>
            </w:r>
          </w:p>
        </w:tc>
        <w:tc>
          <w:tcPr>
            <w:tcW w:w="320" w:type="dxa"/>
            <w:vAlign w:val="bottom"/>
            <w:shd w:val="clear" w:color="auto" w:fill="E5FFFF"/>
          </w:tcPr>
          <w:p>
            <w:pPr>
              <w:spacing w:after="0"/>
              <w:rPr>
                <w:sz w:val="18"/>
                <w:szCs w:val="18"/>
                <w:color w:val="auto"/>
              </w:rPr>
            </w:pPr>
          </w:p>
        </w:tc>
        <w:tc>
          <w:tcPr>
            <w:tcW w:w="112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47,469</w:t>
            </w:r>
          </w:p>
        </w:tc>
        <w:tc>
          <w:tcPr>
            <w:tcW w:w="3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57,383</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(5,603)</w:t>
            </w:r>
          </w:p>
        </w:tc>
        <w:tc>
          <w:tcPr>
            <w:tcW w:w="32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(8,267)</w:t>
            </w:r>
          </w:p>
        </w:tc>
        <w:tc>
          <w:tcPr>
            <w:tcW w:w="3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(10,314)</w:t>
            </w:r>
          </w:p>
        </w:tc>
        <w:tc>
          <w:tcPr>
            <w:tcW w:w="0" w:type="dxa"/>
            <w:vAlign w:val="bottom"/>
          </w:tcPr>
          <w:p>
            <w:pPr>
              <w:spacing w:after="0"/>
              <w:rPr>
                <w:sz w:val="1"/>
                <w:szCs w:val="1"/>
                <w:color w:val="auto"/>
              </w:rPr>
            </w:pPr>
          </w:p>
        </w:tc>
      </w:tr>
      <w:tr>
        <w:trPr>
          <w:trHeight w:val="223"/>
        </w:trPr>
        <w:tc>
          <w:tcPr>
            <w:tcW w:w="554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340" w:type="dxa"/>
            <w:vAlign w:val="bottom"/>
            <w:tcBorders>
              <w:top w:val="single" w:sz="8" w:color="auto"/>
              <w:bottom w:val="single" w:sz="8" w:color="auto"/>
            </w:tcBorders>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auto"/>
              <w:bottom w:val="single" w:sz="8" w:color="auto"/>
            </w:tcBorders>
            <w:shd w:val="clear" w:color="auto" w:fill="E5FF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auto"/>
              <w:bottom w:val="single" w:sz="8" w:color="auto"/>
            </w:tcBorders>
            <w:shd w:val="clear" w:color="auto" w:fill="E5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39,202</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auto"/>
              <w:bottom w:val="single" w:sz="8" w:color="auto"/>
            </w:tcBorders>
            <w:shd w:val="clear" w:color="auto" w:fill="E5FF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33,002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35,189</w:t>
            </w:r>
          </w:p>
        </w:tc>
        <w:tc>
          <w:tcPr>
            <w:tcW w:w="320" w:type="dxa"/>
            <w:vAlign w:val="bottom"/>
          </w:tcPr>
          <w:p>
            <w:pPr>
              <w:spacing w:after="0"/>
              <w:rPr>
                <w:sz w:val="24"/>
                <w:szCs w:val="24"/>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33,267</w:t>
            </w:r>
          </w:p>
        </w:tc>
        <w:tc>
          <w:tcPr>
            <w:tcW w:w="32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35,100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REX common shareholders</w:t>
            </w:r>
          </w:p>
        </w:tc>
        <w:tc>
          <w:tcPr>
            <w:tcW w:w="200" w:type="dxa"/>
            <w:vAlign w:val="bottom"/>
            <w:shd w:val="clear" w:color="auto" w:fill="E5FFFF"/>
          </w:tcPr>
          <w:p>
            <w:pPr>
              <w:spacing w:after="0"/>
              <w:rPr>
                <w:sz w:val="21"/>
                <w:szCs w:val="21"/>
                <w:color w:val="auto"/>
              </w:rPr>
            </w:pPr>
          </w:p>
        </w:tc>
        <w:tc>
          <w:tcPr>
            <w:tcW w:w="340" w:type="dxa"/>
            <w:vAlign w:val="bottom"/>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shd w:val="clear" w:color="auto" w:fill="E5FFFF"/>
          </w:tcPr>
          <w:p>
            <w:pPr>
              <w:spacing w:after="0"/>
              <w:rPr>
                <w:sz w:val="21"/>
                <w:szCs w:val="21"/>
                <w:color w:val="auto"/>
              </w:rPr>
            </w:pPr>
          </w:p>
        </w:tc>
        <w:tc>
          <w:tcPr>
            <w:tcW w:w="560" w:type="dxa"/>
            <w:vAlign w:val="bottom"/>
            <w:gridSpan w:val="2"/>
            <w:shd w:val="clear" w:color="auto" w:fill="E5FF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shd w:val="clear" w:color="auto" w:fill="E5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E5FF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554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0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33,002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35,445</w:t>
            </w:r>
          </w:p>
        </w:tc>
        <w:tc>
          <w:tcPr>
            <w:tcW w:w="320" w:type="dxa"/>
            <w:vAlign w:val="bottom"/>
          </w:tcPr>
          <w:p>
            <w:pPr>
              <w:spacing w:after="0"/>
              <w:rPr>
                <w:sz w:val="24"/>
                <w:szCs w:val="24"/>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33,267</w:t>
            </w:r>
          </w:p>
        </w:tc>
        <w:tc>
          <w:tcPr>
            <w:tcW w:w="32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35,346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REX common shareholders</w:t>
            </w:r>
          </w:p>
        </w:tc>
        <w:tc>
          <w:tcPr>
            <w:tcW w:w="540" w:type="dxa"/>
            <w:vAlign w:val="bottom"/>
            <w:gridSpan w:val="2"/>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0.71</w:t>
            </w:r>
          </w:p>
        </w:tc>
        <w:tc>
          <w:tcPr>
            <w:tcW w:w="560" w:type="dxa"/>
            <w:vAlign w:val="bottom"/>
            <w:gridSpan w:val="2"/>
            <w:shd w:val="clear" w:color="auto" w:fill="E5FF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0.69</w:t>
            </w:r>
          </w:p>
        </w:tc>
        <w:tc>
          <w:tcPr>
            <w:tcW w:w="320" w:type="dxa"/>
            <w:vAlign w:val="bottom"/>
            <w:shd w:val="clear" w:color="auto" w:fill="E5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E5FF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55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October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color w:val="auto"/>
              </w:rPr>
              <w:t>REX Shareholders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4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3"/>
          </w:tcPr>
          <w:p>
            <w:pPr>
              <w:jc w:val="right"/>
              <w:ind w:right="23"/>
              <w:spacing w:after="0" w:line="160" w:lineRule="exact"/>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40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jc w:val="right"/>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1"/>
                <w:szCs w:val="11"/>
                <w:color w:val="auto"/>
              </w:rPr>
            </w:pPr>
          </w:p>
        </w:tc>
        <w:tc>
          <w:tcPr>
            <w:tcW w:w="760" w:type="dxa"/>
            <w:vAlign w:val="bottom"/>
            <w:gridSpan w:val="4"/>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July 31, 2025</w:t>
            </w:r>
          </w:p>
        </w:tc>
        <w:tc>
          <w:tcPr>
            <w:tcW w:w="1120" w:type="dxa"/>
            <w:vAlign w:val="bottom"/>
            <w:tcBorders>
              <w:right w:val="single" w:sz="8" w:color="E5FFFF"/>
            </w:tcBorders>
            <w:gridSpan w:val="4"/>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33,058</w:t>
            </w:r>
          </w:p>
        </w:tc>
        <w:tc>
          <w:tcPr>
            <w:tcW w:w="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320" w:type="dxa"/>
            <w:vAlign w:val="bottom"/>
            <w:gridSpan w:val="2"/>
            <w:shd w:val="clear" w:color="auto" w:fill="E5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545,435</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85,224</w:t>
            </w:r>
          </w:p>
        </w:tc>
        <w:tc>
          <w:tcPr>
            <w:tcW w:w="12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630,990</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23,413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4,056</w:t>
            </w:r>
          </w:p>
        </w:tc>
        <w:tc>
          <w:tcPr>
            <w:tcW w:w="1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27,469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80" w:type="dxa"/>
            <w:vAlign w:val="bottom"/>
            <w:tcBorders>
              <w:right w:val="single" w:sz="8" w:color="E5FFFF"/>
            </w:tcBorders>
            <w:shd w:val="clear" w:color="auto" w:fill="E5FFFF"/>
          </w:tcPr>
          <w:p>
            <w:pPr>
              <w:spacing w:after="0"/>
              <w:rPr>
                <w:sz w:val="12"/>
                <w:szCs w:val="12"/>
                <w:color w:val="auto"/>
              </w:rPr>
            </w:pPr>
          </w:p>
        </w:tc>
        <w:tc>
          <w:tcPr>
            <w:tcW w:w="34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40" w:type="dxa"/>
            <w:vAlign w:val="bottom"/>
            <w:gridSpan w:val="4"/>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Correction to equity awards and stock-based compensation expense</w:t>
            </w:r>
          </w:p>
        </w:tc>
        <w:tc>
          <w:tcPr>
            <w:tcW w:w="11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24"/>
                <w:szCs w:val="24"/>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(2,379)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October 31, 2025</w:t>
            </w:r>
          </w:p>
        </w:tc>
        <w:tc>
          <w:tcPr>
            <w:tcW w:w="780" w:type="dxa"/>
            <w:vAlign w:val="bottom"/>
            <w:tcBorders>
              <w:right w:val="single" w:sz="8" w:color="E5FFFF"/>
            </w:tcBorders>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32,938</w:t>
            </w:r>
          </w:p>
        </w:tc>
        <w:tc>
          <w:tcPr>
            <w:tcW w:w="340" w:type="dxa"/>
            <w:vAlign w:val="bottom"/>
            <w:tcBorders>
              <w:right w:val="single" w:sz="8" w:color="E5FFFF"/>
            </w:tcBorders>
            <w:shd w:val="clear" w:color="auto" w:fill="E5FFFF"/>
          </w:tcPr>
          <w:p>
            <w:pPr>
              <w:spacing w:after="0"/>
              <w:rPr>
                <w:sz w:val="15"/>
                <w:szCs w:val="15"/>
                <w:color w:val="auto"/>
              </w:rPr>
            </w:pPr>
          </w:p>
        </w:tc>
        <w:tc>
          <w:tcPr>
            <w:tcW w:w="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329</w:t>
            </w:r>
          </w:p>
        </w:tc>
        <w:tc>
          <w:tcPr>
            <w:tcW w:w="320" w:type="dxa"/>
            <w:vAlign w:val="bottom"/>
            <w:gridSpan w:val="2"/>
            <w:shd w:val="clear" w:color="auto" w:fill="E5F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4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566,594</w:t>
            </w:r>
          </w:p>
        </w:tc>
        <w:tc>
          <w:tcPr>
            <w:tcW w:w="300" w:type="dxa"/>
            <w:vAlign w:val="bottom"/>
            <w:gridSpan w:val="2"/>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89,280</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656,203</w:t>
            </w: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31, 2025</w:t>
            </w:r>
          </w:p>
        </w:tc>
        <w:tc>
          <w:tcPr>
            <w:tcW w:w="11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34,389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344</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559,993</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83,265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643,602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80" w:type="dxa"/>
            <w:vAlign w:val="bottom"/>
            <w:tcBorders>
              <w:right w:val="single" w:sz="8" w:color="E5FFFF"/>
            </w:tcBorders>
            <w:shd w:val="clear" w:color="auto" w:fill="E5FFFF"/>
          </w:tcPr>
          <w:p>
            <w:pPr>
              <w:spacing w:after="0"/>
              <w:rPr>
                <w:sz w:val="12"/>
                <w:szCs w:val="12"/>
                <w:color w:val="auto"/>
              </w:rPr>
            </w:pPr>
          </w:p>
        </w:tc>
        <w:tc>
          <w:tcPr>
            <w:tcW w:w="34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40" w:type="dxa"/>
            <w:vAlign w:val="bottom"/>
            <w:gridSpan w:val="4"/>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39,202</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10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8,267</w:t>
            </w:r>
          </w:p>
        </w:tc>
        <w:tc>
          <w:tcPr>
            <w:tcW w:w="120" w:type="dxa"/>
            <w:vAlign w:val="bottom"/>
            <w:shd w:val="clear" w:color="auto" w:fill="E5FFFF"/>
          </w:tcPr>
          <w:p>
            <w:pPr>
              <w:spacing w:after="0"/>
              <w:rPr>
                <w:sz w:val="12"/>
                <w:szCs w:val="12"/>
                <w:color w:val="auto"/>
              </w:rPr>
            </w:pPr>
          </w:p>
        </w:tc>
        <w:tc>
          <w:tcPr>
            <w:tcW w:w="66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47,469</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Stock repurchases</w:t>
            </w:r>
          </w:p>
        </w:tc>
        <w:tc>
          <w:tcPr>
            <w:tcW w:w="11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(1,651)</w:t>
            </w:r>
          </w:p>
        </w:tc>
        <w:tc>
          <w:tcPr>
            <w:tcW w:w="80" w:type="dxa"/>
            <w:vAlign w:val="bottom"/>
          </w:tcPr>
          <w:p>
            <w:pPr>
              <w:spacing w:after="0"/>
              <w:rPr>
                <w:sz w:val="24"/>
                <w:szCs w:val="24"/>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(32,843)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(32,859)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80" w:type="dxa"/>
            <w:vAlign w:val="bottom"/>
            <w:tcBorders>
              <w:right w:val="single" w:sz="8" w:color="E5FFFF"/>
            </w:tcBorders>
            <w:shd w:val="clear" w:color="auto" w:fill="E5FFFF"/>
          </w:tcPr>
          <w:p>
            <w:pPr>
              <w:spacing w:after="0"/>
              <w:rPr>
                <w:sz w:val="12"/>
                <w:szCs w:val="12"/>
                <w:color w:val="auto"/>
              </w:rPr>
            </w:pPr>
          </w:p>
        </w:tc>
        <w:tc>
          <w:tcPr>
            <w:tcW w:w="34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10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(2,252)</w:t>
            </w:r>
          </w:p>
        </w:tc>
        <w:tc>
          <w:tcPr>
            <w:tcW w:w="120" w:type="dxa"/>
            <w:vAlign w:val="bottom"/>
            <w:shd w:val="clear" w:color="auto" w:fill="E5FFFF"/>
          </w:tcPr>
          <w:p>
            <w:pPr>
              <w:spacing w:after="0"/>
              <w:rPr>
                <w:sz w:val="12"/>
                <w:szCs w:val="12"/>
                <w:color w:val="auto"/>
              </w:rPr>
            </w:pPr>
          </w:p>
        </w:tc>
        <w:tc>
          <w:tcPr>
            <w:tcW w:w="66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11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24"/>
                <w:szCs w:val="24"/>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2,621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Correction to equity awards and stock-based compensation expense</w:t>
            </w:r>
          </w:p>
        </w:tc>
        <w:tc>
          <w:tcPr>
            <w:tcW w:w="780" w:type="dxa"/>
            <w:vAlign w:val="bottom"/>
            <w:tcBorders>
              <w:right w:val="single" w:sz="8" w:color="E5FFFF"/>
            </w:tcBorders>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340" w:type="dxa"/>
            <w:vAlign w:val="bottom"/>
            <w:tcBorders>
              <w:right w:val="single" w:sz="8" w:color="E5FFFF"/>
            </w:tcBorders>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84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44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4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spacing w:after="0"/>
              <w:rPr>
                <w:sz w:val="14"/>
                <w:szCs w:val="14"/>
                <w:color w:val="auto"/>
              </w:rPr>
            </w:pPr>
          </w:p>
        </w:tc>
        <w:tc>
          <w:tcPr>
            <w:tcW w:w="840" w:type="dxa"/>
            <w:vAlign w:val="bottom"/>
            <w:gridSpan w:val="4"/>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(2,379)</w:t>
            </w: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100" w:type="dxa"/>
            <w:vAlign w:val="bottom"/>
            <w:gridSpan w:val="4"/>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FFFF"/>
          </w:tcPr>
          <w:p>
            <w:pPr>
              <w:spacing w:after="0"/>
              <w:rPr>
                <w:sz w:val="14"/>
                <w:szCs w:val="14"/>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October 31, 2025</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40" w:type="dxa"/>
            <w:vAlign w:val="bottom"/>
            <w:vMerge w:val="continue"/>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32,938</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329</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566,594</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89,280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656,203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color w:val="auto"/>
              </w:rPr>
              <w:t>REX Shareholders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4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3"/>
          </w:tcPr>
          <w:p>
            <w:pPr>
              <w:jc w:val="right"/>
              <w:ind w:right="23"/>
              <w:spacing w:after="0" w:line="160" w:lineRule="exact"/>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40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jc w:val="right"/>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660" w:type="dxa"/>
            <w:vAlign w:val="bottom"/>
            <w:gridSpan w:val="3"/>
          </w:tcPr>
          <w:p>
            <w:pPr>
              <w:jc w:val="right"/>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1"/>
                <w:szCs w:val="11"/>
                <w:color w:val="auto"/>
              </w:rPr>
            </w:pPr>
          </w:p>
        </w:tc>
        <w:tc>
          <w:tcPr>
            <w:tcW w:w="760" w:type="dxa"/>
            <w:vAlign w:val="bottom"/>
            <w:gridSpan w:val="4"/>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July 31, 2024</w:t>
            </w:r>
          </w:p>
        </w:tc>
        <w:tc>
          <w:tcPr>
            <w:tcW w:w="1120" w:type="dxa"/>
            <w:vAlign w:val="bottom"/>
            <w:tcBorders>
              <w:right w:val="single" w:sz="8" w:color="E5FFFF"/>
            </w:tcBorders>
            <w:gridSpan w:val="4"/>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35,134</w:t>
            </w:r>
          </w:p>
        </w:tc>
        <w:tc>
          <w:tcPr>
            <w:tcW w:w="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320" w:type="dxa"/>
            <w:vAlign w:val="bottom"/>
            <w:gridSpan w:val="2"/>
            <w:shd w:val="clear" w:color="auto" w:fill="E5F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539,282</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76,553</w:t>
            </w:r>
          </w:p>
        </w:tc>
        <w:tc>
          <w:tcPr>
            <w:tcW w:w="12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616,186</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24,500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5,603</w:t>
            </w:r>
          </w:p>
        </w:tc>
        <w:tc>
          <w:tcPr>
            <w:tcW w:w="1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30,103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80" w:type="dxa"/>
            <w:vAlign w:val="bottom"/>
            <w:tcBorders>
              <w:right w:val="single" w:sz="8" w:color="E5FFFF"/>
            </w:tcBorders>
            <w:shd w:val="clear" w:color="auto" w:fill="E5FFFF"/>
          </w:tcPr>
          <w:p>
            <w:pPr>
              <w:spacing w:after="0"/>
              <w:rPr>
                <w:sz w:val="12"/>
                <w:szCs w:val="12"/>
                <w:color w:val="auto"/>
              </w:rPr>
            </w:pPr>
          </w:p>
        </w:tc>
        <w:tc>
          <w:tcPr>
            <w:tcW w:w="34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10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E5FFFF"/>
          </w:tcPr>
          <w:p>
            <w:pPr>
              <w:spacing w:after="0"/>
              <w:rPr>
                <w:sz w:val="12"/>
                <w:szCs w:val="12"/>
                <w:color w:val="auto"/>
              </w:rPr>
            </w:pPr>
          </w:p>
        </w:tc>
        <w:tc>
          <w:tcPr>
            <w:tcW w:w="66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11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358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October 31, 2024</w:t>
            </w:r>
          </w:p>
        </w:tc>
        <w:tc>
          <w:tcPr>
            <w:tcW w:w="780" w:type="dxa"/>
            <w:vAlign w:val="bottom"/>
            <w:tcBorders>
              <w:right w:val="single" w:sz="8" w:color="E5FFFF"/>
            </w:tcBorders>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35,134</w:t>
            </w:r>
          </w:p>
        </w:tc>
        <w:tc>
          <w:tcPr>
            <w:tcW w:w="340" w:type="dxa"/>
            <w:vAlign w:val="bottom"/>
            <w:tcBorders>
              <w:right w:val="single" w:sz="8" w:color="E5FFFF"/>
            </w:tcBorders>
            <w:shd w:val="clear" w:color="auto" w:fill="E5FFFF"/>
          </w:tcPr>
          <w:p>
            <w:pPr>
              <w:spacing w:after="0"/>
              <w:rPr>
                <w:sz w:val="15"/>
                <w:szCs w:val="15"/>
                <w:color w:val="auto"/>
              </w:rPr>
            </w:pPr>
          </w:p>
        </w:tc>
        <w:tc>
          <w:tcPr>
            <w:tcW w:w="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351</w:t>
            </w:r>
          </w:p>
        </w:tc>
        <w:tc>
          <w:tcPr>
            <w:tcW w:w="320" w:type="dxa"/>
            <w:vAlign w:val="bottom"/>
            <w:gridSpan w:val="2"/>
            <w:shd w:val="clear" w:color="auto" w:fill="E5F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4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564,140</w:t>
            </w:r>
          </w:p>
        </w:tc>
        <w:tc>
          <w:tcPr>
            <w:tcW w:w="300" w:type="dxa"/>
            <w:vAlign w:val="bottom"/>
            <w:gridSpan w:val="2"/>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82,109</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646,600</w:t>
            </w: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31, 2024</w:t>
            </w:r>
          </w:p>
        </w:tc>
        <w:tc>
          <w:tcPr>
            <w:tcW w:w="11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35,007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350</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513,568</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73,679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587,597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80" w:type="dxa"/>
            <w:vAlign w:val="bottom"/>
            <w:tcBorders>
              <w:right w:val="single" w:sz="8" w:color="E5FFFF"/>
            </w:tcBorders>
            <w:shd w:val="clear" w:color="auto" w:fill="E5FFFF"/>
          </w:tcPr>
          <w:p>
            <w:pPr>
              <w:spacing w:after="0"/>
              <w:rPr>
                <w:sz w:val="12"/>
                <w:szCs w:val="12"/>
                <w:color w:val="auto"/>
              </w:rPr>
            </w:pPr>
          </w:p>
        </w:tc>
        <w:tc>
          <w:tcPr>
            <w:tcW w:w="34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40" w:type="dxa"/>
            <w:vAlign w:val="bottom"/>
            <w:gridSpan w:val="4"/>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47,069</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10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10,314</w:t>
            </w:r>
          </w:p>
        </w:tc>
        <w:tc>
          <w:tcPr>
            <w:tcW w:w="120" w:type="dxa"/>
            <w:vAlign w:val="bottom"/>
            <w:shd w:val="clear" w:color="auto" w:fill="E5FFFF"/>
          </w:tcPr>
          <w:p>
            <w:pPr>
              <w:spacing w:after="0"/>
              <w:rPr>
                <w:sz w:val="12"/>
                <w:szCs w:val="12"/>
                <w:color w:val="auto"/>
              </w:rPr>
            </w:pPr>
          </w:p>
        </w:tc>
        <w:tc>
          <w:tcPr>
            <w:tcW w:w="66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57,383</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(1,884)</w:t>
            </w:r>
          </w:p>
        </w:tc>
        <w:tc>
          <w:tcPr>
            <w:tcW w:w="1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780" w:type="dxa"/>
            <w:vAlign w:val="bottom"/>
            <w:tcBorders>
              <w:right w:val="single" w:sz="8" w:color="E5FFFF"/>
            </w:tcBorders>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340" w:type="dxa"/>
            <w:vAlign w:val="bottom"/>
            <w:tcBorders>
              <w:right w:val="single" w:sz="8" w:color="E5FFFF"/>
            </w:tcBorders>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84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44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4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spacing w:after="0"/>
              <w:rPr>
                <w:sz w:val="14"/>
                <w:szCs w:val="14"/>
                <w:color w:val="auto"/>
              </w:rPr>
            </w:pPr>
          </w:p>
        </w:tc>
        <w:tc>
          <w:tcPr>
            <w:tcW w:w="840" w:type="dxa"/>
            <w:vAlign w:val="bottom"/>
            <w:gridSpan w:val="4"/>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3,503</w:t>
            </w: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100" w:type="dxa"/>
            <w:vAlign w:val="bottom"/>
            <w:gridSpan w:val="4"/>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FFFF"/>
          </w:tcPr>
          <w:p>
            <w:pPr>
              <w:spacing w:after="0"/>
              <w:rPr>
                <w:sz w:val="14"/>
                <w:szCs w:val="14"/>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October 31, 2024</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40" w:type="dxa"/>
            <w:vAlign w:val="bottom"/>
            <w:vMerge w:val="continue"/>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35,134</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351</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564,140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82,109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646,600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47,469</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57,383</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11,007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12,433</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4,859</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4,192</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(6,285)</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(7,086)</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received from equity method investments</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2,506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(3,707)</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6,590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11,934</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3,636</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 – net</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(5,931)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4,001</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(12,639)</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(21,629)</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taxes payable</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3,509</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(8,990)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r>
        <w:trPr>
          <w:trHeight w:val="209"/>
        </w:trPr>
        <w:tc>
          <w:tcPr>
            <w:tcW w:w="82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64,047</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auto"/>
              <w:bottom w:val="single" w:sz="8" w:color="auto"/>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39,106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(55,653)</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(55,428)</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(129,010)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(210,328)</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232,000</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302,981</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real estate and property and equipment</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E5FFFF"/>
          </w:tcPr>
          <w:p>
            <w:pPr>
              <w:spacing w:after="0"/>
              <w:rPr>
                <w:sz w:val="19"/>
                <w:szCs w:val="19"/>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47,455</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37,630</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acquired</w:t>
            </w:r>
          </w:p>
        </w:tc>
        <w:tc>
          <w:tcPr>
            <w:tcW w:w="260" w:type="dxa"/>
            <w:vAlign w:val="bottom"/>
          </w:tcPr>
          <w:p>
            <w:pPr>
              <w:spacing w:after="0"/>
              <w:rPr>
                <w:sz w:val="18"/>
                <w:szCs w:val="18"/>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(33,382)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260" w:type="dxa"/>
            <w:vAlign w:val="bottom"/>
            <w:shd w:val="clear" w:color="auto" w:fill="E5FFFF"/>
          </w:tcPr>
          <w:p>
            <w:pPr>
              <w:spacing w:after="0"/>
              <w:rPr>
                <w:sz w:val="18"/>
                <w:szCs w:val="18"/>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(2,252)</w:t>
            </w: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paid on finance lease liabilities</w:t>
            </w:r>
          </w:p>
        </w:tc>
        <w:tc>
          <w:tcPr>
            <w:tcW w:w="260" w:type="dxa"/>
            <w:vAlign w:val="bottom"/>
          </w:tcPr>
          <w:p>
            <w:pPr>
              <w:spacing w:after="0"/>
              <w:rPr>
                <w:sz w:val="19"/>
                <w:szCs w:val="19"/>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2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(35,753)</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auto"/>
              <w:bottom w:val="single" w:sz="8" w:color="auto"/>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Pr>
          <w:p>
            <w:pPr>
              <w:spacing w:after="0"/>
              <w:rPr>
                <w:sz w:val="24"/>
                <w:szCs w:val="24"/>
                <w:color w:val="auto"/>
              </w:rPr>
            </w:pPr>
          </w:p>
        </w:tc>
        <w:tc>
          <w:tcPr>
            <w:tcW w:w="12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75,749</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74,852</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shd w:val="clear" w:color="auto" w:fill="E5FFFF"/>
          </w:tcPr>
          <w:p>
            <w:pPr>
              <w:spacing w:after="0"/>
              <w:rPr>
                <w:sz w:val="19"/>
                <w:szCs w:val="19"/>
                <w:color w:val="auto"/>
              </w:rPr>
            </w:pP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196,255</w:t>
            </w:r>
          </w:p>
        </w:tc>
        <w:tc>
          <w:tcPr>
            <w:tcW w:w="2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223,397</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272,004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298,249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Non-cash investing activities – Accrued capital expenditures</w:t>
            </w:r>
          </w:p>
        </w:tc>
        <w:tc>
          <w:tcPr>
            <w:tcW w:w="260" w:type="dxa"/>
            <w:vAlign w:val="bottom"/>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5,235</w:t>
            </w:r>
          </w:p>
        </w:tc>
        <w:tc>
          <w:tcPr>
            <w:tcW w:w="560" w:type="dxa"/>
            <w:vAlign w:val="bottom"/>
            <w:gridSpan w:val="2"/>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0"/>
        </w:trPr>
        <w:tc>
          <w:tcPr>
            <w:tcW w:w="82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Non-cash investing activities – Capital additions transferred from prepaid expense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bottom w:val="single" w:sz="8" w:color="E5FFFF"/>
            </w:tcBorders>
            <w:vMerge w:val="restart"/>
          </w:tcPr>
          <w:p>
            <w:pPr>
              <w:spacing w:after="0" w:line="20" w:lineRule="exact"/>
              <w:rPr>
                <w:sz w:val="1"/>
                <w:szCs w:val="1"/>
                <w:color w:val="auto"/>
              </w:rPr>
            </w:pPr>
          </w:p>
        </w:tc>
        <w:tc>
          <w:tcPr>
            <w:tcW w:w="220" w:type="dxa"/>
            <w:vAlign w:val="bottom"/>
            <w:tcBorders>
              <w:top w:val="single" w:sz="8" w:color="E5FFFF"/>
              <w:bottom w:val="single" w:sz="8" w:color="E5FF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952</w:t>
            </w:r>
          </w:p>
        </w:tc>
        <w:tc>
          <w:tcPr>
            <w:tcW w:w="200" w:type="dxa"/>
            <w:vAlign w:val="bottom"/>
            <w:tcBorders>
              <w:bottom w:val="single" w:sz="8" w:color="E5FFFF"/>
            </w:tcBorders>
            <w:vMerge w:val="continue"/>
          </w:tcPr>
          <w:p>
            <w:pPr>
              <w:spacing w:after="0"/>
              <w:rPr>
                <w:sz w:val="20"/>
                <w:szCs w:val="20"/>
                <w:color w:val="auto"/>
              </w:rPr>
            </w:pPr>
          </w:p>
        </w:tc>
        <w:tc>
          <w:tcPr>
            <w:tcW w:w="220" w:type="dxa"/>
            <w:vAlign w:val="bottom"/>
            <w:tcBorders>
              <w:bottom w:val="single" w:sz="8" w:color="E5FF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Non-cash financing activities – Stock awards accrued</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3,392</w:t>
            </w:r>
          </w:p>
        </w:tc>
        <w:tc>
          <w:tcPr>
            <w:tcW w:w="20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financing activities – Stock awards issued</w:t>
            </w: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5FFFF"/>
            </w:tcBorders>
            <w:vMerge w:val="continue"/>
          </w:tcPr>
          <w:p>
            <w:pPr>
              <w:spacing w:after="0"/>
              <w:rPr>
                <w:sz w:val="20"/>
                <w:szCs w:val="20"/>
                <w:color w:val="auto"/>
              </w:rPr>
            </w:pPr>
          </w:p>
        </w:tc>
        <w:tc>
          <w:tcPr>
            <w:tcW w:w="220" w:type="dxa"/>
            <w:vAlign w:val="bottom"/>
            <w:tcBorders>
              <w:bottom w:val="single" w:sz="8" w:color="E5FF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Non-cash financing activities – Excise tax on stock repurchases accrued</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20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right-of-use assets acquired and liabilities incurred upon lease commencement</w:t>
            </w: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3,007</w:t>
            </w:r>
          </w:p>
        </w:tc>
        <w:tc>
          <w:tcPr>
            <w:tcW w:w="200" w:type="dxa"/>
            <w:vAlign w:val="bottom"/>
            <w:tcBorders>
              <w:bottom w:val="single" w:sz="8" w:color="E5FFFF"/>
            </w:tcBorders>
            <w:vMerge w:val="continue"/>
          </w:tcPr>
          <w:p>
            <w:pPr>
              <w:spacing w:after="0"/>
              <w:rPr>
                <w:sz w:val="20"/>
                <w:szCs w:val="20"/>
                <w:color w:val="auto"/>
              </w:rPr>
            </w:pPr>
          </w:p>
        </w:tc>
        <w:tc>
          <w:tcPr>
            <w:tcW w:w="220" w:type="dxa"/>
            <w:vAlign w:val="bottom"/>
            <w:tcBorders>
              <w:bottom w:val="single" w:sz="8" w:color="E5FF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13,734</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Finance right-of-use assets acquired and liabilities incurred upon lease commencement</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3,381</w:t>
            </w:r>
          </w:p>
        </w:tc>
        <w:tc>
          <w:tcPr>
            <w:tcW w:w="20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UNAUDITED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October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Financial Statements</w:t>
      </w:r>
    </w:p>
    <w:p>
      <w:pPr>
        <w:spacing w:after="0" w:line="239"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financial statements and in these notes to the consolidated financial statements refer to REX American Resources Corporation, a Delaware corporation, and its majority and wholly owned subsidiaries.</w:t>
      </w:r>
    </w:p>
    <w:p>
      <w:pPr>
        <w:spacing w:after="0" w:line="20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2025 included in these financial statements has been derived from the audited consolidated financial statements included in the Company’s Annual Report on Form 10-K for the year ended January 31, 2025 (fiscal year 2024). These unaudited consolidated financial statements should be read in conjunction with the consolidated financial statements and the notes thereto included in the Company’s Annual Report on Form 10-K for the year ended January 31, 2025. The results of operations for the interim periods are not necessarily indicative of the results to be expected for the year.</w:t>
      </w:r>
    </w:p>
    <w:p>
      <w:pPr>
        <w:spacing w:after="0" w:line="200"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Basis of Consolidation </w:t>
      </w:r>
      <w:r>
        <w:rPr>
          <w:rFonts w:ascii="Times New Roman" w:cs="Times New Roman" w:eastAsia="Times New Roman" w:hAnsi="Times New Roman"/>
          <w:sz w:val="22"/>
          <w:szCs w:val="22"/>
          <w:color w:val="auto"/>
        </w:rPr>
        <w:t>– The consolidated financial statements in this report include the operating results and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of the Company. All intercompany balances and transactions have been eliminated. The Company consolidates the results of its wholly owned and majority owned subsidiaries. The Company includes the results of operations of One Earth Energy, LLC in its Consolidated Statements of Operations on a delayed basis of one month as One Earth has a fiscal year end of December 31.</w:t>
      </w:r>
    </w:p>
    <w:p>
      <w:pPr>
        <w:spacing w:after="0" w:line="204"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Stock Split </w:t>
      </w:r>
      <w:r>
        <w:rPr>
          <w:rFonts w:ascii="Times New Roman" w:cs="Times New Roman" w:eastAsia="Times New Roman" w:hAnsi="Times New Roman"/>
          <w:sz w:val="22"/>
          <w:szCs w:val="22"/>
          <w:color w:val="auto"/>
        </w:rPr>
        <w:t>– On August 26, 2025, the Board of Directors of the Company adopted resolutions declaring a two-for-one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split of the Company’s Common Stock to be effectuated in the form of a 100% stock dividend, payable on September 15, 2025 to stockholders of record at the close of business on September 8, 2025. The stock split has been retroactively reflected in the accompanying consolidated financial statements.</w:t>
      </w:r>
    </w:p>
    <w:p>
      <w:pPr>
        <w:spacing w:after="0" w:line="199"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Nature of Operations </w:t>
      </w:r>
      <w:r>
        <w:rPr>
          <w:rFonts w:ascii="Times New Roman" w:cs="Times New Roman" w:eastAsia="Times New Roman" w:hAnsi="Times New Roman"/>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198" w:lineRule="exact"/>
        <w:rPr>
          <w:sz w:val="20"/>
          <w:szCs w:val="20"/>
          <w:color w:val="auto"/>
        </w:rPr>
      </w:pPr>
    </w:p>
    <w:p>
      <w:pPr>
        <w:ind w:right="480" w:firstLine="648"/>
        <w:spacing w:after="0" w:line="244" w:lineRule="auto"/>
        <w:rPr>
          <w:sz w:val="20"/>
          <w:szCs w:val="20"/>
          <w:color w:val="auto"/>
        </w:rPr>
      </w:pPr>
      <w:r>
        <w:rPr>
          <w:rFonts w:ascii="Times New Roman" w:cs="Times New Roman" w:eastAsia="Times New Roman" w:hAnsi="Times New Roman"/>
          <w:sz w:val="22"/>
          <w:szCs w:val="22"/>
          <w:color w:val="auto"/>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39"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The interim consolidated financial statements have been prepared in accordance with the accounting policies described in the notes to the consolidated financial statements included in the Company’s fiscal year 2024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w:t>
      </w:r>
    </w:p>
    <w:p>
      <w:pPr>
        <w:spacing w:after="0" w:line="23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3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of Sales</w:t>
      </w:r>
    </w:p>
    <w:p>
      <w:pPr>
        <w:spacing w:after="0" w:line="23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third-party freight charges, purchasing and receiving costs, inspection costs, other distribution expenses, warehousing costs, plant repair and maintenance costs, production labor and related payroll costs, and general facility overhead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Expenses</w:t>
      </w:r>
    </w:p>
    <w:p>
      <w:pPr>
        <w:spacing w:after="0" w:line="23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selling charges, operating lease expense, and certain payroll in SG&amp;A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p>
      <w:pPr>
        <w:spacing w:after="0" w:line="237"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Certain of the forward corn and natural gas purchase contracts and ethanol, distillers grains and distillers corn oil sale contracts are accounted for under the “normal purchases and normal sales” scope</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0" w:right="399" w:bottom="1440" w:gutter="0" w:footer="0" w:header="0"/>
        </w:sectPr>
      </w:pPr>
    </w:p>
    <w:bookmarkStart w:id="10" w:name="page11"/>
    <w:bookmarkEnd w:id="10"/>
    <w:p>
      <w:pPr>
        <w:ind w:right="260"/>
        <w:spacing w:after="0" w:line="244" w:lineRule="auto"/>
        <w:rPr>
          <w:sz w:val="20"/>
          <w:szCs w:val="20"/>
          <w:color w:val="auto"/>
        </w:rPr>
      </w:pPr>
      <w:r>
        <w:rPr>
          <w:rFonts w:ascii="Times New Roman" w:cs="Times New Roman" w:eastAsia="Times New Roman" w:hAnsi="Times New Roman"/>
          <w:sz w:val="22"/>
          <w:szCs w:val="22"/>
          <w:color w:val="auto"/>
        </w:rPr>
        <w:t>exemption of ASC 815 because these arrangements are for purchases of corn that will be delivered in quantities expected to be used by the Company and sales of ethanol, distillers grains and distillers corn oil in quantities expected to be produced by the Company over a reasonable period of time in the normal course of business.</w:t>
      </w:r>
    </w:p>
    <w:p>
      <w:pPr>
        <w:spacing w:after="0" w:line="200"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and swaps)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$3.1 million and $5.5 million and received no refunds during the nine months ended October 31, 2025 and October 31, 2024, respectively.</w:t>
      </w:r>
    </w:p>
    <w:p>
      <w:pPr>
        <w:spacing w:after="0" w:line="210" w:lineRule="exact"/>
        <w:rPr>
          <w:sz w:val="20"/>
          <w:szCs w:val="20"/>
          <w:color w:val="auto"/>
        </w:rPr>
      </w:pPr>
    </w:p>
    <w:p>
      <w:pPr>
        <w:ind w:right="160" w:firstLine="648"/>
        <w:spacing w:after="0" w:line="235" w:lineRule="auto"/>
        <w:rPr>
          <w:sz w:val="20"/>
          <w:szCs w:val="20"/>
          <w:color w:val="auto"/>
        </w:rPr>
      </w:pPr>
      <w:r>
        <w:rPr>
          <w:rFonts w:ascii="Times New Roman" w:cs="Times New Roman" w:eastAsia="Times New Roman" w:hAnsi="Times New Roman"/>
          <w:sz w:val="22"/>
          <w:szCs w:val="22"/>
          <w:color w:val="auto"/>
        </w:rPr>
        <w:t>As of October 31, 2025, and January 31, 2025, total unrecognized tax benefits were approximately $18.9 million. Accrued penalties and interest were approximately $118,000 and approximately $99,000 at October 31, 2025 and January 31, 2025, respectively. If the Company were to prevail on all unrecognized tax benefits recorded, the provision for income taxes would be reduced by approximately $18.8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Inventory</w:t>
      </w:r>
    </w:p>
    <w:p>
      <w:pPr>
        <w:spacing w:after="0" w:line="23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Cost for all inventories is determined using the first-in, first-out 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Inventory is permanently written down in instances when cost exceeds estimated net realizable value; such write-downs are based primarily upon commodity prices as the market value of inventory is often dependent upon changes in commodity prices.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1" w:name="page12"/>
    <w:bookmarkEnd w:id="11"/>
    <w:p>
      <w:pPr>
        <w:ind w:right="20"/>
        <w:spacing w:after="0" w:line="244" w:lineRule="auto"/>
        <w:rPr>
          <w:sz w:val="20"/>
          <w:szCs w:val="20"/>
          <w:color w:val="auto"/>
        </w:rPr>
      </w:pPr>
      <w:r>
        <w:rPr>
          <w:rFonts w:ascii="Times New Roman" w:cs="Times New Roman" w:eastAsia="Times New Roman" w:hAnsi="Times New Roman"/>
          <w:sz w:val="22"/>
          <w:szCs w:val="22"/>
          <w:color w:val="auto"/>
        </w:rPr>
        <w:t>The Company did not record any inventory write-downs at October 31, 2025. The Company recorded approximately $100,000 of inventory write-downs in cost of sales at January 31, 2025. Fluctuations in the write-down of inventory generally relate to the levels and composition of such inventory and changes in commodity prices at a given point in time.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inventory are as follows as of the dates presented (amounts in thousands):</w:t>
      </w:r>
    </w:p>
    <w:p>
      <w:pPr>
        <w:sectPr>
          <w:pgSz w:w="11900" w:h="16838" w:orient="portrait"/>
          <w:cols w:equalWidth="0" w:num="1">
            <w:col w:w="11220"/>
          </w:cols>
          <w:pgMar w:left="320" w:top="3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080"/>
        <w:spacing w:after="0" w:line="241" w:lineRule="auto"/>
        <w:rPr>
          <w:sz w:val="20"/>
          <w:szCs w:val="20"/>
          <w:color w:val="auto"/>
        </w:rPr>
      </w:pPr>
      <w:r>
        <w:rPr>
          <w:rFonts w:ascii="Times New Roman" w:cs="Times New Roman" w:eastAsia="Times New Roman" w:hAnsi="Times New Roman"/>
          <w:sz w:val="22"/>
          <w:szCs w:val="22"/>
          <w:color w:val="auto"/>
        </w:rPr>
        <w:t>Ethanol and other finished goods Work in process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Corn and other raw materials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2"/>
                <w:szCs w:val="22"/>
                <w:color w:val="auto"/>
              </w:rPr>
            </w:pPr>
          </w:p>
        </w:tc>
        <w:tc>
          <w:tcPr>
            <w:tcW w:w="1760" w:type="dxa"/>
            <w:vAlign w:val="bottom"/>
            <w:gridSpan w:val="4"/>
          </w:tcPr>
          <w:p>
            <w:pPr>
              <w:jc w:val="center"/>
              <w:ind w:right="640"/>
              <w:spacing w:after="0"/>
              <w:rPr>
                <w:sz w:val="20"/>
                <w:szCs w:val="20"/>
                <w:color w:val="auto"/>
              </w:rPr>
            </w:pPr>
            <w:r>
              <w:rPr>
                <w:rFonts w:ascii="Times New Roman" w:cs="Times New Roman" w:eastAsia="Times New Roman" w:hAnsi="Times New Roman"/>
                <w:sz w:val="22"/>
                <w:szCs w:val="22"/>
                <w:b w:val="1"/>
                <w:bCs w:val="1"/>
                <w:color w:val="auto"/>
                <w:w w:val="98"/>
              </w:rPr>
              <w:t>October 31,</w:t>
            </w:r>
          </w:p>
        </w:tc>
        <w:tc>
          <w:tcPr>
            <w:tcW w:w="120" w:type="dxa"/>
            <w:vAlign w:val="bottom"/>
          </w:tcPr>
          <w:p>
            <w:pPr>
              <w:spacing w:after="0"/>
              <w:rPr>
                <w:sz w:val="22"/>
                <w:szCs w:val="22"/>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22"/>
                <w:szCs w:val="22"/>
                <w:b w:val="1"/>
                <w:bCs w:val="1"/>
                <w:color w:val="auto"/>
                <w:w w:val="97"/>
              </w:rPr>
              <w:t>January 31,</w:t>
            </w:r>
          </w:p>
        </w:tc>
      </w:tr>
      <w:tr>
        <w:trPr>
          <w:trHeight w:val="234"/>
        </w:trPr>
        <w:tc>
          <w:tcPr>
            <w:tcW w:w="120" w:type="dxa"/>
            <w:vAlign w:val="bottom"/>
          </w:tcPr>
          <w:p>
            <w:pPr>
              <w:spacing w:after="0"/>
              <w:rPr>
                <w:sz w:val="20"/>
                <w:szCs w:val="20"/>
                <w:color w:val="auto"/>
              </w:rPr>
            </w:pPr>
          </w:p>
        </w:tc>
        <w:tc>
          <w:tcPr>
            <w:tcW w:w="76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60"/>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79"/>
        </w:trPr>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3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4,162</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4,923</w:t>
            </w:r>
          </w:p>
        </w:tc>
      </w:tr>
      <w:tr>
        <w:trPr>
          <w:trHeight w:val="257"/>
        </w:trPr>
        <w:tc>
          <w:tcPr>
            <w:tcW w:w="12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4,671</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5,185</w:t>
            </w:r>
          </w:p>
        </w:tc>
      </w:tr>
      <w:tr>
        <w:trPr>
          <w:trHeight w:val="270"/>
        </w:trPr>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18,842</w:t>
            </w:r>
          </w:p>
        </w:tc>
        <w:tc>
          <w:tcPr>
            <w:tcW w:w="5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21,568</w:t>
            </w:r>
          </w:p>
        </w:tc>
      </w:tr>
      <w:tr>
        <w:trPr>
          <w:trHeight w:val="250"/>
        </w:trPr>
        <w:tc>
          <w:tcPr>
            <w:tcW w:w="12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tcBorders>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27,675</w:t>
            </w:r>
          </w:p>
        </w:tc>
        <w:tc>
          <w:tcPr>
            <w:tcW w:w="52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tcBorders>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31,676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-668020</wp:posOffset>
            </wp:positionV>
            <wp:extent cx="570039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-359410</wp:posOffset>
            </wp:positionV>
            <wp:extent cx="570039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664" w:lineRule="exact"/>
        <w:rPr>
          <w:sz w:val="20"/>
          <w:szCs w:val="20"/>
          <w:color w:val="auto"/>
        </w:rPr>
      </w:pPr>
    </w:p>
    <w:p>
      <w:pPr>
        <w:sectPr>
          <w:pgSz w:w="11900" w:h="16838" w:orient="portrait"/>
          <w:cols w:equalWidth="0" w:num="2">
            <w:col w:w="4940" w:space="720"/>
            <w:col w:w="5560"/>
          </w:cols>
          <w:pgMar w:left="320" w:top="396" w:right="359" w:bottom="1440" w:gutter="0" w:footer="0" w:header="0"/>
          <w:type w:val="continuous"/>
        </w:sectPr>
      </w:pPr>
    </w:p>
    <w:p>
      <w:pPr>
        <w:spacing w:after="0" w:line="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40 years for fixtures and equipment.</w:t>
      </w:r>
    </w:p>
    <w:p>
      <w:pPr>
        <w:spacing w:after="0" w:line="19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nine months of fiscal year 2025 or 2024.</w:t>
      </w:r>
    </w:p>
    <w:p>
      <w:pPr>
        <w:spacing w:after="0" w:line="203"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Times New Roman" w:cs="Times New Roman" w:eastAsia="Times New Roman" w:hAnsi="Times New Roman"/>
          <w:sz w:val="22"/>
          <w:szCs w:val="22"/>
          <w:i w:val="1"/>
          <w:iCs w:val="1"/>
          <w:color w:val="auto"/>
        </w:rPr>
        <w:t>Investments-Equity Method and Joint Ventures</w:t>
      </w:r>
      <w:r>
        <w:rPr>
          <w:rFonts w:ascii="Times New Roman" w:cs="Times New Roman" w:eastAsia="Times New Roman" w:hAnsi="Times New Roman"/>
          <w:sz w:val="22"/>
          <w:szCs w:val="22"/>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on a delayed basis of one month as Big River has a fiscal year end of December 31.</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type w:val="continuous"/>
        </w:sectPr>
      </w:pPr>
    </w:p>
    <w:bookmarkStart w:id="12" w:name="page13"/>
    <w:bookmarkEnd w:id="12"/>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207"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Short-term investments, consisting of U.S. government obligations, are considered held to maturity, and therefore are carried at amortized historical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3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In December 2023, the FASB issued ASU 2023-09, “Income Taxes (Topic 740): Improvements to Income Tax Disclosures”, to enhance the transparency and decision usefulness of annual income tax disclosures. This ASU is effective for all entities that are subject to Topic 740 for annual reporting periods beginning after December 15, 2024. Early adoption and retrospective application are permitted, but not required. The Company does not expect the adoption of this ASU to have a material impact on the Consolidated Financial Statements.</w:t>
      </w:r>
    </w:p>
    <w:p>
      <w:pPr>
        <w:spacing w:after="0" w:line="204" w:lineRule="exact"/>
        <w:rPr>
          <w:sz w:val="20"/>
          <w:szCs w:val="20"/>
          <w:color w:val="auto"/>
        </w:rPr>
      </w:pPr>
    </w:p>
    <w:p>
      <w:pPr>
        <w:ind w:right="280" w:firstLine="648"/>
        <w:spacing w:after="0" w:line="238" w:lineRule="auto"/>
        <w:rPr>
          <w:sz w:val="20"/>
          <w:szCs w:val="20"/>
          <w:color w:val="auto"/>
        </w:rPr>
      </w:pPr>
      <w:r>
        <w:rPr>
          <w:rFonts w:ascii="Times New Roman" w:cs="Times New Roman" w:eastAsia="Times New Roman" w:hAnsi="Times New Roman"/>
          <w:sz w:val="22"/>
          <w:szCs w:val="22"/>
          <w:color w:val="auto"/>
        </w:rPr>
        <w:t>In November 2024, the FASB issued ASU 2024-03, “Income Statement - Reporting Comprehensive Income - Expense Disaggregation Disclosures (Subtopic 220-40)”, which provides clarity in assessing an entity’s performance and prospects for future cash flows by disclosure of more detailed information about the types of expenses in commonly presented expense captions. This ASU is effective for the Company’s fiscal year-ended January 31, 2028. Early adoption is permitted, but not required. The Company is currently evaluating the impact of this ASU.</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3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or truck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04"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980" w:type="dxa"/>
            <w:vAlign w:val="bottom"/>
            <w:gridSpan w:val="8"/>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gridSpan w:val="7"/>
          </w:tcPr>
          <w:p>
            <w:pPr>
              <w:ind w:left="12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4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31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2025</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4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2024</w:t>
            </w:r>
          </w:p>
        </w:tc>
        <w:tc>
          <w:tcPr>
            <w:tcW w:w="100" w:type="dxa"/>
            <w:vAlign w:val="bottom"/>
          </w:tcPr>
          <w:p>
            <w:pPr>
              <w:spacing w:after="0"/>
              <w:rPr>
                <w:sz w:val="20"/>
                <w:szCs w:val="20"/>
                <w:color w:val="auto"/>
              </w:rPr>
            </w:pPr>
          </w:p>
        </w:tc>
      </w:tr>
      <w:tr>
        <w:trPr>
          <w:trHeight w:val="21"/>
        </w:trPr>
        <w:tc>
          <w:tcPr>
            <w:tcW w:w="4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420" w:type="dxa"/>
            <w:vAlign w:val="bottom"/>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136,031</w:t>
            </w:r>
          </w:p>
        </w:tc>
        <w:tc>
          <w:tcPr>
            <w:tcW w:w="820" w:type="dxa"/>
            <w:vAlign w:val="bottom"/>
            <w:gridSpan w:val="2"/>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138,107</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383,739</w:t>
            </w:r>
          </w:p>
        </w:tc>
        <w:tc>
          <w:tcPr>
            <w:tcW w:w="820" w:type="dxa"/>
            <w:vAlign w:val="bottom"/>
            <w:gridSpan w:val="2"/>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373,634</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42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22,357</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25,032</w:t>
            </w:r>
          </w:p>
        </w:tc>
        <w:tc>
          <w:tcPr>
            <w:tcW w:w="26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65,903</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77,564</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4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16,353</w:t>
            </w:r>
          </w:p>
        </w:tc>
        <w:tc>
          <w:tcPr>
            <w:tcW w:w="4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10,249</w:t>
            </w:r>
          </w:p>
        </w:tc>
        <w:tc>
          <w:tcPr>
            <w:tcW w:w="260" w:type="dxa"/>
            <w:vAlign w:val="bottom"/>
            <w:shd w:val="clear" w:color="auto" w:fill="E5FFFF"/>
          </w:tcPr>
          <w:p>
            <w:pPr>
              <w:spacing w:after="0"/>
              <w:rPr>
                <w:sz w:val="21"/>
                <w:szCs w:val="21"/>
                <w:color w:val="auto"/>
              </w:rPr>
            </w:pPr>
          </w:p>
        </w:tc>
        <w:tc>
          <w:tcPr>
            <w:tcW w:w="9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38,741</w:t>
            </w:r>
          </w:p>
        </w:tc>
        <w:tc>
          <w:tcPr>
            <w:tcW w:w="4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28,633</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42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1,180</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1,159</w:t>
            </w:r>
          </w:p>
        </w:tc>
        <w:tc>
          <w:tcPr>
            <w:tcW w:w="26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4,053</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3,479</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(losses) gains</w:t>
            </w:r>
          </w:p>
        </w:tc>
        <w:tc>
          <w:tcPr>
            <w:tcW w:w="4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(328)</w:t>
            </w:r>
          </w:p>
        </w:tc>
        <w:tc>
          <w:tcPr>
            <w:tcW w:w="4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260" w:type="dxa"/>
            <w:vAlign w:val="bottom"/>
            <w:shd w:val="clear" w:color="auto" w:fill="E5FFFF"/>
          </w:tcPr>
          <w:p>
            <w:pPr>
              <w:spacing w:after="0"/>
              <w:rPr>
                <w:sz w:val="21"/>
                <w:szCs w:val="21"/>
                <w:color w:val="auto"/>
              </w:rPr>
            </w:pPr>
          </w:p>
        </w:tc>
        <w:tc>
          <w:tcPr>
            <w:tcW w:w="9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(110)</w:t>
            </w:r>
          </w:p>
        </w:tc>
        <w:tc>
          <w:tcPr>
            <w:tcW w:w="4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737</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4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30</w:t>
            </w: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202</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216</w:t>
            </w: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420" w:type="dxa"/>
            <w:vAlign w:val="bottom"/>
            <w:tcBorders>
              <w:top w:val="single" w:sz="8" w:color="auto"/>
              <w:bottom w:val="single" w:sz="8" w:color="auto"/>
            </w:tcBorders>
            <w:shd w:val="clear" w:color="auto" w:fill="E5FFFF"/>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175,625</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ind w:right="1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174,877</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492,528</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484,263</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Leases</w:t>
      </w:r>
    </w:p>
    <w:p>
      <w:pPr>
        <w:spacing w:after="0" w:line="237"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At October 31, 2025,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20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lease expense, classified as SG&amp;A expenses on the Consolidated Statement of Operations and total cash paid for amounts included in the measurement of lease liabilities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80" w:type="dxa"/>
            <w:vAlign w:val="bottom"/>
            <w:gridSpan w:val="8"/>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gridSpan w:val="7"/>
          </w:tcPr>
          <w:p>
            <w:pPr>
              <w:ind w:left="120"/>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31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2025</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4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Operating lease expense</w:t>
            </w:r>
          </w:p>
        </w:tc>
        <w:tc>
          <w:tcPr>
            <w:tcW w:w="420" w:type="dxa"/>
            <w:vAlign w:val="bottom"/>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2,059</w:t>
            </w:r>
          </w:p>
        </w:tc>
        <w:tc>
          <w:tcPr>
            <w:tcW w:w="820" w:type="dxa"/>
            <w:vAlign w:val="bottom"/>
            <w:gridSpan w:val="2"/>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2,014</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6,133</w:t>
            </w:r>
          </w:p>
        </w:tc>
        <w:tc>
          <w:tcPr>
            <w:tcW w:w="820" w:type="dxa"/>
            <w:vAlign w:val="bottom"/>
            <w:gridSpan w:val="2"/>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5,384</w:t>
            </w: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Variable lease expense</w:t>
            </w:r>
          </w:p>
        </w:tc>
        <w:tc>
          <w:tcPr>
            <w:tcW w:w="4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134</w:t>
            </w: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129</w:t>
            </w:r>
          </w:p>
        </w:tc>
        <w:tc>
          <w:tcPr>
            <w:tcW w:w="0" w:type="dxa"/>
            <w:vAlign w:val="bottom"/>
          </w:tcPr>
          <w:p>
            <w:pPr>
              <w:spacing w:after="0"/>
              <w:rPr>
                <w:sz w:val="1"/>
                <w:szCs w:val="1"/>
                <w:color w:val="auto"/>
              </w:rPr>
            </w:pP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lease expense</w:t>
            </w:r>
          </w:p>
        </w:tc>
        <w:tc>
          <w:tcPr>
            <w:tcW w:w="420" w:type="dxa"/>
            <w:vAlign w:val="bottom"/>
            <w:tcBorders>
              <w:top w:val="single" w:sz="8" w:color="auto"/>
              <w:bottom w:val="single" w:sz="8" w:color="auto"/>
            </w:tcBorders>
            <w:shd w:val="clear" w:color="auto" w:fill="E5FFFF"/>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2,105</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ind w:right="1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2,148</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6,283</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5,513</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Total cash paid in measurement of lease liability</w:t>
            </w: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840" w:type="dxa"/>
            <w:vAlign w:val="bottom"/>
            <w:vMerge w:val="continue"/>
          </w:tcPr>
          <w:p>
            <w:pPr>
              <w:spacing w:after="0"/>
              <w:rPr>
                <w:sz w:val="24"/>
                <w:szCs w:val="24"/>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1,955</w:t>
            </w:r>
          </w:p>
        </w:tc>
        <w:tc>
          <w:tcPr>
            <w:tcW w:w="8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1,821</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5,806</w:t>
            </w:r>
          </w:p>
        </w:tc>
        <w:tc>
          <w:tcPr>
            <w:tcW w:w="8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4,981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14</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21"/>
          <w:szCs w:val="21"/>
          <w:color w:val="auto"/>
        </w:rPr>
        <w:t>The following table is a summary of future minimum rentals on such leases at October 31, 2025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Minimum</w:t>
            </w:r>
          </w:p>
        </w:tc>
      </w:tr>
      <w:tr>
        <w:trPr>
          <w:trHeight w:val="234"/>
        </w:trPr>
        <w:tc>
          <w:tcPr>
            <w:tcW w:w="296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Years Ended January 31,</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40"/>
              <w:spacing w:after="0" w:line="233" w:lineRule="exact"/>
              <w:rPr>
                <w:sz w:val="20"/>
                <w:szCs w:val="20"/>
                <w:color w:val="auto"/>
              </w:rPr>
            </w:pPr>
            <w:r>
              <w:rPr>
                <w:rFonts w:ascii="Times New Roman" w:cs="Times New Roman" w:eastAsia="Times New Roman" w:hAnsi="Times New Roman"/>
                <w:sz w:val="22"/>
                <w:szCs w:val="22"/>
                <w:b w:val="1"/>
                <w:bCs w:val="1"/>
                <w:color w:val="auto"/>
                <w:w w:val="95"/>
              </w:rPr>
              <w:t>Rentals</w:t>
            </w:r>
          </w:p>
        </w:tc>
      </w:tr>
      <w:tr>
        <w:trPr>
          <w:trHeight w:val="264"/>
        </w:trPr>
        <w:tc>
          <w:tcPr>
            <w:tcW w:w="2320" w:type="dxa"/>
            <w:vAlign w:val="bottom"/>
            <w:tcBorders>
              <w:top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29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2026</w:t>
            </w:r>
          </w:p>
        </w:tc>
        <w:tc>
          <w:tcPr>
            <w:tcW w:w="780" w:type="dxa"/>
            <w:vAlign w:val="bottom"/>
            <w:gridSpan w:val="2"/>
            <w:shd w:val="clear" w:color="auto" w:fill="E5FF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1,931</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7,706</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64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6,378</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3,698</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2030</w:t>
            </w:r>
          </w:p>
        </w:tc>
        <w:tc>
          <w:tcPr>
            <w:tcW w:w="64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2,036</w:t>
            </w:r>
          </w:p>
        </w:tc>
      </w:tr>
      <w:tr>
        <w:trPr>
          <w:trHeight w:val="257"/>
        </w:trPr>
        <w:tc>
          <w:tcPr>
            <w:tcW w:w="2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Thereafter</w:t>
            </w: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133</w:t>
            </w:r>
          </w:p>
        </w:tc>
      </w:tr>
      <w:tr>
        <w:trPr>
          <w:trHeight w:val="237"/>
        </w:trPr>
        <w:tc>
          <w:tcPr>
            <w:tcW w:w="296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500" w:type="dxa"/>
            <w:vAlign w:val="bottom"/>
            <w:tcBorders>
              <w:top w:val="single" w:sz="8" w:color="E5FFFF"/>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21,882</w:t>
            </w:r>
          </w:p>
        </w:tc>
        <w:tc>
          <w:tcPr>
            <w:tcW w:w="40" w:type="dxa"/>
            <w:vAlign w:val="bottom"/>
            <w:tcBorders>
              <w:top w:val="single" w:sz="8" w:color="E5FFFF"/>
            </w:tcBorders>
            <w:shd w:val="clear" w:color="auto" w:fill="E5FFFF"/>
          </w:tcPr>
          <w:p>
            <w:pPr>
              <w:spacing w:after="0"/>
              <w:rPr>
                <w:sz w:val="20"/>
                <w:szCs w:val="20"/>
                <w:color w:val="auto"/>
              </w:rPr>
            </w:pPr>
          </w:p>
        </w:tc>
      </w:tr>
      <w:tr>
        <w:trPr>
          <w:trHeight w:val="257"/>
        </w:trPr>
        <w:tc>
          <w:tcPr>
            <w:tcW w:w="2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2,205</w:t>
            </w:r>
          </w:p>
        </w:tc>
      </w:tr>
      <w:tr>
        <w:trPr>
          <w:trHeight w:val="250"/>
        </w:trPr>
        <w:tc>
          <w:tcPr>
            <w:tcW w:w="296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Operating lease liabilities</w:t>
            </w:r>
          </w:p>
        </w:tc>
        <w:tc>
          <w:tcPr>
            <w:tcW w:w="50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19,677</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At October 31, 2025, the weighted average remaining lease term is 2.9 years, and the weighted average discount rate is 6.60% for the outstanding leases.</w:t>
      </w:r>
    </w:p>
    <w:p>
      <w:pPr>
        <w:spacing w:after="0" w:line="18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At January 31, 2025, the weighted average remaining lease term was 3.5 years, and the weighted average discount rate was 6.60% for the outstanding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Finance Lease</w:t>
      </w:r>
    </w:p>
    <w:p>
      <w:pPr>
        <w:spacing w:after="0" w:line="23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At October 31, 2025, the Company had one lease agreement that was classified as a finance lease for an electrical substation facility. Prepayments totaling $15.6 million were made prior to fiscal year 2025, with monthly payments of approximately $39,000 to be made over the term of the lease. The lease term for this lease includes the noncancelable period of the lease and any periods for which only the Company has the option to cancel but is reasonably expected to continue the lease. Based on this, the lease term was determined to be 10 years. Control of the facility’s output was transferred to the Company just before the end of the first quarter of 2025, with monthly lease expense commencing in the second quarter of 2025. For the three-and nine-month periods ended October 31, 2025, expense related to this lease was approximately $0.5 million and $1.1 million, respectively, which includes approximately $57,000 and $115,000, respectively, in interest expense.</w:t>
      </w:r>
    </w:p>
    <w:p>
      <w:pPr>
        <w:spacing w:after="0" w:line="20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The weighted average remaining lease term for the finance lease is 9.5 years as of October 31, 2025. A discount rate of 6.9% was deemed appropriate as an incremental borrowing rate for a 10-year term.</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396" w:right="45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the lease at October 31, 2025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Minimum</w:t>
            </w:r>
          </w:p>
        </w:tc>
      </w:tr>
      <w:tr>
        <w:trPr>
          <w:trHeight w:val="234"/>
        </w:trPr>
        <w:tc>
          <w:tcPr>
            <w:tcW w:w="296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Years Ended January 31,</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40"/>
              <w:spacing w:after="0" w:line="233" w:lineRule="exact"/>
              <w:rPr>
                <w:sz w:val="20"/>
                <w:szCs w:val="20"/>
                <w:color w:val="auto"/>
              </w:rPr>
            </w:pPr>
            <w:r>
              <w:rPr>
                <w:rFonts w:ascii="Times New Roman" w:cs="Times New Roman" w:eastAsia="Times New Roman" w:hAnsi="Times New Roman"/>
                <w:sz w:val="22"/>
                <w:szCs w:val="22"/>
                <w:b w:val="1"/>
                <w:bCs w:val="1"/>
                <w:color w:val="auto"/>
                <w:w w:val="95"/>
              </w:rPr>
              <w:t>Rentals</w:t>
            </w:r>
          </w:p>
        </w:tc>
      </w:tr>
      <w:tr>
        <w:trPr>
          <w:trHeight w:val="264"/>
        </w:trPr>
        <w:tc>
          <w:tcPr>
            <w:tcW w:w="2320" w:type="dxa"/>
            <w:vAlign w:val="bottom"/>
            <w:tcBorders>
              <w:top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29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2026</w:t>
            </w:r>
          </w:p>
        </w:tc>
        <w:tc>
          <w:tcPr>
            <w:tcW w:w="780" w:type="dxa"/>
            <w:vAlign w:val="bottom"/>
            <w:gridSpan w:val="2"/>
            <w:shd w:val="clear" w:color="auto" w:fill="E5FF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117</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64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2030</w:t>
            </w:r>
          </w:p>
        </w:tc>
        <w:tc>
          <w:tcPr>
            <w:tcW w:w="64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57"/>
        </w:trPr>
        <w:tc>
          <w:tcPr>
            <w:tcW w:w="2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Thereafter</w:t>
            </w: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2,463</w:t>
            </w:r>
          </w:p>
        </w:tc>
      </w:tr>
      <w:tr>
        <w:trPr>
          <w:trHeight w:val="237"/>
        </w:trPr>
        <w:tc>
          <w:tcPr>
            <w:tcW w:w="296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500" w:type="dxa"/>
            <w:vAlign w:val="bottom"/>
            <w:tcBorders>
              <w:top w:val="single" w:sz="8" w:color="E5FFFF"/>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4,456</w:t>
            </w:r>
          </w:p>
        </w:tc>
        <w:tc>
          <w:tcPr>
            <w:tcW w:w="40" w:type="dxa"/>
            <w:vAlign w:val="bottom"/>
            <w:tcBorders>
              <w:top w:val="single" w:sz="8" w:color="E5FFFF"/>
            </w:tcBorders>
            <w:shd w:val="clear" w:color="auto" w:fill="E5FFFF"/>
          </w:tcPr>
          <w:p>
            <w:pPr>
              <w:spacing w:after="0"/>
              <w:rPr>
                <w:sz w:val="20"/>
                <w:szCs w:val="20"/>
                <w:color w:val="auto"/>
              </w:rPr>
            </w:pPr>
          </w:p>
        </w:tc>
      </w:tr>
      <w:tr>
        <w:trPr>
          <w:trHeight w:val="257"/>
        </w:trPr>
        <w:tc>
          <w:tcPr>
            <w:tcW w:w="2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1,194</w:t>
            </w:r>
          </w:p>
        </w:tc>
      </w:tr>
      <w:tr>
        <w:trPr>
          <w:trHeight w:val="250"/>
        </w:trPr>
        <w:tc>
          <w:tcPr>
            <w:tcW w:w="296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Finance lease liabilities</w:t>
            </w:r>
          </w:p>
        </w:tc>
        <w:tc>
          <w:tcPr>
            <w:tcW w:w="50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3,262</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3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 applies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21"/>
          <w:szCs w:val="21"/>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720" w:firstLine="8"/>
        <w:spacing w:after="0" w:line="258" w:lineRule="auto"/>
        <w:tabs>
          <w:tab w:leader="none" w:pos="25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model validation that requires a review and approval for pricing, financial statement fair value determination and risk quantification; and (ii) periodic review and substantiation of profit and loss reporting for all derivative instruments.</w:t>
      </w:r>
    </w:p>
    <w:p>
      <w:pPr>
        <w:spacing w:after="0" w:line="1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16" w:name="page17"/>
    <w:bookmarkEnd w:id="16"/>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October 31, 2025 are summarized below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160" w:type="dxa"/>
            <w:vAlign w:val="bottom"/>
          </w:tcPr>
          <w:p>
            <w:pPr>
              <w:spacing w:after="0"/>
              <w:rPr>
                <w:sz w:val="23"/>
                <w:szCs w:val="2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40" w:type="dxa"/>
            <w:vAlign w:val="bottom"/>
          </w:tcPr>
          <w:p>
            <w:pPr>
              <w:spacing w:after="0"/>
              <w:rPr>
                <w:sz w:val="23"/>
                <w:szCs w:val="2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gridSpan w:val="2"/>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gridSpan w:val="2"/>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gridSpan w:val="2"/>
            <w:shd w:val="clear" w:color="auto" w:fill="E5FFFF"/>
          </w:tcPr>
          <w:p>
            <w:pPr>
              <w:ind w:left="8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asset (2)</w:t>
            </w:r>
          </w:p>
        </w:tc>
        <w:tc>
          <w:tcPr>
            <w:tcW w:w="140" w:type="dxa"/>
            <w:vAlign w:val="bottom"/>
          </w:tcPr>
          <w:p>
            <w:pPr>
              <w:spacing w:after="0"/>
              <w:rPr>
                <w:sz w:val="22"/>
                <w:szCs w:val="22"/>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(372)</w:t>
            </w:r>
          </w:p>
        </w:tc>
        <w:tc>
          <w:tcPr>
            <w:tcW w:w="160" w:type="dxa"/>
            <w:vAlign w:val="bottom"/>
          </w:tcPr>
          <w:p>
            <w:pPr>
              <w:spacing w:after="0"/>
              <w:rPr>
                <w:sz w:val="22"/>
                <w:szCs w:val="22"/>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(372)</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517</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shd w:val="clear" w:color="auto" w:fill="E5FF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145</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12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615</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2025 are summarized below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160" w:type="dxa"/>
            <w:vAlign w:val="bottom"/>
          </w:tcPr>
          <w:p>
            <w:pPr>
              <w:spacing w:after="0"/>
              <w:rPr>
                <w:sz w:val="23"/>
                <w:szCs w:val="2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40" w:type="dxa"/>
            <w:vAlign w:val="bottom"/>
          </w:tcPr>
          <w:p>
            <w:pPr>
              <w:spacing w:after="0"/>
              <w:rPr>
                <w:sz w:val="23"/>
                <w:szCs w:val="2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gridSpan w:val="2"/>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gridSpan w:val="2"/>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1,253</w:t>
            </w: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gridSpan w:val="2"/>
            <w:shd w:val="clear" w:color="auto" w:fill="E5FFFF"/>
          </w:tcPr>
          <w:p>
            <w:pPr>
              <w:ind w:left="8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1,253</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(2)</w:t>
            </w:r>
          </w:p>
        </w:tc>
        <w:tc>
          <w:tcPr>
            <w:tcW w:w="140" w:type="dxa"/>
            <w:vAlign w:val="bottom"/>
          </w:tcPr>
          <w:p>
            <w:pPr>
              <w:spacing w:after="0"/>
              <w:rPr>
                <w:sz w:val="22"/>
                <w:szCs w:val="22"/>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(1,291)</w:t>
            </w:r>
          </w:p>
        </w:tc>
        <w:tc>
          <w:tcPr>
            <w:tcW w:w="160" w:type="dxa"/>
            <w:vAlign w:val="bottom"/>
          </w:tcPr>
          <w:p>
            <w:pPr>
              <w:spacing w:after="0"/>
              <w:rPr>
                <w:sz w:val="22"/>
                <w:szCs w:val="22"/>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2"/>
                <w:szCs w:val="22"/>
                <w:color w:val="auto"/>
              </w:rPr>
            </w:pP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(1,291)</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1,253</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shd w:val="clear" w:color="auto" w:fill="E5FF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(38)</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12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378</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right="460" w:hanging="328"/>
        <w:spacing w:after="0" w:line="241"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asset is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60" w:right="48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assets and liabilities are netted with cash collateral due from broker and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60" w:right="1120" w:hanging="328"/>
        <w:spacing w:after="0" w:line="23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liability is included in “Accrued expenses and other current liabilities” on the accompanying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3940" w:type="dxa"/>
            <w:vAlign w:val="bottom"/>
          </w:tcPr>
          <w:p>
            <w:pPr>
              <w:spacing w:after="0"/>
              <w:rPr>
                <w:sz w:val="21"/>
                <w:szCs w:val="21"/>
                <w:color w:val="auto"/>
              </w:rPr>
            </w:pPr>
          </w:p>
        </w:tc>
      </w:tr>
      <w:tr>
        <w:trPr>
          <w:trHeight w:val="234"/>
        </w:trPr>
        <w:tc>
          <w:tcPr>
            <w:tcW w:w="3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340"/>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42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263"/>
        </w:trPr>
        <w:tc>
          <w:tcPr>
            <w:tcW w:w="3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243"/>
        </w:trPr>
        <w:tc>
          <w:tcPr>
            <w:tcW w:w="3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920" w:type="dxa"/>
            <w:vAlign w:val="bottom"/>
            <w:gridSpan w:val="2"/>
            <w:shd w:val="clear" w:color="auto" w:fill="E5FFFF"/>
          </w:tcPr>
          <w:p>
            <w:pPr>
              <w:ind w:left="7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42,512</w:t>
            </w:r>
          </w:p>
        </w:tc>
        <w:tc>
          <w:tcPr>
            <w:tcW w:w="200" w:type="dxa"/>
            <w:vAlign w:val="bottom"/>
            <w:shd w:val="clear" w:color="auto" w:fill="E5FFFF"/>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34,112</w:t>
            </w:r>
          </w:p>
        </w:tc>
        <w:tc>
          <w:tcPr>
            <w:tcW w:w="3940" w:type="dxa"/>
            <w:vAlign w:val="bottom"/>
          </w:tcPr>
          <w:p>
            <w:pPr>
              <w:spacing w:after="0"/>
              <w:rPr>
                <w:sz w:val="21"/>
                <w:szCs w:val="21"/>
                <w:color w:val="auto"/>
              </w:rPr>
            </w:pPr>
          </w:p>
        </w:tc>
      </w:tr>
      <w:tr>
        <w:trPr>
          <w:trHeight w:val="243"/>
        </w:trPr>
        <w:tc>
          <w:tcPr>
            <w:tcW w:w="3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25,580</w:t>
            </w:r>
          </w:p>
        </w:tc>
        <w:tc>
          <w:tcPr>
            <w:tcW w:w="200" w:type="dxa"/>
            <w:vAlign w:val="bottom"/>
          </w:tcPr>
          <w:p>
            <w:pPr>
              <w:spacing w:after="0"/>
              <w:rPr>
                <w:sz w:val="21"/>
                <w:szCs w:val="21"/>
                <w:color w:val="auto"/>
              </w:rPr>
            </w:pPr>
          </w:p>
        </w:tc>
        <w:tc>
          <w:tcPr>
            <w:tcW w:w="1000" w:type="dxa"/>
            <w:vAlign w:val="bottom"/>
            <w:gridSpan w:val="3"/>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24,026</w:t>
            </w:r>
          </w:p>
        </w:tc>
        <w:tc>
          <w:tcPr>
            <w:tcW w:w="3940" w:type="dxa"/>
            <w:vAlign w:val="bottom"/>
          </w:tcPr>
          <w:p>
            <w:pPr>
              <w:spacing w:after="0"/>
              <w:rPr>
                <w:sz w:val="21"/>
                <w:szCs w:val="21"/>
                <w:color w:val="auto"/>
              </w:rPr>
            </w:pPr>
          </w:p>
        </w:tc>
      </w:tr>
      <w:tr>
        <w:trPr>
          <w:trHeight w:val="243"/>
        </w:trPr>
        <w:tc>
          <w:tcPr>
            <w:tcW w:w="3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7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36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340,418</w:t>
            </w:r>
          </w:p>
        </w:tc>
        <w:tc>
          <w:tcPr>
            <w:tcW w:w="200" w:type="dxa"/>
            <w:vAlign w:val="bottom"/>
            <w:shd w:val="clear" w:color="auto" w:fill="E5FFFF"/>
          </w:tcPr>
          <w:p>
            <w:pPr>
              <w:spacing w:after="0"/>
              <w:rPr>
                <w:sz w:val="21"/>
                <w:szCs w:val="21"/>
                <w:color w:val="auto"/>
              </w:rPr>
            </w:pPr>
          </w:p>
        </w:tc>
        <w:tc>
          <w:tcPr>
            <w:tcW w:w="1000" w:type="dxa"/>
            <w:vAlign w:val="bottom"/>
            <w:tcBorders>
              <w:right w:val="single" w:sz="8" w:color="E5FFFF"/>
            </w:tcBorders>
            <w:gridSpan w:val="3"/>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318,399</w:t>
            </w:r>
          </w:p>
        </w:tc>
        <w:tc>
          <w:tcPr>
            <w:tcW w:w="3940" w:type="dxa"/>
            <w:vAlign w:val="bottom"/>
          </w:tcPr>
          <w:p>
            <w:pPr>
              <w:spacing w:after="0"/>
              <w:rPr>
                <w:sz w:val="21"/>
                <w:szCs w:val="21"/>
                <w:color w:val="auto"/>
              </w:rPr>
            </w:pPr>
          </w:p>
        </w:tc>
      </w:tr>
      <w:tr>
        <w:trPr>
          <w:trHeight w:val="256"/>
        </w:trPr>
        <w:tc>
          <w:tcPr>
            <w:tcW w:w="3820" w:type="dxa"/>
            <w:vAlign w:val="bottom"/>
          </w:tcPr>
          <w:p>
            <w:pPr>
              <w:spacing w:after="0"/>
              <w:rPr>
                <w:sz w:val="20"/>
                <w:szCs w:val="20"/>
                <w:color w:val="auto"/>
              </w:rPr>
            </w:pPr>
            <w:r>
              <w:rPr>
                <w:rFonts w:ascii="Times New Roman" w:cs="Times New Roman" w:eastAsia="Times New Roman" w:hAnsi="Times New Roman"/>
                <w:sz w:val="22"/>
                <w:szCs w:val="22"/>
                <w:color w:val="auto"/>
              </w:rPr>
              <w:t>Construction in progress</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121,645</w:t>
            </w:r>
          </w:p>
        </w:tc>
        <w:tc>
          <w:tcPr>
            <w:tcW w:w="200" w:type="dxa"/>
            <w:vAlign w:val="bottom"/>
          </w:tcPr>
          <w:p>
            <w:pPr>
              <w:spacing w:after="0"/>
              <w:rPr>
                <w:sz w:val="22"/>
                <w:szCs w:val="22"/>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94,010</w:t>
            </w:r>
          </w:p>
        </w:tc>
        <w:tc>
          <w:tcPr>
            <w:tcW w:w="3940" w:type="dxa"/>
            <w:vAlign w:val="bottom"/>
          </w:tcPr>
          <w:p>
            <w:pPr>
              <w:spacing w:after="0"/>
              <w:rPr>
                <w:sz w:val="22"/>
                <w:szCs w:val="22"/>
                <w:color w:val="auto"/>
              </w:rPr>
            </w:pPr>
          </w:p>
        </w:tc>
      </w:tr>
      <w:tr>
        <w:trPr>
          <w:trHeight w:val="237"/>
        </w:trPr>
        <w:tc>
          <w:tcPr>
            <w:tcW w:w="382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property and equipment</w:t>
            </w:r>
          </w:p>
        </w:tc>
        <w:tc>
          <w:tcPr>
            <w:tcW w:w="74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94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530,155</w:t>
            </w:r>
          </w:p>
        </w:tc>
        <w:tc>
          <w:tcPr>
            <w:tcW w:w="42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rPr>
                <w:sz w:val="20"/>
                <w:szCs w:val="20"/>
                <w:color w:val="auto"/>
              </w:rPr>
            </w:pPr>
          </w:p>
        </w:tc>
        <w:tc>
          <w:tcPr>
            <w:tcW w:w="1000" w:type="dxa"/>
            <w:vAlign w:val="bottom"/>
            <w:tcBorders>
              <w:top w:val="single" w:sz="8" w:color="auto"/>
              <w:right w:val="single" w:sz="8" w:color="E5FFFF"/>
            </w:tcBorders>
            <w:gridSpan w:val="3"/>
            <w:shd w:val="clear" w:color="auto" w:fill="E5FFFF"/>
          </w:tcPr>
          <w:p>
            <w:pPr>
              <w:jc w:val="right"/>
              <w:ind w:right="60"/>
              <w:spacing w:after="0" w:line="237" w:lineRule="exact"/>
              <w:rPr>
                <w:sz w:val="20"/>
                <w:szCs w:val="20"/>
                <w:color w:val="auto"/>
              </w:rPr>
            </w:pPr>
            <w:r>
              <w:rPr>
                <w:rFonts w:ascii="Times New Roman" w:cs="Times New Roman" w:eastAsia="Times New Roman" w:hAnsi="Times New Roman"/>
                <w:sz w:val="22"/>
                <w:szCs w:val="22"/>
                <w:color w:val="auto"/>
              </w:rPr>
              <w:t>470,547</w:t>
            </w:r>
          </w:p>
        </w:tc>
        <w:tc>
          <w:tcPr>
            <w:tcW w:w="3940" w:type="dxa"/>
            <w:vAlign w:val="bottom"/>
          </w:tcPr>
          <w:p>
            <w:pPr>
              <w:spacing w:after="0"/>
              <w:rPr>
                <w:sz w:val="20"/>
                <w:szCs w:val="20"/>
                <w:color w:val="auto"/>
              </w:rPr>
            </w:pP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22"/>
                <w:szCs w:val="22"/>
                <w:color w:val="auto"/>
              </w:rPr>
              <w:t>Less: Accumulated depreciation</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(269,982)</w:t>
            </w:r>
          </w:p>
        </w:tc>
        <w:tc>
          <w:tcPr>
            <w:tcW w:w="200" w:type="dxa"/>
            <w:vAlign w:val="bottom"/>
          </w:tcPr>
          <w:p>
            <w:pPr>
              <w:spacing w:after="0"/>
              <w:rPr>
                <w:sz w:val="22"/>
                <w:szCs w:val="22"/>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(259,864)</w:t>
            </w:r>
          </w:p>
        </w:tc>
        <w:tc>
          <w:tcPr>
            <w:tcW w:w="3940" w:type="dxa"/>
            <w:vAlign w:val="bottom"/>
          </w:tcPr>
          <w:p>
            <w:pPr>
              <w:spacing w:after="0"/>
              <w:rPr>
                <w:sz w:val="22"/>
                <w:szCs w:val="22"/>
                <w:color w:val="auto"/>
              </w:rPr>
            </w:pPr>
          </w:p>
        </w:tc>
      </w:tr>
      <w:tr>
        <w:trPr>
          <w:trHeight w:val="250"/>
        </w:trPr>
        <w:tc>
          <w:tcPr>
            <w:tcW w:w="38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74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260,173</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tcBorders>
              <w:top w:val="single" w:sz="8" w:color="auto"/>
              <w:bottom w:val="single" w:sz="8" w:color="auto"/>
              <w:right w:val="single" w:sz="8" w:color="E5FFFF"/>
            </w:tcBorders>
            <w:gridSpan w:val="3"/>
            <w:shd w:val="clear" w:color="auto" w:fill="E5FFFF"/>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rPr>
              <w:t>210,683</w:t>
            </w:r>
          </w:p>
        </w:tc>
        <w:tc>
          <w:tcPr>
            <w:tcW w:w="3940" w:type="dxa"/>
            <w:vAlign w:val="bottom"/>
          </w:tcPr>
          <w:p>
            <w:pPr>
              <w:spacing w:after="0"/>
              <w:rPr>
                <w:sz w:val="21"/>
                <w:szCs w:val="21"/>
                <w:color w:val="auto"/>
              </w:rPr>
            </w:pPr>
          </w:p>
        </w:tc>
      </w:tr>
      <w:tr>
        <w:trPr>
          <w:trHeight w:val="20"/>
        </w:trPr>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25"/>
        </w:trPr>
        <w:tc>
          <w:tcPr>
            <w:tcW w:w="3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4"/>
          </w:tcPr>
          <w:p>
            <w:pPr>
              <w:jc w:val="right"/>
              <w:ind w:right="360"/>
              <w:spacing w:after="0"/>
              <w:rPr>
                <w:sz w:val="20"/>
                <w:szCs w:val="20"/>
                <w:color w:val="auto"/>
              </w:rPr>
            </w:pPr>
            <w:r>
              <w:rPr>
                <w:rFonts w:ascii="Times New Roman" w:cs="Times New Roman" w:eastAsia="Times New Roman" w:hAnsi="Times New Roman"/>
                <w:sz w:val="22"/>
                <w:szCs w:val="22"/>
                <w:color w:val="auto"/>
              </w:rPr>
              <w:t>17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38"/>
        </w:trPr>
        <w:tc>
          <w:tcPr>
            <w:tcW w:w="382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9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 xml:space="preserve">Note 7. </w:t>
      </w:r>
      <w:r>
        <w:rPr>
          <w:rFonts w:ascii="Times New Roman" w:cs="Times New Roman" w:eastAsia="Times New Roman" w:hAnsi="Times New Roman"/>
          <w:sz w:val="22"/>
          <w:szCs w:val="22"/>
          <w:b w:val="1"/>
          <w:bCs w:val="1"/>
          <w:i w:val="1"/>
          <w:iCs w:val="1"/>
          <w:color w:val="auto"/>
        </w:rPr>
        <w:t>Other Assets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other assets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3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34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2025</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3"/>
        </w:trPr>
        <w:tc>
          <w:tcPr>
            <w:tcW w:w="3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1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Prepaid utility lease</w:t>
            </w:r>
          </w:p>
        </w:tc>
        <w:tc>
          <w:tcPr>
            <w:tcW w:w="1760" w:type="dxa"/>
            <w:vAlign w:val="bottom"/>
            <w:gridSpan w:val="2"/>
            <w:shd w:val="clear" w:color="auto" w:fill="E5FFFF"/>
          </w:tcPr>
          <w:p>
            <w:pPr>
              <w:ind w:left="1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3"/>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E5FFFF"/>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15,600</w:t>
            </w:r>
          </w:p>
        </w:tc>
        <w:tc>
          <w:tcPr>
            <w:tcW w:w="60" w:type="dxa"/>
            <w:vAlign w:val="bottom"/>
            <w:shd w:val="clear" w:color="auto" w:fill="E5FFFF"/>
          </w:tcPr>
          <w:p>
            <w:pPr>
              <w:spacing w:after="0"/>
              <w:rPr>
                <w:sz w:val="21"/>
                <w:szCs w:val="21"/>
                <w:color w:val="auto"/>
              </w:rPr>
            </w:pPr>
          </w:p>
        </w:tc>
      </w:tr>
      <w:tr>
        <w:trPr>
          <w:trHeight w:val="25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22"/>
                <w:szCs w:val="22"/>
                <w:color w:val="auto"/>
              </w:rPr>
              <w:t>1,321</w:t>
            </w:r>
          </w:p>
        </w:tc>
        <w:tc>
          <w:tcPr>
            <w:tcW w:w="2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1,121</w:t>
            </w:r>
          </w:p>
        </w:tc>
        <w:tc>
          <w:tcPr>
            <w:tcW w:w="60" w:type="dxa"/>
            <w:vAlign w:val="bottom"/>
          </w:tcPr>
          <w:p>
            <w:pPr>
              <w:spacing w:after="0"/>
              <w:rPr>
                <w:sz w:val="22"/>
                <w:szCs w:val="22"/>
                <w:color w:val="auto"/>
              </w:rPr>
            </w:pPr>
          </w:p>
        </w:tc>
      </w:tr>
      <w:tr>
        <w:trPr>
          <w:trHeight w:val="250"/>
        </w:trPr>
        <w:tc>
          <w:tcPr>
            <w:tcW w:w="31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42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1,321</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16,721</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3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3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34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2025</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3"/>
        </w:trPr>
        <w:tc>
          <w:tcPr>
            <w:tcW w:w="3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8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1040" w:type="dxa"/>
            <w:vAlign w:val="bottom"/>
            <w:gridSpan w:val="2"/>
            <w:shd w:val="clear" w:color="auto" w:fill="E5FFFF"/>
          </w:tcPr>
          <w:p>
            <w:pPr>
              <w:ind w:left="7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3"/>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9,186</w:t>
            </w:r>
          </w:p>
        </w:tc>
        <w:tc>
          <w:tcPr>
            <w:tcW w:w="240" w:type="dxa"/>
            <w:vAlign w:val="bottom"/>
            <w:shd w:val="clear" w:color="auto" w:fill="E5FFFF"/>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8,961</w:t>
            </w:r>
          </w:p>
        </w:tc>
        <w:tc>
          <w:tcPr>
            <w:tcW w:w="60" w:type="dxa"/>
            <w:vAlign w:val="bottom"/>
            <w:shd w:val="clear" w:color="auto" w:fill="E5FFFF"/>
          </w:tcPr>
          <w:p>
            <w:pPr>
              <w:spacing w:after="0"/>
              <w:rPr>
                <w:sz w:val="21"/>
                <w:szCs w:val="21"/>
                <w:color w:val="auto"/>
              </w:rPr>
            </w:pPr>
          </w:p>
        </w:tc>
      </w:tr>
      <w:tr>
        <w:trPr>
          <w:trHeight w:val="243"/>
        </w:trPr>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2,561</w:t>
            </w:r>
          </w:p>
        </w:tc>
        <w:tc>
          <w:tcPr>
            <w:tcW w:w="24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3,085</w:t>
            </w:r>
          </w:p>
        </w:tc>
        <w:tc>
          <w:tcPr>
            <w:tcW w:w="60" w:type="dxa"/>
            <w:vAlign w:val="bottom"/>
          </w:tcPr>
          <w:p>
            <w:pPr>
              <w:spacing w:after="0"/>
              <w:rPr>
                <w:sz w:val="21"/>
                <w:szCs w:val="21"/>
                <w:color w:val="auto"/>
              </w:rPr>
            </w:pPr>
          </w:p>
        </w:tc>
      </w:tr>
      <w:tr>
        <w:trPr>
          <w:trHeight w:val="243"/>
        </w:trPr>
        <w:tc>
          <w:tcPr>
            <w:tcW w:w="38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7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0" w:type="dxa"/>
            <w:vAlign w:val="bottom"/>
            <w:gridSpan w:val="3"/>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24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555</w:t>
            </w:r>
          </w:p>
        </w:tc>
        <w:tc>
          <w:tcPr>
            <w:tcW w:w="60" w:type="dxa"/>
            <w:vAlign w:val="bottom"/>
            <w:shd w:val="clear" w:color="auto" w:fill="E5FFFF"/>
          </w:tcPr>
          <w:p>
            <w:pPr>
              <w:spacing w:after="0"/>
              <w:rPr>
                <w:sz w:val="21"/>
                <w:szCs w:val="21"/>
                <w:color w:val="auto"/>
              </w:rPr>
            </w:pPr>
          </w:p>
        </w:tc>
      </w:tr>
      <w:tr>
        <w:trPr>
          <w:trHeight w:val="243"/>
        </w:trPr>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1,236</w:t>
            </w:r>
          </w:p>
        </w:tc>
        <w:tc>
          <w:tcPr>
            <w:tcW w:w="24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1,746</w:t>
            </w:r>
          </w:p>
        </w:tc>
        <w:tc>
          <w:tcPr>
            <w:tcW w:w="60" w:type="dxa"/>
            <w:vAlign w:val="bottom"/>
          </w:tcPr>
          <w:p>
            <w:pPr>
              <w:spacing w:after="0"/>
              <w:rPr>
                <w:sz w:val="21"/>
                <w:szCs w:val="21"/>
                <w:color w:val="auto"/>
              </w:rPr>
            </w:pPr>
          </w:p>
        </w:tc>
      </w:tr>
      <w:tr>
        <w:trPr>
          <w:trHeight w:val="243"/>
        </w:trPr>
        <w:tc>
          <w:tcPr>
            <w:tcW w:w="38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7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0" w:type="dxa"/>
            <w:vAlign w:val="bottom"/>
            <w:gridSpan w:val="3"/>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615</w:t>
            </w:r>
          </w:p>
        </w:tc>
        <w:tc>
          <w:tcPr>
            <w:tcW w:w="24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378</w:t>
            </w:r>
          </w:p>
        </w:tc>
        <w:tc>
          <w:tcPr>
            <w:tcW w:w="60" w:type="dxa"/>
            <w:vAlign w:val="bottom"/>
            <w:shd w:val="clear" w:color="auto" w:fill="E5FFFF"/>
          </w:tcPr>
          <w:p>
            <w:pPr>
              <w:spacing w:after="0"/>
              <w:rPr>
                <w:sz w:val="21"/>
                <w:szCs w:val="21"/>
                <w:color w:val="auto"/>
              </w:rPr>
            </w:pP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22"/>
                <w:szCs w:val="22"/>
                <w:color w:val="auto"/>
              </w:rPr>
              <w:t>2,868</w:t>
            </w:r>
          </w:p>
        </w:tc>
        <w:tc>
          <w:tcPr>
            <w:tcW w:w="2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1,635</w:t>
            </w:r>
          </w:p>
        </w:tc>
        <w:tc>
          <w:tcPr>
            <w:tcW w:w="60" w:type="dxa"/>
            <w:vAlign w:val="bottom"/>
          </w:tcPr>
          <w:p>
            <w:pPr>
              <w:spacing w:after="0"/>
              <w:rPr>
                <w:sz w:val="22"/>
                <w:szCs w:val="22"/>
                <w:color w:val="auto"/>
              </w:rPr>
            </w:pPr>
          </w:p>
        </w:tc>
      </w:tr>
      <w:tr>
        <w:trPr>
          <w:trHeight w:val="250"/>
        </w:trPr>
        <w:tc>
          <w:tcPr>
            <w:tcW w:w="38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70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16,537</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ind w:left="20"/>
              <w:spacing w:after="0" w:line="250"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16,360</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40"/>
          </w:cols>
          <w:pgMar w:left="320" w:top="390" w:right="539" w:bottom="1440" w:gutter="0" w:footer="0" w:header="0"/>
        </w:sectPr>
      </w:pPr>
    </w:p>
    <w:bookmarkStart w:id="18" w:name="page19"/>
    <w:bookmarkEnd w:id="18"/>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980" w:type="dxa"/>
            <w:vAlign w:val="bottom"/>
            <w:gridSpan w:val="8"/>
          </w:tcPr>
          <w:p>
            <w:pPr>
              <w:ind w:left="280"/>
              <w:spacing w:after="0"/>
              <w:rPr>
                <w:sz w:val="20"/>
                <w:szCs w:val="20"/>
                <w:color w:val="auto"/>
              </w:rPr>
            </w:pPr>
            <w:r>
              <w:rPr>
                <w:rFonts w:ascii="Times New Roman" w:cs="Times New Roman" w:eastAsia="Times New Roman" w:hAnsi="Times New Roman"/>
                <w:sz w:val="22"/>
                <w:szCs w:val="22"/>
                <w:b w:val="1"/>
                <w:bCs w:val="1"/>
                <w:color w:val="auto"/>
              </w:rPr>
              <w:t>Asset Derivatives</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gridSpan w:val="6"/>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8"/>
              </w:rPr>
              <w:t>Liability Derivatives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gridSpan w:val="5"/>
          </w:tcPr>
          <w:p>
            <w:pPr>
              <w:jc w:val="center"/>
              <w:ind w:right="4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2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60" w:type="dxa"/>
            <w:vAlign w:val="bottom"/>
          </w:tcPr>
          <w:p>
            <w:pPr>
              <w:spacing w:after="0"/>
              <w:rPr>
                <w:sz w:val="21"/>
                <w:szCs w:val="21"/>
                <w:color w:val="auto"/>
              </w:rPr>
            </w:pPr>
          </w:p>
        </w:tc>
        <w:tc>
          <w:tcPr>
            <w:tcW w:w="1680" w:type="dxa"/>
            <w:vAlign w:val="bottom"/>
            <w:gridSpan w:val="5"/>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January 31,</w:t>
            </w:r>
          </w:p>
        </w:tc>
        <w:tc>
          <w:tcPr>
            <w:tcW w:w="1240" w:type="dxa"/>
            <w:vAlign w:val="bottom"/>
            <w:gridSpan w:val="4"/>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October 31,</w:t>
            </w:r>
          </w:p>
        </w:tc>
        <w:tc>
          <w:tcPr>
            <w:tcW w:w="420" w:type="dxa"/>
            <w:vAlign w:val="bottom"/>
          </w:tcPr>
          <w:p>
            <w:pPr>
              <w:spacing w:after="0"/>
              <w:rPr>
                <w:sz w:val="21"/>
                <w:szCs w:val="21"/>
                <w:color w:val="auto"/>
              </w:rPr>
            </w:pPr>
          </w:p>
        </w:tc>
        <w:tc>
          <w:tcPr>
            <w:tcW w:w="1340" w:type="dxa"/>
            <w:vAlign w:val="bottom"/>
            <w:gridSpan w:val="5"/>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January 31,</w:t>
            </w:r>
          </w:p>
        </w:tc>
      </w:tr>
      <w:tr>
        <w:trPr>
          <w:trHeight w:val="234"/>
        </w:trPr>
        <w:tc>
          <w:tcPr>
            <w:tcW w:w="4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31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2025</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400" w:type="dxa"/>
            <w:vAlign w:val="bottom"/>
          </w:tcPr>
          <w:p>
            <w:pPr>
              <w:spacing w:after="0"/>
              <w:rPr>
                <w:sz w:val="20"/>
                <w:szCs w:val="20"/>
                <w:color w:val="auto"/>
              </w:rPr>
            </w:pPr>
          </w:p>
        </w:tc>
        <w:tc>
          <w:tcPr>
            <w:tcW w:w="1300" w:type="dxa"/>
            <w:vAlign w:val="bottom"/>
            <w:gridSpan w:val="4"/>
          </w:tcPr>
          <w:p>
            <w:pPr>
              <w:jc w:val="right"/>
              <w:ind w:right="40"/>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4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(1)</w:t>
            </w:r>
          </w:p>
        </w:tc>
        <w:tc>
          <w:tcPr>
            <w:tcW w:w="420" w:type="dxa"/>
            <w:vAlign w:val="bottom"/>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78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1,253</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615</w:t>
            </w:r>
          </w:p>
        </w:tc>
        <w:tc>
          <w:tcPr>
            <w:tcW w:w="820" w:type="dxa"/>
            <w:vAlign w:val="bottom"/>
            <w:gridSpan w:val="2"/>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378</w:t>
            </w:r>
          </w:p>
        </w:tc>
      </w:tr>
      <w:tr>
        <w:trPr>
          <w:trHeight w:val="48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Cash collateral balance (2)</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1,114</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2,523</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(3)</w:t>
            </w:r>
          </w:p>
        </w:tc>
        <w:tc>
          <w:tcPr>
            <w:tcW w:w="420" w:type="dxa"/>
            <w:vAlign w:val="bottom"/>
            <w:shd w:val="clear" w:color="auto" w:fill="E5FFFF"/>
          </w:tcPr>
          <w:p>
            <w:pPr>
              <w:spacing w:after="0"/>
              <w:rPr>
                <w:sz w:val="22"/>
                <w:szCs w:val="22"/>
                <w:color w:val="auto"/>
              </w:rPr>
            </w:pPr>
          </w:p>
        </w:tc>
        <w:tc>
          <w:tcPr>
            <w:tcW w:w="8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(372)</w:t>
            </w:r>
          </w:p>
        </w:tc>
        <w:tc>
          <w:tcPr>
            <w:tcW w:w="46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13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(1,291)</w:t>
            </w:r>
          </w:p>
        </w:tc>
        <w:tc>
          <w:tcPr>
            <w:tcW w:w="260" w:type="dxa"/>
            <w:vAlign w:val="bottom"/>
            <w:shd w:val="clear" w:color="auto" w:fill="E5FFFF"/>
          </w:tcPr>
          <w:p>
            <w:pPr>
              <w:spacing w:after="0"/>
              <w:rPr>
                <w:sz w:val="22"/>
                <w:szCs w:val="22"/>
                <w:color w:val="auto"/>
              </w:rPr>
            </w:pPr>
          </w:p>
        </w:tc>
        <w:tc>
          <w:tcPr>
            <w:tcW w:w="98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4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36"/>
        </w:trPr>
        <w:tc>
          <w:tcPr>
            <w:tcW w:w="484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Net position with broker</w:t>
            </w:r>
          </w:p>
        </w:tc>
        <w:tc>
          <w:tcPr>
            <w:tcW w:w="420" w:type="dxa"/>
            <w:vAlign w:val="bottom"/>
            <w:tcBorders>
              <w:top w:val="single" w:sz="8" w:color="auto"/>
              <w:bottom w:val="single" w:sz="8" w:color="auto"/>
            </w:tcBorders>
          </w:tcPr>
          <w:p>
            <w:pPr>
              <w:jc w:val="right"/>
              <w:ind w:right="2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742</w:t>
            </w:r>
          </w:p>
        </w:tc>
        <w:tc>
          <w:tcPr>
            <w:tcW w:w="4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1,232</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7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4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0"/>
                <w:szCs w:val="20"/>
                <w:color w:val="auto"/>
              </w:rPr>
            </w:pPr>
          </w:p>
        </w:tc>
      </w:tr>
      <w:tr>
        <w:trPr>
          <w:trHeight w:val="237"/>
        </w:trPr>
        <w:tc>
          <w:tcPr>
            <w:tcW w:w="4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Total</w:t>
            </w:r>
          </w:p>
        </w:tc>
        <w:tc>
          <w:tcPr>
            <w:tcW w:w="420" w:type="dxa"/>
            <w:vAlign w:val="bottom"/>
            <w:shd w:val="clear" w:color="auto" w:fill="E5FFFF"/>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1,259</w:t>
            </w:r>
          </w:p>
        </w:tc>
        <w:tc>
          <w:tcPr>
            <w:tcW w:w="78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2,485</w:t>
            </w:r>
          </w:p>
        </w:tc>
        <w:tc>
          <w:tcPr>
            <w:tcW w:w="260" w:type="dxa"/>
            <w:vAlign w:val="bottom"/>
            <w:shd w:val="clear" w:color="auto" w:fill="E5FF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615</w:t>
            </w:r>
          </w:p>
        </w:tc>
        <w:tc>
          <w:tcPr>
            <w:tcW w:w="820" w:type="dxa"/>
            <w:vAlign w:val="bottom"/>
            <w:gridSpan w:val="2"/>
            <w:shd w:val="clear" w:color="auto" w:fill="E5FFFF"/>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378</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16" w:lineRule="exact"/>
        <w:rPr>
          <w:sz w:val="20"/>
          <w:szCs w:val="20"/>
          <w:color w:val="auto"/>
        </w:rPr>
      </w:pPr>
    </w:p>
    <w:p>
      <w:pPr>
        <w:ind w:left="660" w:right="200" w:hanging="328"/>
        <w:spacing w:after="0" w:line="244"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assets are included in “Prepaid expenses and other” on the accompanying Consolidated Balance Sheets. These contracts are for purchases of approximately 8.6 million bushels and 16.8 million bushels of corn at October 31, 2025 and January 31, 2025, respectively.</w:t>
      </w:r>
    </w:p>
    <w:p>
      <w:pPr>
        <w:spacing w:after="0" w:line="200" w:lineRule="exact"/>
        <w:rPr>
          <w:rFonts w:ascii="Times New Roman" w:cs="Times New Roman" w:eastAsia="Times New Roman" w:hAnsi="Times New Roman"/>
          <w:sz w:val="22"/>
          <w:szCs w:val="22"/>
          <w:color w:val="auto"/>
        </w:rPr>
      </w:pPr>
    </w:p>
    <w:p>
      <w:pPr>
        <w:ind w:left="660" w:right="1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liabilities are included in “Accrued expenses and other current liabilities” on the accompanying Consolidated Balance Sheets. These contracts are for purchases of approximately 5.7 million bushels and 7.6 million bushels of corn at October 31, 2025 and January 31, 2025, respectively.</w:t>
      </w:r>
    </w:p>
    <w:p>
      <w:pPr>
        <w:spacing w:after="0" w:line="200"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October 31, 2025 and January 31, 2025,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October 31, 2025 and January 31, 2025, the Company recorded this collateral balance within “Prepaid expenses and other” on the accompanying Consolidated Balance Sheets.</w:t>
      </w:r>
    </w:p>
    <w:p>
      <w:pPr>
        <w:spacing w:after="0" w:line="208" w:lineRule="exact"/>
        <w:rPr>
          <w:rFonts w:ascii="Times New Roman" w:cs="Times New Roman" w:eastAsia="Times New Roman" w:hAnsi="Times New Roman"/>
          <w:sz w:val="22"/>
          <w:szCs w:val="22"/>
          <w:color w:val="auto"/>
        </w:rPr>
      </w:pPr>
    </w:p>
    <w:p>
      <w:pPr>
        <w:ind w:left="660" w:right="80" w:hanging="328"/>
        <w:spacing w:after="0" w:line="238"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futures assets and liabilities are included in “Prepaid expenses and other” on the accompanying Consolidated Balance Sheets. These contracts included short/sell positions and long-buy positions for approximately 185,000 and 5.3 million bushels of corn, respectively at October 31, 2025. These contracts included short/sell positions and long/buy positions for approximately 6.3 million and 575,000 bushels of corn, respectively, at January 31, 2025. These contracts also included short/sell positions for approximately 4.2 million gallons of ethanol at January 31, 2025.</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1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9" w:name="page20"/>
    <w:bookmarkEnd w:id="19"/>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(losses) gains recognized in income from the Company’s derivative financial instruments and the line items on the accompanying Consolidated Statements of Operations in which the fair values are reflected for the three- and nine-month periods ended October 31, 2025 and 2024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760" w:type="dxa"/>
            <w:vAlign w:val="bottom"/>
            <w:gridSpan w:val="6"/>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00" w:type="dxa"/>
            <w:vAlign w:val="bottom"/>
            <w:gridSpan w:val="5"/>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4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4"/>
        </w:trPr>
        <w:tc>
          <w:tcPr>
            <w:tcW w:w="4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gridSpan w:val="2"/>
          </w:tcPr>
          <w:p>
            <w:pPr>
              <w:jc w:val="right"/>
              <w:ind w:right="57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2025</w:t>
            </w:r>
          </w:p>
        </w:tc>
        <w:tc>
          <w:tcPr>
            <w:tcW w:w="560" w:type="dxa"/>
            <w:vAlign w:val="bottom"/>
          </w:tcPr>
          <w:p>
            <w:pPr>
              <w:spacing w:after="0"/>
              <w:rPr>
                <w:sz w:val="20"/>
                <w:szCs w:val="20"/>
                <w:color w:val="auto"/>
              </w:rPr>
            </w:pPr>
          </w:p>
        </w:tc>
        <w:tc>
          <w:tcPr>
            <w:tcW w:w="4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ind w:right="292"/>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2024</w:t>
            </w:r>
          </w:p>
        </w:tc>
      </w:tr>
      <w:tr>
        <w:trPr>
          <w:trHeight w:val="518"/>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top w:val="single" w:sz="8" w:color="auto"/>
            </w:tcBorders>
          </w:tcPr>
          <w:p>
            <w:pPr>
              <w:spacing w:after="0"/>
              <w:rPr>
                <w:sz w:val="24"/>
                <w:szCs w:val="24"/>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6"/>
              </w:rPr>
              <w:t>(328)</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300</w:t>
            </w: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2"/>
              </w:rPr>
              <w:t>(110)</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Borders>
              <w:top w:val="single" w:sz="8" w:color="auto"/>
            </w:tcBorders>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737</w:t>
            </w:r>
          </w:p>
        </w:tc>
      </w:tr>
      <w:tr>
        <w:trPr>
          <w:trHeight w:val="486"/>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1,878</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tcPr>
          <w:p>
            <w:pPr>
              <w:jc w:val="right"/>
              <w:ind w:right="92"/>
              <w:spacing w:after="0"/>
              <w:rPr>
                <w:sz w:val="20"/>
                <w:szCs w:val="20"/>
                <w:color w:val="auto"/>
              </w:rPr>
            </w:pPr>
            <w:r>
              <w:rPr>
                <w:rFonts w:ascii="Times New Roman" w:cs="Times New Roman" w:eastAsia="Times New Roman" w:hAnsi="Times New Roman"/>
                <w:sz w:val="22"/>
                <w:szCs w:val="22"/>
                <w:color w:val="auto"/>
              </w:rPr>
              <w:t>3,753</w:t>
            </w: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gridSpan w:val="3"/>
          </w:tcPr>
          <w:p>
            <w:pPr>
              <w:jc w:val="right"/>
              <w:ind w:right="132"/>
              <w:spacing w:after="0"/>
              <w:rPr>
                <w:sz w:val="20"/>
                <w:szCs w:val="20"/>
                <w:color w:val="auto"/>
              </w:rPr>
            </w:pPr>
            <w:r>
              <w:rPr>
                <w:rFonts w:ascii="Times New Roman" w:cs="Times New Roman" w:eastAsia="Times New Roman" w:hAnsi="Times New Roman"/>
                <w:sz w:val="22"/>
                <w:szCs w:val="22"/>
                <w:color w:val="auto"/>
              </w:rPr>
              <w:t>4,163</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(2,362)</w:t>
            </w:r>
          </w:p>
        </w:tc>
      </w:tr>
      <w:tr>
        <w:trPr>
          <w:trHeight w:val="486"/>
        </w:trPr>
        <w:tc>
          <w:tcPr>
            <w:tcW w:w="4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Investments</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86"/>
        </w:trPr>
        <w:tc>
          <w:tcPr>
            <w:tcW w:w="4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October 31, 2025 and January 31, 2025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500" w:type="dxa"/>
            <w:vAlign w:val="bottom"/>
            <w:gridSpan w:val="4"/>
          </w:tcPr>
          <w:p>
            <w:pPr>
              <w:jc w:val="right"/>
              <w:ind w:right="780"/>
              <w:spacing w:after="0"/>
              <w:rPr>
                <w:sz w:val="20"/>
                <w:szCs w:val="20"/>
                <w:color w:val="auto"/>
              </w:rPr>
            </w:pPr>
            <w:r>
              <w:rPr>
                <w:rFonts w:ascii="Times New Roman" w:cs="Times New Roman" w:eastAsia="Times New Roman" w:hAnsi="Times New Roman"/>
                <w:sz w:val="22"/>
                <w:szCs w:val="22"/>
                <w:b w:val="1"/>
                <w:bCs w:val="1"/>
                <w:color w:val="auto"/>
              </w:rPr>
              <w:t>Carrying Amount</w:t>
            </w:r>
          </w:p>
        </w:tc>
      </w:tr>
      <w:tr>
        <w:trPr>
          <w:trHeight w:val="234"/>
        </w:trPr>
        <w:tc>
          <w:tcPr>
            <w:tcW w:w="302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Entity</w:t>
            </w:r>
          </w:p>
        </w:tc>
        <w:tc>
          <w:tcPr>
            <w:tcW w:w="2460" w:type="dxa"/>
            <w:vAlign w:val="bottom"/>
            <w:gridSpan w:val="2"/>
          </w:tcPr>
          <w:p>
            <w:pPr>
              <w:jc w:val="center"/>
              <w:ind w:right="380"/>
              <w:spacing w:after="0" w:line="233" w:lineRule="exact"/>
              <w:rPr>
                <w:sz w:val="20"/>
                <w:szCs w:val="20"/>
                <w:color w:val="auto"/>
              </w:rPr>
            </w:pPr>
            <w:r>
              <w:rPr>
                <w:rFonts w:ascii="Times New Roman" w:cs="Times New Roman" w:eastAsia="Times New Roman" w:hAnsi="Times New Roman"/>
                <w:sz w:val="22"/>
                <w:szCs w:val="22"/>
                <w:b w:val="1"/>
                <w:bCs w:val="1"/>
                <w:color w:val="auto"/>
                <w:w w:val="97"/>
              </w:rPr>
              <w:t>Ownership Percentage</w:t>
            </w:r>
          </w:p>
        </w:tc>
        <w:tc>
          <w:tcPr>
            <w:tcW w:w="1740" w:type="dxa"/>
            <w:vAlign w:val="bottom"/>
            <w:gridSpan w:val="2"/>
          </w:tcPr>
          <w:p>
            <w:pPr>
              <w:jc w:val="right"/>
              <w:ind w:right="180"/>
              <w:spacing w:after="0" w:line="233" w:lineRule="exact"/>
              <w:rPr>
                <w:sz w:val="20"/>
                <w:szCs w:val="20"/>
                <w:color w:val="auto"/>
              </w:rPr>
            </w:pPr>
            <w:r>
              <w:rPr>
                <w:rFonts w:ascii="Times New Roman" w:cs="Times New Roman" w:eastAsia="Times New Roman" w:hAnsi="Times New Roman"/>
                <w:sz w:val="22"/>
                <w:szCs w:val="22"/>
                <w:b w:val="1"/>
                <w:bCs w:val="1"/>
                <w:color w:val="auto"/>
                <w:w w:val="96"/>
              </w:rPr>
              <w:t>October 31, 2025</w:t>
            </w:r>
          </w:p>
        </w:tc>
        <w:tc>
          <w:tcPr>
            <w:tcW w:w="176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January 31, 2025</w:t>
            </w:r>
          </w:p>
        </w:tc>
      </w:tr>
      <w:tr>
        <w:trPr>
          <w:trHeight w:val="20"/>
        </w:trPr>
        <w:tc>
          <w:tcPr>
            <w:tcW w:w="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518"/>
        </w:trPr>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20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10.3%</w:t>
            </w:r>
          </w:p>
        </w:tc>
        <w:tc>
          <w:tcPr>
            <w:tcW w:w="3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$39,579</w:t>
            </w:r>
          </w:p>
        </w:tc>
        <w:tc>
          <w:tcPr>
            <w:tcW w:w="18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$35,800</w:t>
            </w:r>
          </w:p>
        </w:tc>
      </w:tr>
    </w:tbl>
    <w:p>
      <w:pPr>
        <w:spacing w:after="0" w:line="204"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21"/>
          <w:szCs w:val="21"/>
          <w:color w:val="auto"/>
        </w:rPr>
        <w:t>Undistributed earnings of the Company’s equity method investee totaled approximately $20.1 million and approximately $15.8 million at October 31, 2025 and January 31, 2025, respectively. The Company received dividends from its equity method investee of approximately $2.5 million and $3.0 million in the first nine months of 2025 and 2024, respectively.</w:t>
      </w:r>
    </w:p>
    <w:p>
      <w:pPr>
        <w:spacing w:after="0" w:line="18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760" w:type="dxa"/>
            <w:vAlign w:val="bottom"/>
            <w:gridSpan w:val="6"/>
          </w:tcPr>
          <w:p>
            <w:pPr>
              <w:jc w:val="right"/>
              <w:ind w:right="72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gridSpan w:val="5"/>
          </w:tcPr>
          <w:p>
            <w:pPr>
              <w:jc w:val="right"/>
              <w:ind w:right="62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3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4"/>
        </w:trPr>
        <w:tc>
          <w:tcPr>
            <w:tcW w:w="3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gridSpan w:val="2"/>
          </w:tcPr>
          <w:p>
            <w:pPr>
              <w:jc w:val="right"/>
              <w:ind w:right="53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2025</w:t>
            </w:r>
          </w:p>
        </w:tc>
        <w:tc>
          <w:tcPr>
            <w:tcW w:w="600" w:type="dxa"/>
            <w:vAlign w:val="bottom"/>
          </w:tcPr>
          <w:p>
            <w:pPr>
              <w:spacing w:after="0"/>
              <w:rPr>
                <w:sz w:val="20"/>
                <w:szCs w:val="20"/>
                <w:color w:val="auto"/>
              </w:rPr>
            </w:pPr>
          </w:p>
        </w:tc>
        <w:tc>
          <w:tcPr>
            <w:tcW w:w="4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gridSpan w:val="2"/>
          </w:tcPr>
          <w:p>
            <w:pPr>
              <w:jc w:val="right"/>
              <w:ind w:right="5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2024</w:t>
            </w:r>
          </w:p>
        </w:tc>
      </w:tr>
      <w:tr>
        <w:trPr>
          <w:trHeight w:val="263"/>
        </w:trPr>
        <w:tc>
          <w:tcPr>
            <w:tcW w:w="39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1280" w:type="dxa"/>
            <w:vAlign w:val="bottom"/>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293,088</w:t>
            </w:r>
          </w:p>
        </w:tc>
        <w:tc>
          <w:tcPr>
            <w:tcW w:w="60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275,586</w:t>
            </w:r>
          </w:p>
        </w:tc>
        <w:tc>
          <w:tcPr>
            <w:tcW w:w="48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795,267</w:t>
            </w:r>
          </w:p>
        </w:tc>
        <w:tc>
          <w:tcPr>
            <w:tcW w:w="620" w:type="dxa"/>
            <w:vAlign w:val="bottom"/>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808,774</w:t>
            </w:r>
          </w:p>
        </w:tc>
      </w:tr>
      <w:tr>
        <w:trPr>
          <w:trHeight w:val="243"/>
        </w:trPr>
        <w:tc>
          <w:tcPr>
            <w:tcW w:w="3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28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57,842</w:t>
            </w:r>
          </w:p>
        </w:tc>
        <w:tc>
          <w:tcPr>
            <w:tcW w:w="60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46,996</w:t>
            </w:r>
          </w:p>
        </w:tc>
        <w:tc>
          <w:tcPr>
            <w:tcW w:w="48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85,330</w:t>
            </w:r>
          </w:p>
        </w:tc>
        <w:tc>
          <w:tcPr>
            <w:tcW w:w="6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88,110</w:t>
            </w:r>
          </w:p>
        </w:tc>
      </w:tr>
      <w:tr>
        <w:trPr>
          <w:trHeight w:val="243"/>
        </w:trPr>
        <w:tc>
          <w:tcPr>
            <w:tcW w:w="3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Depreciation expense</w:t>
            </w:r>
          </w:p>
        </w:tc>
        <w:tc>
          <w:tcPr>
            <w:tcW w:w="1280" w:type="dxa"/>
            <w:vAlign w:val="bottom"/>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3,495</w:t>
            </w:r>
          </w:p>
        </w:tc>
        <w:tc>
          <w:tcPr>
            <w:tcW w:w="60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3,433</w:t>
            </w:r>
          </w:p>
        </w:tc>
        <w:tc>
          <w:tcPr>
            <w:tcW w:w="48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11,263</w:t>
            </w:r>
          </w:p>
        </w:tc>
        <w:tc>
          <w:tcPr>
            <w:tcW w:w="620" w:type="dxa"/>
            <w:vAlign w:val="bottom"/>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16,639</w:t>
            </w:r>
          </w:p>
        </w:tc>
      </w:tr>
      <w:tr>
        <w:trPr>
          <w:trHeight w:val="243"/>
        </w:trPr>
        <w:tc>
          <w:tcPr>
            <w:tcW w:w="3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128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54,389</w:t>
            </w:r>
          </w:p>
        </w:tc>
        <w:tc>
          <w:tcPr>
            <w:tcW w:w="60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44,901</w:t>
            </w:r>
          </w:p>
        </w:tc>
        <w:tc>
          <w:tcPr>
            <w:tcW w:w="48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75,445</w:t>
            </w:r>
          </w:p>
        </w:tc>
        <w:tc>
          <w:tcPr>
            <w:tcW w:w="6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84,127</w:t>
            </w:r>
          </w:p>
        </w:tc>
      </w:tr>
      <w:tr>
        <w:trPr>
          <w:trHeight w:val="243"/>
        </w:trPr>
        <w:tc>
          <w:tcPr>
            <w:tcW w:w="3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income attributable to members</w:t>
            </w:r>
          </w:p>
        </w:tc>
        <w:tc>
          <w:tcPr>
            <w:tcW w:w="1280" w:type="dxa"/>
            <w:vAlign w:val="bottom"/>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47,783</w:t>
            </w:r>
          </w:p>
        </w:tc>
        <w:tc>
          <w:tcPr>
            <w:tcW w:w="60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38,708</w:t>
            </w:r>
          </w:p>
        </w:tc>
        <w:tc>
          <w:tcPr>
            <w:tcW w:w="48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63,560</w:t>
            </w:r>
          </w:p>
        </w:tc>
        <w:tc>
          <w:tcPr>
            <w:tcW w:w="620" w:type="dxa"/>
            <w:vAlign w:val="bottom"/>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72,311</w:t>
            </w:r>
          </w:p>
        </w:tc>
      </w:tr>
      <w:tr>
        <w:trPr>
          <w:trHeight w:val="444"/>
        </w:trPr>
        <w:tc>
          <w:tcPr>
            <w:tcW w:w="3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gridSpan w:val="2"/>
          </w:tcPr>
          <w:p>
            <w:pPr>
              <w:jc w:val="right"/>
              <w:ind w:right="472"/>
              <w:spacing w:after="0"/>
              <w:rPr>
                <w:sz w:val="20"/>
                <w:szCs w:val="20"/>
                <w:color w:val="auto"/>
              </w:rPr>
            </w:pPr>
            <w:r>
              <w:rPr>
                <w:rFonts w:ascii="Times New Roman" w:cs="Times New Roman" w:eastAsia="Times New Roman" w:hAnsi="Times New Roman"/>
                <w:sz w:val="22"/>
                <w:szCs w:val="22"/>
                <w:color w:val="auto"/>
              </w:rPr>
              <w:t>20</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8"/>
        </w:trPr>
        <w:tc>
          <w:tcPr>
            <w:tcW w:w="3980" w:type="dxa"/>
            <w:vAlign w:val="bottom"/>
            <w:tcBorders>
              <w:bottom w:val="single" w:sz="8" w:color="C0C0C0"/>
            </w:tcBorders>
          </w:tcPr>
          <w:p>
            <w:pPr>
              <w:spacing w:after="0"/>
              <w:rPr>
                <w:sz w:val="20"/>
                <w:szCs w:val="20"/>
                <w:color w:val="auto"/>
              </w:rPr>
            </w:pPr>
          </w:p>
        </w:tc>
        <w:tc>
          <w:tcPr>
            <w:tcW w:w="12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64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37"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At October 31, 2025, the Company owned United States Treasury Bills (classified as short-term investments) that had an amortized cost, or carrying value, of approximately $63.5 million. The contractual maturity of these investments was less than one year. The yield to maturity rate was approximately 4.3%. Unrecognized holding losses at October 31, 2025 were approximately $9,000.</w:t>
      </w:r>
    </w:p>
    <w:p>
      <w:pPr>
        <w:spacing w:after="0" w:line="207"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At January 31, 2025, the Company owned United States Treasury Bills (classified as short-term investments) that had an amortized cost, or carrying value, of approximately $162.8 million. The contractual maturity of these investments was less than one year. The yield to maturity rate was approximately 4.4%. Unrecognized holding losses at January 31, 2025 were approximately $19,000.</w:t>
      </w:r>
    </w:p>
    <w:p>
      <w:pPr>
        <w:spacing w:after="0" w:line="20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Employee Benefits</w:t>
      </w:r>
    </w:p>
    <w:p>
      <w:pPr>
        <w:spacing w:after="0" w:line="23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Until its expiration on June 1, 2025, the Company maintained the REX 2015 Incentive Plan, approved by its shareholders, which reserved a total of 3,300,000 split-adjusted shares of common stock for issuance pursuant to its terms. The plan provided for the granting of shares of stock, including options to purchase shares of common stock, stock 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vested based on the Company’s TSR compared to the TSRs of companies that comprise the Russell 2000 Index over a three-year performance period (see below).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its time of expiration, 1,065,809 shares (pre-2025 split) remained available for issuance under the plan.</w:t>
      </w:r>
    </w:p>
    <w:p>
      <w:pPr>
        <w:spacing w:after="0" w:line="214"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An immaterial error was identified and corrected during the three-month period ended October 31, 2025, related to restricted stock awards that were reported as granted in June 2025 but were no longer available for grant as the plan had recently expired. The Board of Directors has acknowledged that the purported June restricted stock awards were not validly granted. The correcting entry reversed 119,856 shares granted and the related expense of approximately $0.3 million and reestablished an incentive compensation accrual of approximately $2.0 million. The Company anticipates that it will request its shareholders to approve a replacement equity plan at its Annual Meeting in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37" w:lineRule="exact"/>
        <w:rPr>
          <w:sz w:val="20"/>
          <w:szCs w:val="20"/>
          <w:color w:val="auto"/>
        </w:rPr>
      </w:pPr>
    </w:p>
    <w:p>
      <w:pPr>
        <w:jc w:val="both"/>
        <w:ind w:right="80" w:firstLine="648"/>
        <w:spacing w:after="0" w:line="251" w:lineRule="auto"/>
        <w:rPr>
          <w:sz w:val="20"/>
          <w:szCs w:val="20"/>
          <w:color w:val="auto"/>
        </w:rPr>
      </w:pPr>
      <w:r>
        <w:rPr>
          <w:rFonts w:ascii="Times New Roman" w:cs="Times New Roman" w:eastAsia="Times New Roman" w:hAnsi="Times New Roman"/>
          <w:sz w:val="21"/>
          <w:szCs w:val="21"/>
          <w:color w:val="auto"/>
        </w:rPr>
        <w:t>As a component of their compensation, restricted stock has been granted in the past to directors and certain employees at the closing market price of REX common stock on the grant date. In addition, one quarter of executives’ incentive compensation is payable by an award of restricted stock based on the then closing market price of REX common stock on the grant date. The</w:t>
      </w:r>
    </w:p>
    <w:p>
      <w:pPr>
        <w:ind w:right="240"/>
        <w:spacing w:after="0" w:line="201" w:lineRule="auto"/>
        <w:rPr>
          <w:sz w:val="20"/>
          <w:szCs w:val="20"/>
          <w:color w:val="auto"/>
        </w:rPr>
      </w:pPr>
      <w:r>
        <w:rPr>
          <w:rFonts w:ascii="Times New Roman" w:cs="Times New Roman" w:eastAsia="Times New Roman" w:hAnsi="Times New Roman"/>
          <w:sz w:val="22"/>
          <w:szCs w:val="22"/>
          <w:color w:val="auto"/>
        </w:rPr>
        <w:t>Company’s board of directors has determined that the grant date will be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or the next business day if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is not a business day, for all grants of restricted stock.</w:t>
      </w:r>
    </w:p>
    <w:p>
      <w:pPr>
        <w:spacing w:after="0" w:line="2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Based on retirement eligibility provisions, a portion of restricted stock grants were expensed at grant date, based on grant date fair value, thus considered vested for accounting purposes. At October 31, 2025, 20,964 shares were unvested for accounting purposes and unrecognized compensation cost related to</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21" w:name="page22"/>
    <w:bookmarkEnd w:id="21"/>
    <w:p>
      <w:pPr>
        <w:ind w:right="220"/>
        <w:spacing w:after="0" w:line="258" w:lineRule="auto"/>
        <w:rPr>
          <w:sz w:val="20"/>
          <w:szCs w:val="20"/>
          <w:color w:val="auto"/>
        </w:rPr>
      </w:pPr>
      <w:r>
        <w:rPr>
          <w:rFonts w:ascii="Times New Roman" w:cs="Times New Roman" w:eastAsia="Times New Roman" w:hAnsi="Times New Roman"/>
          <w:sz w:val="22"/>
          <w:szCs w:val="22"/>
          <w:color w:val="auto"/>
        </w:rPr>
        <w:t>these nonvested restricted stock awards was approximately $317,000, to be recognized over a weighted average vesting term of 1.3 years.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summarize legally unvested restricted stock award activity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20" w:type="dxa"/>
            <w:vAlign w:val="bottom"/>
            <w:gridSpan w:val="10"/>
          </w:tcPr>
          <w:p>
            <w:pPr>
              <w:jc w:val="right"/>
              <w:ind w:right="980"/>
              <w:spacing w:after="0"/>
              <w:rPr>
                <w:sz w:val="20"/>
                <w:szCs w:val="20"/>
                <w:color w:val="auto"/>
              </w:rPr>
            </w:pPr>
            <w:r>
              <w:rPr>
                <w:rFonts w:ascii="Times New Roman" w:cs="Times New Roman" w:eastAsia="Times New Roman" w:hAnsi="Times New Roman"/>
                <w:sz w:val="22"/>
                <w:szCs w:val="22"/>
                <w:b w:val="1"/>
                <w:bCs w:val="1"/>
                <w:color w:val="auto"/>
                <w:w w:val="99"/>
              </w:rPr>
              <w:t>Nine Months Ended October 31, 2025</w:t>
            </w:r>
          </w:p>
        </w:tc>
        <w:tc>
          <w:tcPr>
            <w:tcW w:w="1680" w:type="dxa"/>
            <w:vAlign w:val="bottom"/>
          </w:tcPr>
          <w:p>
            <w:pPr>
              <w:spacing w:after="0"/>
              <w:rPr>
                <w:sz w:val="24"/>
                <w:szCs w:val="24"/>
                <w:color w:val="auto"/>
              </w:rPr>
            </w:pPr>
          </w:p>
        </w:tc>
      </w:tr>
      <w:tr>
        <w:trPr>
          <w:trHeight w:val="443"/>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1680" w:type="dxa"/>
            <w:vAlign w:val="bottom"/>
          </w:tcPr>
          <w:p>
            <w:pPr>
              <w:spacing w:after="0"/>
              <w:rPr>
                <w:sz w:val="24"/>
                <w:szCs w:val="24"/>
                <w:color w:val="auto"/>
              </w:rPr>
            </w:pPr>
          </w:p>
        </w:tc>
      </w:tr>
      <w:tr>
        <w:trPr>
          <w:trHeight w:val="243"/>
        </w:trPr>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21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1680" w:type="dxa"/>
            <w:vAlign w:val="bottom"/>
          </w:tcPr>
          <w:p>
            <w:pPr>
              <w:spacing w:after="0"/>
              <w:rPr>
                <w:sz w:val="21"/>
                <w:szCs w:val="21"/>
                <w:color w:val="auto"/>
              </w:rPr>
            </w:pPr>
          </w:p>
        </w:tc>
      </w:tr>
      <w:tr>
        <w:trPr>
          <w:trHeight w:val="243"/>
        </w:trPr>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gridSpan w:val="5"/>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5"/>
              </w:rPr>
              <w:t>Date Fair Value</w:t>
            </w:r>
          </w:p>
        </w:tc>
        <w:tc>
          <w:tcPr>
            <w:tcW w:w="21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1680" w:type="dxa"/>
            <w:vAlign w:val="bottom"/>
          </w:tcPr>
          <w:p>
            <w:pPr>
              <w:spacing w:after="0"/>
              <w:rPr>
                <w:sz w:val="21"/>
                <w:szCs w:val="21"/>
                <w:color w:val="auto"/>
              </w:rPr>
            </w:pPr>
          </w:p>
        </w:tc>
      </w:tr>
      <w:tr>
        <w:trPr>
          <w:trHeight w:val="234"/>
        </w:trPr>
        <w:tc>
          <w:tcPr>
            <w:tcW w:w="4220" w:type="dxa"/>
            <w:vAlign w:val="bottom"/>
          </w:tcPr>
          <w:p>
            <w:pPr>
              <w:spacing w:after="0"/>
              <w:rPr>
                <w:sz w:val="20"/>
                <w:szCs w:val="20"/>
                <w:color w:val="auto"/>
              </w:rPr>
            </w:pPr>
          </w:p>
        </w:tc>
        <w:tc>
          <w:tcPr>
            <w:tcW w:w="1040" w:type="dxa"/>
            <w:vAlign w:val="bottom"/>
            <w:gridSpan w:val="3"/>
          </w:tcPr>
          <w:p>
            <w:pPr>
              <w:jc w:val="right"/>
              <w:ind w:right="112"/>
              <w:spacing w:after="0" w:line="233" w:lineRule="exact"/>
              <w:rPr>
                <w:sz w:val="20"/>
                <w:szCs w:val="20"/>
                <w:color w:val="auto"/>
              </w:rPr>
            </w:pPr>
            <w:r>
              <w:rPr>
                <w:rFonts w:ascii="Times New Roman" w:cs="Times New Roman" w:eastAsia="Times New Roman" w:hAnsi="Times New Roman"/>
                <w:sz w:val="22"/>
                <w:szCs w:val="22"/>
                <w:b w:val="1"/>
                <w:bCs w:val="1"/>
                <w:color w:val="auto"/>
              </w:rPr>
              <w:t>Shares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4"/>
          </w:tcPr>
          <w:p>
            <w:pPr>
              <w:jc w:val="center"/>
              <w:ind w:right="300"/>
              <w:spacing w:after="0" w:line="233" w:lineRule="exact"/>
              <w:rPr>
                <w:sz w:val="20"/>
                <w:szCs w:val="20"/>
                <w:color w:val="auto"/>
              </w:rPr>
            </w:pPr>
            <w:r>
              <w:rPr>
                <w:rFonts w:ascii="Times New Roman" w:cs="Times New Roman" w:eastAsia="Times New Roman" w:hAnsi="Times New Roman"/>
                <w:sz w:val="22"/>
                <w:szCs w:val="22"/>
                <w:b w:val="1"/>
                <w:bCs w:val="1"/>
                <w:color w:val="auto"/>
                <w:w w:val="97"/>
              </w:rPr>
              <w:t>(000’s)</w:t>
            </w:r>
          </w:p>
        </w:tc>
        <w:tc>
          <w:tcPr>
            <w:tcW w:w="660" w:type="dxa"/>
            <w:vAlign w:val="bottom"/>
          </w:tcPr>
          <w:p>
            <w:pPr>
              <w:spacing w:after="0"/>
              <w:rPr>
                <w:sz w:val="20"/>
                <w:szCs w:val="20"/>
                <w:color w:val="auto"/>
              </w:rPr>
            </w:pPr>
          </w:p>
        </w:tc>
        <w:tc>
          <w:tcPr>
            <w:tcW w:w="1440" w:type="dxa"/>
            <w:vAlign w:val="bottom"/>
            <w:gridSpan w:val="2"/>
          </w:tcPr>
          <w:p>
            <w:pPr>
              <w:jc w:val="center"/>
              <w:ind w:right="580"/>
              <w:spacing w:after="0" w:line="233" w:lineRule="exact"/>
              <w:rPr>
                <w:sz w:val="20"/>
                <w:szCs w:val="20"/>
                <w:color w:val="auto"/>
              </w:rPr>
            </w:pPr>
            <w:r>
              <w:rPr>
                <w:rFonts w:ascii="Times New Roman" w:cs="Times New Roman" w:eastAsia="Times New Roman" w:hAnsi="Times New Roman"/>
                <w:sz w:val="22"/>
                <w:szCs w:val="22"/>
                <w:b w:val="1"/>
                <w:bCs w:val="1"/>
                <w:color w:val="auto"/>
                <w:w w:val="97"/>
              </w:rPr>
              <w:t>(in years)</w:t>
            </w:r>
          </w:p>
        </w:tc>
        <w:tc>
          <w:tcPr>
            <w:tcW w:w="1680" w:type="dxa"/>
            <w:vAlign w:val="bottom"/>
          </w:tcPr>
          <w:p>
            <w:pPr>
              <w:spacing w:after="0"/>
              <w:rPr>
                <w:sz w:val="20"/>
                <w:szCs w:val="20"/>
                <w:color w:val="auto"/>
              </w:rPr>
            </w:pPr>
          </w:p>
        </w:tc>
      </w:tr>
      <w:tr>
        <w:trPr>
          <w:trHeight w:val="263"/>
        </w:trPr>
        <w:tc>
          <w:tcPr>
            <w:tcW w:w="4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43"/>
        </w:trPr>
        <w:tc>
          <w:tcPr>
            <w:tcW w:w="4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Unvested at January 31, 2025</w:t>
            </w:r>
          </w:p>
        </w:tc>
        <w:tc>
          <w:tcPr>
            <w:tcW w:w="10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324,784</w:t>
            </w:r>
          </w:p>
        </w:tc>
        <w:tc>
          <w:tcPr>
            <w:tcW w:w="4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720" w:type="dxa"/>
            <w:vAlign w:val="bottom"/>
            <w:gridSpan w:val="4"/>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6,190</w:t>
            </w:r>
          </w:p>
        </w:tc>
        <w:tc>
          <w:tcPr>
            <w:tcW w:w="210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680" w:type="dxa"/>
            <w:vAlign w:val="bottom"/>
          </w:tcPr>
          <w:p>
            <w:pPr>
              <w:spacing w:after="0"/>
              <w:rPr>
                <w:sz w:val="21"/>
                <w:szCs w:val="21"/>
                <w:color w:val="auto"/>
              </w:rPr>
            </w:pPr>
          </w:p>
        </w:tc>
      </w:tr>
      <w:tr>
        <w:trPr>
          <w:trHeight w:val="243"/>
        </w:trPr>
        <w:tc>
          <w:tcPr>
            <w:tcW w:w="4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0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0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720" w:type="dxa"/>
            <w:vAlign w:val="bottom"/>
            <w:gridSpan w:val="4"/>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680" w:type="dxa"/>
            <w:vAlign w:val="bottom"/>
          </w:tcPr>
          <w:p>
            <w:pPr>
              <w:spacing w:after="0"/>
              <w:rPr>
                <w:sz w:val="21"/>
                <w:szCs w:val="21"/>
                <w:color w:val="auto"/>
              </w:rPr>
            </w:pPr>
          </w:p>
        </w:tc>
      </w:tr>
      <w:tr>
        <w:trPr>
          <w:trHeight w:val="256"/>
        </w:trPr>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164,420</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4"/>
          </w:tcPr>
          <w:p>
            <w:pPr>
              <w:jc w:val="right"/>
              <w:ind w:right="180"/>
              <w:spacing w:after="0"/>
              <w:rPr>
                <w:sz w:val="20"/>
                <w:szCs w:val="20"/>
                <w:color w:val="auto"/>
              </w:rPr>
            </w:pPr>
            <w:r>
              <w:rPr>
                <w:rFonts w:ascii="Times New Roman" w:cs="Times New Roman" w:eastAsia="Times New Roman" w:hAnsi="Times New Roman"/>
                <w:sz w:val="22"/>
                <w:szCs w:val="22"/>
                <w:color w:val="auto"/>
              </w:rPr>
              <w:t>2,946</w:t>
            </w: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7"/>
        </w:trPr>
        <w:tc>
          <w:tcPr>
            <w:tcW w:w="4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0"/>
        </w:trPr>
        <w:tc>
          <w:tcPr>
            <w:tcW w:w="42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Unvested at October 31, 2025</w:t>
            </w:r>
          </w:p>
        </w:tc>
        <w:tc>
          <w:tcPr>
            <w:tcW w:w="10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160,364</w:t>
            </w:r>
          </w:p>
        </w:tc>
        <w:tc>
          <w:tcPr>
            <w:tcW w:w="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22"/>
                <w:szCs w:val="22"/>
                <w:color w:val="auto"/>
              </w:rPr>
              <w:t>3,244</w:t>
            </w:r>
          </w:p>
        </w:tc>
        <w:tc>
          <w:tcPr>
            <w:tcW w:w="210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1</w:t>
            </w:r>
          </w:p>
        </w:tc>
        <w:tc>
          <w:tcPr>
            <w:tcW w:w="1680" w:type="dxa"/>
            <w:vAlign w:val="bottom"/>
          </w:tcPr>
          <w:p>
            <w:pPr>
              <w:spacing w:after="0"/>
              <w:rPr>
                <w:sz w:val="23"/>
                <w:szCs w:val="23"/>
                <w:color w:val="auto"/>
              </w:rPr>
            </w:pPr>
          </w:p>
        </w:tc>
      </w:tr>
      <w:tr>
        <w:trPr>
          <w:trHeight w:val="20"/>
        </w:trPr>
        <w:tc>
          <w:tcPr>
            <w:tcW w:w="4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E5FFFF"/>
            </w:tcBorders>
            <w:gridSpan w:val="2"/>
          </w:tcPr>
          <w:p>
            <w:pPr>
              <w:spacing w:after="0" w:line="20" w:lineRule="exact"/>
              <w:rPr>
                <w:sz w:val="1"/>
                <w:szCs w:val="1"/>
                <w:color w:val="auto"/>
              </w:rPr>
            </w:pPr>
          </w:p>
        </w:tc>
        <w:tc>
          <w:tcPr>
            <w:tcW w:w="86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E5FF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78"/>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20" w:type="dxa"/>
            <w:vAlign w:val="bottom"/>
            <w:gridSpan w:val="10"/>
          </w:tcPr>
          <w:p>
            <w:pPr>
              <w:jc w:val="right"/>
              <w:ind w:right="980"/>
              <w:spacing w:after="0"/>
              <w:rPr>
                <w:sz w:val="20"/>
                <w:szCs w:val="20"/>
                <w:color w:val="auto"/>
              </w:rPr>
            </w:pPr>
            <w:r>
              <w:rPr>
                <w:rFonts w:ascii="Times New Roman" w:cs="Times New Roman" w:eastAsia="Times New Roman" w:hAnsi="Times New Roman"/>
                <w:sz w:val="22"/>
                <w:szCs w:val="22"/>
                <w:b w:val="1"/>
                <w:bCs w:val="1"/>
                <w:color w:val="auto"/>
                <w:w w:val="99"/>
              </w:rPr>
              <w:t>Nine Months Ended October 31, 2024</w:t>
            </w:r>
          </w:p>
        </w:tc>
        <w:tc>
          <w:tcPr>
            <w:tcW w:w="1680" w:type="dxa"/>
            <w:vAlign w:val="bottom"/>
          </w:tcPr>
          <w:p>
            <w:pPr>
              <w:spacing w:after="0"/>
              <w:rPr>
                <w:sz w:val="24"/>
                <w:szCs w:val="24"/>
                <w:color w:val="auto"/>
              </w:rPr>
            </w:pPr>
          </w:p>
        </w:tc>
      </w:tr>
      <w:tr>
        <w:trPr>
          <w:trHeight w:val="443"/>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1680" w:type="dxa"/>
            <w:vAlign w:val="bottom"/>
          </w:tcPr>
          <w:p>
            <w:pPr>
              <w:spacing w:after="0"/>
              <w:rPr>
                <w:sz w:val="24"/>
                <w:szCs w:val="24"/>
                <w:color w:val="auto"/>
              </w:rPr>
            </w:pPr>
          </w:p>
        </w:tc>
      </w:tr>
      <w:tr>
        <w:trPr>
          <w:trHeight w:val="243"/>
        </w:trPr>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center"/>
              <w:ind w:right="3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21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1680" w:type="dxa"/>
            <w:vAlign w:val="bottom"/>
          </w:tcPr>
          <w:p>
            <w:pPr>
              <w:spacing w:after="0"/>
              <w:rPr>
                <w:sz w:val="21"/>
                <w:szCs w:val="21"/>
                <w:color w:val="auto"/>
              </w:rPr>
            </w:pPr>
          </w:p>
        </w:tc>
      </w:tr>
      <w:tr>
        <w:trPr>
          <w:trHeight w:val="243"/>
        </w:trPr>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center"/>
              <w:ind w:right="280"/>
              <w:spacing w:after="0" w:line="243" w:lineRule="exact"/>
              <w:rPr>
                <w:sz w:val="20"/>
                <w:szCs w:val="20"/>
                <w:color w:val="auto"/>
              </w:rPr>
            </w:pPr>
            <w:r>
              <w:rPr>
                <w:rFonts w:ascii="Times New Roman" w:cs="Times New Roman" w:eastAsia="Times New Roman" w:hAnsi="Times New Roman"/>
                <w:sz w:val="22"/>
                <w:szCs w:val="22"/>
                <w:b w:val="1"/>
                <w:bCs w:val="1"/>
                <w:color w:val="auto"/>
                <w:w w:val="96"/>
              </w:rPr>
              <w:t>Date FairValue</w:t>
            </w:r>
          </w:p>
        </w:tc>
        <w:tc>
          <w:tcPr>
            <w:tcW w:w="21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1680" w:type="dxa"/>
            <w:vAlign w:val="bottom"/>
          </w:tcPr>
          <w:p>
            <w:pPr>
              <w:spacing w:after="0"/>
              <w:rPr>
                <w:sz w:val="21"/>
                <w:szCs w:val="21"/>
                <w:color w:val="auto"/>
              </w:rPr>
            </w:pPr>
          </w:p>
        </w:tc>
      </w:tr>
      <w:tr>
        <w:trPr>
          <w:trHeight w:val="234"/>
        </w:trPr>
        <w:tc>
          <w:tcPr>
            <w:tcW w:w="4220" w:type="dxa"/>
            <w:vAlign w:val="bottom"/>
          </w:tcPr>
          <w:p>
            <w:pPr>
              <w:spacing w:after="0"/>
              <w:rPr>
                <w:sz w:val="20"/>
                <w:szCs w:val="20"/>
                <w:color w:val="auto"/>
              </w:rPr>
            </w:pPr>
          </w:p>
        </w:tc>
        <w:tc>
          <w:tcPr>
            <w:tcW w:w="1040" w:type="dxa"/>
            <w:vAlign w:val="bottom"/>
            <w:gridSpan w:val="3"/>
          </w:tcPr>
          <w:p>
            <w:pPr>
              <w:jc w:val="right"/>
              <w:ind w:right="112"/>
              <w:spacing w:after="0" w:line="233" w:lineRule="exact"/>
              <w:rPr>
                <w:sz w:val="20"/>
                <w:szCs w:val="20"/>
                <w:color w:val="auto"/>
              </w:rPr>
            </w:pPr>
            <w:r>
              <w:rPr>
                <w:rFonts w:ascii="Times New Roman" w:cs="Times New Roman" w:eastAsia="Times New Roman" w:hAnsi="Times New Roman"/>
                <w:sz w:val="22"/>
                <w:szCs w:val="22"/>
                <w:b w:val="1"/>
                <w:bCs w:val="1"/>
                <w:color w:val="auto"/>
              </w:rPr>
              <w:t>Shares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4"/>
          </w:tcPr>
          <w:p>
            <w:pPr>
              <w:jc w:val="center"/>
              <w:ind w:right="300"/>
              <w:spacing w:after="0" w:line="233" w:lineRule="exact"/>
              <w:rPr>
                <w:sz w:val="20"/>
                <w:szCs w:val="20"/>
                <w:color w:val="auto"/>
              </w:rPr>
            </w:pPr>
            <w:r>
              <w:rPr>
                <w:rFonts w:ascii="Times New Roman" w:cs="Times New Roman" w:eastAsia="Times New Roman" w:hAnsi="Times New Roman"/>
                <w:sz w:val="22"/>
                <w:szCs w:val="22"/>
                <w:b w:val="1"/>
                <w:bCs w:val="1"/>
                <w:color w:val="auto"/>
                <w:w w:val="97"/>
              </w:rPr>
              <w:t>(000’s)</w:t>
            </w:r>
          </w:p>
        </w:tc>
        <w:tc>
          <w:tcPr>
            <w:tcW w:w="660" w:type="dxa"/>
            <w:vAlign w:val="bottom"/>
          </w:tcPr>
          <w:p>
            <w:pPr>
              <w:spacing w:after="0"/>
              <w:rPr>
                <w:sz w:val="20"/>
                <w:szCs w:val="20"/>
                <w:color w:val="auto"/>
              </w:rPr>
            </w:pPr>
          </w:p>
        </w:tc>
        <w:tc>
          <w:tcPr>
            <w:tcW w:w="1440" w:type="dxa"/>
            <w:vAlign w:val="bottom"/>
            <w:gridSpan w:val="2"/>
          </w:tcPr>
          <w:p>
            <w:pPr>
              <w:jc w:val="center"/>
              <w:ind w:right="580"/>
              <w:spacing w:after="0" w:line="233" w:lineRule="exact"/>
              <w:rPr>
                <w:sz w:val="20"/>
                <w:szCs w:val="20"/>
                <w:color w:val="auto"/>
              </w:rPr>
            </w:pPr>
            <w:r>
              <w:rPr>
                <w:rFonts w:ascii="Times New Roman" w:cs="Times New Roman" w:eastAsia="Times New Roman" w:hAnsi="Times New Roman"/>
                <w:sz w:val="22"/>
                <w:szCs w:val="22"/>
                <w:b w:val="1"/>
                <w:bCs w:val="1"/>
                <w:color w:val="auto"/>
                <w:w w:val="97"/>
              </w:rPr>
              <w:t>(in years)</w:t>
            </w:r>
          </w:p>
        </w:tc>
        <w:tc>
          <w:tcPr>
            <w:tcW w:w="1680" w:type="dxa"/>
            <w:vAlign w:val="bottom"/>
          </w:tcPr>
          <w:p>
            <w:pPr>
              <w:spacing w:after="0"/>
              <w:rPr>
                <w:sz w:val="20"/>
                <w:szCs w:val="20"/>
                <w:color w:val="auto"/>
              </w:rPr>
            </w:pPr>
          </w:p>
        </w:tc>
      </w:tr>
      <w:tr>
        <w:trPr>
          <w:trHeight w:val="264"/>
        </w:trPr>
        <w:tc>
          <w:tcPr>
            <w:tcW w:w="4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43"/>
        </w:trPr>
        <w:tc>
          <w:tcPr>
            <w:tcW w:w="4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Unvested at January 31, 2024</w:t>
            </w:r>
          </w:p>
        </w:tc>
        <w:tc>
          <w:tcPr>
            <w:tcW w:w="10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325,710</w:t>
            </w:r>
          </w:p>
        </w:tc>
        <w:tc>
          <w:tcPr>
            <w:tcW w:w="4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720" w:type="dxa"/>
            <w:vAlign w:val="bottom"/>
            <w:gridSpan w:val="4"/>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5,369</w:t>
            </w:r>
          </w:p>
        </w:tc>
        <w:tc>
          <w:tcPr>
            <w:tcW w:w="2100" w:type="dxa"/>
            <w:vAlign w:val="bottom"/>
            <w:gridSpan w:val="3"/>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680" w:type="dxa"/>
            <w:vAlign w:val="bottom"/>
          </w:tcPr>
          <w:p>
            <w:pPr>
              <w:spacing w:after="0"/>
              <w:rPr>
                <w:sz w:val="21"/>
                <w:szCs w:val="21"/>
                <w:color w:val="auto"/>
              </w:rPr>
            </w:pPr>
          </w:p>
        </w:tc>
      </w:tr>
      <w:tr>
        <w:trPr>
          <w:trHeight w:val="243"/>
        </w:trPr>
        <w:tc>
          <w:tcPr>
            <w:tcW w:w="4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0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126,814</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4"/>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2,894</w:t>
            </w: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0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720" w:type="dxa"/>
            <w:vAlign w:val="bottom"/>
            <w:gridSpan w:val="4"/>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680" w:type="dxa"/>
            <w:vAlign w:val="bottom"/>
          </w:tcPr>
          <w:p>
            <w:pPr>
              <w:spacing w:after="0"/>
              <w:rPr>
                <w:sz w:val="21"/>
                <w:szCs w:val="21"/>
                <w:color w:val="auto"/>
              </w:rPr>
            </w:pPr>
          </w:p>
        </w:tc>
      </w:tr>
      <w:tr>
        <w:trPr>
          <w:trHeight w:val="257"/>
        </w:trPr>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127,740</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4"/>
          </w:tcPr>
          <w:p>
            <w:pPr>
              <w:jc w:val="right"/>
              <w:ind w:right="180"/>
              <w:spacing w:after="0"/>
              <w:rPr>
                <w:sz w:val="20"/>
                <w:szCs w:val="20"/>
                <w:color w:val="auto"/>
              </w:rPr>
            </w:pPr>
            <w:r>
              <w:rPr>
                <w:rFonts w:ascii="Times New Roman" w:cs="Times New Roman" w:eastAsia="Times New Roman" w:hAnsi="Times New Roman"/>
                <w:sz w:val="22"/>
                <w:szCs w:val="22"/>
                <w:color w:val="auto"/>
              </w:rPr>
              <w:t>2,073</w:t>
            </w: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6"/>
        </w:trPr>
        <w:tc>
          <w:tcPr>
            <w:tcW w:w="4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0"/>
        </w:trPr>
        <w:tc>
          <w:tcPr>
            <w:tcW w:w="42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Unvested at October 31, 2024</w:t>
            </w:r>
          </w:p>
        </w:tc>
        <w:tc>
          <w:tcPr>
            <w:tcW w:w="10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324,784</w:t>
            </w:r>
          </w:p>
        </w:tc>
        <w:tc>
          <w:tcPr>
            <w:tcW w:w="4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22"/>
                <w:szCs w:val="22"/>
                <w:color w:val="auto"/>
              </w:rPr>
              <w:t>6,190</w:t>
            </w:r>
          </w:p>
        </w:tc>
        <w:tc>
          <w:tcPr>
            <w:tcW w:w="210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2</w:t>
            </w:r>
          </w:p>
        </w:tc>
        <w:tc>
          <w:tcPr>
            <w:tcW w:w="1680" w:type="dxa"/>
            <w:vAlign w:val="bottom"/>
          </w:tcPr>
          <w:p>
            <w:pPr>
              <w:spacing w:after="0"/>
              <w:rPr>
                <w:sz w:val="23"/>
                <w:szCs w:val="23"/>
                <w:color w:val="auto"/>
              </w:rPr>
            </w:pPr>
          </w:p>
        </w:tc>
      </w:tr>
      <w:tr>
        <w:trPr>
          <w:trHeight w:val="20"/>
        </w:trPr>
        <w:tc>
          <w:tcPr>
            <w:tcW w:w="4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E5FF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4"/>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42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16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3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In May 2022, the Company issued a total of 135,000 RSUs to certain officers with a performance period that ended on December 31, 2024. The number of RSUs eligible to vest ranged from zero percent to two-hundred percent and was determined based on how the Company’s TSR compared to the TSR of companies that comprised the Russell 2000 Index during the performance period. The calculated payout of the RSUs that vested was 148%, or 199,800 shares of REX common stock, and the shares were issued on February 26, 2025.</w:t>
      </w:r>
    </w:p>
    <w:p>
      <w:pPr>
        <w:spacing w:after="0" w:line="204"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The Company did not recognize any compensation cost related to RSUs in the three- or nine-month periods ended October 31, 2025. The Company recognized compensation cost related to RSUs of approximately $0.3 million and $0.8 million in the three- and nine-month periods ended October 31, 2024, respectively.</w:t>
      </w:r>
    </w:p>
    <w:p>
      <w:pPr>
        <w:spacing w:after="0" w:line="200"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For the three- and nine-month periods ended October 31, 2024, we calculated the diluted weighted average shares as follows (amounts in thousands):</w:t>
      </w:r>
    </w:p>
    <w:p>
      <w:pPr>
        <w:sectPr>
          <w:pgSz w:w="11900" w:h="16838" w:orient="portrait"/>
          <w:cols w:equalWidth="0" w:num="1">
            <w:col w:w="11180"/>
          </w:cols>
          <w:pgMar w:left="320" w:top="39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0"/>
        <w:spacing w:after="0" w:line="268" w:lineRule="auto"/>
        <w:rPr>
          <w:sz w:val="20"/>
          <w:szCs w:val="20"/>
          <w:color w:val="auto"/>
        </w:rPr>
      </w:pPr>
      <w:r>
        <w:rPr>
          <w:rFonts w:ascii="Times New Roman" w:cs="Times New Roman" w:eastAsia="Times New Roman" w:hAnsi="Times New Roman"/>
          <w:sz w:val="21"/>
          <w:szCs w:val="21"/>
          <w:color w:val="auto"/>
        </w:rPr>
        <w:t>Weighted average shares – basic Dilutive effect of RSUs Weighted average shares – diluted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r>
        <w:rPr>
          <w:rFonts w:ascii="Times New Roman" w:cs="Times New Roman" w:eastAsia="Times New Roman" w:hAnsi="Times New Roman"/>
          <w:sz w:val="22"/>
          <w:szCs w:val="22"/>
          <w:b w:val="1"/>
          <w:bCs w:val="1"/>
          <w:i w:val="1"/>
          <w:iCs w:val="1"/>
          <w:color w:val="auto"/>
        </w:rPr>
        <w:t>. Income Taxes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240" w:type="dxa"/>
            <w:vAlign w:val="bottom"/>
            <w:gridSpan w:val="3"/>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2100" w:type="dxa"/>
            <w:vAlign w:val="bottom"/>
            <w:gridSpan w:val="4"/>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Nine Months Ended</w:t>
            </w:r>
          </w:p>
        </w:tc>
      </w:tr>
      <w:tr>
        <w:trPr>
          <w:trHeight w:val="247"/>
        </w:trPr>
        <w:tc>
          <w:tcPr>
            <w:tcW w:w="2240" w:type="dxa"/>
            <w:vAlign w:val="bottom"/>
            <w:gridSpan w:val="3"/>
          </w:tcPr>
          <w:p>
            <w:pPr>
              <w:jc w:val="center"/>
              <w:ind w:right="260"/>
              <w:spacing w:after="0" w:line="247" w:lineRule="exact"/>
              <w:rPr>
                <w:sz w:val="20"/>
                <w:szCs w:val="20"/>
                <w:color w:val="auto"/>
              </w:rPr>
            </w:pPr>
            <w:r>
              <w:rPr>
                <w:rFonts w:ascii="Times New Roman" w:cs="Times New Roman" w:eastAsia="Times New Roman" w:hAnsi="Times New Roman"/>
                <w:sz w:val="22"/>
                <w:szCs w:val="22"/>
                <w:b w:val="1"/>
                <w:bCs w:val="1"/>
                <w:color w:val="auto"/>
                <w:w w:val="99"/>
              </w:rPr>
              <w:t>October 31, 2024</w:t>
            </w:r>
          </w:p>
        </w:tc>
        <w:tc>
          <w:tcPr>
            <w:tcW w:w="2100" w:type="dxa"/>
            <w:vAlign w:val="bottom"/>
            <w:gridSpan w:val="4"/>
          </w:tcPr>
          <w:p>
            <w:pPr>
              <w:jc w:val="center"/>
              <w:ind w:left="152"/>
              <w:spacing w:after="0" w:line="247" w:lineRule="exact"/>
              <w:rPr>
                <w:sz w:val="20"/>
                <w:szCs w:val="20"/>
                <w:color w:val="auto"/>
              </w:rPr>
            </w:pPr>
            <w:r>
              <w:rPr>
                <w:rFonts w:ascii="Times New Roman" w:cs="Times New Roman" w:eastAsia="Times New Roman" w:hAnsi="Times New Roman"/>
                <w:sz w:val="22"/>
                <w:szCs w:val="22"/>
                <w:b w:val="1"/>
                <w:bCs w:val="1"/>
                <w:color w:val="auto"/>
                <w:w w:val="97"/>
              </w:rPr>
              <w:t>October 31, 2024</w:t>
            </w:r>
          </w:p>
        </w:tc>
      </w:tr>
      <w:tr>
        <w:trPr>
          <w:trHeight w:val="256"/>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35,189</w:t>
            </w:r>
          </w:p>
        </w:tc>
        <w:tc>
          <w:tcPr>
            <w:tcW w:w="960" w:type="dxa"/>
            <w:vAlign w:val="bottom"/>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35,100</w:t>
            </w:r>
          </w:p>
        </w:tc>
        <w:tc>
          <w:tcPr>
            <w:tcW w:w="620" w:type="dxa"/>
            <w:vAlign w:val="bottom"/>
          </w:tcPr>
          <w:p>
            <w:pPr>
              <w:spacing w:after="0"/>
              <w:rPr>
                <w:sz w:val="22"/>
                <w:szCs w:val="22"/>
                <w:color w:val="auto"/>
              </w:rPr>
            </w:pPr>
          </w:p>
        </w:tc>
      </w:tr>
      <w:tr>
        <w:trPr>
          <w:trHeight w:val="270"/>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256</w:t>
            </w:r>
          </w:p>
        </w:tc>
        <w:tc>
          <w:tcPr>
            <w:tcW w:w="96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246</w:t>
            </w:r>
          </w:p>
        </w:tc>
        <w:tc>
          <w:tcPr>
            <w:tcW w:w="620" w:type="dxa"/>
            <w:vAlign w:val="bottom"/>
          </w:tcPr>
          <w:p>
            <w:pPr>
              <w:spacing w:after="0"/>
              <w:rPr>
                <w:sz w:val="23"/>
                <w:szCs w:val="23"/>
                <w:color w:val="auto"/>
              </w:rPr>
            </w:pPr>
          </w:p>
        </w:tc>
      </w:tr>
      <w:tr>
        <w:trPr>
          <w:trHeight w:val="250"/>
        </w:trPr>
        <w:tc>
          <w:tcPr>
            <w:tcW w:w="700" w:type="dxa"/>
            <w:vAlign w:val="bottom"/>
          </w:tcPr>
          <w:p>
            <w:pPr>
              <w:spacing w:after="0"/>
              <w:rPr>
                <w:sz w:val="21"/>
                <w:szCs w:val="21"/>
                <w:color w:val="auto"/>
              </w:rPr>
            </w:pPr>
          </w:p>
        </w:tc>
        <w:tc>
          <w:tcPr>
            <w:tcW w:w="58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2"/>
              </w:rPr>
              <w:t>35,445</w:t>
            </w:r>
          </w:p>
        </w:tc>
        <w:tc>
          <w:tcPr>
            <w:tcW w:w="96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58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2"/>
              </w:rPr>
              <w:t>35,346</w:t>
            </w:r>
          </w:p>
        </w:tc>
        <w:tc>
          <w:tcPr>
            <w:tcW w:w="620" w:type="dxa"/>
            <w:vAlign w:val="bottom"/>
          </w:tcPr>
          <w:p>
            <w:pPr>
              <w:spacing w:after="0"/>
              <w:rPr>
                <w:sz w:val="21"/>
                <w:szCs w:val="2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-513715</wp:posOffset>
            </wp:positionV>
            <wp:extent cx="606044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044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-196850</wp:posOffset>
            </wp:positionV>
            <wp:extent cx="606044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0440" cy="179705"/>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4360" w:space="720"/>
            <w:col w:w="6100"/>
          </w:cols>
          <w:pgMar w:left="320" w:top="392" w:right="399" w:bottom="1440" w:gutter="0" w:footer="0" w:header="0"/>
          <w:type w:val="continuous"/>
        </w:sectPr>
      </w:pPr>
    </w:p>
    <w:p>
      <w:pPr>
        <w:spacing w:after="0" w:line="39" w:lineRule="exact"/>
        <w:rPr>
          <w:sz w:val="20"/>
          <w:szCs w:val="20"/>
          <w:color w:val="auto"/>
        </w:rPr>
      </w:pPr>
    </w:p>
    <w:p>
      <w:pPr>
        <w:ind w:right="500" w:firstLine="648"/>
        <w:spacing w:after="0" w:line="244" w:lineRule="auto"/>
        <w:rPr>
          <w:sz w:val="20"/>
          <w:szCs w:val="20"/>
          <w:color w:val="auto"/>
        </w:rPr>
      </w:pPr>
      <w:r>
        <w:rPr>
          <w:rFonts w:ascii="Times New Roman" w:cs="Times New Roman" w:eastAsia="Times New Roman" w:hAnsi="Times New Roman"/>
          <w:sz w:val="22"/>
          <w:szCs w:val="22"/>
          <w:color w:val="auto"/>
        </w:rPr>
        <w:t>The Company’s income tax provision was approximately $8.0 million and $9.4 million for the three months ended October 31, 2025 and 2024, respectively. The Company’s income tax provision was approximately $13.7 million and $17.6 million for the nine months ended October 31, 2025 and 2024, respectively.</w:t>
      </w:r>
    </w:p>
    <w:p>
      <w:pPr>
        <w:spacing w:after="0" w:line="20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20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On July 4, 2025, the OBBBA was signed into law. The OBBBA contains various tax reform provisions affecting businesses. We are still evaluating any impact this may have on our effective tax rate in the current year. In addition, we do anticipate that certain tax provisions in the OBBBA, such as the extension of bonus depreciation for assets placed in service after January 19, 2025, to result in current deductions that will lower cash paid for income taxes for 2025. The OBBBA made changes to the 45Z and 45Q tax credits that the Company intends to take advantage of which could materially impact our effective tax rate. We continue to evaluate the tax and other provisions of the OBBBA and the potential effects on financial position, results of operations, and cash flows.</w:t>
      </w:r>
    </w:p>
    <w:p>
      <w:pPr>
        <w:spacing w:after="0" w:line="210"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w:t>
      </w:r>
    </w:p>
    <w:p>
      <w:pPr>
        <w:spacing w:after="0" w:line="1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2" w:right="399" w:bottom="1440" w:gutter="0" w:footer="0" w:header="0"/>
          <w:type w:val="continuous"/>
        </w:sectPr>
      </w:pPr>
    </w:p>
    <w:bookmarkStart w:id="23" w:name="page24"/>
    <w:bookmarkEnd w:id="23"/>
    <w:p>
      <w:pPr>
        <w:jc w:val="both"/>
        <w:ind w:right="360"/>
        <w:spacing w:after="0" w:line="244" w:lineRule="auto"/>
        <w:rPr>
          <w:sz w:val="20"/>
          <w:szCs w:val="20"/>
          <w:color w:val="auto"/>
        </w:rPr>
      </w:pPr>
      <w:r>
        <w:rPr>
          <w:rFonts w:ascii="Times New Roman" w:cs="Times New Roman" w:eastAsia="Times New Roman" w:hAnsi="Times New Roman"/>
          <w:sz w:val="22"/>
          <w:szCs w:val="22"/>
          <w:color w:val="auto"/>
        </w:rPr>
        <w:t>income tax examination for the years ended January 31, 2015 through January 31, 2022 related to refined coal production tax credits pursuant to IRC Section 45 and research and experimentation credits pursuant to IRC Section 41 claimed during those years. The IRS has given us notice they plan to deny these credits. We plan to vigorously defend these credits.</w:t>
      </w:r>
    </w:p>
    <w:p>
      <w:pPr>
        <w:spacing w:after="0" w:line="200"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 reconciliation of the beginning and ending amount of unrecognized tax benefits, including interest and penalties, for the nine-month periods ended October 31, 2025 and 2024, is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0" w:type="dxa"/>
            <w:vAlign w:val="bottom"/>
            <w:gridSpan w:val="8"/>
          </w:tcPr>
          <w:p>
            <w:pPr>
              <w:ind w:left="4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4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8"/>
              </w:rPr>
              <w:t>October 31,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32"/>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2025</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2024</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580" w:type="dxa"/>
            <w:vAlign w:val="bottom"/>
            <w:gridSpan w:val="2"/>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3"/>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18,978</w:t>
            </w:r>
          </w:p>
        </w:tc>
        <w:tc>
          <w:tcPr>
            <w:tcW w:w="340" w:type="dxa"/>
            <w:vAlign w:val="bottom"/>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18,965</w:t>
            </w:r>
          </w:p>
        </w:tc>
        <w:tc>
          <w:tcPr>
            <w:tcW w:w="60" w:type="dxa"/>
            <w:vAlign w:val="bottom"/>
            <w:shd w:val="clear" w:color="auto" w:fill="E5FFFF"/>
          </w:tcPr>
          <w:p>
            <w:pPr>
              <w:spacing w:after="0"/>
              <w:rPr>
                <w:sz w:val="21"/>
                <w:szCs w:val="21"/>
                <w:color w:val="auto"/>
              </w:rPr>
            </w:pPr>
          </w:p>
        </w:tc>
      </w:tr>
      <w:tr>
        <w:trPr>
          <w:trHeight w:val="243"/>
        </w:trPr>
        <w:tc>
          <w:tcPr>
            <w:tcW w:w="4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340" w:type="dxa"/>
            <w:vAlign w:val="bottom"/>
          </w:tcPr>
          <w:p>
            <w:pPr>
              <w:spacing w:after="0"/>
              <w:rPr>
                <w:sz w:val="21"/>
                <w:szCs w:val="21"/>
                <w:color w:val="auto"/>
              </w:rPr>
            </w:pPr>
          </w:p>
        </w:tc>
        <w:tc>
          <w:tcPr>
            <w:tcW w:w="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60" w:type="dxa"/>
            <w:vAlign w:val="bottom"/>
          </w:tcPr>
          <w:p>
            <w:pPr>
              <w:spacing w:after="0"/>
              <w:rPr>
                <w:sz w:val="21"/>
                <w:szCs w:val="21"/>
                <w:color w:val="auto"/>
              </w:rPr>
            </w:pPr>
          </w:p>
        </w:tc>
      </w:tr>
      <w:tr>
        <w:trPr>
          <w:trHeight w:val="257"/>
        </w:trPr>
        <w:tc>
          <w:tcPr>
            <w:tcW w:w="43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Changes for current year tax positions</w:t>
            </w:r>
          </w:p>
        </w:tc>
        <w:tc>
          <w:tcPr>
            <w:tcW w:w="24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1200" w:type="dxa"/>
            <w:vAlign w:val="bottom"/>
            <w:gridSpan w:val="3"/>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shd w:val="clear" w:color="auto" w:fill="E5FFFF"/>
          </w:tcPr>
          <w:p>
            <w:pPr>
              <w:spacing w:after="0"/>
              <w:rPr>
                <w:sz w:val="22"/>
                <w:szCs w:val="22"/>
                <w:color w:val="auto"/>
              </w:rPr>
            </w:pPr>
          </w:p>
        </w:tc>
        <w:tc>
          <w:tcPr>
            <w:tcW w:w="8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shd w:val="clear" w:color="auto" w:fill="E5FFFF"/>
          </w:tcPr>
          <w:p>
            <w:pPr>
              <w:spacing w:after="0"/>
              <w:rPr>
                <w:sz w:val="22"/>
                <w:szCs w:val="22"/>
                <w:color w:val="auto"/>
              </w:rPr>
            </w:pPr>
          </w:p>
        </w:tc>
      </w:tr>
      <w:tr>
        <w:trPr>
          <w:trHeight w:val="250"/>
        </w:trPr>
        <w:tc>
          <w:tcPr>
            <w:tcW w:w="43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24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18,998</w:t>
            </w:r>
          </w:p>
        </w:tc>
        <w:tc>
          <w:tcPr>
            <w:tcW w:w="4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18,986</w:t>
            </w:r>
          </w:p>
        </w:tc>
        <w:tc>
          <w:tcPr>
            <w:tcW w:w="60" w:type="dxa"/>
            <w:vAlign w:val="bottom"/>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At October 31, 2025 and January 31, 2025 the unrecognized tax benefits were included within the following lines on the accompanying Consolidated Balance Sheets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00" w:type="dxa"/>
            <w:vAlign w:val="bottom"/>
            <w:gridSpan w:val="5"/>
          </w:tcPr>
          <w:p>
            <w:pPr>
              <w:ind w:left="20"/>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34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2025</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Refundable income taxes</w:t>
            </w:r>
          </w:p>
        </w:tc>
        <w:tc>
          <w:tcPr>
            <w:tcW w:w="740" w:type="dxa"/>
            <w:vAlign w:val="bottom"/>
            <w:gridSpan w:val="2"/>
            <w:shd w:val="clear" w:color="auto" w:fill="E5FFFF"/>
          </w:tcPr>
          <w:p>
            <w:pPr>
              <w:ind w:left="4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3"/>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2,002</w:t>
            </w:r>
          </w:p>
        </w:tc>
        <w:tc>
          <w:tcPr>
            <w:tcW w:w="240" w:type="dxa"/>
            <w:vAlign w:val="bottom"/>
            <w:shd w:val="clear" w:color="auto" w:fill="E5FFFF"/>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2,002</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Deferred taxes</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8,583</w:t>
            </w:r>
          </w:p>
        </w:tc>
        <w:tc>
          <w:tcPr>
            <w:tcW w:w="240" w:type="dxa"/>
            <w:vAlign w:val="bottom"/>
          </w:tcPr>
          <w:p>
            <w:pPr>
              <w:spacing w:after="0"/>
              <w:rPr>
                <w:sz w:val="21"/>
                <w:szCs w:val="21"/>
                <w:color w:val="auto"/>
              </w:rPr>
            </w:pPr>
          </w:p>
        </w:tc>
        <w:tc>
          <w:tcPr>
            <w:tcW w:w="9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12,037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Long-term taxes payable</w:t>
            </w:r>
          </w:p>
        </w:tc>
        <w:tc>
          <w:tcPr>
            <w:tcW w:w="4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200" w:type="dxa"/>
            <w:vAlign w:val="bottom"/>
            <w:gridSpan w:val="3"/>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7,788</w:t>
            </w:r>
          </w:p>
        </w:tc>
        <w:tc>
          <w:tcPr>
            <w:tcW w:w="24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4,334</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liabilities</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22"/>
                <w:szCs w:val="22"/>
                <w:color w:val="auto"/>
              </w:rPr>
              <w:t>625</w:t>
            </w:r>
          </w:p>
        </w:tc>
        <w:tc>
          <w:tcPr>
            <w:tcW w:w="2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605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Unrecognized tax benefits, end of period</w:t>
            </w:r>
          </w:p>
        </w:tc>
        <w:tc>
          <w:tcPr>
            <w:tcW w:w="740" w:type="dxa"/>
            <w:vAlign w:val="bottom"/>
            <w:gridSpan w:val="2"/>
            <w:shd w:val="clear" w:color="auto" w:fill="E5FFFF"/>
          </w:tcPr>
          <w:p>
            <w:pPr>
              <w:ind w:left="40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3"/>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18,998</w:t>
            </w:r>
          </w:p>
        </w:tc>
        <w:tc>
          <w:tcPr>
            <w:tcW w:w="240" w:type="dxa"/>
            <w:vAlign w:val="bottom"/>
            <w:shd w:val="clear" w:color="auto" w:fill="E5FF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18,978</w:t>
            </w:r>
          </w:p>
        </w:tc>
        <w:tc>
          <w:tcPr>
            <w:tcW w:w="6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Commitments and Contingencies</w:t>
            </w:r>
          </w:p>
        </w:tc>
        <w:tc>
          <w:tcPr>
            <w:tcW w:w="40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Financial Statements. There were no material liabilities recorded for legal actions at October 31, 2025 and January 31, 2025, as the Company did not believe that there was a probable and reasonably estimable significant loss associated with any legal contingencies.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4" w:name="page25"/>
    <w:bookmarkEnd w:id="24"/>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At October 31, 2025, One Earth and NuGen had combined forward purchase contracts for approximately 14.3 million bushels of corn, the principal raw material for their ethanol plants, and they had combined forward purchase contracts for approximately 1.7 million MmBtu (million British thermal unit) of natural gas.</w:t>
      </w:r>
    </w:p>
    <w:p>
      <w:pPr>
        <w:spacing w:after="0" w:line="20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At October 31, 2025, One Earth and NuGen had combined sales commitments for approximately 81.7 million gallons of ethanol, approximately 97,800 tons of distillers grains and approximately 11.0 million pounds of distillers corn oil.</w:t>
      </w:r>
    </w:p>
    <w:p>
      <w:pPr>
        <w:spacing w:after="0" w:line="185"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One Earth entered into a 15-year agreement, effective February 1, 2019, with an unrelated party for the use of a portion of that party’s natural gas pipeline, with monthly payments of $29,250. One Earth paid approximately $88,000 in the three-month periods ended October 31, 2025 and 2024 and $263,000 in the nine-month periods ended October 31, 2025 and 2024, pursuant to the agreement.</w:t>
      </w:r>
    </w:p>
    <w:p>
      <w:pPr>
        <w:spacing w:after="0" w:line="207"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At October 31, 2025, One Earth and NuGen had combined signed non-cancelable contracts for capital projects with approximately $17.4 million remaining in future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w:t>
      </w:r>
      <w:r>
        <w:rPr>
          <w:rFonts w:ascii="Times New Roman" w:cs="Times New Roman" w:eastAsia="Times New Roman" w:hAnsi="Times New Roman"/>
          <w:sz w:val="22"/>
          <w:szCs w:val="22"/>
          <w:b w:val="1"/>
          <w:bCs w:val="1"/>
          <w:i w:val="1"/>
          <w:iCs w:val="1"/>
          <w:color w:val="auto"/>
        </w:rPr>
        <w:t>Related-Party Transactions</w:t>
      </w:r>
    </w:p>
    <w:p>
      <w:pPr>
        <w:spacing w:after="0" w:line="23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During the third quarters of fiscal years 2025 and 2024, One Earth and NuGen purchased approximately $19.4 million and $22.7 million, respectively, of corn (and other supplies) from minority equity investors and board members of those affiliates. Such purchases totaled approximately $73.3 million and $81.7 million for the nine months ended October 31, 2025 and 2024, respectively. The Company had amounts payable to related parties of approximately $0.6 million and $1.4 million at October 31, 2025 and January 31, 2025, respectively.</w:t>
      </w:r>
    </w:p>
    <w:p>
      <w:pPr>
        <w:spacing w:after="0" w:line="204"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During the nine months ended October 31, 2024, $1.5 million was paid to landowners who are minority equity investors of One Earth Energy, for land easements related to the carbon sequestration project. There were no amounts paid to related parties for land easements in the three-month period ended October 31, 2024 or during fiscal year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w:t>
      </w:r>
      <w:r>
        <w:rPr>
          <w:rFonts w:ascii="Times New Roman" w:cs="Times New Roman" w:eastAsia="Times New Roman" w:hAnsi="Times New Roman"/>
          <w:sz w:val="22"/>
          <w:szCs w:val="22"/>
          <w:b w:val="1"/>
          <w:bCs w:val="1"/>
          <w:i w:val="1"/>
          <w:iCs w:val="1"/>
          <w:color w:val="auto"/>
        </w:rPr>
        <w:t>Segment Reporting</w:t>
      </w:r>
    </w:p>
    <w:p>
      <w:pPr>
        <w:spacing w:after="0" w:line="239"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has one reportable segment, ethanol and by-products. Within the ethanol and by-products segment, the Company has equity investments in three ethanol limited liability companies, two of which are majority ownership interests and are consolidated in the financial statements presented. Prior period amounts have been reclassified to conform to current segment reporting.</w:t>
      </w:r>
    </w:p>
    <w:p>
      <w:pPr>
        <w:spacing w:after="0" w:line="207"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21"/>
          <w:szCs w:val="21"/>
          <w:color w:val="auto"/>
        </w:rPr>
        <w:t>The members of the Executive Committee, consisting of the Executive Chairman of the Board and the Chief Executive Officer, are the Company’s chief operating decision maker. The chief operating decision maker uses net income generated from operating segments in determining the allocation of resources and making assessment of Company performance.</w:t>
      </w:r>
    </w:p>
    <w:p>
      <w:pPr>
        <w:spacing w:after="0" w:line="184" w:lineRule="exact"/>
        <w:rPr>
          <w:sz w:val="20"/>
          <w:szCs w:val="20"/>
          <w:color w:val="auto"/>
        </w:rPr>
      </w:pPr>
    </w:p>
    <w:p>
      <w:pPr>
        <w:ind w:right="500" w:firstLine="648"/>
        <w:spacing w:after="0" w:line="244" w:lineRule="auto"/>
        <w:rPr>
          <w:sz w:val="20"/>
          <w:szCs w:val="20"/>
          <w:color w:val="auto"/>
        </w:rPr>
      </w:pPr>
      <w:r>
        <w:rPr>
          <w:rFonts w:ascii="Times New Roman" w:cs="Times New Roman" w:eastAsia="Times New Roman" w:hAnsi="Times New Roman"/>
          <w:sz w:val="22"/>
          <w:szCs w:val="22"/>
          <w:color w:val="auto"/>
        </w:rPr>
        <w:t>In applying the criteria set forth in ASC 280, the Company determined that based on the nature of the products and production process and the expected financial results, the Company’s operations at its ethanol plants are aggregated into one reporting segment, each of which is reviewed in the same manner by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5" w:name="page26"/>
    <w:bookmarkEnd w:id="25"/>
    <w:p>
      <w:pPr>
        <w:ind w:right="100"/>
        <w:spacing w:after="0" w:line="236" w:lineRule="auto"/>
        <w:rPr>
          <w:sz w:val="20"/>
          <w:szCs w:val="20"/>
          <w:color w:val="auto"/>
        </w:rPr>
      </w:pPr>
      <w:r>
        <w:rPr>
          <w:rFonts w:ascii="Times New Roman" w:cs="Times New Roman" w:eastAsia="Times New Roman" w:hAnsi="Times New Roman"/>
          <w:sz w:val="22"/>
          <w:szCs w:val="22"/>
          <w:color w:val="auto"/>
        </w:rPr>
        <w:t>the chief operating decision maker. Aggregation into one reporting segment is appropriate based upon the similarity of economic characteristics of the operating segments, including the markets for identical revenue sources and the primary input, corn. The plants in all locations operate in a similar manner to produce ethanol and by-products. The types of customers and how the products are distributed to the customers are similar across each operating entity, consisting of a combination of rail and truck shipments. Finally, the regulatory environment is largely impacted by guidance from the federal level, impacting each operating segment the same.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measure of segment assets is reported on the balance sheet as total consolidated assets.</w:t>
      </w:r>
    </w:p>
    <w:p>
      <w:pPr>
        <w:spacing w:after="0" w:line="23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tables set forth certain financial data for the Company’s reportable segment for the three- and nine-month periods ended October 31, 2025 and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40" w:type="dxa"/>
            <w:vAlign w:val="bottom"/>
            <w:gridSpan w:val="5"/>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140" w:type="dxa"/>
            <w:vAlign w:val="bottom"/>
          </w:tcPr>
          <w:p>
            <w:pPr>
              <w:spacing w:after="0"/>
              <w:rPr>
                <w:sz w:val="22"/>
                <w:szCs w:val="22"/>
                <w:color w:val="auto"/>
              </w:rPr>
            </w:pPr>
          </w:p>
        </w:tc>
        <w:tc>
          <w:tcPr>
            <w:tcW w:w="2300" w:type="dxa"/>
            <w:vAlign w:val="bottom"/>
            <w:gridSpan w:val="4"/>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6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center"/>
              <w:ind w:right="5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October 31,</w:t>
            </w:r>
          </w:p>
        </w:tc>
        <w:tc>
          <w:tcPr>
            <w:tcW w:w="140" w:type="dxa"/>
            <w:vAlign w:val="bottom"/>
          </w:tcPr>
          <w:p>
            <w:pPr>
              <w:spacing w:after="0"/>
              <w:rPr>
                <w:sz w:val="21"/>
                <w:szCs w:val="21"/>
                <w:color w:val="auto"/>
              </w:rPr>
            </w:pPr>
          </w:p>
        </w:tc>
        <w:tc>
          <w:tcPr>
            <w:tcW w:w="2300" w:type="dxa"/>
            <w:vAlign w:val="bottom"/>
            <w:gridSpan w:val="4"/>
          </w:tcPr>
          <w:p>
            <w:pPr>
              <w:jc w:val="right"/>
              <w:ind w:right="612"/>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r>
      <w:tr>
        <w:trPr>
          <w:trHeight w:val="274"/>
        </w:trPr>
        <w:tc>
          <w:tcPr>
            <w:tcW w:w="6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43"/>
        </w:trPr>
        <w:tc>
          <w:tcPr>
            <w:tcW w:w="6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18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468,713</w:t>
            </w:r>
          </w:p>
        </w:tc>
        <w:tc>
          <w:tcPr>
            <w:tcW w:w="22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450,463</w:t>
            </w:r>
          </w:p>
        </w:tc>
        <w:tc>
          <w:tcPr>
            <w:tcW w:w="2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5"/>
              </w:rPr>
              <w:t>1,287,795</w:t>
            </w:r>
          </w:p>
        </w:tc>
        <w:tc>
          <w:tcPr>
            <w:tcW w:w="22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7"/>
              </w:rPr>
              <w:t>1,293,037</w:t>
            </w:r>
          </w:p>
        </w:tc>
      </w:tr>
      <w:tr>
        <w:trPr>
          <w:trHeight w:val="257"/>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18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(293,088)</w:t>
            </w:r>
          </w:p>
        </w:tc>
        <w:tc>
          <w:tcPr>
            <w:tcW w:w="220" w:type="dxa"/>
            <w:vAlign w:val="bottom"/>
            <w:shd w:val="clear" w:color="auto" w:fill="E5FFFF"/>
          </w:tcPr>
          <w:p>
            <w:pPr>
              <w:spacing w:after="0"/>
              <w:rPr>
                <w:sz w:val="22"/>
                <w:szCs w:val="22"/>
                <w:color w:val="auto"/>
              </w:rPr>
            </w:pPr>
          </w:p>
        </w:tc>
        <w:tc>
          <w:tcPr>
            <w:tcW w:w="180" w:type="dxa"/>
            <w:vAlign w:val="bottom"/>
            <w:tcBorders>
              <w:bottom w:val="single" w:sz="8" w:color="auto"/>
            </w:tcBorders>
            <w:shd w:val="clear" w:color="auto" w:fill="E5FFFF"/>
          </w:tcPr>
          <w:p>
            <w:pPr>
              <w:spacing w:after="0"/>
              <w:rPr>
                <w:sz w:val="22"/>
                <w:szCs w:val="22"/>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(275,586)</w:t>
            </w:r>
          </w:p>
        </w:tc>
        <w:tc>
          <w:tcPr>
            <w:tcW w:w="20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(795,267)</w:t>
            </w:r>
          </w:p>
        </w:tc>
        <w:tc>
          <w:tcPr>
            <w:tcW w:w="220" w:type="dxa"/>
            <w:vAlign w:val="bottom"/>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(808,774)</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Total consolidated net sales and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175,625</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174,877</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492,528</w:t>
            </w: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484,263</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6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18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6080" w:type="dxa"/>
            <w:vAlign w:val="bottom"/>
            <w:shd w:val="clear" w:color="auto" w:fill="E5FFFF"/>
          </w:tcPr>
          <w:p>
            <w:pPr>
              <w:ind w:left="180"/>
              <w:spacing w:after="0" w:line="243" w:lineRule="exact"/>
              <w:rPr>
                <w:sz w:val="20"/>
                <w:szCs w:val="20"/>
                <w:color w:val="auto"/>
              </w:rPr>
            </w:pPr>
            <w:r>
              <w:rPr>
                <w:rFonts w:ascii="Times New Roman" w:cs="Times New Roman" w:eastAsia="Times New Roman" w:hAnsi="Times New Roman"/>
                <w:sz w:val="22"/>
                <w:szCs w:val="22"/>
                <w:color w:val="auto"/>
              </w:rPr>
              <w:t>Cost of corn</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264,974</w:t>
            </w:r>
          </w:p>
        </w:tc>
        <w:tc>
          <w:tcPr>
            <w:tcW w:w="22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257,612</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798,721</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817,005</w:t>
            </w:r>
          </w:p>
        </w:tc>
      </w:tr>
      <w:tr>
        <w:trPr>
          <w:trHeight w:val="243"/>
        </w:trPr>
        <w:tc>
          <w:tcPr>
            <w:tcW w:w="60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Other cost of sales (1)</w:t>
            </w:r>
          </w:p>
        </w:tc>
        <w:tc>
          <w:tcPr>
            <w:tcW w:w="180" w:type="dxa"/>
            <w:vAlign w:val="bottom"/>
          </w:tcPr>
          <w:p>
            <w:pPr>
              <w:spacing w:after="0"/>
              <w:rPr>
                <w:sz w:val="21"/>
                <w:szCs w:val="21"/>
                <w:color w:val="auto"/>
              </w:rPr>
            </w:pPr>
          </w:p>
        </w:tc>
        <w:tc>
          <w:tcPr>
            <w:tcW w:w="98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109,765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106,174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338,951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314,017</w:t>
            </w:r>
          </w:p>
        </w:tc>
      </w:tr>
      <w:tr>
        <w:trPr>
          <w:trHeight w:val="257"/>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18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(235,246)</w:t>
            </w:r>
          </w:p>
        </w:tc>
        <w:tc>
          <w:tcPr>
            <w:tcW w:w="220" w:type="dxa"/>
            <w:vAlign w:val="bottom"/>
            <w:shd w:val="clear" w:color="auto" w:fill="E5FFFF"/>
          </w:tcPr>
          <w:p>
            <w:pPr>
              <w:spacing w:after="0"/>
              <w:rPr>
                <w:sz w:val="22"/>
                <w:szCs w:val="22"/>
                <w:color w:val="auto"/>
              </w:rPr>
            </w:pPr>
          </w:p>
        </w:tc>
        <w:tc>
          <w:tcPr>
            <w:tcW w:w="180" w:type="dxa"/>
            <w:vAlign w:val="bottom"/>
            <w:tcBorders>
              <w:bottom w:val="single" w:sz="8" w:color="auto"/>
            </w:tcBorders>
            <w:shd w:val="clear" w:color="auto" w:fill="E5FFFF"/>
          </w:tcPr>
          <w:p>
            <w:pPr>
              <w:spacing w:after="0"/>
              <w:rPr>
                <w:sz w:val="22"/>
                <w:szCs w:val="22"/>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(228,590)</w:t>
            </w:r>
          </w:p>
        </w:tc>
        <w:tc>
          <w:tcPr>
            <w:tcW w:w="20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(709,937)</w:t>
            </w:r>
          </w:p>
        </w:tc>
        <w:tc>
          <w:tcPr>
            <w:tcW w:w="220" w:type="dxa"/>
            <w:vAlign w:val="bottom"/>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(720,664)</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Total cost of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139,493</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135,196</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427,735</w:t>
            </w: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410,358</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6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6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8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93,974</w:t>
            </w:r>
          </w:p>
        </w:tc>
        <w:tc>
          <w:tcPr>
            <w:tcW w:w="22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86,677</w:t>
            </w:r>
          </w:p>
        </w:tc>
        <w:tc>
          <w:tcPr>
            <w:tcW w:w="2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150,123</w:t>
            </w:r>
          </w:p>
        </w:tc>
        <w:tc>
          <w:tcPr>
            <w:tcW w:w="22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162,015</w:t>
            </w:r>
          </w:p>
        </w:tc>
      </w:tr>
      <w:tr>
        <w:trPr>
          <w:trHeight w:val="257"/>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18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(57,842)</w:t>
            </w:r>
          </w:p>
        </w:tc>
        <w:tc>
          <w:tcPr>
            <w:tcW w:w="220" w:type="dxa"/>
            <w:vAlign w:val="bottom"/>
            <w:shd w:val="clear" w:color="auto" w:fill="E5FFFF"/>
          </w:tcPr>
          <w:p>
            <w:pPr>
              <w:spacing w:after="0"/>
              <w:rPr>
                <w:sz w:val="22"/>
                <w:szCs w:val="22"/>
                <w:color w:val="auto"/>
              </w:rPr>
            </w:pPr>
          </w:p>
        </w:tc>
        <w:tc>
          <w:tcPr>
            <w:tcW w:w="180" w:type="dxa"/>
            <w:vAlign w:val="bottom"/>
            <w:tcBorders>
              <w:bottom w:val="single" w:sz="8" w:color="auto"/>
            </w:tcBorders>
            <w:shd w:val="clear" w:color="auto" w:fill="E5FFFF"/>
          </w:tcPr>
          <w:p>
            <w:pPr>
              <w:spacing w:after="0"/>
              <w:rPr>
                <w:sz w:val="22"/>
                <w:szCs w:val="22"/>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(46,996)</w:t>
            </w:r>
          </w:p>
        </w:tc>
        <w:tc>
          <w:tcPr>
            <w:tcW w:w="20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(85,330)</w:t>
            </w:r>
          </w:p>
        </w:tc>
        <w:tc>
          <w:tcPr>
            <w:tcW w:w="220" w:type="dxa"/>
            <w:vAlign w:val="bottom"/>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(88,110)</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Total consolidated 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36,132</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39,681</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64,793</w:t>
            </w: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73,905</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6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6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Depreciation and amortization expense</w:t>
            </w:r>
          </w:p>
        </w:tc>
        <w:tc>
          <w:tcPr>
            <w:tcW w:w="18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11,633</w:t>
            </w:r>
          </w:p>
        </w:tc>
        <w:tc>
          <w:tcPr>
            <w:tcW w:w="22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9,883</w:t>
            </w:r>
          </w:p>
        </w:tc>
        <w:tc>
          <w:tcPr>
            <w:tcW w:w="2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33,596</w:t>
            </w:r>
          </w:p>
        </w:tc>
        <w:tc>
          <w:tcPr>
            <w:tcW w:w="22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39,393</w:t>
            </w:r>
          </w:p>
        </w:tc>
      </w:tr>
      <w:tr>
        <w:trPr>
          <w:trHeight w:val="256"/>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18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(5,591)</w:t>
            </w:r>
          </w:p>
        </w:tc>
        <w:tc>
          <w:tcPr>
            <w:tcW w:w="220" w:type="dxa"/>
            <w:vAlign w:val="bottom"/>
            <w:shd w:val="clear" w:color="auto" w:fill="E5FFFF"/>
          </w:tcPr>
          <w:p>
            <w:pPr>
              <w:spacing w:after="0"/>
              <w:rPr>
                <w:sz w:val="22"/>
                <w:szCs w:val="22"/>
                <w:color w:val="auto"/>
              </w:rPr>
            </w:pPr>
          </w:p>
        </w:tc>
        <w:tc>
          <w:tcPr>
            <w:tcW w:w="180" w:type="dxa"/>
            <w:vAlign w:val="bottom"/>
            <w:tcBorders>
              <w:bottom w:val="single" w:sz="8" w:color="auto"/>
            </w:tcBorders>
            <w:shd w:val="clear" w:color="auto" w:fill="E5FFFF"/>
          </w:tcPr>
          <w:p>
            <w:pPr>
              <w:spacing w:after="0"/>
              <w:rPr>
                <w:sz w:val="22"/>
                <w:szCs w:val="22"/>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(5,235)</w:t>
            </w:r>
          </w:p>
        </w:tc>
        <w:tc>
          <w:tcPr>
            <w:tcW w:w="20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(16,781)</w:t>
            </w:r>
          </w:p>
        </w:tc>
        <w:tc>
          <w:tcPr>
            <w:tcW w:w="220" w:type="dxa"/>
            <w:vAlign w:val="bottom"/>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(22,768)</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Total consolidated depreciation and amortization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6,042</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4,648</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16,815</w:t>
            </w: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16,625</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6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6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Income before taxes</w:t>
            </w:r>
          </w:p>
        </w:tc>
        <w:tc>
          <w:tcPr>
            <w:tcW w:w="18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89,846</w:t>
            </w:r>
          </w:p>
        </w:tc>
        <w:tc>
          <w:tcPr>
            <w:tcW w:w="22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84,406</w:t>
            </w:r>
          </w:p>
        </w:tc>
        <w:tc>
          <w:tcPr>
            <w:tcW w:w="2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136,625</w:t>
            </w:r>
          </w:p>
        </w:tc>
        <w:tc>
          <w:tcPr>
            <w:tcW w:w="22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159,091</w:t>
            </w:r>
          </w:p>
        </w:tc>
      </w:tr>
      <w:tr>
        <w:trPr>
          <w:trHeight w:val="256"/>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18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(54,389)</w:t>
            </w:r>
          </w:p>
        </w:tc>
        <w:tc>
          <w:tcPr>
            <w:tcW w:w="220" w:type="dxa"/>
            <w:vAlign w:val="bottom"/>
            <w:shd w:val="clear" w:color="auto" w:fill="E5FFFF"/>
          </w:tcPr>
          <w:p>
            <w:pPr>
              <w:spacing w:after="0"/>
              <w:rPr>
                <w:sz w:val="22"/>
                <w:szCs w:val="22"/>
                <w:color w:val="auto"/>
              </w:rPr>
            </w:pPr>
          </w:p>
        </w:tc>
        <w:tc>
          <w:tcPr>
            <w:tcW w:w="180" w:type="dxa"/>
            <w:vAlign w:val="bottom"/>
            <w:tcBorders>
              <w:bottom w:val="single" w:sz="8" w:color="auto"/>
            </w:tcBorders>
            <w:shd w:val="clear" w:color="auto" w:fill="E5FFFF"/>
          </w:tcPr>
          <w:p>
            <w:pPr>
              <w:spacing w:after="0"/>
              <w:rPr>
                <w:sz w:val="22"/>
                <w:szCs w:val="22"/>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(44,901)</w:t>
            </w:r>
          </w:p>
        </w:tc>
        <w:tc>
          <w:tcPr>
            <w:tcW w:w="20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(75,445)</w:t>
            </w:r>
          </w:p>
        </w:tc>
        <w:tc>
          <w:tcPr>
            <w:tcW w:w="220" w:type="dxa"/>
            <w:vAlign w:val="bottom"/>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(84,127)</w:t>
            </w:r>
          </w:p>
        </w:tc>
      </w:tr>
      <w:tr>
        <w:trPr>
          <w:trHeight w:val="237"/>
        </w:trPr>
        <w:tc>
          <w:tcPr>
            <w:tcW w:w="6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consolidated income before income taxes</w:t>
            </w:r>
          </w:p>
        </w:tc>
        <w:tc>
          <w:tcPr>
            <w:tcW w:w="180" w:type="dxa"/>
            <w:vAlign w:val="bottom"/>
          </w:tcPr>
          <w:p>
            <w:pPr>
              <w:spacing w:after="0"/>
              <w:rPr>
                <w:sz w:val="20"/>
                <w:szCs w:val="20"/>
                <w:color w:val="auto"/>
              </w:rPr>
            </w:pPr>
          </w:p>
        </w:tc>
        <w:tc>
          <w:tcPr>
            <w:tcW w:w="980" w:type="dxa"/>
            <w:vAlign w:val="bottom"/>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35,457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39,505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61,180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74,964</w:t>
            </w:r>
          </w:p>
        </w:tc>
      </w:tr>
      <w:tr>
        <w:trPr>
          <w:trHeight w:val="257"/>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18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(7,988)</w:t>
            </w:r>
          </w:p>
        </w:tc>
        <w:tc>
          <w:tcPr>
            <w:tcW w:w="220" w:type="dxa"/>
            <w:vAlign w:val="bottom"/>
            <w:shd w:val="clear" w:color="auto" w:fill="E5FFFF"/>
          </w:tcPr>
          <w:p>
            <w:pPr>
              <w:spacing w:after="0"/>
              <w:rPr>
                <w:sz w:val="22"/>
                <w:szCs w:val="22"/>
                <w:color w:val="auto"/>
              </w:rPr>
            </w:pPr>
          </w:p>
        </w:tc>
        <w:tc>
          <w:tcPr>
            <w:tcW w:w="180" w:type="dxa"/>
            <w:vAlign w:val="bottom"/>
            <w:tcBorders>
              <w:bottom w:val="single" w:sz="8" w:color="auto"/>
            </w:tcBorders>
            <w:shd w:val="clear" w:color="auto" w:fill="E5FFFF"/>
          </w:tcPr>
          <w:p>
            <w:pPr>
              <w:spacing w:after="0"/>
              <w:rPr>
                <w:sz w:val="22"/>
                <w:szCs w:val="22"/>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(9,402)</w:t>
            </w:r>
          </w:p>
        </w:tc>
        <w:tc>
          <w:tcPr>
            <w:tcW w:w="20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(13,711)</w:t>
            </w:r>
          </w:p>
        </w:tc>
        <w:tc>
          <w:tcPr>
            <w:tcW w:w="220" w:type="dxa"/>
            <w:vAlign w:val="bottom"/>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(17,581)</w:t>
            </w:r>
          </w:p>
        </w:tc>
      </w:tr>
      <w:tr>
        <w:trPr>
          <w:trHeight w:val="27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Total consolidated 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27,469</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30,103</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47,469</w:t>
            </w: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57,383</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660" w:right="240" w:hanging="328"/>
        <w:spacing w:after="0" w:line="244"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within “Other cost of sales” consist primarily of depreciation, other raw materials, third-party freight charges, purchasing and receiving costs, inspection costs, other distribution expenses, warehousing costs, plant repair and maintenance costs, production labor and related payroll costs, and general facility overhead charges.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Ethanol and By-Products</w:t>
      </w:r>
    </w:p>
    <w:p>
      <w:pPr>
        <w:spacing w:after="0" w:line="23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At October 31, 2025, we had investments in three ethanol limited liability companies, in two of which we have a majority ownership interest. The following table is a summary of ethanol entity ownership interests at October 31, 2025:</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420" w:type="dxa"/>
            <w:vAlign w:val="bottom"/>
            <w:tcBorders>
              <w:top w:val="single" w:sz="8" w:color="auto"/>
              <w:left w:val="single" w:sz="8" w:color="auto"/>
              <w:right w:val="single" w:sz="8" w:color="auto"/>
            </w:tcBorders>
          </w:tcPr>
          <w:p>
            <w:pPr>
              <w:spacing w:after="0"/>
              <w:rPr>
                <w:sz w:val="19"/>
                <w:szCs w:val="19"/>
                <w:color w:val="auto"/>
              </w:rPr>
            </w:pPr>
          </w:p>
        </w:tc>
        <w:tc>
          <w:tcPr>
            <w:tcW w:w="2920" w:type="dxa"/>
            <w:vAlign w:val="bottom"/>
            <w:tcBorders>
              <w:top w:val="single" w:sz="8" w:color="auto"/>
              <w:right w:val="single" w:sz="8" w:color="auto"/>
            </w:tcBorders>
          </w:tcPr>
          <w:p>
            <w:pPr>
              <w:spacing w:after="0"/>
              <w:rPr>
                <w:sz w:val="19"/>
                <w:szCs w:val="19"/>
                <w:color w:val="auto"/>
              </w:rPr>
            </w:pPr>
          </w:p>
        </w:tc>
        <w:tc>
          <w:tcPr>
            <w:tcW w:w="2900" w:type="dxa"/>
            <w:vAlign w:val="bottom"/>
            <w:tcBorders>
              <w:top w:val="single" w:sz="8" w:color="auto"/>
              <w:right w:val="single" w:sz="8" w:color="auto"/>
            </w:tcBorders>
          </w:tcPr>
          <w:p>
            <w:pPr>
              <w:jc w:val="right"/>
              <w:ind w:right="652"/>
              <w:spacing w:after="0" w:line="225" w:lineRule="exact"/>
              <w:rPr>
                <w:sz w:val="20"/>
                <w:szCs w:val="20"/>
                <w:color w:val="auto"/>
              </w:rPr>
            </w:pPr>
            <w:r>
              <w:rPr>
                <w:rFonts w:ascii="Times New Roman" w:cs="Times New Roman" w:eastAsia="Times New Roman" w:hAnsi="Times New Roman"/>
                <w:sz w:val="22"/>
                <w:szCs w:val="22"/>
                <w:b w:val="1"/>
                <w:bCs w:val="1"/>
                <w:color w:val="auto"/>
              </w:rPr>
              <w:t>REX’s Current</w:t>
            </w:r>
          </w:p>
        </w:tc>
      </w:tr>
      <w:tr>
        <w:trPr>
          <w:trHeight w:val="274"/>
        </w:trPr>
        <w:tc>
          <w:tcPr>
            <w:tcW w:w="54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920" w:type="dxa"/>
            <w:vAlign w:val="bottom"/>
            <w:tcBorders>
              <w:bottom w:val="single" w:sz="8" w:color="auto"/>
              <w:right w:val="single" w:sz="8" w:color="auto"/>
            </w:tcBorders>
          </w:tcPr>
          <w:p>
            <w:pPr>
              <w:jc w:val="right"/>
              <w:ind w:right="972"/>
              <w:spacing w:after="0"/>
              <w:rPr>
                <w:sz w:val="20"/>
                <w:szCs w:val="20"/>
                <w:color w:val="auto"/>
              </w:rPr>
            </w:pPr>
            <w:r>
              <w:rPr>
                <w:rFonts w:ascii="Times New Roman" w:cs="Times New Roman" w:eastAsia="Times New Roman" w:hAnsi="Times New Roman"/>
                <w:sz w:val="22"/>
                <w:szCs w:val="22"/>
                <w:b w:val="1"/>
                <w:bCs w:val="1"/>
                <w:color w:val="auto"/>
              </w:rPr>
              <w:t>Location</w:t>
            </w:r>
          </w:p>
        </w:tc>
        <w:tc>
          <w:tcPr>
            <w:tcW w:w="2900" w:type="dxa"/>
            <w:vAlign w:val="bottom"/>
            <w:tcBorders>
              <w:bottom w:val="single" w:sz="8" w:color="auto"/>
              <w:right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Ownership Interest</w:t>
            </w:r>
          </w:p>
        </w:tc>
      </w:tr>
      <w:tr>
        <w:trPr>
          <w:trHeight w:val="237"/>
        </w:trPr>
        <w:tc>
          <w:tcPr>
            <w:tcW w:w="54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2920" w:type="dxa"/>
            <w:vAlign w:val="bottom"/>
            <w:tcBorders>
              <w:bottom w:val="single" w:sz="8" w:color="auto"/>
              <w:right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Gibson City, IL</w:t>
            </w:r>
          </w:p>
        </w:tc>
        <w:tc>
          <w:tcPr>
            <w:tcW w:w="29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76.1%</w:t>
            </w:r>
          </w:p>
        </w:tc>
      </w:tr>
      <w:tr>
        <w:trPr>
          <w:trHeight w:val="237"/>
        </w:trPr>
        <w:tc>
          <w:tcPr>
            <w:tcW w:w="54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2920" w:type="dxa"/>
            <w:vAlign w:val="bottom"/>
            <w:tcBorders>
              <w:bottom w:val="single" w:sz="8" w:color="auto"/>
              <w:right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rPr>
              <w:t>Marion, SD</w:t>
            </w:r>
          </w:p>
        </w:tc>
        <w:tc>
          <w:tcPr>
            <w:tcW w:w="29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99.7%</w:t>
            </w:r>
          </w:p>
        </w:tc>
      </w:tr>
      <w:tr>
        <w:trPr>
          <w:trHeight w:val="209"/>
        </w:trPr>
        <w:tc>
          <w:tcPr>
            <w:tcW w:w="54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Big River Resources, LLC:</w:t>
            </w:r>
          </w:p>
        </w:tc>
        <w:tc>
          <w:tcPr>
            <w:tcW w:w="292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r>
      <w:tr>
        <w:trPr>
          <w:trHeight w:val="243"/>
        </w:trPr>
        <w:tc>
          <w:tcPr>
            <w:tcW w:w="542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2920" w:type="dxa"/>
            <w:vAlign w:val="bottom"/>
            <w:tcBorders>
              <w:right w:val="single" w:sz="8" w:color="auto"/>
            </w:tcBorders>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 Burlington, IA</w:t>
            </w:r>
          </w:p>
        </w:tc>
        <w:tc>
          <w:tcPr>
            <w:tcW w:w="290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542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2920" w:type="dxa"/>
            <w:vAlign w:val="bottom"/>
            <w:tcBorders>
              <w:right w:val="single" w:sz="8" w:color="auto"/>
            </w:tcBorders>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Galva, IL</w:t>
            </w:r>
          </w:p>
        </w:tc>
        <w:tc>
          <w:tcPr>
            <w:tcW w:w="290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542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2920" w:type="dxa"/>
            <w:vAlign w:val="bottom"/>
            <w:tcBorders>
              <w:right w:val="single" w:sz="8" w:color="auto"/>
            </w:tcBorders>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Dyersville, IA</w:t>
            </w:r>
          </w:p>
        </w:tc>
        <w:tc>
          <w:tcPr>
            <w:tcW w:w="290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70"/>
        </w:trPr>
        <w:tc>
          <w:tcPr>
            <w:tcW w:w="542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Big River Resources Boyceville, LLC</w:t>
            </w:r>
          </w:p>
        </w:tc>
        <w:tc>
          <w:tcPr>
            <w:tcW w:w="292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Boyceville, WI</w:t>
            </w:r>
          </w:p>
        </w:tc>
        <w:tc>
          <w:tcPr>
            <w:tcW w:w="29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10.3%</w:t>
            </w:r>
          </w:p>
        </w:tc>
      </w:tr>
    </w:tbl>
    <w:p>
      <w:pPr>
        <w:spacing w:after="0" w:line="216"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22"/>
          <w:szCs w:val="22"/>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tariffs,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208"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1"/>
          <w:szCs w:val="21"/>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7" w:name="page28"/>
    <w:bookmarkEnd w:id="27"/>
    <w:p>
      <w:pPr>
        <w:ind w:right="20"/>
        <w:spacing w:after="0" w:line="238" w:lineRule="auto"/>
        <w:rPr>
          <w:sz w:val="20"/>
          <w:szCs w:val="20"/>
          <w:color w:val="auto"/>
        </w:rPr>
      </w:pPr>
      <w:r>
        <w:rPr>
          <w:rFonts w:ascii="Times New Roman" w:cs="Times New Roman" w:eastAsia="Times New Roman" w:hAnsi="Times New Roman"/>
          <w:sz w:val="22"/>
          <w:szCs w:val="22"/>
          <w:color w:val="auto"/>
        </w:rPr>
        <w:t>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Earth Energy, LLC Carbon Sequestration and Plant Expansion</w:t>
      </w:r>
    </w:p>
    <w:p>
      <w:pPr>
        <w:spacing w:after="0" w:line="237" w:lineRule="exact"/>
        <w:rPr>
          <w:sz w:val="20"/>
          <w:szCs w:val="20"/>
          <w:color w:val="auto"/>
        </w:rPr>
      </w:pPr>
    </w:p>
    <w:p>
      <w:pPr>
        <w:ind w:right="180" w:firstLine="648"/>
        <w:spacing w:after="0" w:line="233" w:lineRule="auto"/>
        <w:rPr>
          <w:sz w:val="20"/>
          <w:szCs w:val="20"/>
          <w:color w:val="auto"/>
        </w:rPr>
      </w:pPr>
      <w:r>
        <w:rPr>
          <w:rFonts w:ascii="Times New Roman" w:cs="Times New Roman" w:eastAsia="Times New Roman" w:hAnsi="Times New Roman"/>
          <w:sz w:val="21"/>
          <w:szCs w:val="21"/>
          <w:color w:val="auto"/>
        </w:rPr>
        <w:t>One Earth Sequestration, LLC, a wholly owned subsidiary of One Earth Energy, LLC, is in the developmental stage of a carbon sequestration project near the One Earth ethanol plant. In October 2022, we applied to the EPA for a Class VI injection well permit for three wells, and we continue to provide information to the EPA upon request during the technical review of our application. We currently expect the EPA to prepare a draft permit by February 2026 and make a final permit decision by June 2026, according to the EPA’s Class VI Permit Tracker Dashboard on their website. We also must obtain certain state and county permits for the sequestration site and pipeline. We have completed the construction of the capture and compression facility to capture, dehydrate, and compress carbon dioxide from the One Earth ethanol plant to a state suitable for sequestration. Testing has not yet been completed and we cannot begin construction of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 between the One Earth ethanol plant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sequestration site or a sequestration well until further permits and approvals are received.</w:t>
      </w:r>
    </w:p>
    <w:p>
      <w:pPr>
        <w:spacing w:after="0" w:line="59" w:lineRule="exact"/>
        <w:rPr>
          <w:sz w:val="20"/>
          <w:szCs w:val="20"/>
          <w:color w:val="auto"/>
        </w:rPr>
      </w:pPr>
    </w:p>
    <w:p>
      <w:pPr>
        <w:ind w:right="260" w:firstLine="648"/>
        <w:spacing w:after="0" w:line="238" w:lineRule="auto"/>
        <w:rPr>
          <w:sz w:val="20"/>
          <w:szCs w:val="20"/>
          <w:color w:val="auto"/>
        </w:rPr>
      </w:pPr>
      <w:r>
        <w:rPr>
          <w:rFonts w:ascii="Times New Roman" w:cs="Times New Roman" w:eastAsia="Times New Roman" w:hAnsi="Times New Roman"/>
          <w:sz w:val="21"/>
          <w:szCs w:val="21"/>
          <w:color w:val="auto"/>
        </w:rPr>
        <w:t>We have secured land easements from all necessary landowners to allow the construction of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 on their land from the ethanol plant to the first two injection wells. We also have landowner subsurface easements for the first injection well with capacity sufficient to allow for carbon sequestration for our One Earth plant for an estimated 15 years. The Illinois General Assembly passed the Safety and Aid for the Environment in Carbon Capture and Sequestration Act (SB 1289), which was signed by the Governor in July 2024. The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pipelines. Further, the</w:t>
      </w:r>
    </w:p>
    <w:p>
      <w:pPr>
        <w:spacing w:after="0" w:line="7" w:lineRule="exact"/>
        <w:rPr>
          <w:sz w:val="20"/>
          <w:szCs w:val="20"/>
          <w:color w:val="auto"/>
        </w:rPr>
      </w:pPr>
    </w:p>
    <w:p>
      <w:pPr>
        <w:ind w:right="240"/>
        <w:spacing w:after="0" w:line="193" w:lineRule="auto"/>
        <w:rPr>
          <w:sz w:val="20"/>
          <w:szCs w:val="20"/>
          <w:color w:val="auto"/>
        </w:rPr>
      </w:pPr>
      <w:r>
        <w:rPr>
          <w:rFonts w:ascii="Times New Roman" w:cs="Times New Roman" w:eastAsia="Times New Roman" w:hAnsi="Times New Roman"/>
          <w:sz w:val="22"/>
          <w:szCs w:val="22"/>
          <w:color w:val="auto"/>
        </w:rPr>
        <w:t>legislation imposes a moratorium on the issuance of new certificates of authority for the construction of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pipelines until the earlier of the date new federal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pipeline safety standards are finalized by the federal PHMSA or, subject to certain other conditions, July 1, 2026.</w:t>
      </w:r>
    </w:p>
    <w:p>
      <w:pPr>
        <w:spacing w:after="0" w:line="205"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Illinois Senate Bill 1723 was signed into law by the Governor on August 1, 2025. SB 1723 prohibits carbon sequestration activities over, under, or through the aquifer as defined by the EPA. The proposed injection wells for our carbon sequestration project are located outside of these areas.</w:t>
      </w:r>
    </w:p>
    <w:p>
      <w:pPr>
        <w:spacing w:after="0" w:line="20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Although we have made meaningful progress and significant investments in the carbon sequestration project at One Earth, we continue to work with the various government agencies involved to obtain all required permits and approvals, with no assurance of the ultimate success or timing of the project. Also see the discussion under “Trends and Uncertainties” of certain recently proposed legislation that, if enacted, could impact our carbon sequestration project.</w:t>
      </w:r>
    </w:p>
    <w:p>
      <w:pPr>
        <w:spacing w:after="0" w:line="20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We are also expanding the One Earth ethanol plant. We received a construction permit from the EPA to increase production from 150 million gallons of ethanol per year to 175 million gallons of ethanol per year. Once we achieve that level of production, we intend to apply for another permit to increase production to 200 million gallons per year.</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8" w:name="page29"/>
    <w:bookmarkEnd w:id="28"/>
    <w:p>
      <w:pPr>
        <w:ind w:right="20" w:firstLine="648"/>
        <w:spacing w:after="0" w:line="246" w:lineRule="auto"/>
        <w:rPr>
          <w:sz w:val="20"/>
          <w:szCs w:val="20"/>
          <w:color w:val="auto"/>
        </w:rPr>
      </w:pPr>
      <w:r>
        <w:rPr>
          <w:rFonts w:ascii="Times New Roman" w:cs="Times New Roman" w:eastAsia="Times New Roman" w:hAnsi="Times New Roman"/>
          <w:sz w:val="21"/>
          <w:szCs w:val="21"/>
          <w:color w:val="auto"/>
        </w:rPr>
        <w:t>We continue to work to identify ways to reduce our CI score at the One Earth plant with the intention of maximizing tax credits available under the IRA. The IRA created a new Clean Fuel Production Credit under Section 45Z, originally available for calendar years 2025 – 2027 which, based on proposed rulemaking by the United States Department of Treasury, will establish a tax credit that utilizes a sliding scale where credits can be earned incrementally between $0.02 and $0.20, or $0.10 and $1.00 if prevailing wage requirements are met, per gallon of non-SAF fuels based on an ethanol plant’s GHG reduction below a 50 CI score threshold, with the first two or ten cents earned upon achieving a CI score below 47.5, to incentivize further increases in plant efficiencies within the industry. In July 2025, Congress passed the OBBBA, which was subsequently signed into law by the President. The law extended the time period which 45Z credits can be claimed by two years, through December 31, 2029. The U.S. Department of the Treasury has not yet issued final rules on qualification for 45Z tax credits.</w:t>
      </w:r>
    </w:p>
    <w:p>
      <w:pPr>
        <w:spacing w:after="0" w:line="202" w:lineRule="exact"/>
        <w:rPr>
          <w:sz w:val="20"/>
          <w:szCs w:val="20"/>
          <w:color w:val="auto"/>
        </w:rPr>
      </w:pPr>
    </w:p>
    <w:p>
      <w:pPr>
        <w:ind w:right="300" w:firstLine="648"/>
        <w:spacing w:after="0" w:line="235" w:lineRule="auto"/>
        <w:rPr>
          <w:sz w:val="20"/>
          <w:szCs w:val="20"/>
          <w:color w:val="auto"/>
        </w:rPr>
      </w:pPr>
      <w:r>
        <w:rPr>
          <w:rFonts w:ascii="Times New Roman" w:cs="Times New Roman" w:eastAsia="Times New Roman" w:hAnsi="Times New Roman"/>
          <w:sz w:val="22"/>
          <w:szCs w:val="22"/>
          <w:color w:val="auto"/>
        </w:rPr>
        <w:t>We currently budget capital expenditures for both the expansion and sequestration projects at One Earth to be approximately $220 million to $230 million, subject to further refinement as we move forward. We plan to pay for all expenditures from available cash. As of October 31, 2025, we had spent $58.1 million since inception toward the carbon sequestration project. If the carbon sequestration project is successful, we believe we will qualify for tax credits under section 45Q, based on tons of carbon sequestered, and section 45Z, based on gallons of ethanol produced, as outlined in the IRA and OBBBA. Companies may elect either the 45Q credit or the 45Z credit in periods in which both tax credits are available. As of October 31, 2025, we had spent $97.7 million since inception and were contractually committed to spend an additional $17.0 million toward plant capacity expansion and ongoing efforts to reduce our CI scoring at One Earth.</w:t>
      </w:r>
    </w:p>
    <w:p>
      <w:pPr>
        <w:spacing w:after="0" w:line="205"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21"/>
          <w:szCs w:val="21"/>
          <w:color w:val="auto"/>
        </w:rPr>
        <w:t>In May 2023, NuGen, our majority owned ethanol plant in Marion, South Dakota, signed an agreement to be part of Summit Carbon Solutions’ carbon capture and storage pipeline. Should Summit Carbon Solutions be able to obtain all necessary permits and approvals, the agreement would allow NuGen to share in the economic benefits of tax credits through the sale of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output of its ethanol production facility for sequestration, as well as to reduce its net carbon emissions. In March 2025,</w:t>
      </w:r>
    </w:p>
    <w:p>
      <w:pPr>
        <w:spacing w:after="0" w:line="4" w:lineRule="exact"/>
        <w:rPr>
          <w:sz w:val="20"/>
          <w:szCs w:val="20"/>
          <w:color w:val="auto"/>
        </w:rPr>
      </w:pPr>
    </w:p>
    <w:p>
      <w:pPr>
        <w:ind w:right="180"/>
        <w:spacing w:after="0" w:line="203" w:lineRule="auto"/>
        <w:rPr>
          <w:sz w:val="20"/>
          <w:szCs w:val="20"/>
          <w:color w:val="auto"/>
        </w:rPr>
      </w:pPr>
      <w:r>
        <w:rPr>
          <w:rFonts w:ascii="Times New Roman" w:cs="Times New Roman" w:eastAsia="Times New Roman" w:hAnsi="Times New Roman"/>
          <w:sz w:val="22"/>
          <w:szCs w:val="22"/>
          <w:color w:val="auto"/>
        </w:rPr>
        <w:t>South Dakota signed a bill into law that bans the use of eminent domain in connection with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pipelines. This act could make the sequestration project for the NuGen facility more difficult to complete.</w:t>
      </w:r>
    </w:p>
    <w:p>
      <w:pPr>
        <w:spacing w:after="0" w:line="205"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We plan to seek and evaluate various investment opportunities, including ethanol and/or energy related, carbon sequestration, agricultural or other ventures we believe fit our investment criteria. We can make no assurances that we will be successful in our efforts to find such opportunities.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3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 2021 and subsequently sold the facility. The approximately $58.2 million in federal production tax credits received through the ownership of this facility remain under IRS audit. We have received a Notice of Proposed Adjustments from the IRS that they intend to deny these tax</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credits. We intend to vigorously defend these credits.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During the nine months ended October 31, 2025, we did not change any of our critical accounting policies as disclosed in our 2024 Annual Report on Form 10-K as filed with the Securities and Exchange Commission on March 28,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3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2025” means the period February 1, 2025 to January 31, 2026. The Company includes the results of operations of One Earth in its Consolidated Statements of Operations on a delayed basis of one month as One Earth has a fiscal year end of December 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3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Renewable Fuel Standard II, established in October 2010, has been an important factor in the growth of ethanol usage in the United States.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fewer than 75,000 barrels of oil per day can petition the EPA for a waiver of their requirement to submit RINs. The EPA, through consultation with the United States Department of Energy and the USDA, can grant the refiner a full or partial waiver, or deny the waiver. The EPA issued 88 refinery exemptions for 2016-2018 compliance years, undercutting the statutory renewable fuel volumes by a total of 4.3 billion gallons. The EPA did not grant any small refinery waivers for 2019-2022. There have been multiple ongoing legal challenges to how the EPA has handled the small refinery waivers. In July 2024, the U.S. Court of Appeals for the District of Columbia Circuit vacated many of the EPA’s 2022 SRE denials. As a result of this Court ruling, the EPA voluntarily moved to rescind the agency’s 2023 denial of 26 SREs. On August 22, 2025, the EPA ruled on much of the backlog of SREs, issuing 63 full exemptions, 77 partial exemptions of 50%, 28 denials and 7 ruled as ineligible. On November 7, 2025 the EPA issued two 100% waivers and 12 50% waivers. These and additional SREs could lead to decreased RIN values and ethanol pricing. As of November 20, 2025, there were 17 SRE petitions pending from compliance years 2023 - 2025. The total exemptions amount to approximately 2.2 billion gallon credits from compliance years 2023 - 2025. The EPA is currently working on determining how to possibly reallocate credits exempted for 2023 and later years. In addition, the EPA laid out its new approach to ruling on SRE petitions. The agency said it would utilize the Department of Energy’s matrix for determining disproportionate harm unless the EPA’s “consideration of other economic factors, including refinery-specific information, compels the Agency to depart from that rebuttable presumption.” It also stated if the small refiner has already demonstrated compliance by retiring RINs it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would return those RINs.</w:t>
      </w:r>
    </w:p>
    <w:p>
      <w:pPr>
        <w:spacing w:after="0" w:line="23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The EPA has issued RVOs for calendar years 2023-2025. The volumes from conventional biofuels (which includes corn-based ethanol) were 15.0 billion gallons for 2023 through 2025. Additionally, in 2023, the EPA restored 250 million gallons previously waived. In June 2025, the EPA issued proposed total RVOs for 2026 and 2027 of 15.0 billion gallons of conventional ethanol for each year.</w:t>
      </w:r>
    </w:p>
    <w:p>
      <w:pPr>
        <w:spacing w:after="0" w:line="207" w:lineRule="exact"/>
        <w:rPr>
          <w:sz w:val="20"/>
          <w:szCs w:val="20"/>
          <w:color w:val="auto"/>
        </w:rPr>
      </w:pPr>
    </w:p>
    <w:p>
      <w:pPr>
        <w:jc w:val="both"/>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EPA issued emergency waivers allowing the sale of E-15 gasoline for the 2025 summer months. This is the fourth consecutive year for these emergency waivers. The EPA has not granted E-15 the same Reid vapor pressure waiver as E-10, so absent the emergency waivers, E-15 may not be sold in most states from June 1 to September 15.</w:t>
      </w:r>
    </w:p>
    <w:p>
      <w:pPr>
        <w:spacing w:after="0" w:line="200"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22"/>
          <w:szCs w:val="22"/>
          <w:color w:val="auto"/>
        </w:rPr>
        <w:t>The IRA, signed into law on August 16, 2022, created a new Clean Fuel Production Credit, section 45Z, originally available for years 2025 to 2027. Based on proposed rulemaking by the United States Department of Treasury, the Clean Fuel Production Credit will be established utilizing a sliding scale where tax credits may be earned incrementally between $0.02 and $0.20, or $0.10 and $1.00 if prevailing wage requirements are met, per gallon of non-SAF fuels based on a plant’s GHG reduction below a 50 CI score threshold, with the first two or ten cents earned upon achieving a CI score below 47.5. The IRA also raises the carbon capture tax credit from $50 per metric ton to $85 per metric ton, under section 45Q. Companies may elect either the 45Q credit or the 45Z credit in periods in which both tax credits are available.</w:t>
      </w:r>
    </w:p>
    <w:p>
      <w:pPr>
        <w:spacing w:after="0" w:line="355" w:lineRule="exact"/>
        <w:rPr>
          <w:sz w:val="20"/>
          <w:szCs w:val="20"/>
          <w:color w:val="auto"/>
        </w:rPr>
      </w:pPr>
    </w:p>
    <w:p>
      <w:pPr>
        <w:ind w:firstLine="648"/>
        <w:spacing w:after="0" w:line="223" w:lineRule="auto"/>
        <w:rPr>
          <w:sz w:val="20"/>
          <w:szCs w:val="20"/>
          <w:color w:val="auto"/>
        </w:rPr>
      </w:pPr>
      <w:r>
        <w:rPr>
          <w:rFonts w:ascii="Times New Roman" w:cs="Times New Roman" w:eastAsia="Times New Roman" w:hAnsi="Times New Roman"/>
          <w:sz w:val="22"/>
          <w:szCs w:val="22"/>
          <w:color w:val="auto"/>
        </w:rPr>
        <w:t>The OBBBA introduced major revisions to clean energy tax credits. Key provisions include extending the 45Z credit through 2029, removing the indirect land-use change penalty for crop-based feedstocks, limiting eligibility to feedstocks under the USMCA, imposing FEOC restrictions, and prohibiting negative emissions rates except from animal manure. It also modified the language for 45Q tax credits for facilities placed in service after the bill enactment but maintained the $85 per ton tax credit if the prevailing wage and apprenticeship requirements are met. 45Q credits are available for 12 years from the time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injection begins.</w:t>
      </w:r>
    </w:p>
    <w:p>
      <w:pPr>
        <w:spacing w:after="0" w:line="20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Additionally, see “One Earth Energy, LLC Carbon Sequestration and Plant Expansion” above for a discussion of certain uncertainties associated with our Illinois carbon sequestration and plant expansion projects.</w:t>
      </w:r>
    </w:p>
    <w:p>
      <w:pPr>
        <w:spacing w:after="0" w:line="18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and subsequently sold the facility. The approximately $58.2 million in federal production tax credits received through ownership of this facility remain under IRS audit. We have received a Notice of Proposed Adjustments from the IRS that they have denied these tax credits. We intend to vigorously defend these credits.</w:t>
      </w:r>
    </w:p>
    <w:p>
      <w:pPr>
        <w:spacing w:after="0" w:line="20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The Company claimed research and experimentation tax credits for tax years 2014 – 2022 totaling $24.5 million. These credits have been a focus of the ongoing IRS audit, in which the IRS has notified the Company the credits will be denied at audit. We plan to continue vigorously defending these credits in appeals.</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31" w:name="page32"/>
    <w:bookmarkEnd w:id="31"/>
    <w:p>
      <w:pPr>
        <w:ind w:right="100" w:firstLine="648"/>
        <w:spacing w:after="0" w:line="248" w:lineRule="auto"/>
        <w:rPr>
          <w:sz w:val="20"/>
          <w:szCs w:val="20"/>
          <w:color w:val="auto"/>
        </w:rPr>
      </w:pPr>
      <w:r>
        <w:rPr>
          <w:rFonts w:ascii="Times New Roman" w:cs="Times New Roman" w:eastAsia="Times New Roman" w:hAnsi="Times New Roman"/>
          <w:sz w:val="21"/>
          <w:szCs w:val="21"/>
          <w:color w:val="auto"/>
        </w:rPr>
        <w:t>The United States exported an estimated 1.9 billion gallons of ethanol in 2024, up from approximately 1.4 and 1.3 billion gallons in 2023 and 2022, respectively. Through August 2025, the United States exports increased approximately 14% compared to 2024. In 2024 and 2023, an estimated 12.2 and 10.8 million metric tons, respectively, of distillers grains were exported from the United States, which represented approximately 37% and 34% in 2024 and 2023, respectively, of U.S production. Through August 2025, distiller grain exports declined by approximately 4% on the calendar year. There has been much discussion around proposed and recently enacted tariffs by the United States and counter-tariffs and other trade restrictions involving countries which have been large purchasers from our industry in the United States, which could affect future demand for these products.</w:t>
      </w:r>
    </w:p>
    <w:p>
      <w:pPr>
        <w:spacing w:after="0" w:line="197" w:lineRule="exact"/>
        <w:rPr>
          <w:sz w:val="20"/>
          <w:szCs w:val="20"/>
          <w:color w:val="auto"/>
        </w:rPr>
      </w:pPr>
    </w:p>
    <w:p>
      <w:pPr>
        <w:jc w:val="both"/>
        <w:ind w:right="480" w:firstLine="648"/>
        <w:spacing w:after="0" w:line="244" w:lineRule="auto"/>
        <w:rPr>
          <w:sz w:val="20"/>
          <w:szCs w:val="20"/>
          <w:color w:val="auto"/>
        </w:rPr>
      </w:pPr>
      <w:r>
        <w:rPr>
          <w:rFonts w:ascii="Times New Roman" w:cs="Times New Roman" w:eastAsia="Times New Roman" w:hAnsi="Times New Roman"/>
          <w:sz w:val="22"/>
          <w:szCs w:val="22"/>
          <w:color w:val="auto"/>
        </w:rPr>
        <w:t>Based on the November 14, 2025 report from the USDA, corn production is forecasted to be 16.75 billion bushels in 2025, up 12% from 2024. The average corn yield is forecasted to be a record high of 186 bushels per acre, an increase of 6.7 bushels from 2024.</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trends and uncertainties mentioned above could impact our future operating results in both positive and negative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ways.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Comparison of Three and Nine Months Ended October 31, 2025 and 2024</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our results from operations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9"/>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gridSpan w:val="8"/>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w w:val="97"/>
              </w:rPr>
              <w:t>Nine Months Ended</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8"/>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ind w:left="40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ind w:left="1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8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175,625</w:t>
            </w:r>
          </w:p>
        </w:tc>
        <w:tc>
          <w:tcPr>
            <w:tcW w:w="6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174,877</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492,528</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484,263</w:t>
            </w:r>
          </w:p>
        </w:tc>
        <w:tc>
          <w:tcPr>
            <w:tcW w:w="0" w:type="dxa"/>
            <w:vAlign w:val="bottom"/>
          </w:tcPr>
          <w:p>
            <w:pPr>
              <w:spacing w:after="0"/>
              <w:rPr>
                <w:sz w:val="1"/>
                <w:szCs w:val="1"/>
                <w:color w:val="auto"/>
              </w:rPr>
            </w:pP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139,493</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135,196</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427,735</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410,358</w:t>
            </w:r>
          </w:p>
        </w:tc>
        <w:tc>
          <w:tcPr>
            <w:tcW w:w="0" w:type="dxa"/>
            <w:vAlign w:val="bottom"/>
          </w:tcPr>
          <w:p>
            <w:pPr>
              <w:spacing w:after="0"/>
              <w:rPr>
                <w:sz w:val="1"/>
                <w:szCs w:val="1"/>
                <w:color w:val="auto"/>
              </w:rPr>
            </w:pPr>
          </w:p>
        </w:tc>
      </w:tr>
      <w:tr>
        <w:trPr>
          <w:trHeight w:val="236"/>
        </w:trPr>
        <w:tc>
          <w:tcPr>
            <w:tcW w:w="512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Gross profit</w:t>
            </w:r>
          </w:p>
        </w:tc>
        <w:tc>
          <w:tcPr>
            <w:tcW w:w="62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36,132</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39,681</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64,793</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73,905</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120" w:type="dxa"/>
            <w:vAlign w:val="bottom"/>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35,457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39,505</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61,180</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74,964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Provision for income taxes</w:t>
            </w:r>
          </w:p>
        </w:tc>
        <w:tc>
          <w:tcPr>
            <w:tcW w:w="62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(7,988)</w:t>
            </w:r>
          </w:p>
        </w:tc>
        <w:tc>
          <w:tcPr>
            <w:tcW w:w="6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(9,402)</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(13,711)</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(17,581)</w:t>
            </w:r>
          </w:p>
        </w:tc>
        <w:tc>
          <w:tcPr>
            <w:tcW w:w="0" w:type="dxa"/>
            <w:vAlign w:val="bottom"/>
          </w:tcPr>
          <w:p>
            <w:pPr>
              <w:spacing w:after="0"/>
              <w:rPr>
                <w:sz w:val="1"/>
                <w:szCs w:val="1"/>
                <w:color w:val="auto"/>
              </w:rPr>
            </w:pPr>
          </w:p>
        </w:tc>
      </w:tr>
      <w:tr>
        <w:trPr>
          <w:trHeight w:val="20"/>
        </w:trPr>
        <w:tc>
          <w:tcPr>
            <w:tcW w:w="5120" w:type="dxa"/>
            <w:vAlign w:val="bottom"/>
            <w:tcBorders>
              <w:top w:val="single" w:sz="8" w:color="E5FFFF"/>
            </w:tcBorders>
          </w:tcPr>
          <w:p>
            <w:pPr>
              <w:spacing w:after="0" w:line="20" w:lineRule="exact"/>
              <w:rPr>
                <w:sz w:val="1"/>
                <w:szCs w:val="1"/>
                <w:color w:val="auto"/>
              </w:rPr>
            </w:pPr>
          </w:p>
        </w:tc>
        <w:tc>
          <w:tcPr>
            <w:tcW w:w="6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12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23,413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24,500</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39,202</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47,069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512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22"/>
          <w:szCs w:val="22"/>
          <w:color w:val="auto"/>
        </w:rPr>
        <w:t>The following table summarizes net sales and revenue by product group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9"/>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gridSpan w:val="8"/>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w w:val="97"/>
              </w:rPr>
              <w:t>Nine Months Ended</w:t>
            </w: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8"/>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ind w:left="40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ind w:left="1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136,031</w:t>
            </w:r>
          </w:p>
        </w:tc>
        <w:tc>
          <w:tcPr>
            <w:tcW w:w="6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138,107</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383,739</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373,634</w:t>
            </w:r>
          </w:p>
        </w:tc>
        <w:tc>
          <w:tcPr>
            <w:tcW w:w="0" w:type="dxa"/>
            <w:vAlign w:val="bottom"/>
          </w:tcPr>
          <w:p>
            <w:pPr>
              <w:spacing w:after="0"/>
              <w:rPr>
                <w:sz w:val="1"/>
                <w:szCs w:val="1"/>
                <w:color w:val="auto"/>
              </w:rPr>
            </w:pPr>
          </w:p>
        </w:tc>
      </w:tr>
      <w:tr>
        <w:trPr>
          <w:trHeight w:val="243"/>
        </w:trPr>
        <w:tc>
          <w:tcPr>
            <w:tcW w:w="5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22,357</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25,032</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65,903</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77,564</w:t>
            </w:r>
          </w:p>
        </w:tc>
        <w:tc>
          <w:tcPr>
            <w:tcW w:w="0" w:type="dxa"/>
            <w:vAlign w:val="bottom"/>
          </w:tcPr>
          <w:p>
            <w:pPr>
              <w:spacing w:after="0"/>
              <w:rPr>
                <w:sz w:val="1"/>
                <w:szCs w:val="1"/>
                <w:color w:val="auto"/>
              </w:rPr>
            </w:pPr>
          </w:p>
        </w:tc>
      </w:tr>
      <w:tr>
        <w:trPr>
          <w:trHeight w:val="243"/>
        </w:trPr>
        <w:tc>
          <w:tcPr>
            <w:tcW w:w="56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16,353</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10,249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38,741</w:t>
            </w:r>
          </w:p>
        </w:tc>
        <w:tc>
          <w:tcPr>
            <w:tcW w:w="18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28,633</w:t>
            </w:r>
          </w:p>
        </w:tc>
        <w:tc>
          <w:tcPr>
            <w:tcW w:w="0" w:type="dxa"/>
            <w:vAlign w:val="bottom"/>
          </w:tcPr>
          <w:p>
            <w:pPr>
              <w:spacing w:after="0"/>
              <w:rPr>
                <w:sz w:val="1"/>
                <w:szCs w:val="1"/>
                <w:color w:val="auto"/>
              </w:rPr>
            </w:pPr>
          </w:p>
        </w:tc>
      </w:tr>
      <w:tr>
        <w:trPr>
          <w:trHeight w:val="243"/>
        </w:trPr>
        <w:tc>
          <w:tcPr>
            <w:tcW w:w="5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1,180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1,159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4,053</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3,479</w:t>
            </w:r>
          </w:p>
        </w:tc>
        <w:tc>
          <w:tcPr>
            <w:tcW w:w="0" w:type="dxa"/>
            <w:vAlign w:val="bottom"/>
          </w:tcPr>
          <w:p>
            <w:pPr>
              <w:spacing w:after="0"/>
              <w:rPr>
                <w:sz w:val="1"/>
                <w:szCs w:val="1"/>
                <w:color w:val="auto"/>
              </w:rPr>
            </w:pPr>
          </w:p>
        </w:tc>
      </w:tr>
      <w:tr>
        <w:trPr>
          <w:trHeight w:val="243"/>
        </w:trPr>
        <w:tc>
          <w:tcPr>
            <w:tcW w:w="56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(losses) gains</w:t>
            </w: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(328)</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(110)</w:t>
            </w:r>
          </w:p>
        </w:tc>
        <w:tc>
          <w:tcPr>
            <w:tcW w:w="18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737</w:t>
            </w: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202</w:t>
            </w:r>
          </w:p>
        </w:tc>
        <w:tc>
          <w:tcPr>
            <w:tcW w:w="180" w:type="dxa"/>
            <w:vAlign w:val="bottom"/>
          </w:tcPr>
          <w:p>
            <w:pPr>
              <w:spacing w:after="0"/>
              <w:rPr>
                <w:sz w:val="22"/>
                <w:szCs w:val="22"/>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216</w:t>
            </w:r>
          </w:p>
        </w:tc>
        <w:tc>
          <w:tcPr>
            <w:tcW w:w="0" w:type="dxa"/>
            <w:vAlign w:val="bottom"/>
          </w:tcPr>
          <w:p>
            <w:pPr>
              <w:spacing w:after="0"/>
              <w:rPr>
                <w:sz w:val="1"/>
                <w:szCs w:val="1"/>
                <w:color w:val="auto"/>
              </w:rPr>
            </w:pPr>
          </w:p>
        </w:tc>
      </w:tr>
      <w:tr>
        <w:trPr>
          <w:trHeight w:val="250"/>
        </w:trPr>
        <w:tc>
          <w:tcPr>
            <w:tcW w:w="56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175,625</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174,877</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492,528</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484,263</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ind w:left="660"/>
              <w:spacing w:after="0"/>
              <w:rPr>
                <w:sz w:val="20"/>
                <w:szCs w:val="20"/>
                <w:color w:val="auto"/>
              </w:rPr>
            </w:pPr>
            <w:r>
              <w:rPr>
                <w:rFonts w:ascii="Times New Roman" w:cs="Times New Roman" w:eastAsia="Times New Roman" w:hAnsi="Times New Roman"/>
                <w:sz w:val="22"/>
                <w:szCs w:val="22"/>
                <w:color w:val="auto"/>
                <w:w w:val="99"/>
              </w:rPr>
              <w:t>The following table summarizes selected operating data:</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9"/>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8"/>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w w:val="97"/>
              </w:rPr>
              <w:t>Nine Months Ended</w:t>
            </w: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8"/>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ind w:left="40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ind w:left="1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gallon of ethanol (net of hedging)</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1.73</w:t>
            </w:r>
          </w:p>
        </w:tc>
        <w:tc>
          <w:tcPr>
            <w:tcW w:w="660" w:type="dxa"/>
            <w:vAlign w:val="bottom"/>
            <w:gridSpan w:val="2"/>
            <w:shd w:val="clear" w:color="auto" w:fill="E5FFFF"/>
          </w:tcPr>
          <w:p>
            <w:pPr>
              <w:ind w:left="4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1.83</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1.74</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1.74</w:t>
            </w:r>
          </w:p>
        </w:tc>
        <w:tc>
          <w:tcPr>
            <w:tcW w:w="0" w:type="dxa"/>
            <w:vAlign w:val="bottom"/>
          </w:tcPr>
          <w:p>
            <w:pPr>
              <w:spacing w:after="0"/>
              <w:rPr>
                <w:sz w:val="1"/>
                <w:szCs w:val="1"/>
                <w:color w:val="auto"/>
              </w:rPr>
            </w:pPr>
          </w:p>
        </w:tc>
      </w:tr>
      <w:tr>
        <w:trPr>
          <w:trHeight w:val="243"/>
        </w:trPr>
        <w:tc>
          <w:tcPr>
            <w:tcW w:w="5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78.4</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75.5</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219.9</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215.1</w:t>
            </w:r>
          </w:p>
        </w:tc>
        <w:tc>
          <w:tcPr>
            <w:tcW w:w="0" w:type="dxa"/>
            <w:vAlign w:val="bottom"/>
          </w:tcPr>
          <w:p>
            <w:pPr>
              <w:spacing w:after="0"/>
              <w:rPr>
                <w:sz w:val="1"/>
                <w:szCs w:val="1"/>
                <w:color w:val="auto"/>
              </w:rPr>
            </w:pPr>
          </w:p>
        </w:tc>
      </w:tr>
      <w:tr>
        <w:trPr>
          <w:trHeight w:val="243"/>
        </w:trPr>
        <w:tc>
          <w:tcPr>
            <w:tcW w:w="56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dried distillers grains</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139.93</w:t>
            </w:r>
          </w:p>
        </w:tc>
        <w:tc>
          <w:tcPr>
            <w:tcW w:w="660" w:type="dxa"/>
            <w:vAlign w:val="bottom"/>
            <w:gridSpan w:val="2"/>
            <w:shd w:val="clear" w:color="auto" w:fill="E5FFFF"/>
          </w:tcPr>
          <w:p>
            <w:pPr>
              <w:ind w:left="4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147.14</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143.02</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166.27</w:t>
            </w:r>
          </w:p>
        </w:tc>
        <w:tc>
          <w:tcPr>
            <w:tcW w:w="0" w:type="dxa"/>
            <w:vAlign w:val="bottom"/>
          </w:tcPr>
          <w:p>
            <w:pPr>
              <w:spacing w:after="0"/>
              <w:rPr>
                <w:sz w:val="1"/>
                <w:szCs w:val="1"/>
                <w:color w:val="auto"/>
              </w:rPr>
            </w:pPr>
          </w:p>
        </w:tc>
      </w:tr>
      <w:tr>
        <w:trPr>
          <w:trHeight w:val="243"/>
        </w:trPr>
        <w:tc>
          <w:tcPr>
            <w:tcW w:w="5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159,781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170,116</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460,808</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466,497</w:t>
            </w:r>
          </w:p>
        </w:tc>
        <w:tc>
          <w:tcPr>
            <w:tcW w:w="0" w:type="dxa"/>
            <w:vAlign w:val="bottom"/>
          </w:tcPr>
          <w:p>
            <w:pPr>
              <w:spacing w:after="0"/>
              <w:rPr>
                <w:sz w:val="1"/>
                <w:szCs w:val="1"/>
                <w:color w:val="auto"/>
              </w:rPr>
            </w:pPr>
          </w:p>
        </w:tc>
      </w:tr>
      <w:tr>
        <w:trPr>
          <w:trHeight w:val="243"/>
        </w:trPr>
        <w:tc>
          <w:tcPr>
            <w:tcW w:w="56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pound of distillers corn oil</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0.60</w:t>
            </w:r>
          </w:p>
        </w:tc>
        <w:tc>
          <w:tcPr>
            <w:tcW w:w="660" w:type="dxa"/>
            <w:vAlign w:val="bottom"/>
            <w:gridSpan w:val="2"/>
            <w:shd w:val="clear" w:color="auto" w:fill="E5FFFF"/>
          </w:tcPr>
          <w:p>
            <w:pPr>
              <w:ind w:left="4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0.44</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0.54</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0.44</w:t>
            </w:r>
          </w:p>
        </w:tc>
        <w:tc>
          <w:tcPr>
            <w:tcW w:w="0" w:type="dxa"/>
            <w:vAlign w:val="bottom"/>
          </w:tcPr>
          <w:p>
            <w:pPr>
              <w:spacing w:after="0"/>
              <w:rPr>
                <w:sz w:val="1"/>
                <w:szCs w:val="1"/>
                <w:color w:val="auto"/>
              </w:rPr>
            </w:pPr>
          </w:p>
        </w:tc>
      </w:tr>
      <w:tr>
        <w:trPr>
          <w:trHeight w:val="243"/>
        </w:trPr>
        <w:tc>
          <w:tcPr>
            <w:tcW w:w="5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Pounds of distillers corn oil sold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27.4</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23.4</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71.9</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64.6</w:t>
            </w:r>
          </w:p>
        </w:tc>
        <w:tc>
          <w:tcPr>
            <w:tcW w:w="0" w:type="dxa"/>
            <w:vAlign w:val="bottom"/>
          </w:tcPr>
          <w:p>
            <w:pPr>
              <w:spacing w:after="0"/>
              <w:rPr>
                <w:sz w:val="1"/>
                <w:szCs w:val="1"/>
                <w:color w:val="auto"/>
              </w:rPr>
            </w:pPr>
          </w:p>
        </w:tc>
      </w:tr>
      <w:tr>
        <w:trPr>
          <w:trHeight w:val="243"/>
        </w:trPr>
        <w:tc>
          <w:tcPr>
            <w:tcW w:w="56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modified distillers grains</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57.03</w:t>
            </w:r>
          </w:p>
        </w:tc>
        <w:tc>
          <w:tcPr>
            <w:tcW w:w="660" w:type="dxa"/>
            <w:vAlign w:val="bottom"/>
            <w:gridSpan w:val="2"/>
            <w:shd w:val="clear" w:color="auto" w:fill="E5FFFF"/>
          </w:tcPr>
          <w:p>
            <w:pPr>
              <w:ind w:left="4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63.00</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65.16</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68.81</w:t>
            </w:r>
          </w:p>
        </w:tc>
        <w:tc>
          <w:tcPr>
            <w:tcW w:w="0" w:type="dxa"/>
            <w:vAlign w:val="bottom"/>
          </w:tcPr>
          <w:p>
            <w:pPr>
              <w:spacing w:after="0"/>
              <w:rPr>
                <w:sz w:val="1"/>
                <w:szCs w:val="1"/>
                <w:color w:val="auto"/>
              </w:rPr>
            </w:pPr>
          </w:p>
        </w:tc>
      </w:tr>
      <w:tr>
        <w:trPr>
          <w:trHeight w:val="282"/>
        </w:trPr>
        <w:tc>
          <w:tcPr>
            <w:tcW w:w="5640" w:type="dxa"/>
            <w:vAlign w:val="bottom"/>
          </w:tcPr>
          <w:p>
            <w:pPr>
              <w:spacing w:after="0"/>
              <w:rPr>
                <w:sz w:val="20"/>
                <w:szCs w:val="20"/>
                <w:color w:val="auto"/>
              </w:rPr>
            </w:pPr>
            <w:r>
              <w:rPr>
                <w:rFonts w:ascii="Times New Roman" w:cs="Times New Roman" w:eastAsia="Times New Roman" w:hAnsi="Times New Roman"/>
                <w:sz w:val="22"/>
                <w:szCs w:val="22"/>
                <w:color w:val="auto"/>
              </w:rPr>
              <w:t>Tons of modified distillers grains sold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20,691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18,392</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62,206</w:t>
            </w:r>
          </w:p>
        </w:tc>
        <w:tc>
          <w:tcPr>
            <w:tcW w:w="180" w:type="dxa"/>
            <w:vAlign w:val="bottom"/>
          </w:tcPr>
          <w:p>
            <w:pPr>
              <w:spacing w:after="0"/>
              <w:rPr>
                <w:sz w:val="24"/>
                <w:szCs w:val="24"/>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22"/>
                <w:szCs w:val="22"/>
                <w:color w:val="auto"/>
              </w:rPr>
              <w:t>50,555</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Net sales and revenue in the quarter ended October 31, 2025 increased an insignificant amount compared to the prior year third quarter. Net sales and revenue in the first nine months ended October 31, 2025 increased approximately 2% compared to the first nine months of 2024.</w:t>
      </w:r>
    </w:p>
    <w:p>
      <w:pPr>
        <w:spacing w:after="0" w:line="20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Ethanol revenue decreased 2% in the third quarter of fiscal year 2025 compared to the third quarter of fiscal year 2024 as the selling price per gallon decreased 5%, offset partially by a 4% increase in the number of gallons sold during the quarter. Ethanol revenue increased 3% in the first nine months of fiscal year 2025 compared to the first nine months of fiscal year 2024 due to a 2% increase in gallons sold during first nine months of 2025 compared to the prior year comparable period with prices remaining consistent year-over-year. Ethanol pricing is affected by many factors, including overall market supply and demand, as well as corn and gasoline pricing.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3" w:name="page34"/>
    <w:bookmarkEnd w:id="33"/>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Dried distillers grains revenue decreased 11% in the third quarter of fiscal year 2025 compared to the third quarter of fiscal year 2024 as there was a 6% decrease in tons sold, coupled with a 5% decrease in the average price per ton sold. Dried distillers grains revenue decreased 15% in the first nine months of fiscal year 2025 compared to the first nine months of fiscal year 2024 as the average price per ton sold decreased 14%, coupled with a 1% decrease in tons sold. The decrease in the dried distillers grains selling price is consistent with recent quarters and reflects an extended period of lower corn pricing as dried distillers grains prices often correlate with corn pricing. The decrease in tons sold was impacted by increased production levels of other ethanol by-products.</w:t>
      </w:r>
    </w:p>
    <w:p>
      <w:pPr>
        <w:spacing w:after="0" w:line="210"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Distillers corn oil revenue increased approximately 60% in the third quarter of fiscal year 2025 compared to the third quarter of fiscal year 2024 as the selling price per pound increased 36% and the amount of pounds sold increased 17%. Distillers corn oil revenue increased approximately 35% in the first nine months of 2025 compared to the first nine months of fiscal year 2024 as the selling price per pound increased 23% and the amount of pounds sold increased 11%. The corn oil yield per bushel ground improved at our consolidated ethanol plants in both the three- and nine-month periods ended October 31, 2025, relative to the comparable period in fiscal 2024. The increase in the distillers corn oil selling price resulted primarily from fluctuations in demand in the renewable biodiesel market.</w:t>
      </w:r>
    </w:p>
    <w:p>
      <w:pPr>
        <w:spacing w:after="0" w:line="210"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Modified distillers grains revenue increased 2% in the third quarter of fiscal year 2025 compared to the third quarter of fiscal year 2024 as the amount of tons sold increased by 13%, offset partially with a 9% decrease in the average selling price per ton sold. Modified distillers grains revenue increased 16% in the first nine months of fiscal year 2025 compared to the first nine months of fiscal year 2024 as the amount of tons sold increased by 23%, offset partially by a 5% decrease in the average selling price per ton sold. The decrease in the modified distillers grains selling price in the three- and nine-month periods resulted primarily from an extended period of lower corn prices, as prices tend to move in the same direction but are also impacted by changes in local market demand. Our consolidated plants’ decisions to sell modified or dried distillers grains fluctuate from time to time based upon market conditions.</w:t>
      </w:r>
    </w:p>
    <w:p>
      <w:pPr>
        <w:spacing w:after="0" w:line="20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Cost of sales increased 3% in the quarter ended October 31, 2025, compared to the prior year third quarter. Corn accounted for approximately 75% ($104.2 million) of our cost of sales during the third quarter of fiscal year 2025 compared to approximately 76% ($102.6 million) during the third quarter of fiscal year 2024. Natural gas accounted for approximately 4% ($6.2 million) of our cost of sales during the third quarter of fiscal year 2025 and 3% ($4.6 million) in the third quarter of fiscal year 2024. Cost of sales increased 4% in the first nine months of fiscal year 2025, compared to the first nine months of fiscal year 2024. Corn accounted for approximately 74% ($317.1 million) of our cost of sales during the first nine months of fiscal year</w:t>
      </w:r>
    </w:p>
    <w:p>
      <w:pPr>
        <w:spacing w:after="0" w:line="3"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2025 compared to approximately 76% ($312.2 million) during the first nine months of fiscal year 2024. Natural gas accounted for approximately 5% ($20.0 million) of our cost of sales during the first nine months of fiscal year 2025 and 4% ($15.6 million) in the first nine months of fiscal year 2024.</w:t>
      </w:r>
    </w:p>
    <w:p>
      <w:pPr>
        <w:spacing w:after="0" w:line="205"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gross profit for the third quarter of fiscal year 2025 decreased approximately $3.5 million compared to the prior year third quarter. Gross profit for the first nine months of fiscal year 2025 decreased approximately $9.1 million compared to the first nine months of fiscal year 2024.</w:t>
      </w:r>
    </w:p>
    <w:p>
      <w:pPr>
        <w:spacing w:after="0" w:line="200"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22"/>
          <w:szCs w:val="22"/>
          <w:color w:val="auto"/>
        </w:rPr>
        <w:t>We attempt to match quantities of ethanol, distillers grains and distillers corn oil sales contracts with an appropriate quantity of corn purchase contracts over a given time period when we can obtain a</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4" w:name="page35"/>
    <w:bookmarkEnd w:id="34"/>
    <w:p>
      <w:pPr>
        <w:ind w:right="120"/>
        <w:spacing w:after="0" w:line="248" w:lineRule="auto"/>
        <w:rPr>
          <w:sz w:val="20"/>
          <w:szCs w:val="20"/>
          <w:color w:val="auto"/>
        </w:rPr>
      </w:pPr>
      <w:r>
        <w:rPr>
          <w:rFonts w:ascii="Times New Roman" w:cs="Times New Roman" w:eastAsia="Times New Roman" w:hAnsi="Times New Roman"/>
          <w:sz w:val="21"/>
          <w:szCs w:val="21"/>
          <w:color w:val="auto"/>
        </w:rPr>
        <w:t>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 We utilize derivative financial instruments, primarily exchange traded commodity future contracts and swap contracts, in conjunction with certain of our corn procurement activities and commodity marketing activities.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SG&amp;A expenses were approximately $8.2 million for the third quarter of fiscal year 2025, compared to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$8.4 million of expenses for the third quarter of fiscal year 2024. SG&amp;A expenses were approximately $20.4 million for the first</w:t>
      </w:r>
    </w:p>
    <w:p>
      <w:pPr>
        <w:spacing w:after="0" w:line="231" w:lineRule="auto"/>
        <w:rPr>
          <w:sz w:val="20"/>
          <w:szCs w:val="20"/>
          <w:color w:val="auto"/>
        </w:rPr>
      </w:pPr>
      <w:r>
        <w:rPr>
          <w:rFonts w:ascii="Times New Roman" w:cs="Times New Roman" w:eastAsia="Times New Roman" w:hAnsi="Times New Roman"/>
          <w:sz w:val="22"/>
          <w:szCs w:val="22"/>
          <w:color w:val="auto"/>
        </w:rPr>
        <w:t>nine months of fiscal year 2025, compared to approximately $21.0 million for the first nine months of fiscal year 2024. The</w:t>
      </w:r>
    </w:p>
    <w:p>
      <w:pPr>
        <w:spacing w:after="0" w:line="231" w:lineRule="auto"/>
        <w:rPr>
          <w:sz w:val="20"/>
          <w:szCs w:val="20"/>
          <w:color w:val="auto"/>
        </w:rPr>
      </w:pPr>
      <w:r>
        <w:rPr>
          <w:rFonts w:ascii="Times New Roman" w:cs="Times New Roman" w:eastAsia="Times New Roman" w:hAnsi="Times New Roman"/>
          <w:sz w:val="22"/>
          <w:szCs w:val="22"/>
          <w:color w:val="auto"/>
        </w:rPr>
        <w:t>decreases compared to the prior year were due primarily to a decrease in performance bonus expense of $0.3 million and $1.3</w:t>
      </w:r>
    </w:p>
    <w:p>
      <w:pPr>
        <w:spacing w:after="0" w:line="231" w:lineRule="auto"/>
        <w:rPr>
          <w:sz w:val="20"/>
          <w:szCs w:val="20"/>
          <w:color w:val="auto"/>
        </w:rPr>
      </w:pPr>
      <w:r>
        <w:rPr>
          <w:rFonts w:ascii="Times New Roman" w:cs="Times New Roman" w:eastAsia="Times New Roman" w:hAnsi="Times New Roman"/>
          <w:sz w:val="22"/>
          <w:szCs w:val="22"/>
          <w:color w:val="auto"/>
        </w:rPr>
        <w:t>million in the third quarter of fiscal year 2025 and the first nine months of fiscal year 2025, respectively, from the comparable</w:t>
      </w:r>
    </w:p>
    <w:p>
      <w:pPr>
        <w:spacing w:after="0"/>
        <w:rPr>
          <w:sz w:val="20"/>
          <w:szCs w:val="20"/>
          <w:color w:val="auto"/>
        </w:rPr>
      </w:pPr>
      <w:r>
        <w:rPr>
          <w:rFonts w:ascii="Times New Roman" w:cs="Times New Roman" w:eastAsia="Times New Roman" w:hAnsi="Times New Roman"/>
          <w:sz w:val="21"/>
          <w:szCs w:val="21"/>
          <w:color w:val="auto"/>
        </w:rPr>
        <w:t>periods of fiscal year 2024. Additionally, there was a decrease in stock compensation expense of approximately $0.6 million and</w:t>
      </w:r>
    </w:p>
    <w:p>
      <w:pPr>
        <w:spacing w:after="0" w:line="231" w:lineRule="auto"/>
        <w:rPr>
          <w:sz w:val="20"/>
          <w:szCs w:val="20"/>
          <w:color w:val="auto"/>
        </w:rPr>
      </w:pPr>
      <w:r>
        <w:rPr>
          <w:rFonts w:ascii="Times New Roman" w:cs="Times New Roman" w:eastAsia="Times New Roman" w:hAnsi="Times New Roman"/>
          <w:sz w:val="22"/>
          <w:szCs w:val="22"/>
          <w:color w:val="auto"/>
        </w:rPr>
        <w:t>$1.1 million in the third quarter of fiscal year 2025 and the first nine months of fiscal year 2025, respectively, from the</w:t>
      </w:r>
    </w:p>
    <w:p>
      <w:pPr>
        <w:spacing w:after="0" w:line="231" w:lineRule="auto"/>
        <w:rPr>
          <w:sz w:val="20"/>
          <w:szCs w:val="20"/>
          <w:color w:val="auto"/>
        </w:rPr>
      </w:pPr>
      <w:r>
        <w:rPr>
          <w:rFonts w:ascii="Times New Roman" w:cs="Times New Roman" w:eastAsia="Times New Roman" w:hAnsi="Times New Roman"/>
          <w:sz w:val="22"/>
          <w:szCs w:val="22"/>
          <w:color w:val="auto"/>
        </w:rPr>
        <w:t>comparable periods of fiscal year 2024 subsequent to the completion of the restricted stock units performance period on</w:t>
      </w:r>
    </w:p>
    <w:p>
      <w:pPr>
        <w:spacing w:after="0" w:line="231" w:lineRule="auto"/>
        <w:rPr>
          <w:sz w:val="20"/>
          <w:szCs w:val="20"/>
          <w:color w:val="auto"/>
        </w:rPr>
      </w:pPr>
      <w:r>
        <w:rPr>
          <w:rFonts w:ascii="Times New Roman" w:cs="Times New Roman" w:eastAsia="Times New Roman" w:hAnsi="Times New Roman"/>
          <w:sz w:val="22"/>
          <w:szCs w:val="22"/>
          <w:color w:val="auto"/>
        </w:rPr>
        <w:t>December 31, 2024. These decreases were partially offset by an increase in rail car lease payments due to higher rates realized</w:t>
      </w:r>
    </w:p>
    <w:p>
      <w:pPr>
        <w:spacing w:after="0"/>
        <w:rPr>
          <w:sz w:val="20"/>
          <w:szCs w:val="20"/>
          <w:color w:val="auto"/>
        </w:rPr>
      </w:pPr>
      <w:r>
        <w:rPr>
          <w:rFonts w:ascii="Times New Roman" w:cs="Times New Roman" w:eastAsia="Times New Roman" w:hAnsi="Times New Roman"/>
          <w:sz w:val="22"/>
          <w:szCs w:val="22"/>
          <w:color w:val="auto"/>
        </w:rPr>
        <w:t>upon lease renewals.</w:t>
      </w:r>
    </w:p>
    <w:p>
      <w:pPr>
        <w:spacing w:after="0" w:line="209"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22"/>
          <w:szCs w:val="22"/>
          <w:color w:val="auto"/>
        </w:rPr>
        <w:t>During the third quarter of fiscal year 2025, we recognized income from our equity investment in Big River of approximately $4.4 million compared to income of approximately $3.6 million for the third quarter of fiscal year 2024. During the first nine months of fiscal year 2025, we recognized income from our equity investment in Big River of approximately $6.3 million compared to income of approximately $7.1 million during the first nine months of fiscal year 2024. Our investment in Big River, which has interests in four ethanol production plants, represents an effective ownership of approximately 39.0 million gallons of ethanol shipped in the trailing twelve months ended October 31, 2025. Due to the inherent volatility of commodity prices within the ethanol industry, we cannot predict the likelihood of future operating results from Big River being similar to historical results.</w:t>
      </w:r>
    </w:p>
    <w:p>
      <w:pPr>
        <w:spacing w:after="0" w:line="20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Interest and other income was approximately $3.2 million for the third quarter of fiscal year 2025 versus approximately $4.6 million for the third quarter of fiscal year 2024. Interest and other income was approximately $10.5 million for the first nine months of 2025 versus approximately $15.0 million for the first nine months of fiscal year 2024. The decrease is primarily related to decreased interest income of $1.4 million and $3.8 million in the third quarter and first nine months of fiscal year 2025, respectively, based upon lower balances and yields on our excess cash and short-term investments in fiscal year 2025, compared to 2024. One of our consolidated ethanol plants recognized $0.5 million less in patronage income from an investment in a cooperative in the first nine months of 2025 ($0.7 million) compared to the first nine months of 2024 ($1.2 million). We do not expect patronage income from this investment in a cooperative to be significant in future periods.</w:t>
      </w:r>
    </w:p>
    <w:p>
      <w:pPr>
        <w:spacing w:after="0" w:line="205"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$35.5 million and $39.5 million for the third quarters of fiscal year 2025 and 2024, respectively. Income before income taxes was approximately $61.2 million and $75.0 million for the first nine months of fiscal year 2025 and 2024, respectively.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5" w:name="page36"/>
    <w:bookmarkEnd w:id="35"/>
    <w:p>
      <w:pPr>
        <w:jc w:val="both"/>
        <w:ind w:right="220" w:firstLine="648"/>
        <w:spacing w:after="0" w:line="239"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Our income tax provision was approximately $8.0 million and $9.4 million for the three months ended October 31, 2025 and 2024, respectively. Our income tax provision was approximately $13.7 million and $17.6 million for the first nine months of fiscal year 2025 and 2024, respectively.</w:t>
      </w:r>
    </w:p>
    <w:p>
      <w:pPr>
        <w:spacing w:after="0" w:line="207"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As a result of the foregoing, net income was approximately $27.5 million for the third quarter of fiscal year 2025 compared to approximately $30.1 million for the third quarter of fiscal year 2024. Net income was approximately $47.5 million for the first nine months of fiscal year 2025 compared to approximately $57.4 million for the first nine months of fiscal year 2024.</w:t>
      </w:r>
    </w:p>
    <w:p>
      <w:pPr>
        <w:spacing w:after="0" w:line="20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Net income attributable to noncontrolling interests was approximately $4.1 million for the third quarter of fiscal year 2025 and $5.6 million for the third quarter of 2024. Net income attributable to noncontrolling interests was approximately $8.3 million for the first nine months of fiscal year 2025 and $10.3 million for the first nine months of fiscal year 2024. These amounts represent the other owners’ share of the income of NuGen and One Earth.</w:t>
      </w:r>
    </w:p>
    <w:p>
      <w:pPr>
        <w:spacing w:after="0" w:line="20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As a result of the foregoing, net income attributable to REX common shareholders for the third quarter of fiscal year 2025 was approximately $23.4 million, compared to net income attributable to REX common shareholders of approximately $24.5 million for the third quarter of fiscal year 2024. Net income attributable to REX common shareholders from the first nine months of fiscal year 2025 was approximately $39.2 million, compared to net income attributable to REX common shareholders of approximately $47.1 million for the first nine months of fiscal year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Summary of Cash Flows and Working Capital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2900" w:type="dxa"/>
            <w:vAlign w:val="bottom"/>
            <w:gridSpan w:val="4"/>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4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940" w:type="dxa"/>
            <w:vAlign w:val="bottom"/>
            <w:gridSpan w:val="3"/>
          </w:tcPr>
          <w:p>
            <w:pPr>
              <w:jc w:val="right"/>
              <w:ind w:right="412"/>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r>
      <w:tr>
        <w:trPr>
          <w:trHeight w:val="274"/>
        </w:trPr>
        <w:tc>
          <w:tcPr>
            <w:tcW w:w="4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80" w:type="dxa"/>
            <w:vAlign w:val="bottom"/>
          </w:tcPr>
          <w:p>
            <w:pPr>
              <w:spacing w:after="0"/>
              <w:rPr>
                <w:sz w:val="23"/>
                <w:szCs w:val="23"/>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cash provided by operating activities</w:t>
            </w:r>
          </w:p>
        </w:tc>
        <w:tc>
          <w:tcPr>
            <w:tcW w:w="9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64,047</w:t>
            </w:r>
          </w:p>
        </w:tc>
        <w:tc>
          <w:tcPr>
            <w:tcW w:w="2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39,106</w:t>
            </w: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cash provided by investing activities</w:t>
            </w:r>
          </w:p>
        </w:tc>
        <w:tc>
          <w:tcPr>
            <w:tcW w:w="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47,455</w:t>
            </w:r>
          </w:p>
        </w:tc>
        <w:tc>
          <w:tcPr>
            <w:tcW w:w="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37,630</w:t>
            </w: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cash used in financing activities</w:t>
            </w:r>
          </w:p>
        </w:tc>
        <w:tc>
          <w:tcPr>
            <w:tcW w:w="9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8"/>
              </w:rPr>
              <w:t>(35,753)</w:t>
            </w:r>
          </w:p>
        </w:tc>
        <w:tc>
          <w:tcPr>
            <w:tcW w:w="2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(1,884)</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tcPr>
          <w:p>
            <w:pPr>
              <w:spacing w:after="0"/>
              <w:rPr>
                <w:sz w:val="21"/>
                <w:szCs w:val="21"/>
                <w:color w:val="auto"/>
              </w:rPr>
            </w:pPr>
          </w:p>
        </w:tc>
        <w:tc>
          <w:tcPr>
            <w:tcW w:w="29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5240" w:type="dxa"/>
            <w:vAlign w:val="bottom"/>
          </w:tcPr>
          <w:p>
            <w:pPr>
              <w:jc w:val="right"/>
              <w:ind w:right="3912"/>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47"/>
        </w:trPr>
        <w:tc>
          <w:tcPr>
            <w:tcW w:w="3080" w:type="dxa"/>
            <w:vAlign w:val="bottom"/>
          </w:tcPr>
          <w:p>
            <w:pPr>
              <w:spacing w:after="0"/>
              <w:rPr>
                <w:sz w:val="21"/>
                <w:szCs w:val="21"/>
                <w:color w:val="auto"/>
              </w:rPr>
            </w:pPr>
          </w:p>
        </w:tc>
        <w:tc>
          <w:tcPr>
            <w:tcW w:w="2920" w:type="dxa"/>
            <w:vAlign w:val="bottom"/>
          </w:tcPr>
          <w:p>
            <w:pPr>
              <w:jc w:val="right"/>
              <w:ind w:right="352"/>
              <w:spacing w:after="0" w:line="247" w:lineRule="exact"/>
              <w:rPr>
                <w:sz w:val="20"/>
                <w:szCs w:val="20"/>
                <w:color w:val="auto"/>
              </w:rPr>
            </w:pPr>
            <w:r>
              <w:rPr>
                <w:rFonts w:ascii="Times New Roman" w:cs="Times New Roman" w:eastAsia="Times New Roman" w:hAnsi="Times New Roman"/>
                <w:sz w:val="22"/>
                <w:szCs w:val="22"/>
                <w:b w:val="1"/>
                <w:bCs w:val="1"/>
                <w:color w:val="auto"/>
              </w:rPr>
              <w:t>2025</w:t>
            </w:r>
          </w:p>
        </w:tc>
        <w:tc>
          <w:tcPr>
            <w:tcW w:w="5240" w:type="dxa"/>
            <w:vAlign w:val="bottom"/>
          </w:tcPr>
          <w:p>
            <w:pPr>
              <w:jc w:val="right"/>
              <w:ind w:right="4232"/>
              <w:spacing w:after="0" w:line="247" w:lineRule="exact"/>
              <w:rPr>
                <w:sz w:val="20"/>
                <w:szCs w:val="20"/>
                <w:color w:val="auto"/>
              </w:rPr>
            </w:pPr>
            <w:r>
              <w:rPr>
                <w:rFonts w:ascii="Times New Roman" w:cs="Times New Roman" w:eastAsia="Times New Roman" w:hAnsi="Times New Roman"/>
                <w:sz w:val="22"/>
                <w:szCs w:val="22"/>
                <w:b w:val="1"/>
                <w:bCs w:val="1"/>
                <w:color w:val="auto"/>
              </w:rPr>
              <w:t>2025</w:t>
            </w:r>
          </w:p>
        </w:tc>
      </w:tr>
      <w:tr>
        <w:trPr>
          <w:trHeight w:val="243"/>
        </w:trPr>
        <w:tc>
          <w:tcPr>
            <w:tcW w:w="3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Working capital</w:t>
            </w:r>
          </w:p>
        </w:tc>
        <w:tc>
          <w:tcPr>
            <w:tcW w:w="29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   354,182</w:t>
            </w:r>
          </w:p>
        </w:tc>
        <w:tc>
          <w:tcPr>
            <w:tcW w:w="5240" w:type="dxa"/>
            <w:vAlign w:val="bottom"/>
          </w:tcPr>
          <w:p>
            <w:pPr>
              <w:jc w:val="right"/>
              <w:ind w:right="3892"/>
              <w:spacing w:after="0" w:line="243" w:lineRule="exact"/>
              <w:rPr>
                <w:sz w:val="20"/>
                <w:szCs w:val="20"/>
                <w:color w:val="auto"/>
              </w:rPr>
            </w:pPr>
            <w:r>
              <w:rPr>
                <w:rFonts w:ascii="Times New Roman" w:cs="Times New Roman" w:eastAsia="Times New Roman" w:hAnsi="Times New Roman"/>
                <w:sz w:val="22"/>
                <w:szCs w:val="22"/>
                <w:color w:val="auto"/>
              </w:rPr>
              <w:t>$   385,376</w:t>
            </w:r>
          </w:p>
        </w:tc>
      </w:t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Current ratio</w:t>
            </w:r>
          </w:p>
        </w:tc>
        <w:tc>
          <w:tcPr>
            <w:tcW w:w="29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7.2x</w:t>
            </w:r>
          </w:p>
        </w:tc>
        <w:tc>
          <w:tcPr>
            <w:tcW w:w="5240" w:type="dxa"/>
            <w:vAlign w:val="bottom"/>
          </w:tcPr>
          <w:p>
            <w:pPr>
              <w:jc w:val="right"/>
              <w:ind w:right="3892"/>
              <w:spacing w:after="0"/>
              <w:rPr>
                <w:sz w:val="20"/>
                <w:szCs w:val="20"/>
                <w:color w:val="auto"/>
              </w:rPr>
            </w:pPr>
            <w:r>
              <w:rPr>
                <w:rFonts w:ascii="Times New Roman" w:cs="Times New Roman" w:eastAsia="Times New Roman" w:hAnsi="Times New Roman"/>
                <w:sz w:val="22"/>
                <w:szCs w:val="22"/>
                <w:color w:val="auto"/>
              </w:rPr>
              <w:t>8.6x</w:t>
            </w:r>
          </w:p>
        </w:tc>
      </w:tr>
      <w:tr>
        <w:trPr>
          <w:trHeight w:val="432"/>
        </w:trPr>
        <w:tc>
          <w:tcPr>
            <w:tcW w:w="3080" w:type="dxa"/>
            <w:vAlign w:val="bottom"/>
          </w:tcPr>
          <w:p>
            <w:pPr>
              <w:spacing w:after="0"/>
              <w:rPr>
                <w:sz w:val="24"/>
                <w:szCs w:val="24"/>
                <w:color w:val="auto"/>
              </w:rPr>
            </w:pPr>
          </w:p>
        </w:tc>
        <w:tc>
          <w:tcPr>
            <w:tcW w:w="29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36</w:t>
            </w:r>
          </w:p>
        </w:tc>
        <w:tc>
          <w:tcPr>
            <w:tcW w:w="5240" w:type="dxa"/>
            <w:vAlign w:val="bottom"/>
          </w:tcPr>
          <w:p>
            <w:pPr>
              <w:spacing w:after="0"/>
              <w:rPr>
                <w:sz w:val="24"/>
                <w:szCs w:val="24"/>
                <w:color w:val="auto"/>
              </w:rPr>
            </w:pPr>
          </w:p>
        </w:tc>
      </w:tr>
      <w:tr>
        <w:trPr>
          <w:trHeight w:val="238"/>
        </w:trPr>
        <w:tc>
          <w:tcPr>
            <w:tcW w:w="3080" w:type="dxa"/>
            <w:vAlign w:val="bottom"/>
            <w:tcBorders>
              <w:bottom w:val="single" w:sz="8" w:color="C0C0C0"/>
            </w:tcBorders>
          </w:tcPr>
          <w:p>
            <w:pPr>
              <w:spacing w:after="0"/>
              <w:rPr>
                <w:sz w:val="20"/>
                <w:szCs w:val="20"/>
                <w:color w:val="auto"/>
              </w:rPr>
            </w:pPr>
          </w:p>
        </w:tc>
        <w:tc>
          <w:tcPr>
            <w:tcW w:w="2920" w:type="dxa"/>
            <w:vAlign w:val="bottom"/>
            <w:tcBorders>
              <w:bottom w:val="single" w:sz="8" w:color="C0C0C0"/>
            </w:tcBorders>
          </w:tcPr>
          <w:p>
            <w:pPr>
              <w:spacing w:after="0"/>
              <w:rPr>
                <w:sz w:val="20"/>
                <w:szCs w:val="20"/>
                <w:color w:val="auto"/>
              </w:rPr>
            </w:pPr>
          </w:p>
        </w:tc>
        <w:tc>
          <w:tcPr>
            <w:tcW w:w="52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i w:val="1"/>
          <w:iCs w:val="1"/>
          <w:color w:val="auto"/>
        </w:rPr>
        <w:t>Operating Activities</w:t>
      </w:r>
    </w:p>
    <w:p>
      <w:pPr>
        <w:spacing w:after="0" w:line="239" w:lineRule="exact"/>
        <w:rPr>
          <w:sz w:val="20"/>
          <w:szCs w:val="20"/>
          <w:color w:val="auto"/>
        </w:rPr>
      </w:pPr>
    </w:p>
    <w:p>
      <w:pPr>
        <w:ind w:right="360" w:firstLine="567"/>
        <w:spacing w:after="0" w:line="258" w:lineRule="auto"/>
        <w:rPr>
          <w:sz w:val="20"/>
          <w:szCs w:val="20"/>
          <w:color w:val="auto"/>
        </w:rPr>
      </w:pPr>
      <w:r>
        <w:rPr>
          <w:rFonts w:ascii="Times New Roman" w:cs="Times New Roman" w:eastAsia="Times New Roman" w:hAnsi="Times New Roman"/>
          <w:sz w:val="22"/>
          <w:szCs w:val="22"/>
          <w:color w:val="auto"/>
        </w:rPr>
        <w:t>Net cash provided by operating activities was $64.0 million for the first nine months of fiscal 2025, compared to $39.1 million for the prior year period.</w:t>
      </w:r>
    </w:p>
    <w:p>
      <w:pPr>
        <w:spacing w:after="0" w:line="185" w:lineRule="exact"/>
        <w:rPr>
          <w:sz w:val="20"/>
          <w:szCs w:val="20"/>
          <w:color w:val="auto"/>
        </w:rPr>
      </w:pPr>
    </w:p>
    <w:p>
      <w:pPr>
        <w:ind w:firstLine="567"/>
        <w:spacing w:after="0" w:line="236" w:lineRule="auto"/>
        <w:rPr>
          <w:sz w:val="20"/>
          <w:szCs w:val="20"/>
          <w:color w:val="auto"/>
        </w:rPr>
      </w:pPr>
      <w:r>
        <w:rPr>
          <w:rFonts w:ascii="Times New Roman" w:cs="Times New Roman" w:eastAsia="Times New Roman" w:hAnsi="Times New Roman"/>
          <w:sz w:val="22"/>
          <w:szCs w:val="22"/>
          <w:color w:val="auto"/>
        </w:rPr>
        <w:t>Operating cash flows for the nine-month period ended October 31, 2025 reflected net income of $47.5 million and non-cash adjustments of $17.2 million, consisted of depreciation, amortization of right-of-use assets, income from equity method investments, interest income from short-term investments, the deferred income tax provision, stock-based compensation expense, and loss on disposal of property and equipment. Additionally, Big River paid dividends of approximately $2.5 million during the first nine months of fiscal year 2025. These inflows were partially offset by various changes to working capital of $3.2 million during the first nine months of 2025, most significantly including:</w:t>
      </w:r>
    </w:p>
    <w:p>
      <w:pPr>
        <w:spacing w:after="0" w:line="208" w:lineRule="exact"/>
        <w:rPr>
          <w:sz w:val="20"/>
          <w:szCs w:val="20"/>
          <w:color w:val="auto"/>
        </w:rPr>
      </w:pPr>
    </w:p>
    <w:p>
      <w:pPr>
        <w:ind w:left="980" w:right="400" w:hanging="324"/>
        <w:spacing w:after="0" w:line="235"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approximately $9.0 million from the decrease in other liabilities as a result a reduction in the lease liability of $4.6 million from payments made during the year, a decrease in accrued payroll of approximately $3.2 million primarily related to the payment of the cash portion of the 2024 incentive bonuses, offset partially by the accrual of the 2025 incentive bonuses to be paid in 2026, and a decrease in both accrued utilities and accrued real estate taxes of approximately $0.5 million each</w:t>
      </w:r>
    </w:p>
    <w:p>
      <w:pPr>
        <w:ind w:left="980" w:right="60" w:hanging="324"/>
        <w:spacing w:after="0" w:line="230"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$5.9 million from the increase in accounts receivable as a result of the timing of products shipping and the receipt of customer payments at our consolidated ethanol plants</w:t>
      </w:r>
    </w:p>
    <w:p>
      <w:pPr>
        <w:spacing w:after="0" w:line="1" w:lineRule="exact"/>
        <w:rPr>
          <w:rFonts w:ascii="Times New Roman" w:cs="Times New Roman" w:eastAsia="Times New Roman" w:hAnsi="Times New Roman"/>
          <w:sz w:val="22"/>
          <w:szCs w:val="22"/>
          <w:color w:val="auto"/>
        </w:rPr>
      </w:pPr>
    </w:p>
    <w:p>
      <w:pPr>
        <w:ind w:left="980" w:hanging="324"/>
        <w:spacing w:after="0" w:line="230"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provided of approximately $4.0 million from the decrease of inventory balances during the period</w:t>
      </w:r>
    </w:p>
    <w:p>
      <w:pPr>
        <w:ind w:left="980" w:right="160" w:hanging="324"/>
        <w:spacing w:after="0" w:line="230"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provided of approximately $3.5 million to reflect the amount the recorded uncertain tax positions exceeded the remaining unused credits they are recorded against</w:t>
      </w:r>
    </w:p>
    <w:p>
      <w:pPr>
        <w:spacing w:after="0" w:line="1" w:lineRule="exact"/>
        <w:rPr>
          <w:rFonts w:ascii="Times New Roman" w:cs="Times New Roman" w:eastAsia="Times New Roman" w:hAnsi="Times New Roman"/>
          <w:sz w:val="22"/>
          <w:szCs w:val="22"/>
          <w:color w:val="auto"/>
        </w:rPr>
      </w:pPr>
    </w:p>
    <w:p>
      <w:pPr>
        <w:ind w:left="980" w:right="540" w:hanging="324"/>
        <w:spacing w:after="0" w:line="237"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provided of $3.0 million due to a increase in accounts payable, primarily related to the timing of inventory receipts and vendor payments</w:t>
      </w:r>
    </w:p>
    <w:p>
      <w:pPr>
        <w:spacing w:after="0" w:line="20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1"/>
          <w:szCs w:val="21"/>
          <w:color w:val="auto"/>
        </w:rPr>
        <w:t>In fiscal 2024, operating cash flow reflected net income of $57.4 million and non-cash adjustments of $20.3 million. Additionally, Big River paid dividends of approximately $3.0 million during the first nine months of fiscal year 2024. These inflows were partially offset by various changes to working capital of approximately $41.6 million, most significantly caused by:</w:t>
      </w:r>
    </w:p>
    <w:p>
      <w:pPr>
        <w:spacing w:after="0" w:line="184" w:lineRule="exact"/>
        <w:rPr>
          <w:sz w:val="20"/>
          <w:szCs w:val="20"/>
          <w:color w:val="auto"/>
        </w:rPr>
      </w:pPr>
    </w:p>
    <w:p>
      <w:pPr>
        <w:ind w:left="980" w:right="220" w:hanging="324"/>
        <w:spacing w:after="0" w:line="241"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approximately $21.6 million due to a decrease in accounts payable, primarily related to the timing of inventory receipts and vendor payments</w:t>
      </w:r>
    </w:p>
    <w:p>
      <w:pPr>
        <w:spacing w:after="0" w:line="1" w:lineRule="exact"/>
        <w:rPr>
          <w:rFonts w:ascii="Times New Roman" w:cs="Times New Roman" w:eastAsia="Times New Roman" w:hAnsi="Times New Roman"/>
          <w:sz w:val="22"/>
          <w:szCs w:val="22"/>
          <w:color w:val="auto"/>
        </w:rPr>
      </w:pPr>
    </w:p>
    <w:p>
      <w:pPr>
        <w:ind w:left="980" w:right="120" w:hanging="324"/>
        <w:spacing w:after="0" w:line="230"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approximately $12.6 million due to the increase in the balance of other assets primarily related to prepayments on certain executed lease agreements, offset by changes in the carrying value of forward purchase contracts and commodity futures positions recorded at fair value, decreases to spare parts inventory, and decreases to prepaid insurance balances</w:t>
      </w:r>
    </w:p>
    <w:p>
      <w:pPr>
        <w:spacing w:after="0" w:line="2" w:lineRule="exact"/>
        <w:rPr>
          <w:rFonts w:ascii="Times New Roman" w:cs="Times New Roman" w:eastAsia="Times New Roman" w:hAnsi="Times New Roman"/>
          <w:sz w:val="22"/>
          <w:szCs w:val="22"/>
          <w:color w:val="auto"/>
        </w:rPr>
      </w:pPr>
    </w:p>
    <w:p>
      <w:pPr>
        <w:jc w:val="both"/>
        <w:ind w:left="980" w:right="400" w:hanging="324"/>
        <w:spacing w:after="0" w:line="241" w:lineRule="auto"/>
        <w:tabs>
          <w:tab w:leader="none" w:pos="9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of cash of approximately $6.2 million from the decrease in other liabilities as a result a reduction in the lease liability of $4.0 million from payments made during the year, a decrease in accrued payroll of approximately $0.6 million primarily related to the payment of the 2023 incentive bonuses, offset partially by the accrual of the 2024 incentive bonuses to be paid in 2025, and a decrease in accrued utilities of approximately $1.3 million</w:t>
      </w:r>
    </w:p>
    <w:p>
      <w:pPr>
        <w:spacing w:after="0" w:line="2"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approximately $2.1 million from the increase of inventory balances during the period</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0"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i w:val="1"/>
          <w:iCs w:val="1"/>
          <w:color w:val="auto"/>
        </w:rPr>
        <w:t>Investing Activities</w:t>
      </w:r>
    </w:p>
    <w:p>
      <w:pPr>
        <w:spacing w:after="0" w:line="239"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Net cash provided by investing activities was $47.5 million in the first nine months of fiscal 2025 versus $37.6 million in the first nine months of fiscal 2024. In fiscal 2025, capital expenditures totaled $55.7 million, primarily at One Earth, which includes plant expansion and CI reduction projects ($33.2 million) and carbon sequestration ($2.8 million). Treasury activity provided net cash, as $129.0 million of purchases were more than offset by $232.0 million of maturities.</w:t>
      </w:r>
    </w:p>
    <w:p>
      <w:pPr>
        <w:spacing w:after="0" w:line="207"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In the first nine months of fiscal 2024, capital expenditures were $55.4 million, primarily at One Earth, which includes plant expansion and CI reduction projects ($24.5 million) and carbon sequestration ($22.4 million). Treasury activity also provided net cash, as $210.3 million of purchases were offset by $303.0 million of maturities.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Financing Activities</w:t>
      </w:r>
    </w:p>
    <w:p>
      <w:pPr>
        <w:spacing w:after="0" w:line="239"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Net cash used in financing activities was $35.8 million in the first nine months of fiscal 2025, including $33.4 million for stock repurchases, $2.3 million for payments to noncontrolling interests and $0.1 million in finance lease payments. In fiscal 2024, financing outflows were $1.9 million, solely for payments to noncontrolling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Capital Resources</w:t>
      </w:r>
    </w:p>
    <w:p>
      <w:pPr>
        <w:spacing w:after="0" w:line="23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At October 31, 2025, working capital was $354.2 million with a current ratio of 7.2x. The Company continues to investigate various uses for our excess cash and short-term investments, including stock repurchases and potential investments in ethanol, energy, carbon sequestration, and agriculture-related ventures.</w:t>
      </w:r>
    </w:p>
    <w:p>
      <w:pPr>
        <w:spacing w:after="0" w:line="20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We expect total capital expenditures related to the construction at the One Earth facilities to approximate $220 million to $230 million, inclusive of the carbon sequestration project and plant capacity expansion and ongoing efforts to reduce CI scoring, which we currently plan to pay from our available cash. This estimate is subject to further refinement as the projects progress. As of October 31, 2025, we had spent $58.1 million since inception and were contractually committed to spend an additional $0.1 million toward the carbon sequestration project. As of October 31, 2025, we had spent $97.7 million since inception and were contractually committed to spend an additional $17.0 million toward plant capacity expansion and CI scoring reduction efforts. For all projects, we plan to spend $25 million to $35 million during the remainder of fiscal year 2025.</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October 31, 2025, 2,357,186 shares remained authorized for repurchase under the Company’s buyback program.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Repurchases are generally made when management deems the shares to trade at a discount to intrinsic value.</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0"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and tariffs, changes in foreign currency exchange rates, the effects of terrorism or acts of war and the effect of pandemics on the Company’s business operations, including impacts on supplies, demand, personnel and other factors.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2025 (File No. 001-09097).</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October 31, 2025 is as follows, assuming normal operating capacity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420" w:type="dxa"/>
            <w:vAlign w:val="bottom"/>
            <w:gridSpan w:val="3"/>
          </w:tcPr>
          <w:p>
            <w:pPr>
              <w:jc w:val="right"/>
              <w:ind w:right="240"/>
              <w:spacing w:after="0"/>
              <w:rPr>
                <w:sz w:val="20"/>
                <w:szCs w:val="20"/>
                <w:color w:val="auto"/>
              </w:rPr>
            </w:pPr>
            <w:r>
              <w:rPr>
                <w:rFonts w:ascii="Times New Roman" w:cs="Times New Roman" w:eastAsia="Times New Roman" w:hAnsi="Times New Roman"/>
                <w:sz w:val="22"/>
                <w:szCs w:val="22"/>
                <w:b w:val="1"/>
                <w:bCs w:val="1"/>
                <w:color w:val="auto"/>
              </w:rPr>
              <w:t>Estimated Total</w:t>
            </w:r>
          </w:p>
        </w:tc>
        <w:tc>
          <w:tcPr>
            <w:tcW w:w="1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38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Decrease in Pre-tax</w:t>
            </w:r>
          </w:p>
        </w:tc>
      </w:tr>
      <w:tr>
        <w:trPr>
          <w:trHeight w:val="243"/>
        </w:trPr>
        <w:tc>
          <w:tcPr>
            <w:tcW w:w="1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420" w:type="dxa"/>
            <w:vAlign w:val="bottom"/>
            <w:gridSpan w:val="3"/>
          </w:tcPr>
          <w:p>
            <w:pPr>
              <w:jc w:val="right"/>
              <w:ind w:right="240"/>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38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r>
      <w:tr>
        <w:trPr>
          <w:trHeight w:val="234"/>
        </w:trPr>
        <w:tc>
          <w:tcPr>
            <w:tcW w:w="334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Commodity</w:t>
            </w:r>
          </w:p>
        </w:tc>
        <w:tc>
          <w:tcPr>
            <w:tcW w:w="3420" w:type="dxa"/>
            <w:vAlign w:val="bottom"/>
            <w:gridSpan w:val="3"/>
          </w:tcPr>
          <w:p>
            <w:pPr>
              <w:jc w:val="right"/>
              <w:ind w:right="240"/>
              <w:spacing w:after="0" w:line="233" w:lineRule="exact"/>
              <w:rPr>
                <w:sz w:val="20"/>
                <w:szCs w:val="20"/>
                <w:color w:val="auto"/>
              </w:rPr>
            </w:pPr>
            <w:r>
              <w:rPr>
                <w:rFonts w:ascii="Times New Roman" w:cs="Times New Roman" w:eastAsia="Times New Roman" w:hAnsi="Times New Roman"/>
                <w:sz w:val="22"/>
                <w:szCs w:val="22"/>
                <w:b w:val="1"/>
                <w:bCs w:val="1"/>
                <w:color w:val="auto"/>
              </w:rPr>
              <w:t>12 Months</w:t>
            </w:r>
          </w:p>
        </w:tc>
        <w:tc>
          <w:tcPr>
            <w:tcW w:w="2100" w:type="dxa"/>
            <w:vAlign w:val="bottom"/>
            <w:gridSpan w:val="2"/>
          </w:tcPr>
          <w:p>
            <w:pPr>
              <w:jc w:val="right"/>
              <w:ind w:right="600"/>
              <w:spacing w:after="0" w:line="233" w:lineRule="exact"/>
              <w:rPr>
                <w:sz w:val="20"/>
                <w:szCs w:val="20"/>
                <w:color w:val="auto"/>
              </w:rPr>
            </w:pPr>
            <w:r>
              <w:rPr>
                <w:rFonts w:ascii="Times New Roman" w:cs="Times New Roman" w:eastAsia="Times New Roman" w:hAnsi="Times New Roman"/>
                <w:sz w:val="22"/>
                <w:szCs w:val="22"/>
                <w:b w:val="1"/>
                <w:bCs w:val="1"/>
                <w:color w:val="auto"/>
                <w:w w:val="96"/>
              </w:rPr>
              <w:t>Unit of Measure</w:t>
            </w:r>
          </w:p>
        </w:tc>
        <w:tc>
          <w:tcPr>
            <w:tcW w:w="2380" w:type="dxa"/>
            <w:vAlign w:val="bottom"/>
            <w:gridSpan w:val="3"/>
          </w:tcPr>
          <w:p>
            <w:pPr>
              <w:jc w:val="right"/>
              <w:ind w:right="100"/>
              <w:spacing w:after="0" w:line="233" w:lineRule="exact"/>
              <w:rPr>
                <w:sz w:val="20"/>
                <w:szCs w:val="20"/>
                <w:color w:val="auto"/>
              </w:rPr>
            </w:pPr>
            <w:r>
              <w:rPr>
                <w:rFonts w:ascii="Times New Roman" w:cs="Times New Roman" w:eastAsia="Times New Roman" w:hAnsi="Times New Roman"/>
                <w:sz w:val="22"/>
                <w:szCs w:val="22"/>
                <w:b w:val="1"/>
                <w:bCs w:val="1"/>
                <w:color w:val="auto"/>
                <w:w w:val="97"/>
              </w:rPr>
              <w:t>Adverse Change in Price</w:t>
            </w:r>
          </w:p>
        </w:tc>
      </w:tr>
      <w:tr>
        <w:trPr>
          <w:trHeight w:val="264"/>
        </w:trPr>
        <w:tc>
          <w:tcPr>
            <w:tcW w:w="1100" w:type="dxa"/>
            <w:vAlign w:val="bottom"/>
            <w:tcBorders>
              <w:top w:val="single" w:sz="8" w:color="auto"/>
            </w:tcBorders>
          </w:tcPr>
          <w:p>
            <w:pPr>
              <w:spacing w:after="0"/>
              <w:rPr>
                <w:sz w:val="22"/>
                <w:szCs w:val="22"/>
                <w:color w:val="auto"/>
              </w:rPr>
            </w:pPr>
          </w:p>
        </w:tc>
        <w:tc>
          <w:tcPr>
            <w:tcW w:w="22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3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3420" w:type="dxa"/>
            <w:vAlign w:val="bottom"/>
            <w:gridSpan w:val="3"/>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308,000</w:t>
            </w:r>
          </w:p>
        </w:tc>
        <w:tc>
          <w:tcPr>
            <w:tcW w:w="2100" w:type="dxa"/>
            <w:vAlign w:val="bottom"/>
            <w:gridSpan w:val="2"/>
            <w:shd w:val="clear" w:color="auto" w:fill="E5FFFF"/>
          </w:tcPr>
          <w:p>
            <w:pPr>
              <w:jc w:val="right"/>
              <w:ind w:right="600"/>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1420" w:type="dxa"/>
            <w:vAlign w:val="bottom"/>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47,058</w:t>
            </w:r>
          </w:p>
        </w:tc>
        <w:tc>
          <w:tcPr>
            <w:tcW w:w="100" w:type="dxa"/>
            <w:vAlign w:val="bottom"/>
            <w:shd w:val="clear" w:color="auto" w:fill="E5FFFF"/>
          </w:tcPr>
          <w:p>
            <w:pPr>
              <w:spacing w:after="0"/>
              <w:rPr>
                <w:sz w:val="21"/>
                <w:szCs w:val="2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3420" w:type="dxa"/>
            <w:vAlign w:val="bottom"/>
            <w:gridSpan w:val="3"/>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106,600</w:t>
            </w:r>
          </w:p>
        </w:tc>
        <w:tc>
          <w:tcPr>
            <w:tcW w:w="2100" w:type="dxa"/>
            <w:vAlign w:val="bottom"/>
            <w:gridSpan w:val="2"/>
          </w:tcPr>
          <w:p>
            <w:pPr>
              <w:jc w:val="right"/>
              <w:ind w:right="600"/>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14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39,978</w:t>
            </w:r>
          </w:p>
        </w:tc>
        <w:tc>
          <w:tcPr>
            <w:tcW w:w="100" w:type="dxa"/>
            <w:vAlign w:val="bottom"/>
          </w:tcPr>
          <w:p>
            <w:pPr>
              <w:spacing w:after="0"/>
              <w:rPr>
                <w:sz w:val="21"/>
                <w:szCs w:val="21"/>
                <w:color w:val="auto"/>
              </w:rPr>
            </w:pPr>
          </w:p>
        </w:tc>
      </w:tr>
      <w:tr>
        <w:trPr>
          <w:trHeight w:val="243"/>
        </w:trPr>
        <w:tc>
          <w:tcPr>
            <w:tcW w:w="33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3420" w:type="dxa"/>
            <w:vAlign w:val="bottom"/>
            <w:gridSpan w:val="3"/>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732</w:t>
            </w:r>
          </w:p>
        </w:tc>
        <w:tc>
          <w:tcPr>
            <w:tcW w:w="2100" w:type="dxa"/>
            <w:vAlign w:val="bottom"/>
            <w:gridSpan w:val="2"/>
            <w:shd w:val="clear" w:color="auto" w:fill="E5FFFF"/>
          </w:tcPr>
          <w:p>
            <w:pPr>
              <w:jc w:val="right"/>
              <w:ind w:right="600"/>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1420" w:type="dxa"/>
            <w:vAlign w:val="bottom"/>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8,393</w:t>
            </w:r>
          </w:p>
        </w:tc>
        <w:tc>
          <w:tcPr>
            <w:tcW w:w="100" w:type="dxa"/>
            <w:vAlign w:val="bottom"/>
            <w:shd w:val="clear" w:color="auto" w:fill="E5FFFF"/>
          </w:tcPr>
          <w:p>
            <w:pPr>
              <w:spacing w:after="0"/>
              <w:rPr>
                <w:sz w:val="21"/>
                <w:szCs w:val="2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3420" w:type="dxa"/>
            <w:vAlign w:val="bottom"/>
            <w:gridSpan w:val="3"/>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2100" w:type="dxa"/>
            <w:vAlign w:val="bottom"/>
            <w:gridSpan w:val="2"/>
          </w:tcPr>
          <w:p>
            <w:pPr>
              <w:jc w:val="right"/>
              <w:ind w:right="600"/>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14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5,131</w:t>
            </w:r>
          </w:p>
        </w:tc>
        <w:tc>
          <w:tcPr>
            <w:tcW w:w="100" w:type="dxa"/>
            <w:vAlign w:val="bottom"/>
          </w:tcPr>
          <w:p>
            <w:pPr>
              <w:spacing w:after="0"/>
              <w:rPr>
                <w:sz w:val="21"/>
                <w:szCs w:val="21"/>
                <w:color w:val="auto"/>
              </w:rPr>
            </w:pPr>
          </w:p>
        </w:tc>
      </w:tr>
      <w:tr>
        <w:trPr>
          <w:trHeight w:val="243"/>
        </w:trPr>
        <w:tc>
          <w:tcPr>
            <w:tcW w:w="33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3420" w:type="dxa"/>
            <w:vAlign w:val="bottom"/>
            <w:gridSpan w:val="3"/>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2100" w:type="dxa"/>
            <w:vAlign w:val="bottom"/>
            <w:gridSpan w:val="2"/>
            <w:shd w:val="clear" w:color="auto" w:fill="E5FFFF"/>
          </w:tcPr>
          <w:p>
            <w:pPr>
              <w:jc w:val="right"/>
              <w:ind w:right="600"/>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1420" w:type="dxa"/>
            <w:vAlign w:val="bottom"/>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2,340</w:t>
            </w:r>
          </w:p>
        </w:tc>
        <w:tc>
          <w:tcPr>
            <w:tcW w:w="100" w:type="dxa"/>
            <w:vAlign w:val="bottom"/>
            <w:shd w:val="clear" w:color="auto" w:fill="E5FFFF"/>
          </w:tcPr>
          <w:p>
            <w:pPr>
              <w:spacing w:after="0"/>
              <w:rPr>
                <w:sz w:val="21"/>
                <w:szCs w:val="2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3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discussed in our Annual Report on Form 10-K for the year ended January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39"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On March 25, 2025, the Board of Directors authorized the repurchase from time to time of up to an additional 3,000,000 shares through open market transactions, privately negotiated transactions, or transactions by other means in accordance with applicable securities laws. At October 31, 2025, a total of 2,357,186 shares remained available to purchase under this authorization.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were no share repurchases by the Company in the third quarter of fiscal year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33" w:lineRule="exact"/>
        <w:rPr>
          <w:sz w:val="20"/>
          <w:szCs w:val="20"/>
          <w:color w:val="auto"/>
        </w:rPr>
      </w:pPr>
    </w:p>
    <w:p>
      <w:pPr>
        <w:ind w:left="1240" w:hanging="422"/>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rFonts w:ascii="Times New Roman" w:cs="Times New Roman" w:eastAsia="Times New Roman" w:hAnsi="Times New Roman"/>
          <w:sz w:val="22"/>
          <w:szCs w:val="22"/>
          <w:color w:val="auto"/>
        </w:rPr>
      </w:pPr>
    </w:p>
    <w:p>
      <w:pPr>
        <w:ind w:left="1240" w:hanging="422"/>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jc w:val="both"/>
        <w:ind w:left="1320" w:hanging="502"/>
        <w:spacing w:after="0" w:line="239" w:lineRule="auto"/>
        <w:tabs>
          <w:tab w:leader="none" w:pos="1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information from REX American Resources Corporation Quarterly Report on Form 10-Q for the quarter ended October 31, 2025, formatted in iXBRL: (i) Consolidated Balance Sheets, (ii) Consolidated Statements of Operations, (iii) Consolidated Statements of Equity, (iv) Consolidated Statements of Cash Flows and (v) Notes to Consolidated Financial Statements.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REX American Resources Corporation</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gridSpan w:val="4"/>
          </w:tcPr>
          <w:p>
            <w:pPr>
              <w:jc w:val="center"/>
              <w:ind w:right="1200"/>
              <w:spacing w:after="0"/>
              <w:rPr>
                <w:sz w:val="20"/>
                <w:szCs w:val="20"/>
                <w:color w:val="auto"/>
              </w:rPr>
            </w:pPr>
            <w:r>
              <w:rPr>
                <w:rFonts w:ascii="Times New Roman" w:cs="Times New Roman" w:eastAsia="Times New Roman" w:hAnsi="Times New Roman"/>
                <w:sz w:val="22"/>
                <w:szCs w:val="22"/>
                <w:b w:val="1"/>
                <w:bCs w:val="1"/>
                <w:color w:val="auto"/>
                <w:w w:val="98"/>
              </w:rPr>
              <w:t>Signature</w:t>
            </w:r>
          </w:p>
        </w:tc>
        <w:tc>
          <w:tcPr>
            <w:tcW w:w="4840" w:type="dxa"/>
            <w:vAlign w:val="bottom"/>
            <w:gridSpan w:val="3"/>
          </w:tcPr>
          <w:p>
            <w:pPr>
              <w:ind w:left="252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1600" w:type="dxa"/>
            <w:vAlign w:val="bottom"/>
          </w:tcPr>
          <w:p>
            <w:pPr>
              <w:spacing w:after="0"/>
              <w:rPr>
                <w:sz w:val="22"/>
                <w:szCs w:val="22"/>
                <w:color w:val="auto"/>
              </w:rPr>
            </w:pPr>
          </w:p>
        </w:tc>
        <w:tc>
          <w:tcPr>
            <w:tcW w:w="1460" w:type="dxa"/>
            <w:vAlign w:val="bottom"/>
            <w:gridSpan w:val="2"/>
          </w:tcPr>
          <w:p>
            <w:pPr>
              <w:jc w:val="center"/>
              <w:ind w:right="1020"/>
              <w:spacing w:after="0"/>
              <w:rPr>
                <w:sz w:val="20"/>
                <w:szCs w:val="20"/>
                <w:color w:val="auto"/>
              </w:rPr>
            </w:pPr>
            <w:r>
              <w:rPr>
                <w:rFonts w:ascii="Times New Roman" w:cs="Times New Roman" w:eastAsia="Times New Roman" w:hAnsi="Times New Roman"/>
                <w:sz w:val="22"/>
                <w:szCs w:val="22"/>
                <w:b w:val="1"/>
                <w:bCs w:val="1"/>
                <w:color w:val="auto"/>
                <w:w w:val="99"/>
              </w:rPr>
              <w:t>Date</w:t>
            </w: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0" w:type="dxa"/>
            <w:vAlign w:val="bottom"/>
            <w:gridSpan w:val="5"/>
          </w:tcPr>
          <w:p>
            <w:pPr>
              <w:jc w:val="center"/>
              <w:ind w:right="880"/>
              <w:spacing w:after="0"/>
              <w:rPr>
                <w:sz w:val="20"/>
                <w:szCs w:val="20"/>
                <w:color w:val="auto"/>
              </w:rPr>
            </w:pPr>
            <w:r>
              <w:rPr>
                <w:rFonts w:ascii="Times New Roman" w:cs="Times New Roman" w:eastAsia="Times New Roman" w:hAnsi="Times New Roman"/>
                <w:sz w:val="22"/>
                <w:szCs w:val="22"/>
                <w:color w:val="auto"/>
                <w:w w:val="98"/>
              </w:rPr>
              <w:t>/s/ Zafar A. Rizvi</w:t>
            </w:r>
          </w:p>
        </w:tc>
        <w:tc>
          <w:tcPr>
            <w:tcW w:w="484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(Zafar A. Rizvi)</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(Chief Executive Officer)</w:t>
            </w:r>
          </w:p>
        </w:tc>
        <w:tc>
          <w:tcPr>
            <w:tcW w:w="3060" w:type="dxa"/>
            <w:vAlign w:val="bottom"/>
            <w:gridSpan w:val="3"/>
          </w:tcPr>
          <w:p>
            <w:pPr>
              <w:jc w:val="center"/>
              <w:ind w:left="492"/>
              <w:spacing w:after="0"/>
              <w:rPr>
                <w:sz w:val="20"/>
                <w:szCs w:val="20"/>
                <w:color w:val="auto"/>
              </w:rPr>
            </w:pPr>
            <w:r>
              <w:rPr>
                <w:rFonts w:ascii="Times New Roman" w:cs="Times New Roman" w:eastAsia="Times New Roman" w:hAnsi="Times New Roman"/>
                <w:sz w:val="22"/>
                <w:szCs w:val="22"/>
                <w:color w:val="auto"/>
                <w:w w:val="97"/>
              </w:rPr>
              <w:t>December 4, 2025</w:t>
            </w:r>
          </w:p>
        </w:tc>
      </w:tr>
      <w:tr>
        <w:trPr>
          <w:trHeight w:val="433"/>
        </w:trPr>
        <w:tc>
          <w:tcPr>
            <w:tcW w:w="560" w:type="dxa"/>
            <w:vAlign w:val="bottom"/>
          </w:tcPr>
          <w:p>
            <w:pPr>
              <w:spacing w:after="0"/>
              <w:rPr>
                <w:sz w:val="24"/>
                <w:szCs w:val="24"/>
                <w:color w:val="auto"/>
              </w:rPr>
            </w:pPr>
          </w:p>
        </w:tc>
        <w:tc>
          <w:tcPr>
            <w:tcW w:w="2780" w:type="dxa"/>
            <w:vAlign w:val="bottom"/>
            <w:gridSpan w:val="6"/>
          </w:tcPr>
          <w:p>
            <w:pPr>
              <w:jc w:val="center"/>
              <w:ind w:right="500"/>
              <w:spacing w:after="0"/>
              <w:rPr>
                <w:sz w:val="20"/>
                <w:szCs w:val="20"/>
                <w:color w:val="auto"/>
              </w:rPr>
            </w:pPr>
            <w:r>
              <w:rPr>
                <w:rFonts w:ascii="Times New Roman" w:cs="Times New Roman" w:eastAsia="Times New Roman" w:hAnsi="Times New Roman"/>
                <w:sz w:val="22"/>
                <w:szCs w:val="22"/>
                <w:color w:val="auto"/>
                <w:w w:val="98"/>
              </w:rPr>
              <w:t>/s/ Douglas L. Bruggeman</w:t>
            </w:r>
          </w:p>
        </w:tc>
        <w:tc>
          <w:tcPr>
            <w:tcW w:w="484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Vice President, Finance and Treasurer</w:t>
            </w: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56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color w:val="auto"/>
                <w:w w:val="98"/>
              </w:rPr>
              <w:t>(Douglas L. Bruggeman))</w:t>
            </w:r>
          </w:p>
        </w:tc>
        <w:tc>
          <w:tcPr>
            <w:tcW w:w="500" w:type="dxa"/>
            <w:vAlign w:val="bottom"/>
          </w:tcPr>
          <w:p>
            <w:pPr>
              <w:spacing w:after="0"/>
              <w:rPr>
                <w:sz w:val="23"/>
                <w:szCs w:val="23"/>
                <w:color w:val="auto"/>
              </w:rPr>
            </w:pPr>
          </w:p>
        </w:tc>
        <w:tc>
          <w:tcPr>
            <w:tcW w:w="48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(Chief Financial Officer)</w:t>
            </w:r>
          </w:p>
        </w:tc>
        <w:tc>
          <w:tcPr>
            <w:tcW w:w="3060" w:type="dxa"/>
            <w:vAlign w:val="bottom"/>
            <w:gridSpan w:val="3"/>
          </w:tcPr>
          <w:p>
            <w:pPr>
              <w:jc w:val="center"/>
              <w:ind w:left="492"/>
              <w:spacing w:after="0"/>
              <w:rPr>
                <w:sz w:val="20"/>
                <w:szCs w:val="20"/>
                <w:color w:val="auto"/>
              </w:rPr>
            </w:pPr>
            <w:r>
              <w:rPr>
                <w:rFonts w:ascii="Times New Roman" w:cs="Times New Roman" w:eastAsia="Times New Roman" w:hAnsi="Times New Roman"/>
                <w:sz w:val="22"/>
                <w:szCs w:val="22"/>
                <w:color w:val="auto"/>
                <w:w w:val="97"/>
              </w:rPr>
              <w:t>December 4, 2025</w:t>
            </w:r>
          </w:p>
        </w:tc>
      </w:tr>
      <w:tr>
        <w:trPr>
          <w:trHeight w:val="43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20" w:type="dxa"/>
            <w:vAlign w:val="bottom"/>
          </w:tcPr>
          <w:p>
            <w:pPr>
              <w:ind w:left="2180"/>
              <w:spacing w:after="0"/>
              <w:rPr>
                <w:sz w:val="20"/>
                <w:szCs w:val="20"/>
                <w:color w:val="auto"/>
              </w:rPr>
            </w:pPr>
            <w:r>
              <w:rPr>
                <w:rFonts w:ascii="Times New Roman" w:cs="Times New Roman" w:eastAsia="Times New Roman" w:hAnsi="Times New Roman"/>
                <w:sz w:val="22"/>
                <w:szCs w:val="22"/>
                <w:color w:val="auto"/>
              </w:rPr>
              <w:t>43</w:t>
            </w: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5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880" w:type="dxa"/>
            <w:vAlign w:val="bottom"/>
            <w:tcBorders>
              <w:bottom w:val="single" w:sz="8" w:color="C0C0C0"/>
            </w:tcBorders>
          </w:tcPr>
          <w:p>
            <w:pPr>
              <w:spacing w:after="0"/>
              <w:rPr>
                <w:sz w:val="20"/>
                <w:szCs w:val="20"/>
                <w:color w:val="auto"/>
              </w:rPr>
            </w:pPr>
          </w:p>
        </w:tc>
        <w:tc>
          <w:tcPr>
            <w:tcW w:w="16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Zafar A. Rizvi, certify that:</w:t>
      </w:r>
    </w:p>
    <w:p>
      <w:pPr>
        <w:spacing w:after="0" w:line="229" w:lineRule="exact"/>
        <w:rPr>
          <w:sz w:val="20"/>
          <w:szCs w:val="20"/>
          <w:color w:val="auto"/>
        </w:rPr>
      </w:pPr>
    </w:p>
    <w:p>
      <w:pPr>
        <w:ind w:left="860" w:hanging="204"/>
        <w:spacing w:after="0"/>
        <w:tabs>
          <w:tab w:leader="none" w:pos="8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REX American Resources Corporation;</w:t>
      </w:r>
    </w:p>
    <w:p>
      <w:pPr>
        <w:spacing w:after="0" w:line="229" w:lineRule="exact"/>
        <w:rPr>
          <w:rFonts w:ascii="Times New Roman" w:cs="Times New Roman" w:eastAsia="Times New Roman" w:hAnsi="Times New Roman"/>
          <w:sz w:val="20"/>
          <w:szCs w:val="20"/>
          <w:color w:val="auto"/>
        </w:rPr>
      </w:pPr>
    </w:p>
    <w:p>
      <w:pPr>
        <w:ind w:right="60" w:firstLine="656"/>
        <w:spacing w:after="0" w:line="254" w:lineRule="auto"/>
        <w:tabs>
          <w:tab w:leader="none" w:pos="8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440" w:firstLine="656"/>
        <w:spacing w:after="0" w:line="254" w:lineRule="auto"/>
        <w:tabs>
          <w:tab w:leader="none" w:pos="8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20"/>
          <w:szCs w:val="20"/>
          <w:color w:val="auto"/>
        </w:rPr>
      </w:pPr>
    </w:p>
    <w:p>
      <w:pPr>
        <w:jc w:val="both"/>
        <w:ind w:right="220" w:firstLine="656"/>
        <w:spacing w:after="0" w:line="264" w:lineRule="auto"/>
        <w:tabs>
          <w:tab w:leader="none" w:pos="846"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ind w:left="660" w:right="160" w:firstLine="320"/>
        <w:spacing w:after="0" w:line="254" w:lineRule="auto"/>
        <w:tabs>
          <w:tab w:leader="none" w:pos="1253"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jc w:val="both"/>
        <w:ind w:left="660" w:firstLine="320"/>
        <w:spacing w:after="0" w:line="254" w:lineRule="auto"/>
        <w:tabs>
          <w:tab w:leader="none" w:pos="126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660" w:right="100" w:firstLine="320"/>
        <w:spacing w:after="0" w:line="254" w:lineRule="auto"/>
        <w:tabs>
          <w:tab w:leader="none" w:pos="1253"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660" w:firstLine="320"/>
        <w:spacing w:after="0" w:line="254" w:lineRule="auto"/>
        <w:tabs>
          <w:tab w:leader="none" w:pos="126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ind w:left="-656" w:right="20" w:firstLine="656"/>
        <w:spacing w:after="0" w:line="254" w:lineRule="auto"/>
        <w:tabs>
          <w:tab w:leader="none" w:pos="19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4" w:firstLine="320"/>
        <w:spacing w:after="0" w:line="254" w:lineRule="auto"/>
        <w:tabs>
          <w:tab w:leader="none" w:pos="597"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4" w:right="740" w:firstLine="320"/>
        <w:spacing w:after="0" w:line="269" w:lineRule="auto"/>
        <w:tabs>
          <w:tab w:leader="none" w:pos="60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20"/>
          <w:szCs w:val="20"/>
          <w:color w:val="auto"/>
        </w:rPr>
        <w:t>Date: December 4, 2025</w:t>
      </w:r>
    </w:p>
    <w:p>
      <w:pPr>
        <w:spacing w:after="0" w:line="22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20"/>
          <w:szCs w:val="20"/>
          <w:color w:val="auto"/>
        </w:rPr>
        <w:t>/s/ Zafar A. Rizvi</w:t>
      </w:r>
    </w:p>
    <w:p>
      <w:pPr>
        <w:spacing w:after="0" w:line="21"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20"/>
          <w:szCs w:val="20"/>
          <w:color w:val="auto"/>
        </w:rPr>
        <w:t>Zafar A. Rizvi</w:t>
      </w:r>
    </w:p>
    <w:p>
      <w:pPr>
        <w:ind w:left="5544"/>
        <w:spacing w:after="0"/>
        <w:rPr>
          <w:sz w:val="20"/>
          <w:szCs w:val="20"/>
          <w:color w:val="auto"/>
        </w:rPr>
      </w:pPr>
      <w:r>
        <w:rPr>
          <w:rFonts w:ascii="Times New Roman" w:cs="Times New Roman" w:eastAsia="Times New Roman" w:hAnsi="Times New Roman"/>
          <w:sz w:val="20"/>
          <w:szCs w:val="20"/>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154305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4"/>
          </w:cols>
          <w:pgMar w:left="976" w:top="400" w:right="39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Douglas L. Bruggeman, certify that:</w:t>
      </w:r>
    </w:p>
    <w:p>
      <w:pPr>
        <w:spacing w:after="0" w:line="229" w:lineRule="exact"/>
        <w:rPr>
          <w:sz w:val="20"/>
          <w:szCs w:val="20"/>
          <w:color w:val="auto"/>
        </w:rPr>
      </w:pPr>
    </w:p>
    <w:p>
      <w:pPr>
        <w:ind w:left="860" w:hanging="204"/>
        <w:spacing w:after="0"/>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REX American Resources Corporation;</w:t>
      </w:r>
    </w:p>
    <w:p>
      <w:pPr>
        <w:spacing w:after="0" w:line="229" w:lineRule="exact"/>
        <w:rPr>
          <w:rFonts w:ascii="Times New Roman" w:cs="Times New Roman" w:eastAsia="Times New Roman" w:hAnsi="Times New Roman"/>
          <w:sz w:val="20"/>
          <w:szCs w:val="20"/>
          <w:color w:val="auto"/>
        </w:rPr>
      </w:pPr>
    </w:p>
    <w:p>
      <w:pPr>
        <w:ind w:right="60" w:firstLine="656"/>
        <w:spacing w:after="0" w:line="254" w:lineRule="auto"/>
        <w:tabs>
          <w:tab w:leader="none" w:pos="84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440" w:firstLine="656"/>
        <w:spacing w:after="0" w:line="254" w:lineRule="auto"/>
        <w:tabs>
          <w:tab w:leader="none" w:pos="84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20"/>
          <w:szCs w:val="20"/>
          <w:color w:val="auto"/>
        </w:rPr>
      </w:pPr>
    </w:p>
    <w:p>
      <w:pPr>
        <w:jc w:val="both"/>
        <w:ind w:right="220" w:firstLine="656"/>
        <w:spacing w:after="0" w:line="264" w:lineRule="auto"/>
        <w:tabs>
          <w:tab w:leader="none" w:pos="846"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ind w:left="660" w:right="160" w:firstLine="320"/>
        <w:spacing w:after="0" w:line="254" w:lineRule="auto"/>
        <w:tabs>
          <w:tab w:leader="none" w:pos="125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jc w:val="both"/>
        <w:ind w:left="660" w:firstLine="320"/>
        <w:spacing w:after="0" w:line="254" w:lineRule="auto"/>
        <w:tabs>
          <w:tab w:leader="none" w:pos="126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660" w:right="100" w:firstLine="320"/>
        <w:spacing w:after="0" w:line="254" w:lineRule="auto"/>
        <w:tabs>
          <w:tab w:leader="none" w:pos="125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660" w:firstLine="320"/>
        <w:spacing w:after="0" w:line="254" w:lineRule="auto"/>
        <w:tabs>
          <w:tab w:leader="none" w:pos="126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6" w:name="page47"/>
    <w:bookmarkEnd w:id="46"/>
    <w:p>
      <w:pPr>
        <w:ind w:left="-656" w:right="20" w:firstLine="656"/>
        <w:spacing w:after="0" w:line="254" w:lineRule="auto"/>
        <w:tabs>
          <w:tab w:leader="none" w:pos="19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4" w:firstLine="320"/>
        <w:spacing w:after="0" w:line="254" w:lineRule="auto"/>
        <w:tabs>
          <w:tab w:leader="none" w:pos="597"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4" w:right="740" w:firstLine="320"/>
        <w:spacing w:after="0" w:line="269" w:lineRule="auto"/>
        <w:tabs>
          <w:tab w:leader="none" w:pos="608"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20"/>
          <w:szCs w:val="20"/>
          <w:color w:val="auto"/>
        </w:rPr>
        <w:t>Date: December 4, 2025</w:t>
      </w:r>
    </w:p>
    <w:p>
      <w:pPr>
        <w:spacing w:after="0" w:line="22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20"/>
          <w:szCs w:val="20"/>
          <w:color w:val="auto"/>
        </w:rPr>
        <w:t>/s/ Douglas L. Bruggeman</w:t>
      </w:r>
    </w:p>
    <w:p>
      <w:pPr>
        <w:spacing w:after="0" w:line="21"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20"/>
          <w:szCs w:val="20"/>
          <w:color w:val="auto"/>
        </w:rPr>
        <w:t>Douglas L. Bruggeman</w:t>
      </w:r>
    </w:p>
    <w:p>
      <w:pPr>
        <w:ind w:left="5544"/>
        <w:spacing w:after="0"/>
        <w:rPr>
          <w:sz w:val="20"/>
          <w:szCs w:val="20"/>
          <w:color w:val="auto"/>
        </w:rPr>
      </w:pPr>
      <w:r>
        <w:rPr>
          <w:rFonts w:ascii="Times New Roman" w:cs="Times New Roman" w:eastAsia="Times New Roman" w:hAnsi="Times New Roman"/>
          <w:sz w:val="20"/>
          <w:szCs w:val="20"/>
          <w:i w:val="1"/>
          <w:iCs w:val="1"/>
          <w:color w:val="auto"/>
        </w:rPr>
        <w:t>Vice President, Finance, Treasurer and</w:t>
      </w:r>
    </w:p>
    <w:p>
      <w:pPr>
        <w:ind w:left="5544"/>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154305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24"/>
          </w:cols>
          <w:pgMar w:left="976" w:top="400" w:right="3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REX American Resources Corporation</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BY SECTION 906</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07"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0"/>
          <w:szCs w:val="20"/>
          <w:color w:val="auto"/>
        </w:rPr>
        <w:t>The undersigned officers of REX American Resources Corporation (the “Company”) hereby certify, to their knowledge, that the Company’s Quarterly Report on Form 10-Q for the period ended October 31, 2025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93"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Zafar A. Rizvi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Zafar A. Rizvi</w:t>
      </w:r>
    </w:p>
    <w:p>
      <w:pPr>
        <w:spacing w:after="0"/>
        <w:rPr>
          <w:sz w:val="20"/>
          <w:szCs w:val="20"/>
          <w:color w:val="auto"/>
        </w:rPr>
      </w:pPr>
      <w:r>
        <w:rPr>
          <w:rFonts w:ascii="Times New Roman" w:cs="Times New Roman" w:eastAsia="Times New Roman" w:hAnsi="Times New Roman"/>
          <w:sz w:val="20"/>
          <w:szCs w:val="20"/>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Douglas L. Bruggeman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Douglas L. Bruggeman</w:t>
      </w:r>
    </w:p>
    <w:p>
      <w:pPr>
        <w:spacing w:after="0"/>
        <w:rPr>
          <w:sz w:val="20"/>
          <w:szCs w:val="20"/>
          <w:color w:val="auto"/>
        </w:rPr>
      </w:pPr>
      <w:r>
        <w:rPr>
          <w:rFonts w:ascii="Times New Roman" w:cs="Times New Roman" w:eastAsia="Times New Roman" w:hAnsi="Times New Roman"/>
          <w:sz w:val="20"/>
          <w:szCs w:val="20"/>
          <w:i w:val="1"/>
          <w:iCs w:val="1"/>
          <w:color w:val="auto"/>
        </w:rPr>
        <w:t>Vice President, Finance, Treasurer and</w:t>
      </w:r>
    </w:p>
    <w:p>
      <w:pPr>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December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3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5"/>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2025-12-04T11:58:28Z</dcterms:created>
  <dcterms:modified xsi:type="dcterms:W3CDTF">2025-12-04T11:58:28Z</dcterms:modified>
</cp:coreProperties>
</file>