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PreformattedText"/>
        <w:rPr/>
      </w:pPr>
      <w:bookmarkStart w:id="0" w:name="c50411.txt"/>
      <w:bookmarkStart w:id="1" w:name="ksc50411"/>
      <w:bookmarkEnd w:id="0"/>
      <w:bookmarkEnd w:id="1"/>
      <w:r>
        <w:rPr/>
        <w:t xml:space="preserve">                       </w:t>
      </w:r>
      <w:r>
        <w:rPr/>
        <w:t>SECURITIES AND EXCHANGE COMMISSION</w:t>
      </w:r>
    </w:p>
    <w:p>
      <w:pPr>
        <w:pStyle w:val="PreformattedText"/>
        <w:rPr/>
      </w:pPr>
      <w:r>
        <w:rPr/>
        <w:t xml:space="preserve">                             </w:t>
      </w:r>
      <w:r>
        <w:rPr/>
        <w:t>WASHINGTON, D.C. 20549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</w:t>
      </w:r>
      <w:r>
        <w:rPr/>
        <w:t>FORM 8-K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</w:t>
      </w:r>
      <w:r>
        <w:rPr/>
        <w:t>CURRENT REPORT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Pursuant to Section 13 or 15(d) of the Securities Exchange Act of 1934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Date of Report (Date of earliest event reported): September 19, 2007</w:t>
      </w:r>
    </w:p>
    <w:p>
      <w:pPr>
        <w:pStyle w:val="PreformattedText"/>
        <w:rPr/>
      </w:pPr>
      <w:r>
        <w:rPr/>
        <w:t xml:space="preserve">                             </w:t>
      </w:r>
      <w:r>
        <w:rPr/>
        <w:t>REX STORES CORPORATION</w:t>
      </w:r>
    </w:p>
    <w:p>
      <w:pPr>
        <w:pStyle w:val="PreformattedText"/>
        <w:rPr/>
      </w:pPr>
      <w:r>
        <w:rPr/>
        <w:t xml:space="preserve">             </w:t>
      </w:r>
      <w:r>
        <w:rPr/>
        <w:t>(Exact name of registrant as specified in its charter)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</w:t>
      </w:r>
      <w:r>
        <w:rPr/>
        <w:t>Delaware                  001-09097               31-1095548</w:t>
      </w:r>
    </w:p>
    <w:p>
      <w:pPr>
        <w:pStyle w:val="PreformattedText"/>
        <w:rPr/>
      </w:pPr>
      <w:r>
        <w:rPr/>
        <w:t>(State or other jurisdiction     (Commission File No.)       (IRS Employer</w:t>
      </w:r>
    </w:p>
    <w:p>
      <w:pPr>
        <w:pStyle w:val="PreformattedText"/>
        <w:rPr/>
      </w:pPr>
      <w:r>
        <w:rPr/>
        <w:t xml:space="preserve"> </w:t>
      </w:r>
      <w:r>
        <w:rPr/>
        <w:t>of incorporation                                          Identification No.)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</w:t>
      </w:r>
      <w:r>
        <w:rPr/>
        <w:t>2875 Needmore Road, Dayton, Ohio                                 45414</w:t>
      </w:r>
    </w:p>
    <w:p>
      <w:pPr>
        <w:pStyle w:val="PreformattedText"/>
        <w:rPr/>
      </w:pPr>
      <w:r>
        <w:rPr/>
        <w:t>(Address of principal executive offices)                           (Zip Code)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</w:t>
      </w:r>
      <w:r>
        <w:rPr/>
        <w:t>Registrant's telephone number, including area code: (937) 276-3931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Check the appropriate box below if the Form 8-K filing is intended to</w:t>
      </w:r>
    </w:p>
    <w:p>
      <w:pPr>
        <w:pStyle w:val="PreformattedText"/>
        <w:rPr/>
      </w:pPr>
      <w:r>
        <w:rPr/>
        <w:t>simultaneously satisfy the filing obligation of the registrant under any of the</w:t>
      </w:r>
    </w:p>
    <w:p>
      <w:pPr>
        <w:pStyle w:val="PreformattedText"/>
        <w:rPr/>
      </w:pPr>
      <w:r>
        <w:rPr/>
        <w:t>following provisions (see General Instruction A.2. below):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[ ]  Written communications pursuant to Rule 425 under the Securities Act (17</w:t>
      </w:r>
    </w:p>
    <w:p>
      <w:pPr>
        <w:pStyle w:val="PreformattedText"/>
        <w:rPr/>
      </w:pPr>
      <w:r>
        <w:rPr/>
        <w:t xml:space="preserve">     </w:t>
      </w:r>
      <w:r>
        <w:rPr/>
        <w:t>CFR 230.425)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[ ]  Soliciting material pursuant to Rule 14a-12 under the Exchange Act (17 CFR</w:t>
      </w:r>
    </w:p>
    <w:p>
      <w:pPr>
        <w:pStyle w:val="PreformattedText"/>
        <w:rPr/>
      </w:pPr>
      <w:r>
        <w:rPr/>
        <w:t xml:space="preserve">     </w:t>
      </w:r>
      <w:r>
        <w:rPr/>
        <w:t>240.14a-12)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[ ]  Pre-commencement communications pursuant to Rule 14d-2(b) under the</w:t>
      </w:r>
    </w:p>
    <w:p>
      <w:pPr>
        <w:pStyle w:val="PreformattedText"/>
        <w:rPr/>
      </w:pPr>
      <w:r>
        <w:rPr/>
        <w:t xml:space="preserve">     </w:t>
      </w:r>
      <w:r>
        <w:rPr/>
        <w:t>Exchange Act (17 CFR 240.14d-2(b))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[ ]  Pre-commencement communications pursuant to Rule 13e-4(c) under the</w:t>
      </w:r>
    </w:p>
    <w:p>
      <w:pPr>
        <w:pStyle w:val="PreformattedText"/>
        <w:rPr/>
      </w:pPr>
      <w:r>
        <w:rPr/>
        <w:t xml:space="preserve">     </w:t>
      </w:r>
      <w:r>
        <w:rPr/>
        <w:t>Exchange Act (17 CFR 240.13e-4(c))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Item 8.01 Other Events.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On September 19, 2007, Progress Energy (NYSE:PGN), the purchaser of REX Stores</w:t>
      </w:r>
    </w:p>
    <w:p>
      <w:pPr>
        <w:pStyle w:val="PreformattedText"/>
        <w:rPr/>
      </w:pPr>
      <w:r>
        <w:rPr/>
        <w:t>Corporation's partnership interest in the Colona synthetic fuel investments,</w:t>
      </w:r>
    </w:p>
    <w:p>
      <w:pPr>
        <w:pStyle w:val="PreformattedText"/>
        <w:rPr/>
      </w:pPr>
      <w:r>
        <w:rPr/>
        <w:t>announced that it had idled production at its majority owned synthetic fuel</w:t>
      </w:r>
    </w:p>
    <w:p>
      <w:pPr>
        <w:pStyle w:val="PreformattedText"/>
        <w:rPr/>
      </w:pPr>
      <w:r>
        <w:rPr/>
        <w:t>facilities as higher oil prices have increased the likelihood that Section</w:t>
      </w:r>
    </w:p>
    <w:p>
      <w:pPr>
        <w:pStyle w:val="PreformattedText"/>
        <w:rPr/>
      </w:pPr>
      <w:r>
        <w:rPr/>
        <w:t>29/45K tax credits would be reduced or phased out in 2007. Production of</w:t>
      </w:r>
    </w:p>
    <w:p>
      <w:pPr>
        <w:pStyle w:val="PreformattedText"/>
        <w:rPr/>
      </w:pPr>
      <w:r>
        <w:rPr/>
        <w:t>synthetic fuel was expected to cease at the end of 2007 as the Section 29/45K</w:t>
      </w:r>
    </w:p>
    <w:p>
      <w:pPr>
        <w:pStyle w:val="PreformattedText"/>
        <w:rPr/>
      </w:pPr>
      <w:r>
        <w:rPr/>
        <w:t>tax credits cannot be earned from production occurring after December 31, 2007.</w:t>
      </w:r>
    </w:p>
    <w:p>
      <w:pPr>
        <w:pStyle w:val="PreformattedText"/>
        <w:rPr/>
      </w:pPr>
      <w:r>
        <w:rPr/>
        <w:t>Reflecting this announcement, the Company does not expect future income from</w:t>
      </w:r>
    </w:p>
    <w:p>
      <w:pPr>
        <w:pStyle w:val="PreformattedText"/>
        <w:rPr/>
      </w:pPr>
      <w:r>
        <w:rPr/>
        <w:t>the sale of its Colona synthetic fuel interests. This could change, should</w:t>
      </w:r>
    </w:p>
    <w:p>
      <w:pPr>
        <w:pStyle w:val="PreformattedText"/>
        <w:rPr/>
      </w:pPr>
      <w:r>
        <w:rPr/>
        <w:t>production resume at the idled facilities.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At the end of the second quarter, the Company estimated the phase out of income</w:t>
      </w:r>
    </w:p>
    <w:p>
      <w:pPr>
        <w:pStyle w:val="PreformattedText"/>
        <w:rPr/>
      </w:pPr>
      <w:r>
        <w:rPr/>
        <w:t>from synthetic fuel sales to be 25%. Based upon the recent price of oil, the</w:t>
      </w:r>
    </w:p>
    <w:p>
      <w:pPr>
        <w:pStyle w:val="PreformattedText"/>
        <w:rPr/>
      </w:pPr>
      <w:r>
        <w:rPr/>
        <w:t>Company expects the phase out of income from synthetic fuel sales to increase.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2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</w:t>
      </w:r>
      <w:r>
        <w:rPr/>
        <w:t>SIGNATURES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Pursuant to the requirements of the Securities Exchange Act of 1934, the</w:t>
      </w:r>
    </w:p>
    <w:p>
      <w:pPr>
        <w:pStyle w:val="PreformattedText"/>
        <w:rPr/>
      </w:pPr>
      <w:r>
        <w:rPr/>
        <w:t>registrant has duly caused this report to be signed on its behalf by the</w:t>
      </w:r>
    </w:p>
    <w:p>
      <w:pPr>
        <w:pStyle w:val="PreformattedText"/>
        <w:rPr/>
      </w:pPr>
      <w:r>
        <w:rPr/>
        <w:t>undersigned hereunto duly authorized.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</w:t>
      </w:r>
      <w:r>
        <w:rPr/>
        <w:t>REX STORES CORPORATION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Date: September 20, 2007                   By:  /s/ DOUGLAS L. BRUGGEMAN</w:t>
      </w:r>
    </w:p>
    <w:p>
      <w:pPr>
        <w:pStyle w:val="PreformattedText"/>
        <w:rPr/>
      </w:pPr>
      <w:r>
        <w:rPr/>
        <w:t xml:space="preserve">                                          </w:t>
      </w:r>
      <w:r>
        <w:rPr/>
        <w:t>-----------------------------</w:t>
      </w:r>
    </w:p>
    <w:p>
      <w:pPr>
        <w:pStyle w:val="PreformattedText"/>
        <w:rPr/>
      </w:pPr>
      <w:r>
        <w:rPr/>
        <w:t xml:space="preserve">                                          </w:t>
      </w:r>
      <w:r>
        <w:rPr/>
        <w:t>Name:  Douglas L. Bruggeman</w:t>
      </w:r>
    </w:p>
    <w:p>
      <w:pPr>
        <w:pStyle w:val="PreformattedText"/>
        <w:rPr/>
      </w:pPr>
      <w:r>
        <w:rPr/>
        <w:t xml:space="preserve">                                          </w:t>
      </w:r>
      <w:r>
        <w:rPr/>
        <w:t>Title: Vice President-Finance,</w:t>
      </w:r>
    </w:p>
    <w:p>
      <w:pPr>
        <w:pStyle w:val="PreformattedText"/>
        <w:rPr/>
      </w:pPr>
      <w:r>
        <w:rPr/>
        <w:t xml:space="preserve">                                                 </w:t>
      </w:r>
      <w:r>
        <w:rPr/>
        <w:t>Chief Financial Officer and</w:t>
      </w:r>
    </w:p>
    <w:p>
      <w:pPr>
        <w:pStyle w:val="PreformattedText"/>
        <w:rPr/>
      </w:pPr>
      <w:r>
        <w:rPr/>
        <w:t xml:space="preserve">                                                 </w:t>
      </w:r>
      <w:r>
        <w:rPr/>
        <w:t>Treasurer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3</w:t>
      </w:r>
    </w:p>
    <w:p>
      <w:pPr>
        <w:pStyle w:val="PreformattedText"/>
        <w:spacing w:before="0" w:after="283"/>
        <w:rPr/>
      </w:pPr>
      <w:r>
        <w:rPr/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 Unicode MS">
    <w:charset w:val="00"/>
    <w:family w:val="auto"/>
    <w:pitch w:val="variable"/>
  </w:font>
  <w:font w:name="Liberation Sans">
    <w:altName w:val="Arial"/>
    <w:charset w:val="00"/>
    <w:family w:val="swiss"/>
    <w:pitch w:val="variable"/>
  </w:font>
  <w:font w:name="Liberation Mono">
    <w:altName w:val="Courier New"/>
    <w:charset w:val="00"/>
    <w:family w:val="modern"/>
    <w:pitch w:val="fixed"/>
  </w:font>
</w:fonts>
</file>

<file path=word/settings.xml><?xml version="1.0" encoding="utf-8"?>
<w:settings xmlns:w="http://schemas.openxmlformats.org/wordprocessingml/2006/main">
  <w:zoom w:percent="100"/>
  <w:defaultTabStop w:val="1134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DejaVu Sans" w:cs="DejaVu Sans"/>
        <w:sz w:val="24"/>
        <w:szCs w:val="24"/>
        <w:lang w:val="en-US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DejaVu Sans" w:cs="DejaVu Sans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Internet 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List">
    <w:name w:val="List"/>
    <w:basedOn w:val="TextBody"/>
    <w:pPr/>
    <w:rPr/>
  </w:style>
  <w:style w:type="paragraph" w:styleId="PreformattedText">
    <w:name w:val="Preformatted Text"/>
    <w:basedOn w:val="Normal"/>
    <w:qFormat/>
    <w:pPr>
      <w:spacing w:before="0" w:after="0"/>
    </w:pPr>
    <w:rPr>
      <w:rFonts w:ascii="Liberation Mono" w:hAnsi="Liberation Mono" w:eastAsia="Liberation Mono" w:cs="Liberation Mono"/>
      <w:sz w:val="20"/>
      <w:szCs w:val="20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LibreOffice/6.2.2.2$Linux_X86_64 LibreOffice_project/2b840030fec2aae0fd2658d8d4f9548af4e3518d</Application>
  <Pages>4</Pages>
  <Words>394</Words>
  <CharactersWithSpaces>3297</CharactersWithSpaces>
  <Paragraphs>52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