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117475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1740" w:hanging="332"/>
        <w:spacing w:after="0" w:line="263"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9" w:lineRule="exact"/>
        <w:rPr>
          <w:sz w:val="24"/>
          <w:szCs w:val="24"/>
          <w:color w:val="auto"/>
        </w:rPr>
      </w:pPr>
    </w:p>
    <w:p>
      <w:pPr>
        <w:ind w:left="340"/>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1724660</wp:posOffset>
            </wp:positionH>
            <wp:positionV relativeFrom="paragraph">
              <wp:posOffset>-5080</wp:posOffset>
            </wp:positionV>
            <wp:extent cx="1237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139700</wp:posOffset>
            </wp:positionV>
            <wp:extent cx="214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117475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31-1095548</w:t>
      </w:r>
    </w:p>
    <w:p>
      <w:pPr>
        <w:spacing w:after="0" w:line="31"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Identification Number)</w:t>
      </w:r>
    </w:p>
    <w:p>
      <w:pPr>
        <w:spacing w:after="0" w:line="200" w:lineRule="exact"/>
        <w:rPr>
          <w:sz w:val="24"/>
          <w:szCs w:val="24"/>
          <w:color w:val="auto"/>
        </w:rPr>
      </w:pPr>
    </w:p>
    <w:p>
      <w:pPr>
        <w:sectPr>
          <w:pgSz w:w="11900" w:h="16838" w:orient="portrait"/>
          <w:cols w:equalWidth="0" w:num="2">
            <w:col w:w="5700" w:space="720"/>
            <w:col w:w="4820"/>
          </w:cols>
          <w:pgMar w:left="320" w:top="495" w:right="339" w:bottom="1440" w:gutter="0" w:footer="0" w:header="0"/>
          <w:type w:val="continuous"/>
        </w:sectPr>
      </w:pPr>
    </w:p>
    <w:p>
      <w:pPr>
        <w:spacing w:after="0" w:line="3" w:lineRule="exact"/>
        <w:rPr>
          <w:sz w:val="24"/>
          <w:szCs w:val="24"/>
          <w:color w:val="auto"/>
        </w:rPr>
      </w:pPr>
    </w:p>
    <w:p>
      <w:pPr>
        <w:jc w:val="center"/>
        <w:ind w:left="172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p>
      <w:pPr>
        <w:spacing w:after="0" w:line="31" w:lineRule="exact"/>
        <w:rPr>
          <w:sz w:val="24"/>
          <w:szCs w:val="24"/>
          <w:color w:val="auto"/>
        </w:rPr>
      </w:pPr>
    </w:p>
    <w:p>
      <w:pPr>
        <w:jc w:val="center"/>
        <w:ind w:left="17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45459</w:t>
      </w:r>
    </w:p>
    <w:p>
      <w:pPr>
        <w:spacing w:after="0" w:line="31" w:lineRule="exact"/>
        <w:rPr>
          <w:sz w:val="24"/>
          <w:szCs w:val="24"/>
          <w:color w:val="auto"/>
        </w:rPr>
      </w:pP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180" w:space="720"/>
            <w:col w:w="4340"/>
          </w:cols>
          <w:pgMar w:left="320" w:top="49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0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360"/>
        <w:spacing w:after="0"/>
        <w:tabs>
          <w:tab w:leader="none" w:pos="386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900"/>
        <w:spacing w:after="0"/>
        <w:tabs>
          <w:tab w:leader="none" w:pos="456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wp:posOffset>
            </wp:positionH>
            <wp:positionV relativeFrom="paragraph">
              <wp:posOffset>117475</wp:posOffset>
            </wp:positionV>
            <wp:extent cx="2143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300" w:space="260"/>
            <w:col w:w="7680"/>
          </w:cols>
          <w:pgMar w:left="320" w:top="495" w:right="339" w:bottom="1440" w:gutter="0" w:footer="0" w:header="0"/>
          <w:type w:val="continuous"/>
        </w:sectPr>
      </w:pPr>
    </w:p>
    <w:p>
      <w:pPr>
        <w:spacing w:after="0" w:line="18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0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p>
      <w:pPr>
        <w:spacing w:after="0" w:line="22" w:lineRule="exact"/>
        <w:rPr>
          <w:sz w:val="24"/>
          <w:szCs w:val="24"/>
          <w:color w:val="auto"/>
        </w:rPr>
      </w:pPr>
    </w:p>
    <w:p>
      <w:pPr>
        <w:spacing w:after="0" w:line="207" w:lineRule="exact"/>
        <w:tabs>
          <w:tab w:leader="none" w:pos="9860" w:val="left"/>
        </w:tabs>
        <w:rPr>
          <w:sz w:val="20"/>
          <w:szCs w:val="20"/>
          <w:color w:val="auto"/>
        </w:rPr>
      </w:pPr>
      <w:r>
        <w:rPr>
          <w:rFonts w:ascii="Times New Roman" w:cs="Times New Roman" w:eastAsia="Times New Roman" w:hAnsi="Times New Roman"/>
          <w:sz w:val="18"/>
          <w:szCs w:val="18"/>
          <w:color w:val="auto"/>
        </w:rPr>
        <w:t>Regulation S-T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495" w:right="339" w:bottom="1440" w:gutter="0" w:footer="0" w:header="0"/>
          <w:type w:val="continuous"/>
        </w:sectPr>
      </w:pPr>
    </w:p>
    <w:p>
      <w:pPr>
        <w:spacing w:after="0" w:line="135" w:lineRule="exact"/>
        <w:rPr>
          <w:sz w:val="24"/>
          <w:szCs w:val="24"/>
          <w:color w:val="auto"/>
        </w:rPr>
      </w:pPr>
    </w:p>
    <w:p>
      <w:pPr>
        <w:spacing w:after="0" w:line="26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1820" w:space="100"/>
            <w:col w:w="4460" w:space="720"/>
            <w:col w:w="4140"/>
          </w:cols>
          <w:pgMar w:left="320" w:top="495"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close of business on December 1, 2023, the registrant had 17,503,745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40" w:type="dxa"/>
            <w:vAlign w:val="bottom"/>
            <w:gridSpan w:val="15"/>
          </w:tcPr>
          <w:p>
            <w:pPr>
              <w:jc w:val="center"/>
              <w:ind w:right="82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40" w:type="dxa"/>
            <w:vAlign w:val="bottom"/>
            <w:gridSpan w:val="4"/>
          </w:tcPr>
          <w:p>
            <w:pPr>
              <w:jc w:val="center"/>
              <w:ind w:right="3540"/>
              <w:spacing w:after="0"/>
              <w:rPr>
                <w:sz w:val="20"/>
                <w:szCs w:val="20"/>
                <w:color w:val="auto"/>
              </w:rPr>
            </w:pPr>
            <w:r>
              <w:rPr>
                <w:rFonts w:ascii="Times New Roman" w:cs="Times New Roman" w:eastAsia="Times New Roman" w:hAnsi="Times New Roman"/>
                <w:sz w:val="22"/>
                <w:szCs w:val="22"/>
                <w:color w:val="auto"/>
                <w:w w:val="99"/>
              </w:rPr>
              <w:t>INDEX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433"/>
        </w:trPr>
        <w:tc>
          <w:tcPr>
            <w:tcW w:w="1140" w:type="dxa"/>
            <w:vAlign w:val="bottom"/>
            <w:gridSpan w:val="5"/>
          </w:tcPr>
          <w:p>
            <w:pPr>
              <w:spacing w:after="0"/>
              <w:rPr>
                <w:sz w:val="20"/>
                <w:szCs w:val="20"/>
                <w:color w:val="auto"/>
              </w:rPr>
            </w:pPr>
            <w:r>
              <w:rPr>
                <w:rFonts w:ascii="Times New Roman" w:cs="Times New Roman" w:eastAsia="Times New Roman" w:hAnsi="Times New Roman"/>
                <w:sz w:val="22"/>
                <w:szCs w:val="22"/>
                <w:color w:val="0000EE"/>
              </w:rPr>
              <w:t>PART I.</w:t>
            </w: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2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rPr>
              <w:t>Financial Statements</w:t>
            </w:r>
          </w:p>
        </w:tc>
        <w:tc>
          <w:tcPr>
            <w:tcW w:w="6020" w:type="dxa"/>
            <w:vAlign w:val="bottom"/>
            <w:gridSpan w:val="9"/>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Consolidated Balance Sheets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w:t>
            </w:r>
          </w:p>
        </w:tc>
        <w:tc>
          <w:tcPr>
            <w:tcW w:w="622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38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8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Equity</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Cash</w:t>
            </w:r>
          </w:p>
        </w:tc>
        <w:tc>
          <w:tcPr>
            <w:tcW w:w="572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Flows</w:t>
            </w:r>
          </w:p>
        </w:tc>
        <w:tc>
          <w:tcPr>
            <w:tcW w:w="138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20" w:type="dxa"/>
            <w:vAlign w:val="bottom"/>
            <w:gridSpan w:val="17"/>
          </w:tcPr>
          <w:p>
            <w:pPr>
              <w:spacing w:after="0" w:line="223" w:lineRule="exact"/>
              <w:rPr>
                <w:sz w:val="20"/>
                <w:szCs w:val="20"/>
                <w:color w:val="auto"/>
              </w:rPr>
            </w:pPr>
            <w:r>
              <w:rPr>
                <w:rFonts w:ascii="Times New Roman" w:cs="Times New Roman" w:eastAsia="Times New Roman" w:hAnsi="Times New Roman"/>
                <w:sz w:val="22"/>
                <w:szCs w:val="22"/>
                <w:color w:val="0000EE"/>
              </w:rPr>
              <w:t>Notes to Consolidated Financial Statements</w:t>
            </w: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52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Management’s Discussion and Analysis of Financial Condition and Results of Operations</w:t>
            </w:r>
          </w:p>
        </w:tc>
        <w:tc>
          <w:tcPr>
            <w:tcW w:w="96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52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3480" w:type="dxa"/>
            <w:vAlign w:val="bottom"/>
            <w:gridSpan w:val="2"/>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Controls and Procedures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340" w:type="dxa"/>
            <w:vAlign w:val="bottom"/>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18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rPr>
              <w:t>Legal Proceedings</w:t>
            </w:r>
          </w:p>
        </w:tc>
        <w:tc>
          <w:tcPr>
            <w:tcW w:w="6460" w:type="dxa"/>
            <w:vAlign w:val="bottom"/>
            <w:gridSpan w:val="11"/>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360" w:type="dxa"/>
            <w:vAlign w:val="bottom"/>
            <w:gridSpan w:val="2"/>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Risk Factors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16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Unregistered Sales of Equity Securities and Use of Proceeds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520" w:type="dxa"/>
            <w:vAlign w:val="bottom"/>
            <w:gridSpan w:val="4"/>
          </w:tcPr>
          <w:p>
            <w:pPr>
              <w:spacing w:after="0"/>
              <w:rPr>
                <w:sz w:val="24"/>
                <w:szCs w:val="24"/>
                <w:color w:val="auto"/>
              </w:rPr>
            </w:pPr>
          </w:p>
        </w:tc>
        <w:tc>
          <w:tcPr>
            <w:tcW w:w="52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rPr>
              <w:t>Defaults upon Senior Securities</w:t>
            </w:r>
          </w:p>
        </w:tc>
        <w:tc>
          <w:tcPr>
            <w:tcW w:w="3500" w:type="dxa"/>
            <w:vAlign w:val="bottom"/>
            <w:gridSpan w:val="3"/>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2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rPr>
              <w:t>Mine Safety Disclosures</w:t>
            </w:r>
          </w:p>
        </w:tc>
        <w:tc>
          <w:tcPr>
            <w:tcW w:w="5980" w:type="dxa"/>
            <w:vAlign w:val="bottom"/>
            <w:gridSpan w:val="8"/>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52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Other Information</w:t>
            </w:r>
          </w:p>
        </w:tc>
        <w:tc>
          <w:tcPr>
            <w:tcW w:w="520" w:type="dxa"/>
            <w:vAlign w:val="bottom"/>
            <w:tcBorders>
              <w:top w:val="single" w:sz="8" w:color="0000EE"/>
            </w:tcBorders>
            <w:gridSpan w:val="2"/>
          </w:tcPr>
          <w:p>
            <w:pPr>
              <w:spacing w:after="0"/>
              <w:rPr>
                <w:sz w:val="24"/>
                <w:szCs w:val="24"/>
                <w:color w:val="auto"/>
              </w:rPr>
            </w:pPr>
          </w:p>
        </w:tc>
        <w:tc>
          <w:tcPr>
            <w:tcW w:w="6600" w:type="dxa"/>
            <w:vAlign w:val="bottom"/>
            <w:gridSpan w:val="12"/>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520" w:type="dxa"/>
            <w:vAlign w:val="bottom"/>
            <w:gridSpan w:val="4"/>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Exhibits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4"/>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500" w:type="dxa"/>
            <w:vAlign w:val="bottom"/>
            <w:gridSpan w:val="13"/>
          </w:tcPr>
          <w:p>
            <w:pPr>
              <w:jc w:val="center"/>
              <w:ind w:left="2932"/>
              <w:spacing w:after="0"/>
              <w:rPr>
                <w:sz w:val="20"/>
                <w:szCs w:val="20"/>
                <w:color w:val="auto"/>
              </w:rPr>
            </w:pPr>
            <w:r>
              <w:rPr>
                <w:rFonts w:ascii="Times New Roman" w:cs="Times New Roman" w:eastAsia="Times New Roman" w:hAnsi="Times New Roman"/>
                <w:sz w:val="22"/>
                <w:szCs w:val="22"/>
                <w:color w:val="auto"/>
                <w:w w:val="90"/>
              </w:rPr>
              <w:t>2</w:t>
            </w: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20" w:type="dxa"/>
            <w:vAlign w:val="bottom"/>
            <w:tcBorders>
              <w:bottom w:val="single" w:sz="8" w:color="C0C0C0"/>
            </w:tcBorders>
          </w:tcPr>
          <w:p>
            <w:pPr>
              <w:spacing w:after="0"/>
              <w:rPr>
                <w:sz w:val="16"/>
                <w:szCs w:val="16"/>
                <w:color w:val="auto"/>
              </w:rPr>
            </w:pPr>
          </w:p>
        </w:tc>
        <w:tc>
          <w:tcPr>
            <w:tcW w:w="80" w:type="dxa"/>
            <w:vAlign w:val="bottom"/>
            <w:tcBorders>
              <w:bottom w:val="single" w:sz="8" w:color="C0C0C0"/>
            </w:tcBorders>
          </w:tcPr>
          <w:p>
            <w:pPr>
              <w:spacing w:after="0"/>
              <w:rPr>
                <w:sz w:val="16"/>
                <w:szCs w:val="16"/>
                <w:color w:val="auto"/>
              </w:rPr>
            </w:pPr>
          </w:p>
        </w:tc>
        <w:tc>
          <w:tcPr>
            <w:tcW w:w="80" w:type="dxa"/>
            <w:vAlign w:val="bottom"/>
            <w:tcBorders>
              <w:bottom w:val="single" w:sz="8" w:color="C0C0C0"/>
            </w:tcBorders>
          </w:tcPr>
          <w:p>
            <w:pPr>
              <w:spacing w:after="0"/>
              <w:rPr>
                <w:sz w:val="16"/>
                <w:szCs w:val="16"/>
                <w:color w:val="auto"/>
              </w:rPr>
            </w:pPr>
          </w:p>
        </w:tc>
        <w:tc>
          <w:tcPr>
            <w:tcW w:w="20" w:type="dxa"/>
            <w:vAlign w:val="bottom"/>
            <w:tcBorders>
              <w:bottom w:val="single" w:sz="8" w:color="C0C0C0"/>
            </w:tcBorders>
          </w:tcPr>
          <w:p>
            <w:pPr>
              <w:spacing w:after="0"/>
              <w:rPr>
                <w:sz w:val="16"/>
                <w:szCs w:val="16"/>
                <w:color w:val="auto"/>
              </w:rPr>
            </w:pPr>
          </w:p>
        </w:tc>
        <w:tc>
          <w:tcPr>
            <w:tcW w:w="340" w:type="dxa"/>
            <w:vAlign w:val="bottom"/>
            <w:tcBorders>
              <w:bottom w:val="single" w:sz="8" w:color="C0C0C0"/>
            </w:tcBorders>
          </w:tcPr>
          <w:p>
            <w:pPr>
              <w:spacing w:after="0"/>
              <w:rPr>
                <w:sz w:val="16"/>
                <w:szCs w:val="16"/>
                <w:color w:val="auto"/>
              </w:rPr>
            </w:pPr>
          </w:p>
        </w:tc>
        <w:tc>
          <w:tcPr>
            <w:tcW w:w="720" w:type="dxa"/>
            <w:vAlign w:val="bottom"/>
            <w:tcBorders>
              <w:bottom w:val="single" w:sz="8" w:color="C0C0C0"/>
            </w:tcBorders>
          </w:tcPr>
          <w:p>
            <w:pPr>
              <w:spacing w:after="0"/>
              <w:rPr>
                <w:sz w:val="16"/>
                <w:szCs w:val="16"/>
                <w:color w:val="auto"/>
              </w:rPr>
            </w:pPr>
          </w:p>
        </w:tc>
        <w:tc>
          <w:tcPr>
            <w:tcW w:w="360" w:type="dxa"/>
            <w:vAlign w:val="bottom"/>
            <w:tcBorders>
              <w:bottom w:val="single" w:sz="8" w:color="C0C0C0"/>
            </w:tcBorders>
          </w:tcPr>
          <w:p>
            <w:pPr>
              <w:spacing w:after="0"/>
              <w:rPr>
                <w:sz w:val="16"/>
                <w:szCs w:val="16"/>
                <w:color w:val="auto"/>
              </w:rPr>
            </w:pPr>
          </w:p>
        </w:tc>
        <w:tc>
          <w:tcPr>
            <w:tcW w:w="520" w:type="dxa"/>
            <w:vAlign w:val="bottom"/>
            <w:tcBorders>
              <w:bottom w:val="single" w:sz="8" w:color="C0C0C0"/>
            </w:tcBorders>
          </w:tcPr>
          <w:p>
            <w:pPr>
              <w:spacing w:after="0"/>
              <w:rPr>
                <w:sz w:val="16"/>
                <w:szCs w:val="16"/>
                <w:color w:val="auto"/>
              </w:rPr>
            </w:pPr>
          </w:p>
        </w:tc>
        <w:tc>
          <w:tcPr>
            <w:tcW w:w="200" w:type="dxa"/>
            <w:vAlign w:val="bottom"/>
            <w:tcBorders>
              <w:bottom w:val="single" w:sz="8" w:color="C0C0C0"/>
            </w:tcBorders>
          </w:tcPr>
          <w:p>
            <w:pPr>
              <w:spacing w:after="0"/>
              <w:rPr>
                <w:sz w:val="16"/>
                <w:szCs w:val="16"/>
                <w:color w:val="auto"/>
              </w:rPr>
            </w:pPr>
          </w:p>
        </w:tc>
        <w:tc>
          <w:tcPr>
            <w:tcW w:w="320" w:type="dxa"/>
            <w:vAlign w:val="bottom"/>
            <w:tcBorders>
              <w:bottom w:val="single" w:sz="8" w:color="C0C0C0"/>
            </w:tcBorders>
          </w:tcPr>
          <w:p>
            <w:pPr>
              <w:spacing w:after="0"/>
              <w:rPr>
                <w:sz w:val="16"/>
                <w:szCs w:val="16"/>
                <w:color w:val="auto"/>
              </w:rPr>
            </w:pPr>
          </w:p>
        </w:tc>
        <w:tc>
          <w:tcPr>
            <w:tcW w:w="140" w:type="dxa"/>
            <w:vAlign w:val="bottom"/>
            <w:tcBorders>
              <w:bottom w:val="single" w:sz="8" w:color="C0C0C0"/>
            </w:tcBorders>
          </w:tcPr>
          <w:p>
            <w:pPr>
              <w:spacing w:after="0"/>
              <w:rPr>
                <w:sz w:val="16"/>
                <w:szCs w:val="16"/>
                <w:color w:val="auto"/>
              </w:rPr>
            </w:pPr>
          </w:p>
        </w:tc>
        <w:tc>
          <w:tcPr>
            <w:tcW w:w="240" w:type="dxa"/>
            <w:vAlign w:val="bottom"/>
            <w:tcBorders>
              <w:bottom w:val="single" w:sz="8" w:color="C0C0C0"/>
            </w:tcBorders>
          </w:tcPr>
          <w:p>
            <w:pPr>
              <w:spacing w:after="0"/>
              <w:rPr>
                <w:sz w:val="16"/>
                <w:szCs w:val="16"/>
                <w:color w:val="auto"/>
              </w:rPr>
            </w:pPr>
          </w:p>
        </w:tc>
        <w:tc>
          <w:tcPr>
            <w:tcW w:w="200" w:type="dxa"/>
            <w:vAlign w:val="bottom"/>
            <w:tcBorders>
              <w:bottom w:val="single" w:sz="8" w:color="C0C0C0"/>
            </w:tcBorders>
          </w:tcPr>
          <w:p>
            <w:pPr>
              <w:spacing w:after="0"/>
              <w:rPr>
                <w:sz w:val="16"/>
                <w:szCs w:val="16"/>
                <w:color w:val="auto"/>
              </w:rPr>
            </w:pPr>
          </w:p>
        </w:tc>
        <w:tc>
          <w:tcPr>
            <w:tcW w:w="40" w:type="dxa"/>
            <w:vAlign w:val="bottom"/>
            <w:tcBorders>
              <w:bottom w:val="single" w:sz="8" w:color="C0C0C0"/>
            </w:tcBorders>
          </w:tcPr>
          <w:p>
            <w:pPr>
              <w:spacing w:after="0"/>
              <w:rPr>
                <w:sz w:val="16"/>
                <w:szCs w:val="16"/>
                <w:color w:val="auto"/>
              </w:rPr>
            </w:pPr>
          </w:p>
        </w:tc>
        <w:tc>
          <w:tcPr>
            <w:tcW w:w="260" w:type="dxa"/>
            <w:vAlign w:val="bottom"/>
            <w:tcBorders>
              <w:bottom w:val="single" w:sz="8" w:color="C0C0C0"/>
            </w:tcBorders>
          </w:tcPr>
          <w:p>
            <w:pPr>
              <w:spacing w:after="0"/>
              <w:rPr>
                <w:sz w:val="16"/>
                <w:szCs w:val="16"/>
                <w:color w:val="auto"/>
              </w:rPr>
            </w:pPr>
          </w:p>
        </w:tc>
        <w:tc>
          <w:tcPr>
            <w:tcW w:w="380" w:type="dxa"/>
            <w:vAlign w:val="bottom"/>
            <w:tcBorders>
              <w:bottom w:val="single" w:sz="8" w:color="C0C0C0"/>
            </w:tcBorders>
          </w:tcPr>
          <w:p>
            <w:pPr>
              <w:spacing w:after="0"/>
              <w:rPr>
                <w:sz w:val="16"/>
                <w:szCs w:val="16"/>
                <w:color w:val="auto"/>
              </w:rPr>
            </w:pPr>
          </w:p>
        </w:tc>
        <w:tc>
          <w:tcPr>
            <w:tcW w:w="60" w:type="dxa"/>
            <w:vAlign w:val="bottom"/>
            <w:tcBorders>
              <w:bottom w:val="single" w:sz="8" w:color="C0C0C0"/>
            </w:tcBorders>
          </w:tcPr>
          <w:p>
            <w:pPr>
              <w:spacing w:after="0"/>
              <w:rPr>
                <w:sz w:val="16"/>
                <w:szCs w:val="16"/>
                <w:color w:val="auto"/>
              </w:rPr>
            </w:pPr>
          </w:p>
        </w:tc>
        <w:tc>
          <w:tcPr>
            <w:tcW w:w="340" w:type="dxa"/>
            <w:vAlign w:val="bottom"/>
            <w:tcBorders>
              <w:bottom w:val="single" w:sz="8" w:color="C0C0C0"/>
            </w:tcBorders>
          </w:tcPr>
          <w:p>
            <w:pPr>
              <w:spacing w:after="0"/>
              <w:rPr>
                <w:sz w:val="16"/>
                <w:szCs w:val="16"/>
                <w:color w:val="auto"/>
              </w:rPr>
            </w:pPr>
          </w:p>
        </w:tc>
        <w:tc>
          <w:tcPr>
            <w:tcW w:w="1440" w:type="dxa"/>
            <w:vAlign w:val="bottom"/>
            <w:tcBorders>
              <w:bottom w:val="single" w:sz="8" w:color="C0C0C0"/>
            </w:tcBorders>
          </w:tcPr>
          <w:p>
            <w:pPr>
              <w:spacing w:after="0"/>
              <w:rPr>
                <w:sz w:val="16"/>
                <w:szCs w:val="16"/>
                <w:color w:val="auto"/>
              </w:rPr>
            </w:pPr>
          </w:p>
        </w:tc>
        <w:tc>
          <w:tcPr>
            <w:tcW w:w="20" w:type="dxa"/>
            <w:vAlign w:val="bottom"/>
            <w:tcBorders>
              <w:bottom w:val="single" w:sz="8" w:color="C0C0C0"/>
            </w:tcBorders>
          </w:tcPr>
          <w:p>
            <w:pPr>
              <w:spacing w:after="0"/>
              <w:rPr>
                <w:sz w:val="16"/>
                <w:szCs w:val="16"/>
                <w:color w:val="auto"/>
              </w:rPr>
            </w:pPr>
          </w:p>
        </w:tc>
        <w:tc>
          <w:tcPr>
            <w:tcW w:w="2520" w:type="dxa"/>
            <w:vAlign w:val="bottom"/>
            <w:tcBorders>
              <w:bottom w:val="single" w:sz="8" w:color="C0C0C0"/>
            </w:tcBorders>
          </w:tcPr>
          <w:p>
            <w:pPr>
              <w:spacing w:after="0"/>
              <w:rPr>
                <w:sz w:val="16"/>
                <w:szCs w:val="16"/>
                <w:color w:val="auto"/>
              </w:rPr>
            </w:pPr>
          </w:p>
        </w:tc>
        <w:tc>
          <w:tcPr>
            <w:tcW w:w="960" w:type="dxa"/>
            <w:vAlign w:val="bottom"/>
            <w:tcBorders>
              <w:bottom w:val="single" w:sz="8" w:color="C0C0C0"/>
            </w:tcBorders>
          </w:tcPr>
          <w:p>
            <w:pPr>
              <w:spacing w:after="0"/>
              <w:rPr>
                <w:sz w:val="16"/>
                <w:szCs w:val="16"/>
                <w:color w:val="auto"/>
              </w:rPr>
            </w:pPr>
          </w:p>
        </w:tc>
        <w:tc>
          <w:tcPr>
            <w:tcW w:w="1380" w:type="dxa"/>
            <w:vAlign w:val="bottom"/>
            <w:tcBorders>
              <w:bottom w:val="single" w:sz="8" w:color="C0C0C0"/>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2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4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right"/>
              <w:ind w:right="44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E5FF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72,828</w:t>
            </w:r>
          </w:p>
        </w:tc>
        <w:tc>
          <w:tcPr>
            <w:tcW w:w="520" w:type="dxa"/>
            <w:vAlign w:val="bottom"/>
            <w:gridSpan w:val="2"/>
            <w:shd w:val="clear" w:color="auto" w:fill="E5FF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69,612</w:t>
            </w: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259,172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211,331</w:t>
            </w: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1,728</w:t>
            </w: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30,138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25,162</w:t>
            </w: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37,515</w:t>
            </w: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48,744</w:t>
            </w: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4,448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12,256</w:t>
            </w:r>
          </w:p>
        </w:tc>
        <w:tc>
          <w:tcPr>
            <w:tcW w:w="2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9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21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418,085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372,644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144,567</w:t>
            </w: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135,497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14,516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15,214</w:t>
            </w: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13,589</w:t>
            </w: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23,179</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36,807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33,045</w:t>
            </w:r>
          </w:p>
        </w:tc>
        <w:tc>
          <w:tcPr>
            <w:tcW w:w="0" w:type="dxa"/>
            <w:vAlign w:val="bottom"/>
          </w:tcPr>
          <w:p>
            <w:pPr>
              <w:spacing w:after="0"/>
              <w:rPr>
                <w:sz w:val="1"/>
                <w:szCs w:val="1"/>
                <w:color w:val="auto"/>
              </w:rPr>
            </w:pPr>
          </w:p>
        </w:tc>
      </w:tr>
      <w:tr>
        <w:trPr>
          <w:trHeight w:val="223"/>
        </w:trPr>
        <w:tc>
          <w:tcPr>
            <w:tcW w:w="828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627,564</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579,579</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$1.9 million and $1.5 million with related parties at October 31, 2023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January 31, 2023, respectively)</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28,766</w:t>
            </w:r>
          </w:p>
        </w:tc>
        <w:tc>
          <w:tcPr>
            <w:tcW w:w="5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34,091</w:t>
            </w: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5,082</w:t>
            </w: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5,180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14,842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15,328</w:t>
            </w:r>
          </w:p>
        </w:tc>
        <w:tc>
          <w:tcPr>
            <w:tcW w:w="0" w:type="dxa"/>
            <w:vAlign w:val="bottom"/>
          </w:tcPr>
          <w:p>
            <w:pPr>
              <w:spacing w:after="0"/>
              <w:rPr>
                <w:sz w:val="1"/>
                <w:szCs w:val="1"/>
                <w:color w:val="auto"/>
              </w:rPr>
            </w:pPr>
          </w:p>
        </w:tc>
      </w:tr>
      <w:tr>
        <w:trPr>
          <w:trHeight w:val="210"/>
        </w:trPr>
        <w:tc>
          <w:tcPr>
            <w:tcW w:w="828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24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54,599</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9,157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3,072</w:t>
            </w:r>
          </w:p>
        </w:tc>
        <w:tc>
          <w:tcPr>
            <w:tcW w:w="2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8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E5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E5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00" w:type="dxa"/>
            <w:vAlign w:val="bottom"/>
            <w:tcBorders>
              <w:bottom w:val="single" w:sz="8" w:color="E5FF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3,475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681,193</w:t>
            </w:r>
          </w:p>
        </w:tc>
        <w:tc>
          <w:tcPr>
            <w:tcW w:w="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640,826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(191,974)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(193,721)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22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88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492,993</w:t>
            </w:r>
          </w:p>
        </w:tc>
        <w:tc>
          <w:tcPr>
            <w:tcW w:w="24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447,982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72,555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63,012</w:t>
            </w:r>
          </w:p>
        </w:tc>
        <w:tc>
          <w:tcPr>
            <w:tcW w:w="0" w:type="dxa"/>
            <w:vAlign w:val="bottom"/>
          </w:tcPr>
          <w:p>
            <w:pPr>
              <w:spacing w:after="0"/>
              <w:rPr>
                <w:sz w:val="1"/>
                <w:szCs w:val="1"/>
                <w:color w:val="auto"/>
              </w:rPr>
            </w:pPr>
          </w:p>
        </w:tc>
      </w:tr>
      <w:tr>
        <w:trPr>
          <w:trHeight w:val="209"/>
        </w:trPr>
        <w:tc>
          <w:tcPr>
            <w:tcW w:w="82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565,548</w:t>
            </w:r>
          </w:p>
        </w:tc>
        <w:tc>
          <w:tcPr>
            <w:tcW w:w="24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510,994</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627,564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579,579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 w:name="page4"/>
    <w:bookmarkEnd w:id="3"/>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c>
          <w:tcPr>
            <w:tcW w:w="0" w:type="dxa"/>
            <w:vAlign w:val="bottom"/>
          </w:tcPr>
          <w:p>
            <w:pPr>
              <w:spacing w:after="0"/>
              <w:rPr>
                <w:sz w:val="1"/>
                <w:szCs w:val="1"/>
                <w:color w:val="auto"/>
              </w:rPr>
            </w:pPr>
          </w:p>
        </w:tc>
      </w:tr>
      <w:tr>
        <w:trPr>
          <w:trHeight w:val="198"/>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3"/>
          </w:tcPr>
          <w:p>
            <w:pPr>
              <w:jc w:val="right"/>
              <w:ind w:right="13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221,079</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220,277</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645,770</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654,833</w:t>
            </w:r>
          </w:p>
        </w:tc>
        <w:tc>
          <w:tcPr>
            <w:tcW w:w="0" w:type="dxa"/>
            <w:vAlign w:val="bottom"/>
          </w:tcPr>
          <w:p>
            <w:pPr>
              <w:spacing w:after="0"/>
              <w:rPr>
                <w:sz w:val="1"/>
                <w:szCs w:val="1"/>
                <w:color w:val="auto"/>
              </w:rPr>
            </w:pPr>
          </w:p>
        </w:tc>
      </w:tr>
      <w:tr>
        <w:trPr>
          <w:trHeight w:val="198"/>
        </w:trPr>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$32,723 and $35,155 with related parties for the quarters ended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31, 2023 and 2022, respectively, and $92,610 and $101,240 with related parties for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nine months ended October 31, 2023 and 2022, respectively)</w:t>
            </w:r>
          </w:p>
        </w:tc>
        <w:tc>
          <w:tcPr>
            <w:tcW w:w="160" w:type="dxa"/>
            <w:vAlign w:val="bottom"/>
          </w:tcPr>
          <w:p>
            <w:pPr>
              <w:spacing w:after="0"/>
              <w:rPr>
                <w:sz w:val="20"/>
                <w:szCs w:val="20"/>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181,789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211,004</w:t>
            </w:r>
          </w:p>
        </w:tc>
        <w:tc>
          <w:tcPr>
            <w:tcW w:w="160" w:type="dxa"/>
            <w:vAlign w:val="bottom"/>
          </w:tcPr>
          <w:p>
            <w:pPr>
              <w:spacing w:after="0"/>
              <w:rPr>
                <w:sz w:val="20"/>
                <w:szCs w:val="20"/>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577,962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619,549</w:t>
            </w: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39,290</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9,273</w:t>
            </w:r>
          </w:p>
        </w:tc>
        <w:tc>
          <w:tcPr>
            <w:tcW w:w="16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67,808</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35,284</w:t>
            </w: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4"/>
                <w:szCs w:val="24"/>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(7,609)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(5,823)</w:t>
            </w:r>
          </w:p>
        </w:tc>
        <w:tc>
          <w:tcPr>
            <w:tcW w:w="160" w:type="dxa"/>
            <w:vAlign w:val="bottom"/>
          </w:tcPr>
          <w:p>
            <w:pPr>
              <w:spacing w:after="0"/>
              <w:rPr>
                <w:sz w:val="24"/>
                <w:szCs w:val="24"/>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(21,996)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(17,689)</w:t>
            </w: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4,738</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9,275</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6,210</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60" w:type="dxa"/>
            <w:vAlign w:val="bottom"/>
          </w:tcPr>
          <w:p>
            <w:pPr>
              <w:spacing w:after="0"/>
              <w:rPr>
                <w:sz w:val="19"/>
                <w:szCs w:val="19"/>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4,863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1,983</w:t>
            </w:r>
          </w:p>
        </w:tc>
        <w:tc>
          <w:tcPr>
            <w:tcW w:w="16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10,935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41,282</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6,094</w:t>
            </w:r>
          </w:p>
        </w:tc>
        <w:tc>
          <w:tcPr>
            <w:tcW w:w="16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66,022</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34,143</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9"/>
                <w:szCs w:val="19"/>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(9,640)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(1,196)</w:t>
            </w:r>
          </w:p>
        </w:tc>
        <w:tc>
          <w:tcPr>
            <w:tcW w:w="16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(15,396)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(7,374)</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31,642</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4,898</w:t>
            </w:r>
          </w:p>
        </w:tc>
        <w:tc>
          <w:tcPr>
            <w:tcW w:w="16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50,626</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26,769</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Pr>
          <w:p>
            <w:pPr>
              <w:spacing w:after="0"/>
              <w:rPr>
                <w:sz w:val="19"/>
                <w:szCs w:val="19"/>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(5,566)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(1,714)</w:t>
            </w:r>
          </w:p>
        </w:tc>
        <w:tc>
          <w:tcPr>
            <w:tcW w:w="16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(10,259)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(7,233)</w:t>
            </w:r>
          </w:p>
        </w:tc>
        <w:tc>
          <w:tcPr>
            <w:tcW w:w="0" w:type="dxa"/>
            <w:vAlign w:val="bottom"/>
          </w:tcPr>
          <w:p>
            <w:pPr>
              <w:spacing w:after="0"/>
              <w:rPr>
                <w:sz w:val="1"/>
                <w:szCs w:val="1"/>
                <w:color w:val="auto"/>
              </w:rPr>
            </w:pPr>
          </w:p>
        </w:tc>
      </w:tr>
      <w:tr>
        <w:trPr>
          <w:trHeight w:val="223"/>
        </w:trPr>
        <w:tc>
          <w:tcPr>
            <w:tcW w:w="70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17,531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17,591</w:t>
            </w:r>
          </w:p>
        </w:tc>
        <w:tc>
          <w:tcPr>
            <w:tcW w:w="160" w:type="dxa"/>
            <w:vAlign w:val="bottom"/>
          </w:tcPr>
          <w:p>
            <w:pPr>
              <w:spacing w:after="0"/>
              <w:rPr>
                <w:sz w:val="24"/>
                <w:szCs w:val="24"/>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17,461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17,714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and diluted net income per share attributable to REX common shareholders</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70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October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color w:val="auto"/>
              </w:rPr>
              <w:t>REX Shareholders</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7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23"/>
                <w:szCs w:val="23"/>
                <w:color w:val="auto"/>
              </w:rPr>
            </w:pPr>
          </w:p>
        </w:tc>
        <w:tc>
          <w:tcPr>
            <w:tcW w:w="6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3"/>
            <w:vMerge w:val="continue"/>
          </w:tcPr>
          <w:p>
            <w:pPr>
              <w:spacing w:after="0"/>
              <w:rPr>
                <w:sz w:val="13"/>
                <w:szCs w:val="13"/>
                <w:color w:val="auto"/>
              </w:rPr>
            </w:pPr>
          </w:p>
        </w:tc>
        <w:tc>
          <w:tcPr>
            <w:tcW w:w="142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2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w w:val="83"/>
              </w:rPr>
              <w:t>Shares</w:t>
            </w: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20" w:type="dxa"/>
            <w:vAlign w:val="bottom"/>
            <w:gridSpan w:val="5"/>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gridSpan w:val="3"/>
            <w:vMerge w:val="restart"/>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4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6"/>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680" w:type="dxa"/>
            <w:vAlign w:val="bottom"/>
            <w:gridSpan w:val="4"/>
            <w:vMerge w:val="restart"/>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line="20" w:lineRule="exact"/>
              <w:rPr>
                <w:sz w:val="1"/>
                <w:szCs w:val="1"/>
                <w:color w:val="auto"/>
              </w:rPr>
            </w:pPr>
          </w:p>
        </w:tc>
      </w:tr>
      <w:tr>
        <w:trPr>
          <w:trHeight w:val="128"/>
        </w:trPr>
        <w:tc>
          <w:tcPr>
            <w:tcW w:w="4140" w:type="dxa"/>
            <w:vAlign w:val="bottom"/>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380" w:type="dxa"/>
            <w:vAlign w:val="bottom"/>
            <w:gridSpan w:val="2"/>
          </w:tcPr>
          <w:p>
            <w:pPr>
              <w:spacing w:after="0"/>
              <w:rPr>
                <w:sz w:val="11"/>
                <w:szCs w:val="11"/>
                <w:color w:val="auto"/>
              </w:rPr>
            </w:pPr>
          </w:p>
        </w:tc>
        <w:tc>
          <w:tcPr>
            <w:tcW w:w="60" w:type="dxa"/>
            <w:vAlign w:val="bottom"/>
            <w:vMerge w:val="continue"/>
          </w:tcPr>
          <w:p>
            <w:pPr>
              <w:spacing w:after="0"/>
              <w:rPr>
                <w:sz w:val="11"/>
                <w:szCs w:val="11"/>
                <w:color w:val="auto"/>
              </w:rPr>
            </w:pPr>
          </w:p>
        </w:tc>
        <w:tc>
          <w:tcPr>
            <w:tcW w:w="720" w:type="dxa"/>
            <w:vAlign w:val="bottom"/>
            <w:gridSpan w:val="5"/>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4"/>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6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July 31, 2023</w:t>
            </w:r>
          </w:p>
        </w:tc>
        <w:tc>
          <w:tcPr>
            <w:tcW w:w="800" w:type="dxa"/>
            <w:vAlign w:val="bottom"/>
            <w:gridSpan w:val="5"/>
            <w:shd w:val="clear" w:color="auto" w:fill="E5FFFF"/>
          </w:tcPr>
          <w:p>
            <w:pPr>
              <w:ind w:left="10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60" w:type="dxa"/>
            <w:vAlign w:val="bottom"/>
            <w:shd w:val="clear" w:color="auto" w:fill="E5FFFF"/>
          </w:tcPr>
          <w:p>
            <w:pPr>
              <w:spacing w:after="0"/>
              <w:rPr>
                <w:sz w:val="12"/>
                <w:szCs w:val="12"/>
                <w:color w:val="auto"/>
              </w:rPr>
            </w:pPr>
          </w:p>
        </w:tc>
        <w:tc>
          <w:tcPr>
            <w:tcW w:w="300" w:type="dxa"/>
            <w:vAlign w:val="bottom"/>
            <w:gridSpan w:val="3"/>
            <w:shd w:val="clear" w:color="auto" w:fill="E5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00" w:type="dxa"/>
            <w:vAlign w:val="bottom"/>
            <w:gridSpan w:val="4"/>
            <w:shd w:val="clear" w:color="auto" w:fill="E5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1080" w:type="dxa"/>
            <w:vAlign w:val="bottom"/>
            <w:gridSpan w:val="6"/>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(192,037)</w:t>
            </w:r>
          </w:p>
        </w:tc>
        <w:tc>
          <w:tcPr>
            <w:tcW w:w="1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3,181</w:t>
            </w:r>
          </w:p>
        </w:tc>
        <w:tc>
          <w:tcPr>
            <w:tcW w:w="280" w:type="dxa"/>
            <w:vAlign w:val="bottom"/>
            <w:tcBorders>
              <w:right w:val="single" w:sz="8" w:color="E5FFFF"/>
            </w:tcBorders>
            <w:shd w:val="clear" w:color="auto" w:fill="E5FFFF"/>
          </w:tcPr>
          <w:p>
            <w:pPr>
              <w:spacing w:after="0"/>
              <w:rPr>
                <w:sz w:val="12"/>
                <w:szCs w:val="12"/>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655,117</w:t>
            </w:r>
          </w:p>
        </w:tc>
        <w:tc>
          <w:tcPr>
            <w:tcW w:w="700" w:type="dxa"/>
            <w:vAlign w:val="bottom"/>
            <w:gridSpan w:val="3"/>
            <w:shd w:val="clear" w:color="auto" w:fill="E5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66,989</w:t>
            </w:r>
          </w:p>
        </w:tc>
        <w:tc>
          <w:tcPr>
            <w:tcW w:w="680" w:type="dxa"/>
            <w:vAlign w:val="bottom"/>
            <w:gridSpan w:val="4"/>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$ 533,549</w:t>
            </w:r>
          </w:p>
        </w:tc>
        <w:tc>
          <w:tcPr>
            <w:tcW w:w="0" w:type="dxa"/>
            <w:vAlign w:val="bottom"/>
          </w:tcPr>
          <w:p>
            <w:pPr>
              <w:spacing w:after="0"/>
              <w:rPr>
                <w:sz w:val="1"/>
                <w:szCs w:val="1"/>
                <w:color w:val="auto"/>
              </w:rPr>
            </w:pPr>
          </w:p>
        </w:tc>
      </w:tr>
      <w:tr>
        <w:trPr>
          <w:trHeight w:val="314"/>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26,076</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5,566</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31,642</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Issuance of equity awards and stock based compensation expense</w:t>
            </w:r>
          </w:p>
        </w:tc>
        <w:tc>
          <w:tcPr>
            <w:tcW w:w="4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80" w:type="dxa"/>
            <w:vAlign w:val="bottom"/>
            <w:tcBorders>
              <w:left w:val="single" w:sz="8" w:color="E5FFFF"/>
            </w:tcBorders>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260" w:type="dxa"/>
            <w:vAlign w:val="bottom"/>
            <w:tcBorders>
              <w:right w:val="single" w:sz="8" w:color="E5FFFF"/>
            </w:tcBorders>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220" w:type="dxa"/>
            <w:vAlign w:val="bottom"/>
            <w:tcBorders>
              <w:left w:val="single" w:sz="8" w:color="E5FFFF"/>
            </w:tcBorders>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80" w:type="dxa"/>
            <w:vAlign w:val="bottom"/>
            <w:gridSpan w:val="4"/>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294</w:t>
            </w:r>
          </w:p>
        </w:tc>
        <w:tc>
          <w:tcPr>
            <w:tcW w:w="280" w:type="dxa"/>
            <w:vAlign w:val="bottom"/>
            <w:tcBorders>
              <w:right w:val="single" w:sz="8" w:color="E5FFFF"/>
            </w:tcBorders>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500" w:type="dxa"/>
            <w:vAlign w:val="bottom"/>
            <w:tcBorders>
              <w:right w:val="single" w:sz="8" w:color="E5FFFF"/>
            </w:tcBorders>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3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6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Balance at October 31, 2023</w:t>
            </w:r>
          </w:p>
        </w:tc>
        <w:tc>
          <w:tcPr>
            <w:tcW w:w="100" w:type="dxa"/>
            <w:vAlign w:val="bottom"/>
            <w:gridSpan w:val="2"/>
          </w:tcPr>
          <w:p>
            <w:pPr>
              <w:spacing w:after="0"/>
              <w:rPr>
                <w:sz w:val="24"/>
                <w:szCs w:val="24"/>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29,853</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299</w:t>
            </w:r>
          </w:p>
        </w:tc>
        <w:tc>
          <w:tcPr>
            <w:tcW w:w="80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12,350</w:t>
            </w:r>
          </w:p>
        </w:tc>
        <w:tc>
          <w:tcPr>
            <w:tcW w:w="10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 (191,974)</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3,475</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681,193</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72,555</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w w:val="99"/>
              </w:rPr>
              <w:t>$ 565,548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2023</w:t>
            </w:r>
          </w:p>
        </w:tc>
        <w:tc>
          <w:tcPr>
            <w:tcW w:w="800" w:type="dxa"/>
            <w:vAlign w:val="bottom"/>
            <w:gridSpan w:val="5"/>
            <w:shd w:val="clear" w:color="auto" w:fill="E5FFFF"/>
          </w:tcPr>
          <w:p>
            <w:pPr>
              <w:ind w:left="10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60" w:type="dxa"/>
            <w:vAlign w:val="bottom"/>
            <w:shd w:val="clear" w:color="auto" w:fill="E5FFFF"/>
          </w:tcPr>
          <w:p>
            <w:pPr>
              <w:spacing w:after="0"/>
              <w:rPr>
                <w:sz w:val="12"/>
                <w:szCs w:val="12"/>
                <w:color w:val="auto"/>
              </w:rPr>
            </w:pPr>
          </w:p>
        </w:tc>
        <w:tc>
          <w:tcPr>
            <w:tcW w:w="300" w:type="dxa"/>
            <w:vAlign w:val="bottom"/>
            <w:gridSpan w:val="3"/>
            <w:shd w:val="clear" w:color="auto" w:fill="E5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00" w:type="dxa"/>
            <w:vAlign w:val="bottom"/>
            <w:gridSpan w:val="4"/>
            <w:shd w:val="clear" w:color="auto" w:fill="E5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12,463</w:t>
            </w:r>
          </w:p>
        </w:tc>
        <w:tc>
          <w:tcPr>
            <w:tcW w:w="1080" w:type="dxa"/>
            <w:vAlign w:val="bottom"/>
            <w:gridSpan w:val="6"/>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(193,721)</w:t>
            </w:r>
          </w:p>
        </w:tc>
        <w:tc>
          <w:tcPr>
            <w:tcW w:w="1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280" w:type="dxa"/>
            <w:vAlign w:val="bottom"/>
            <w:tcBorders>
              <w:right w:val="single" w:sz="8" w:color="E5FFFF"/>
            </w:tcBorders>
            <w:shd w:val="clear" w:color="auto" w:fill="E5FFFF"/>
          </w:tcPr>
          <w:p>
            <w:pPr>
              <w:spacing w:after="0"/>
              <w:rPr>
                <w:sz w:val="12"/>
                <w:szCs w:val="12"/>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640,826</w:t>
            </w:r>
          </w:p>
        </w:tc>
        <w:tc>
          <w:tcPr>
            <w:tcW w:w="700" w:type="dxa"/>
            <w:vAlign w:val="bottom"/>
            <w:gridSpan w:val="3"/>
            <w:shd w:val="clear" w:color="auto" w:fill="E5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63,012</w:t>
            </w:r>
          </w:p>
        </w:tc>
        <w:tc>
          <w:tcPr>
            <w:tcW w:w="680" w:type="dxa"/>
            <w:vAlign w:val="bottom"/>
            <w:gridSpan w:val="4"/>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$ 510,994</w:t>
            </w:r>
          </w:p>
        </w:tc>
        <w:tc>
          <w:tcPr>
            <w:tcW w:w="0" w:type="dxa"/>
            <w:vAlign w:val="bottom"/>
          </w:tcPr>
          <w:p>
            <w:pPr>
              <w:spacing w:after="0"/>
              <w:rPr>
                <w:sz w:val="1"/>
                <w:szCs w:val="1"/>
                <w:color w:val="auto"/>
              </w:rPr>
            </w:pPr>
          </w:p>
        </w:tc>
      </w:tr>
      <w:tr>
        <w:trPr>
          <w:trHeight w:val="354"/>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40,367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10,259</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50,626</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4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80" w:type="dxa"/>
            <w:vAlign w:val="bottom"/>
            <w:tcBorders>
              <w:left w:val="single" w:sz="8" w:color="E5FFFF"/>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260" w:type="dxa"/>
            <w:vAlign w:val="bottom"/>
            <w:tcBorders>
              <w:right w:val="single" w:sz="8" w:color="E5FFFF"/>
            </w:tcBorders>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360" w:type="dxa"/>
            <w:vAlign w:val="bottom"/>
            <w:shd w:val="clear" w:color="auto" w:fill="E5FFFF"/>
          </w:tcPr>
          <w:p>
            <w:pPr>
              <w:spacing w:after="0"/>
              <w:rPr>
                <w:sz w:val="16"/>
                <w:szCs w:val="16"/>
                <w:color w:val="auto"/>
              </w:rPr>
            </w:pPr>
          </w:p>
        </w:tc>
        <w:tc>
          <w:tcPr>
            <w:tcW w:w="220" w:type="dxa"/>
            <w:vAlign w:val="bottom"/>
            <w:tcBorders>
              <w:left w:val="single" w:sz="8" w:color="E5FFFF"/>
            </w:tcBorders>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3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80" w:type="dxa"/>
            <w:vAlign w:val="bottom"/>
            <w:tcBorders>
              <w:right w:val="single" w:sz="8" w:color="E5FFFF"/>
            </w:tcBorders>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500" w:type="dxa"/>
            <w:vAlign w:val="bottom"/>
            <w:tcBorders>
              <w:right w:val="single" w:sz="8" w:color="E5FFFF"/>
            </w:tcBorders>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3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720" w:type="dxa"/>
            <w:vAlign w:val="bottom"/>
            <w:gridSpan w:val="3"/>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(716)</w:t>
            </w:r>
          </w:p>
        </w:tc>
        <w:tc>
          <w:tcPr>
            <w:tcW w:w="6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351"/>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 based compensation expense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(113)</w:t>
            </w:r>
          </w:p>
        </w:tc>
        <w:tc>
          <w:tcPr>
            <w:tcW w:w="10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1,747</w:t>
            </w:r>
          </w:p>
        </w:tc>
        <w:tc>
          <w:tcPr>
            <w:tcW w:w="10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2,897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4,644</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October 31, 2023</w:t>
            </w:r>
          </w:p>
        </w:tc>
        <w:tc>
          <w:tcPr>
            <w:tcW w:w="800" w:type="dxa"/>
            <w:vAlign w:val="bottom"/>
            <w:gridSpan w:val="5"/>
            <w:shd w:val="clear" w:color="auto" w:fill="E5FFFF"/>
          </w:tcPr>
          <w:p>
            <w:pPr>
              <w:ind w:left="10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60" w:type="dxa"/>
            <w:vAlign w:val="bottom"/>
            <w:shd w:val="clear" w:color="auto" w:fill="E5FFFF"/>
          </w:tcPr>
          <w:p>
            <w:pPr>
              <w:spacing w:after="0"/>
              <w:rPr>
                <w:sz w:val="12"/>
                <w:szCs w:val="12"/>
                <w:color w:val="auto"/>
              </w:rPr>
            </w:pPr>
          </w:p>
        </w:tc>
        <w:tc>
          <w:tcPr>
            <w:tcW w:w="300" w:type="dxa"/>
            <w:vAlign w:val="bottom"/>
            <w:gridSpan w:val="3"/>
            <w:shd w:val="clear" w:color="auto" w:fill="E5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00" w:type="dxa"/>
            <w:vAlign w:val="bottom"/>
            <w:gridSpan w:val="4"/>
            <w:shd w:val="clear" w:color="auto" w:fill="E5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1080" w:type="dxa"/>
            <w:vAlign w:val="bottom"/>
            <w:gridSpan w:val="6"/>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(191,974)</w:t>
            </w:r>
          </w:p>
        </w:tc>
        <w:tc>
          <w:tcPr>
            <w:tcW w:w="1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280" w:type="dxa"/>
            <w:vAlign w:val="bottom"/>
            <w:tcBorders>
              <w:right w:val="single" w:sz="8" w:color="E5FFFF"/>
            </w:tcBorders>
            <w:shd w:val="clear" w:color="auto" w:fill="E5FFFF"/>
          </w:tcPr>
          <w:p>
            <w:pPr>
              <w:spacing w:after="0"/>
              <w:rPr>
                <w:sz w:val="12"/>
                <w:szCs w:val="12"/>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681,193</w:t>
            </w:r>
          </w:p>
        </w:tc>
        <w:tc>
          <w:tcPr>
            <w:tcW w:w="700" w:type="dxa"/>
            <w:vAlign w:val="bottom"/>
            <w:gridSpan w:val="3"/>
            <w:shd w:val="clear" w:color="auto" w:fill="E5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72,555</w:t>
            </w:r>
          </w:p>
        </w:tc>
        <w:tc>
          <w:tcPr>
            <w:tcW w:w="680" w:type="dxa"/>
            <w:vAlign w:val="bottom"/>
            <w:gridSpan w:val="4"/>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$ 565,548</w:t>
            </w:r>
          </w:p>
        </w:tc>
        <w:tc>
          <w:tcPr>
            <w:tcW w:w="0" w:type="dxa"/>
            <w:vAlign w:val="bottom"/>
          </w:tcPr>
          <w:p>
            <w:pPr>
              <w:spacing w:after="0"/>
              <w:rPr>
                <w:sz w:val="1"/>
                <w:szCs w:val="1"/>
                <w:color w:val="auto"/>
              </w:rPr>
            </w:pPr>
          </w:p>
        </w:tc>
      </w:tr>
      <w:tr>
        <w:trPr>
          <w:trHeight w:val="20"/>
        </w:trPr>
        <w:tc>
          <w:tcPr>
            <w:tcW w:w="414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4"/>
                <w:szCs w:val="14"/>
                <w:color w:val="auto"/>
              </w:rPr>
              <w:t>Continued on the following page</w:t>
            </w:r>
          </w:p>
        </w:tc>
        <w:tc>
          <w:tcPr>
            <w:tcW w:w="4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1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October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Continued from the previous page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REX Shareholders</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7"/>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89"/>
              </w:rPr>
              <w:t>Issued</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in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13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500" w:type="dxa"/>
            <w:vAlign w:val="bottom"/>
            <w:gridSpan w:val="4"/>
          </w:tcPr>
          <w:p>
            <w:pPr>
              <w:jc w:val="right"/>
              <w:ind w:right="60"/>
              <w:spacing w:after="0" w:line="102"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gridSpan w:val="4"/>
          </w:tcPr>
          <w:p>
            <w:pPr>
              <w:jc w:val="right"/>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Amount</w:t>
            </w:r>
          </w:p>
        </w:tc>
        <w:tc>
          <w:tcPr>
            <w:tcW w:w="42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Shares</w:t>
            </w:r>
          </w:p>
        </w:tc>
        <w:tc>
          <w:tcPr>
            <w:tcW w:w="340" w:type="dxa"/>
            <w:vAlign w:val="bottom"/>
            <w:tcBorders>
              <w:top w:val="single" w:sz="8" w:color="auto"/>
            </w:tcBorders>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4"/>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360" w:type="dxa"/>
            <w:vAlign w:val="bottom"/>
            <w:gridSpan w:val="6"/>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80" w:type="dxa"/>
            <w:vAlign w:val="bottom"/>
          </w:tcPr>
          <w:p>
            <w:pPr>
              <w:spacing w:after="0"/>
              <w:rPr>
                <w:sz w:val="11"/>
                <w:szCs w:val="11"/>
                <w:color w:val="auto"/>
              </w:rPr>
            </w:pPr>
          </w:p>
        </w:tc>
        <w:tc>
          <w:tcPr>
            <w:tcW w:w="640" w:type="dxa"/>
            <w:vAlign w:val="bottom"/>
            <w:gridSpan w:val="4"/>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July 31, 2022</w:t>
            </w:r>
          </w:p>
        </w:tc>
        <w:tc>
          <w:tcPr>
            <w:tcW w:w="520" w:type="dxa"/>
            <w:vAlign w:val="bottom"/>
            <w:gridSpan w:val="5"/>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580" w:type="dxa"/>
            <w:vAlign w:val="bottom"/>
            <w:gridSpan w:val="4"/>
            <w:shd w:val="clear" w:color="auto" w:fill="E5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760" w:type="dxa"/>
            <w:vAlign w:val="bottom"/>
            <w:gridSpan w:val="4"/>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12,213</w:t>
            </w:r>
          </w:p>
        </w:tc>
        <w:tc>
          <w:tcPr>
            <w:tcW w:w="960" w:type="dxa"/>
            <w:vAlign w:val="bottom"/>
            <w:gridSpan w:val="5"/>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(186,996)</w:t>
            </w:r>
          </w:p>
        </w:tc>
        <w:tc>
          <w:tcPr>
            <w:tcW w:w="1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FFFF"/>
          </w:tcPr>
          <w:p>
            <w:pPr>
              <w:spacing w:after="0"/>
              <w:rPr>
                <w:sz w:val="12"/>
                <w:szCs w:val="12"/>
                <w:color w:val="auto"/>
              </w:rPr>
            </w:pPr>
          </w:p>
        </w:tc>
        <w:tc>
          <w:tcPr>
            <w:tcW w:w="26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629,481</w:t>
            </w:r>
          </w:p>
        </w:tc>
        <w:tc>
          <w:tcPr>
            <w:tcW w:w="700" w:type="dxa"/>
            <w:vAlign w:val="bottom"/>
            <w:gridSpan w:val="3"/>
            <w:shd w:val="clear" w:color="auto" w:fill="E5FFFF"/>
          </w:tcPr>
          <w:p>
            <w:pPr>
              <w:jc w:val="center"/>
              <w:ind w:left="51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E5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60,656</w:t>
            </w:r>
          </w:p>
        </w:tc>
        <w:tc>
          <w:tcPr>
            <w:tcW w:w="8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503,440</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3,184</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1,714</w:t>
            </w:r>
          </w:p>
        </w:tc>
        <w:tc>
          <w:tcPr>
            <w:tcW w:w="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760" w:type="dxa"/>
            <w:vAlign w:val="bottom"/>
            <w:gridSpan w:val="4"/>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960" w:type="dxa"/>
            <w:vAlign w:val="bottom"/>
            <w:gridSpan w:val="5"/>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(6,819)</w:t>
            </w:r>
          </w:p>
        </w:tc>
        <w:tc>
          <w:tcPr>
            <w:tcW w:w="12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4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(6,819)</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36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auto"/>
            </w:tcBorders>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40" w:type="dxa"/>
            <w:vAlign w:val="bottom"/>
            <w:tcBorders>
              <w:bottom w:val="single" w:sz="8" w:color="auto"/>
            </w:tcBorders>
            <w:shd w:val="clear" w:color="auto" w:fill="E5FFFF"/>
          </w:tcPr>
          <w:p>
            <w:pPr>
              <w:spacing w:after="0"/>
              <w:rPr>
                <w:sz w:val="12"/>
                <w:szCs w:val="12"/>
                <w:color w:val="auto"/>
              </w:rPr>
            </w:pPr>
          </w:p>
        </w:tc>
        <w:tc>
          <w:tcPr>
            <w:tcW w:w="280" w:type="dxa"/>
            <w:vAlign w:val="bottom"/>
            <w:tcBorders>
              <w:bottom w:val="single" w:sz="8" w:color="auto"/>
            </w:tcBorders>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60" w:type="dxa"/>
            <w:vAlign w:val="bottom"/>
            <w:tcBorders>
              <w:bottom w:val="single" w:sz="8" w:color="auto"/>
            </w:tcBorders>
            <w:shd w:val="clear" w:color="auto" w:fill="E5FFFF"/>
          </w:tcPr>
          <w:p>
            <w:pPr>
              <w:spacing w:after="0"/>
              <w:rPr>
                <w:sz w:val="12"/>
                <w:szCs w:val="12"/>
                <w:color w:val="auto"/>
              </w:rPr>
            </w:pPr>
          </w:p>
        </w:tc>
        <w:tc>
          <w:tcPr>
            <w:tcW w:w="40" w:type="dxa"/>
            <w:vAlign w:val="bottom"/>
            <w:tcBorders>
              <w:bottom w:val="single" w:sz="8" w:color="auto"/>
            </w:tcBorders>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80" w:type="dxa"/>
            <w:vAlign w:val="bottom"/>
            <w:tcBorders>
              <w:bottom w:val="single" w:sz="8" w:color="auto"/>
            </w:tcBorders>
            <w:gridSpan w:val="4"/>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80" w:type="dxa"/>
            <w:vAlign w:val="bottom"/>
            <w:shd w:val="clear" w:color="auto" w:fill="E5FFFF"/>
          </w:tcPr>
          <w:p>
            <w:pPr>
              <w:spacing w:after="0"/>
              <w:rPr>
                <w:sz w:val="12"/>
                <w:szCs w:val="12"/>
                <w:color w:val="auto"/>
              </w:rPr>
            </w:pPr>
          </w:p>
        </w:tc>
        <w:tc>
          <w:tcPr>
            <w:tcW w:w="120" w:type="dxa"/>
            <w:vAlign w:val="bottom"/>
            <w:tcBorders>
              <w:bottom w:val="single" w:sz="8" w:color="auto"/>
            </w:tcBorders>
            <w:shd w:val="clear" w:color="auto" w:fill="E5FFFF"/>
          </w:tcPr>
          <w:p>
            <w:pPr>
              <w:spacing w:after="0"/>
              <w:rPr>
                <w:sz w:val="12"/>
                <w:szCs w:val="12"/>
                <w:color w:val="auto"/>
              </w:rPr>
            </w:pPr>
          </w:p>
        </w:tc>
        <w:tc>
          <w:tcPr>
            <w:tcW w:w="340" w:type="dxa"/>
            <w:vAlign w:val="bottom"/>
            <w:tcBorders>
              <w:bottom w:val="single" w:sz="8" w:color="auto"/>
            </w:tcBorders>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auto"/>
            </w:tcBorders>
            <w:shd w:val="clear" w:color="auto" w:fill="E5FFFF"/>
          </w:tcPr>
          <w:p>
            <w:pPr>
              <w:spacing w:after="0"/>
              <w:rPr>
                <w:sz w:val="12"/>
                <w:szCs w:val="12"/>
                <w:color w:val="auto"/>
              </w:rPr>
            </w:pPr>
          </w:p>
        </w:tc>
        <w:tc>
          <w:tcPr>
            <w:tcW w:w="480" w:type="dxa"/>
            <w:vAlign w:val="bottom"/>
            <w:tcBorders>
              <w:bottom w:val="single" w:sz="8" w:color="auto"/>
            </w:tcBorders>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00" w:type="dxa"/>
            <w:vAlign w:val="bottom"/>
            <w:tcBorders>
              <w:bottom w:val="single" w:sz="8" w:color="auto"/>
            </w:tcBorders>
            <w:shd w:val="clear" w:color="auto" w:fill="E5FFFF"/>
          </w:tcPr>
          <w:p>
            <w:pPr>
              <w:spacing w:after="0"/>
              <w:rPr>
                <w:sz w:val="12"/>
                <w:szCs w:val="12"/>
                <w:color w:val="auto"/>
              </w:rPr>
            </w:pPr>
          </w:p>
        </w:tc>
        <w:tc>
          <w:tcPr>
            <w:tcW w:w="200" w:type="dxa"/>
            <w:vAlign w:val="bottom"/>
            <w:tcBorders>
              <w:bottom w:val="single" w:sz="8" w:color="auto"/>
            </w:tcBorders>
            <w:shd w:val="clear" w:color="auto" w:fill="E5FFFF"/>
          </w:tcPr>
          <w:p>
            <w:pPr>
              <w:spacing w:after="0"/>
              <w:rPr>
                <w:sz w:val="12"/>
                <w:szCs w:val="12"/>
                <w:color w:val="auto"/>
              </w:rPr>
            </w:pPr>
          </w:p>
        </w:tc>
        <w:tc>
          <w:tcPr>
            <w:tcW w:w="240" w:type="dxa"/>
            <w:vAlign w:val="bottom"/>
            <w:tcBorders>
              <w:bottom w:val="single" w:sz="8" w:color="auto"/>
            </w:tcBorders>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80" w:type="dxa"/>
            <w:vAlign w:val="bottom"/>
            <w:tcBorders>
              <w:bottom w:val="single" w:sz="8" w:color="auto"/>
            </w:tcBorders>
            <w:shd w:val="clear" w:color="auto" w:fill="E5FFFF"/>
          </w:tcPr>
          <w:p>
            <w:pPr>
              <w:spacing w:after="0"/>
              <w:rPr>
                <w:sz w:val="12"/>
                <w:szCs w:val="12"/>
                <w:color w:val="auto"/>
              </w:rPr>
            </w:pPr>
          </w:p>
        </w:tc>
        <w:tc>
          <w:tcPr>
            <w:tcW w:w="540" w:type="dxa"/>
            <w:vAlign w:val="bottom"/>
            <w:tcBorders>
              <w:bottom w:val="single" w:sz="8" w:color="auto"/>
            </w:tcBorders>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Balance at October 31, 2022</w:t>
            </w: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29,853</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7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color w:val="auto"/>
              </w:rPr>
              <w:t>12,463</w:t>
            </w:r>
          </w:p>
        </w:tc>
        <w:tc>
          <w:tcPr>
            <w:tcW w:w="9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 (193,770)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632,665</w:t>
            </w:r>
          </w:p>
        </w:tc>
        <w:tc>
          <w:tcPr>
            <w:tcW w:w="700" w:type="dxa"/>
            <w:vAlign w:val="bottom"/>
            <w:gridSpan w:val="3"/>
          </w:tcPr>
          <w:p>
            <w:pPr>
              <w:jc w:val="center"/>
              <w:ind w:left="51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62,273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501,745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2022</w:t>
            </w:r>
          </w:p>
        </w:tc>
        <w:tc>
          <w:tcPr>
            <w:tcW w:w="520" w:type="dxa"/>
            <w:vAlign w:val="bottom"/>
            <w:gridSpan w:val="5"/>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580" w:type="dxa"/>
            <w:vAlign w:val="bottom"/>
            <w:gridSpan w:val="4"/>
            <w:shd w:val="clear" w:color="auto" w:fill="E5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760" w:type="dxa"/>
            <w:vAlign w:val="bottom"/>
            <w:gridSpan w:val="4"/>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12,092</w:t>
            </w:r>
          </w:p>
        </w:tc>
        <w:tc>
          <w:tcPr>
            <w:tcW w:w="960" w:type="dxa"/>
            <w:vAlign w:val="bottom"/>
            <w:gridSpan w:val="5"/>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(181,114)</w:t>
            </w:r>
          </w:p>
        </w:tc>
        <w:tc>
          <w:tcPr>
            <w:tcW w:w="1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FFFF"/>
          </w:tcPr>
          <w:p>
            <w:pPr>
              <w:spacing w:after="0"/>
              <w:rPr>
                <w:sz w:val="12"/>
                <w:szCs w:val="12"/>
                <w:color w:val="auto"/>
              </w:rPr>
            </w:pPr>
          </w:p>
        </w:tc>
        <w:tc>
          <w:tcPr>
            <w:tcW w:w="26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611,607</w:t>
            </w:r>
          </w:p>
        </w:tc>
        <w:tc>
          <w:tcPr>
            <w:tcW w:w="700" w:type="dxa"/>
            <w:vAlign w:val="bottom"/>
            <w:gridSpan w:val="3"/>
            <w:shd w:val="clear" w:color="auto" w:fill="E5FFFF"/>
          </w:tcPr>
          <w:p>
            <w:pPr>
              <w:jc w:val="center"/>
              <w:ind w:left="51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E5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56,770</w:t>
            </w:r>
          </w:p>
        </w:tc>
        <w:tc>
          <w:tcPr>
            <w:tcW w:w="8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487,562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19,536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7,233</w:t>
            </w:r>
          </w:p>
        </w:tc>
        <w:tc>
          <w:tcPr>
            <w:tcW w:w="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26,769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760" w:type="dxa"/>
            <w:vAlign w:val="bottom"/>
            <w:gridSpan w:val="4"/>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960" w:type="dxa"/>
            <w:vAlign w:val="bottom"/>
            <w:gridSpan w:val="5"/>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(13,012)</w:t>
            </w:r>
          </w:p>
        </w:tc>
        <w:tc>
          <w:tcPr>
            <w:tcW w:w="12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4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(1,730)</w:t>
            </w:r>
          </w:p>
        </w:tc>
        <w:tc>
          <w:tcPr>
            <w:tcW w:w="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36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auto"/>
            </w:tcBorders>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40" w:type="dxa"/>
            <w:vAlign w:val="bottom"/>
            <w:tcBorders>
              <w:bottom w:val="single" w:sz="8" w:color="auto"/>
            </w:tcBorders>
            <w:shd w:val="clear" w:color="auto" w:fill="E5FFFF"/>
          </w:tcPr>
          <w:p>
            <w:pPr>
              <w:spacing w:after="0"/>
              <w:rPr>
                <w:sz w:val="12"/>
                <w:szCs w:val="12"/>
                <w:color w:val="auto"/>
              </w:rPr>
            </w:pPr>
          </w:p>
        </w:tc>
        <w:tc>
          <w:tcPr>
            <w:tcW w:w="280" w:type="dxa"/>
            <w:vAlign w:val="bottom"/>
            <w:tcBorders>
              <w:bottom w:val="single" w:sz="8" w:color="auto"/>
            </w:tcBorders>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0" w:type="dxa"/>
            <w:vAlign w:val="bottom"/>
            <w:tcBorders>
              <w:bottom w:val="single" w:sz="8" w:color="auto"/>
            </w:tcBorders>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300" w:type="dxa"/>
            <w:vAlign w:val="bottom"/>
            <w:shd w:val="clear" w:color="auto" w:fill="E5FFFF"/>
          </w:tcPr>
          <w:p>
            <w:pPr>
              <w:spacing w:after="0"/>
              <w:rPr>
                <w:sz w:val="12"/>
                <w:szCs w:val="12"/>
                <w:color w:val="auto"/>
              </w:rPr>
            </w:pPr>
          </w:p>
        </w:tc>
        <w:tc>
          <w:tcPr>
            <w:tcW w:w="680" w:type="dxa"/>
            <w:vAlign w:val="bottom"/>
            <w:tcBorders>
              <w:bottom w:val="single" w:sz="8" w:color="auto"/>
            </w:tcBorders>
            <w:gridSpan w:val="4"/>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280" w:type="dxa"/>
            <w:vAlign w:val="bottom"/>
            <w:shd w:val="clear" w:color="auto" w:fill="E5FFFF"/>
          </w:tcPr>
          <w:p>
            <w:pPr>
              <w:spacing w:after="0"/>
              <w:rPr>
                <w:sz w:val="12"/>
                <w:szCs w:val="12"/>
                <w:color w:val="auto"/>
              </w:rPr>
            </w:pPr>
          </w:p>
        </w:tc>
        <w:tc>
          <w:tcPr>
            <w:tcW w:w="120" w:type="dxa"/>
            <w:vAlign w:val="bottom"/>
            <w:tcBorders>
              <w:bottom w:val="single" w:sz="8" w:color="auto"/>
            </w:tcBorders>
            <w:shd w:val="clear" w:color="auto" w:fill="E5FFFF"/>
          </w:tcPr>
          <w:p>
            <w:pPr>
              <w:spacing w:after="0"/>
              <w:rPr>
                <w:sz w:val="12"/>
                <w:szCs w:val="12"/>
                <w:color w:val="auto"/>
              </w:rPr>
            </w:pPr>
          </w:p>
        </w:tc>
        <w:tc>
          <w:tcPr>
            <w:tcW w:w="340" w:type="dxa"/>
            <w:vAlign w:val="bottom"/>
            <w:tcBorders>
              <w:bottom w:val="single" w:sz="8" w:color="auto"/>
            </w:tcBorders>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auto"/>
            </w:tcBorders>
            <w:shd w:val="clear" w:color="auto" w:fill="E5FFFF"/>
          </w:tcPr>
          <w:p>
            <w:pPr>
              <w:spacing w:after="0"/>
              <w:rPr>
                <w:sz w:val="12"/>
                <w:szCs w:val="12"/>
                <w:color w:val="auto"/>
              </w:rPr>
            </w:pPr>
          </w:p>
        </w:tc>
        <w:tc>
          <w:tcPr>
            <w:tcW w:w="500" w:type="dxa"/>
            <w:vAlign w:val="bottom"/>
            <w:tcBorders>
              <w:bottom w:val="single" w:sz="8" w:color="auto"/>
            </w:tcBorders>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16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00" w:type="dxa"/>
            <w:vAlign w:val="bottom"/>
            <w:tcBorders>
              <w:bottom w:val="single" w:sz="8" w:color="auto"/>
            </w:tcBorders>
            <w:shd w:val="clear" w:color="auto" w:fill="E5FFFF"/>
          </w:tcPr>
          <w:p>
            <w:pPr>
              <w:spacing w:after="0"/>
              <w:rPr>
                <w:sz w:val="12"/>
                <w:szCs w:val="12"/>
                <w:color w:val="auto"/>
              </w:rPr>
            </w:pPr>
          </w:p>
        </w:tc>
        <w:tc>
          <w:tcPr>
            <w:tcW w:w="200" w:type="dxa"/>
            <w:vAlign w:val="bottom"/>
            <w:tcBorders>
              <w:bottom w:val="single" w:sz="8" w:color="auto"/>
            </w:tcBorders>
            <w:shd w:val="clear" w:color="auto" w:fill="E5FFFF"/>
          </w:tcPr>
          <w:p>
            <w:pPr>
              <w:spacing w:after="0"/>
              <w:rPr>
                <w:sz w:val="12"/>
                <w:szCs w:val="12"/>
                <w:color w:val="auto"/>
              </w:rPr>
            </w:pPr>
          </w:p>
        </w:tc>
        <w:tc>
          <w:tcPr>
            <w:tcW w:w="240" w:type="dxa"/>
            <w:vAlign w:val="bottom"/>
            <w:tcBorders>
              <w:bottom w:val="single" w:sz="8" w:color="auto"/>
            </w:tcBorders>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80" w:type="dxa"/>
            <w:vAlign w:val="bottom"/>
            <w:tcBorders>
              <w:bottom w:val="single" w:sz="8" w:color="auto"/>
            </w:tcBorders>
            <w:shd w:val="clear" w:color="auto" w:fill="E5FFFF"/>
          </w:tcPr>
          <w:p>
            <w:pPr>
              <w:spacing w:after="0"/>
              <w:rPr>
                <w:sz w:val="12"/>
                <w:szCs w:val="12"/>
                <w:color w:val="auto"/>
              </w:rPr>
            </w:pPr>
          </w:p>
        </w:tc>
        <w:tc>
          <w:tcPr>
            <w:tcW w:w="540" w:type="dxa"/>
            <w:vAlign w:val="bottom"/>
            <w:tcBorders>
              <w:bottom w:val="single" w:sz="8" w:color="auto"/>
            </w:tcBorders>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Balance at October 31, 2022</w:t>
            </w: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29,853</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7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color w:val="auto"/>
              </w:rPr>
              <w:t>12,463</w:t>
            </w:r>
          </w:p>
        </w:tc>
        <w:tc>
          <w:tcPr>
            <w:tcW w:w="9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 (193,770)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632,665</w:t>
            </w:r>
          </w:p>
        </w:tc>
        <w:tc>
          <w:tcPr>
            <w:tcW w:w="700" w:type="dxa"/>
            <w:vAlign w:val="bottom"/>
            <w:gridSpan w:val="3"/>
          </w:tcPr>
          <w:p>
            <w:pPr>
              <w:jc w:val="center"/>
              <w:ind w:left="51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62,273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501,745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-2536825</wp:posOffset>
            </wp:positionV>
            <wp:extent cx="2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50,626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26,769</w:t>
            </w: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13,371</w:t>
            </w:r>
          </w:p>
        </w:tc>
        <w:tc>
          <w:tcPr>
            <w:tcW w:w="2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13,503</w:t>
            </w: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3,766</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4,105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(9,275)</w:t>
            </w:r>
          </w:p>
        </w:tc>
        <w:tc>
          <w:tcPr>
            <w:tcW w:w="2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(6,210)</w:t>
            </w: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Dividends received from equity method investments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5,513</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(6,950)</w:t>
            </w:r>
          </w:p>
        </w:tc>
        <w:tc>
          <w:tcPr>
            <w:tcW w:w="2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10,048</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5,146</w:t>
            </w:r>
          </w:p>
        </w:tc>
        <w:tc>
          <w:tcPr>
            <w:tcW w:w="2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Loss (gain) on sale of property and equipment – net</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(4,976)</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11,229</w:t>
            </w:r>
          </w:p>
        </w:tc>
        <w:tc>
          <w:tcPr>
            <w:tcW w:w="2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(1,486)</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(5,622)</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7,990</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(4,812)</w:t>
            </w:r>
          </w:p>
        </w:tc>
        <w:tc>
          <w:tcPr>
            <w:tcW w:w="260" w:type="dxa"/>
            <w:vAlign w:val="bottom"/>
          </w:tcPr>
          <w:p>
            <w:pPr>
              <w:spacing w:after="0"/>
              <w:rPr>
                <w:sz w:val="19"/>
                <w:szCs w:val="19"/>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09"/>
        </w:trPr>
        <w:tc>
          <w:tcPr>
            <w:tcW w:w="86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67,192</w:t>
            </w:r>
          </w:p>
        </w:tc>
        <w:tc>
          <w:tcPr>
            <w:tcW w:w="44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4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53,994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(22,359)</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(7,182)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(378,381)</w:t>
            </w:r>
          </w:p>
        </w:tc>
        <w:tc>
          <w:tcPr>
            <w:tcW w:w="2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(307,371)</w:t>
            </w: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337,490</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180,527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real estate and property and equipment</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shd w:val="clear" w:color="auto" w:fill="E5FFFF"/>
          </w:tcPr>
          <w:p>
            <w:pPr>
              <w:spacing w:after="0"/>
              <w:rPr>
                <w:sz w:val="19"/>
                <w:szCs w:val="19"/>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E5FFFF"/>
          </w:tcPr>
          <w:p>
            <w:pPr>
              <w:spacing w:after="0"/>
              <w:rPr>
                <w:sz w:val="19"/>
                <w:szCs w:val="19"/>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(63,267)</w:t>
            </w: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(134,026)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acquired</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(13,012)</w:t>
            </w:r>
          </w:p>
        </w:tc>
        <w:tc>
          <w:tcPr>
            <w:tcW w:w="0" w:type="dxa"/>
            <w:vAlign w:val="bottom"/>
          </w:tcPr>
          <w:p>
            <w:pPr>
              <w:spacing w:after="0"/>
              <w:rPr>
                <w:sz w:val="1"/>
                <w:szCs w:val="1"/>
                <w:color w:val="auto"/>
              </w:rPr>
            </w:pPr>
          </w:p>
        </w:tc>
      </w:tr>
      <w:tr>
        <w:trPr>
          <w:trHeight w:val="230"/>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200" w:type="dxa"/>
            <w:vAlign w:val="bottom"/>
            <w:shd w:val="clear" w:color="auto" w:fill="E5FFFF"/>
          </w:tcPr>
          <w:p>
            <w:pPr>
              <w:spacing w:after="0"/>
              <w:rPr>
                <w:sz w:val="19"/>
                <w:szCs w:val="19"/>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(716)</w:t>
            </w:r>
          </w:p>
        </w:tc>
        <w:tc>
          <w:tcPr>
            <w:tcW w:w="260" w:type="dxa"/>
            <w:vAlign w:val="bottom"/>
            <w:shd w:val="clear" w:color="auto" w:fill="E5FFFF"/>
          </w:tcPr>
          <w:p>
            <w:pPr>
              <w:spacing w:after="0"/>
              <w:rPr>
                <w:sz w:val="19"/>
                <w:szCs w:val="19"/>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3,209</w:t>
            </w:r>
          </w:p>
        </w:tc>
        <w:tc>
          <w:tcPr>
            <w:tcW w:w="26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(94,774)</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tcPr>
          <w:p>
            <w:pPr>
              <w:spacing w:after="0"/>
              <w:rPr>
                <w:sz w:val="19"/>
                <w:szCs w:val="19"/>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71,347</w:t>
            </w:r>
          </w:p>
        </w:tc>
        <w:tc>
          <w:tcPr>
            <w:tcW w:w="260" w:type="dxa"/>
            <w:vAlign w:val="bottom"/>
          </w:tcPr>
          <w:p>
            <w:pPr>
              <w:spacing w:after="0"/>
              <w:rPr>
                <w:sz w:val="19"/>
                <w:szCs w:val="19"/>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232,068</w:t>
            </w:r>
          </w:p>
        </w:tc>
        <w:tc>
          <w:tcPr>
            <w:tcW w:w="0" w:type="dxa"/>
            <w:vAlign w:val="bottom"/>
          </w:tcPr>
          <w:p>
            <w:pPr>
              <w:spacing w:after="0"/>
              <w:rPr>
                <w:sz w:val="1"/>
                <w:szCs w:val="1"/>
                <w:color w:val="auto"/>
              </w:rPr>
            </w:pPr>
          </w:p>
        </w:tc>
      </w:tr>
      <w:tr>
        <w:trPr>
          <w:trHeight w:val="223"/>
        </w:trPr>
        <w:tc>
          <w:tcPr>
            <w:tcW w:w="868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74,556</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137,294</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 cash investing activities – Accrued capital expenditures</w:t>
            </w: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680" w:type="dxa"/>
            <w:vAlign w:val="bottom"/>
            <w:vMerge w:val="continue"/>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7"/>
        </w:trPr>
        <w:tc>
          <w:tcPr>
            <w:tcW w:w="8680" w:type="dxa"/>
            <w:vAlign w:val="bottom"/>
            <w:tcBorders>
              <w:top w:val="single" w:sz="8" w:color="E5FFFF"/>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 cash financing activities – Stock awards accrued</w:t>
            </w: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1,467</w:t>
            </w:r>
          </w:p>
        </w:tc>
        <w:tc>
          <w:tcPr>
            <w:tcW w:w="44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 cash financing activities – Stock awards issued</w:t>
            </w: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E5FF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965</w:t>
            </w:r>
          </w:p>
        </w:tc>
        <w:tc>
          <w:tcPr>
            <w:tcW w:w="44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Right-of-use assets acquired and liabilities incurred upon lease execution</w:t>
            </w: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3,210</w:t>
            </w:r>
          </w:p>
        </w:tc>
        <w:tc>
          <w:tcPr>
            <w:tcW w:w="44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7,632</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Reconciliation of total cash, cash equivalents and restricted cash:</w:t>
            </w: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8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72,828</w:t>
            </w:r>
          </w:p>
        </w:tc>
        <w:tc>
          <w:tcPr>
            <w:tcW w:w="260" w:type="dxa"/>
            <w:vAlign w:val="bottom"/>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135,986</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1,728</w:t>
            </w:r>
          </w:p>
        </w:tc>
        <w:tc>
          <w:tcPr>
            <w:tcW w:w="260" w:type="dxa"/>
            <w:vAlign w:val="bottom"/>
          </w:tcPr>
          <w:p>
            <w:pPr>
              <w:spacing w:after="0"/>
              <w:rPr>
                <w:sz w:val="19"/>
                <w:szCs w:val="19"/>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23"/>
        </w:trPr>
        <w:tc>
          <w:tcPr>
            <w:tcW w:w="868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74,556</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137,294</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ind w:left="2180"/>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NOTES TO UNAUDITED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October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Financial Statements</w:t>
      </w:r>
    </w:p>
    <w:p>
      <w:pPr>
        <w:spacing w:after="0" w:line="212" w:lineRule="exact"/>
        <w:rPr>
          <w:sz w:val="20"/>
          <w:szCs w:val="20"/>
          <w:color w:val="auto"/>
        </w:rPr>
      </w:pPr>
    </w:p>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financial statements and in these notes to the consolidated condensed financial statements refer to REX American Resources Corporation, a Delaware corporation, and its majority and wholly owned subsidiaries.</w:t>
      </w:r>
    </w:p>
    <w:p>
      <w:pPr>
        <w:spacing w:after="0" w:line="17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2023 included in these financial statements has been derived from the audited consolidated financial statements included in the Company’s Annual Report on Form 10-K for the year ended January 31, 2023 (fiscal year 2022). These unaudited consolidated financial statements should be read in conjunction with the consolidated financial statements and the notes thereto included in the Company’s Annual Report on Form 10-K for the year ended January 31, 2023. The results of operations for the interim periods are not necessarily indicative of the results to be expected for the year.</w:t>
      </w:r>
    </w:p>
    <w:p>
      <w:pPr>
        <w:spacing w:after="0" w:line="173"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Basis of Consolidation </w:t>
      </w:r>
      <w:r>
        <w:rPr>
          <w:rFonts w:ascii="Times New Roman" w:cs="Times New Roman" w:eastAsia="Times New Roman" w:hAnsi="Times New Roman"/>
          <w:sz w:val="22"/>
          <w:szCs w:val="22"/>
          <w:color w:val="auto"/>
        </w:rPr>
        <w:t>– The consolidated financial statements in this report include the operating results and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of the Company. All intercompany balances and transactions have been eliminated. The Company consolidates the results of its wholly owned and majority owned subsidiaries. The Company includes the results of operations of One Earth Energy, LLC (“One Earth”) in its Consolidated Statements of Operations on a delayed basis of one month as One Earth has a fiscal year end of December 31.</w:t>
      </w:r>
    </w:p>
    <w:p>
      <w:pPr>
        <w:spacing w:after="0" w:line="177" w:lineRule="exact"/>
        <w:rPr>
          <w:sz w:val="20"/>
          <w:szCs w:val="20"/>
          <w:color w:val="auto"/>
        </w:rPr>
      </w:pPr>
    </w:p>
    <w:p>
      <w:pPr>
        <w:jc w:val="both"/>
        <w:ind w:right="40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Stock Split </w:t>
      </w:r>
      <w:r>
        <w:rPr>
          <w:rFonts w:ascii="Times New Roman" w:cs="Times New Roman" w:eastAsia="Times New Roman" w:hAnsi="Times New Roman"/>
          <w:sz w:val="22"/>
          <w:szCs w:val="22"/>
          <w:color w:val="auto"/>
        </w:rPr>
        <w:t>– On June 21, 2022, the Board of Directors of the Company adopted resolutions declaring a three-for-one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split of the Company’s Common Stock to be effectuated in the form of a 200% stock dividend, payable on August 5, 2022 to stockholders of record at the close of business on July 29, 2022.</w:t>
      </w:r>
    </w:p>
    <w:p>
      <w:pPr>
        <w:spacing w:after="0" w:line="167"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Nature of Operations </w:t>
      </w:r>
      <w:r>
        <w:rPr>
          <w:rFonts w:ascii="Times New Roman" w:cs="Times New Roman" w:eastAsia="Times New Roman" w:hAnsi="Times New Roman"/>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1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The interim consolidated condensed financial statements have been prepared in accordance with the accounting policies described in the notes to the consolidated financial statements included in the</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8" w:name="page9"/>
    <w:bookmarkEnd w:id="8"/>
    <w:p>
      <w:pPr>
        <w:spacing w:after="0" w:line="238" w:lineRule="auto"/>
        <w:rPr>
          <w:sz w:val="20"/>
          <w:szCs w:val="20"/>
          <w:color w:val="auto"/>
        </w:rPr>
      </w:pPr>
      <w:r>
        <w:rPr>
          <w:rFonts w:ascii="Times New Roman" w:cs="Times New Roman" w:eastAsia="Times New Roman" w:hAnsi="Times New Roman"/>
          <w:sz w:val="22"/>
          <w:szCs w:val="22"/>
          <w:color w:val="auto"/>
        </w:rPr>
        <w:t>Company’s fiscal year 2022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10"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of Sales</w:t>
      </w:r>
    </w:p>
    <w:p>
      <w:pPr>
        <w:spacing w:after="0" w:line="210"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third-party freight charges, purchasing and receiving costs, inspection costs, other distribution expenses, warehousing costs, plant repair and maintenance costs, plant management, certain compensation costs and general facility overhead charges.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(“SG&amp;A”) Expenses</w:t>
      </w:r>
    </w:p>
    <w:p>
      <w:pPr>
        <w:spacing w:after="0" w:line="237"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selling charges and certain payroll in SG&amp;A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in Accounting Principles</w:t>
      </w:r>
    </w:p>
    <w:p>
      <w:pPr>
        <w:spacing w:after="0" w:line="210" w:lineRule="exact"/>
        <w:rPr>
          <w:sz w:val="20"/>
          <w:szCs w:val="20"/>
          <w:color w:val="auto"/>
        </w:rPr>
      </w:pPr>
    </w:p>
    <w:p>
      <w:pPr>
        <w:ind w:right="260" w:firstLine="648"/>
        <w:spacing w:after="0" w:line="251" w:lineRule="auto"/>
        <w:rPr>
          <w:sz w:val="20"/>
          <w:szCs w:val="20"/>
          <w:color w:val="auto"/>
        </w:rPr>
      </w:pPr>
      <w:r>
        <w:rPr>
          <w:rFonts w:ascii="Times New Roman" w:cs="Times New Roman" w:eastAsia="Times New Roman" w:hAnsi="Times New Roman"/>
          <w:sz w:val="21"/>
          <w:szCs w:val="21"/>
          <w:color w:val="auto"/>
        </w:rPr>
        <w:t>Effective for the second quarter of fiscal year 2023, the Company changed the method of accounting for shipping and handling costs for products sold to customers from recorded within “Selling, general and administrative expenses” to recorded within “Cost of sales” on the accompanying Consolidated Statements of Operations. While both presentations are allowable under accounting principles generally accepted in the United States of America, the Company believes that this change in classification is preferable because it improves the comparability of gross margin between periods and among industry peers.</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9" w:name="page10"/>
    <w:bookmarkEnd w:id="9"/>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tables show the effect of the retrospective change to the Consolidated Statements of Operations previously presented:</w:t>
      </w:r>
    </w:p>
    <w:p>
      <w:pPr>
        <w:spacing w:after="0" w:line="154"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22"/>
          <w:szCs w:val="22"/>
          <w:b w:val="1"/>
          <w:bCs w:val="1"/>
          <w:color w:val="auto"/>
        </w:rPr>
        <w:t>Three Months Ended</w:t>
      </w:r>
    </w:p>
    <w:p>
      <w:pPr>
        <w:spacing w:after="0" w:line="18"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22"/>
          <w:szCs w:val="22"/>
          <w:b w:val="1"/>
          <w:bCs w:val="1"/>
          <w:color w:val="auto"/>
        </w:rPr>
        <w:t>October 31,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80" w:type="dxa"/>
            <w:vAlign w:val="bottom"/>
          </w:tcPr>
          <w:p>
            <w:pPr>
              <w:spacing w:after="0"/>
              <w:rPr>
                <w:sz w:val="22"/>
                <w:szCs w:val="22"/>
                <w:color w:val="auto"/>
              </w:rPr>
            </w:pPr>
          </w:p>
        </w:tc>
        <w:tc>
          <w:tcPr>
            <w:tcW w:w="2420" w:type="dxa"/>
            <w:vAlign w:val="bottom"/>
            <w:gridSpan w:val="3"/>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As Previously</w:t>
            </w: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Effect of</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As Currently</w:t>
            </w:r>
          </w:p>
        </w:tc>
      </w:tr>
      <w:tr>
        <w:trPr>
          <w:trHeight w:val="234"/>
        </w:trPr>
        <w:tc>
          <w:tcPr>
            <w:tcW w:w="3980" w:type="dxa"/>
            <w:vAlign w:val="bottom"/>
          </w:tcPr>
          <w:p>
            <w:pPr>
              <w:spacing w:after="0"/>
              <w:rPr>
                <w:sz w:val="20"/>
                <w:szCs w:val="20"/>
                <w:color w:val="auto"/>
              </w:rPr>
            </w:pPr>
          </w:p>
        </w:tc>
        <w:tc>
          <w:tcPr>
            <w:tcW w:w="2420" w:type="dxa"/>
            <w:vAlign w:val="bottom"/>
            <w:gridSpan w:val="3"/>
          </w:tcPr>
          <w:p>
            <w:pPr>
              <w:jc w:val="center"/>
              <w:ind w:left="692"/>
              <w:spacing w:after="0" w:line="23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1360" w:type="dxa"/>
            <w:vAlign w:val="bottom"/>
            <w:gridSpan w:val="3"/>
          </w:tcPr>
          <w:p>
            <w:pPr>
              <w:jc w:val="center"/>
              <w:ind w:right="180"/>
              <w:spacing w:after="0" w:line="233" w:lineRule="exact"/>
              <w:rPr>
                <w:sz w:val="20"/>
                <w:szCs w:val="20"/>
                <w:color w:val="auto"/>
              </w:rPr>
            </w:pPr>
            <w:r>
              <w:rPr>
                <w:rFonts w:ascii="Times New Roman" w:cs="Times New Roman" w:eastAsia="Times New Roman" w:hAnsi="Times New Roman"/>
                <w:sz w:val="22"/>
                <w:szCs w:val="22"/>
                <w:b w:val="1"/>
                <w:bCs w:val="1"/>
                <w:color w:val="auto"/>
                <w:w w:val="96"/>
              </w:rPr>
              <w:t>Change</w:t>
            </w:r>
          </w:p>
        </w:tc>
        <w:tc>
          <w:tcPr>
            <w:tcW w:w="180" w:type="dxa"/>
            <w:vAlign w:val="bottom"/>
          </w:tcPr>
          <w:p>
            <w:pPr>
              <w:spacing w:after="0"/>
              <w:rPr>
                <w:sz w:val="20"/>
                <w:szCs w:val="20"/>
                <w:color w:val="auto"/>
              </w:rPr>
            </w:pPr>
          </w:p>
        </w:tc>
        <w:tc>
          <w:tcPr>
            <w:tcW w:w="1040" w:type="dxa"/>
            <w:vAlign w:val="bottom"/>
            <w:gridSpan w:val="2"/>
          </w:tcPr>
          <w:p>
            <w:pPr>
              <w:jc w:val="center"/>
              <w:ind w:right="180"/>
              <w:spacing w:after="0" w:line="233" w:lineRule="exact"/>
              <w:rPr>
                <w:sz w:val="20"/>
                <w:szCs w:val="20"/>
                <w:color w:val="auto"/>
              </w:rPr>
            </w:pPr>
            <w:r>
              <w:rPr>
                <w:rFonts w:ascii="Times New Roman" w:cs="Times New Roman" w:eastAsia="Times New Roman" w:hAnsi="Times New Roman"/>
                <w:sz w:val="22"/>
                <w:szCs w:val="22"/>
                <w:b w:val="1"/>
                <w:bCs w:val="1"/>
                <w:color w:val="auto"/>
                <w:w w:val="97"/>
              </w:rPr>
              <w:t>Reported</w:t>
            </w:r>
          </w:p>
        </w:tc>
      </w:tr>
      <w:tr>
        <w:trPr>
          <w:trHeight w:val="264"/>
        </w:trPr>
        <w:tc>
          <w:tcPr>
            <w:tcW w:w="39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2040" w:type="dxa"/>
            <w:vAlign w:val="bottom"/>
            <w:gridSpan w:val="2"/>
            <w:shd w:val="clear" w:color="auto" w:fill="E5FFFF"/>
          </w:tcPr>
          <w:p>
            <w:pPr>
              <w:jc w:val="center"/>
              <w:ind w:left="1052"/>
              <w:spacing w:after="0" w:line="243" w:lineRule="exact"/>
              <w:rPr>
                <w:sz w:val="20"/>
                <w:szCs w:val="20"/>
                <w:color w:val="auto"/>
              </w:rPr>
            </w:pPr>
            <w:r>
              <w:rPr>
                <w:rFonts w:ascii="Times New Roman" w:cs="Times New Roman" w:eastAsia="Times New Roman" w:hAnsi="Times New Roman"/>
                <w:sz w:val="22"/>
                <w:szCs w:val="22"/>
                <w:color w:val="auto"/>
                <w:w w:val="96"/>
              </w:rPr>
              <w:t>$208,941</w:t>
            </w:r>
          </w:p>
        </w:tc>
        <w:tc>
          <w:tcPr>
            <w:tcW w:w="38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$2,063</w:t>
            </w:r>
          </w:p>
        </w:tc>
        <w:tc>
          <w:tcPr>
            <w:tcW w:w="42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center"/>
              <w:ind w:left="92"/>
              <w:spacing w:after="0" w:line="243" w:lineRule="exact"/>
              <w:rPr>
                <w:sz w:val="20"/>
                <w:szCs w:val="20"/>
                <w:color w:val="auto"/>
              </w:rPr>
            </w:pPr>
            <w:r>
              <w:rPr>
                <w:rFonts w:ascii="Times New Roman" w:cs="Times New Roman" w:eastAsia="Times New Roman" w:hAnsi="Times New Roman"/>
                <w:sz w:val="22"/>
                <w:szCs w:val="22"/>
                <w:color w:val="auto"/>
                <w:w w:val="96"/>
              </w:rPr>
              <w:t>$211,004</w:t>
            </w:r>
          </w:p>
        </w:tc>
        <w:tc>
          <w:tcPr>
            <w:tcW w:w="180" w:type="dxa"/>
            <w:vAlign w:val="bottom"/>
            <w:shd w:val="clear" w:color="auto" w:fill="E5FFFF"/>
          </w:tcPr>
          <w:p>
            <w:pPr>
              <w:spacing w:after="0"/>
              <w:rPr>
                <w:sz w:val="21"/>
                <w:szCs w:val="21"/>
                <w:color w:val="auto"/>
              </w:rPr>
            </w:pPr>
          </w:p>
        </w:tc>
      </w:tr>
      <w:tr>
        <w:trPr>
          <w:trHeight w:val="498"/>
        </w:trPr>
        <w:tc>
          <w:tcPr>
            <w:tcW w:w="398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2040" w:type="dxa"/>
            <w:vAlign w:val="bottom"/>
            <w:gridSpan w:val="2"/>
          </w:tcPr>
          <w:p>
            <w:pPr>
              <w:jc w:val="center"/>
              <w:ind w:left="1072"/>
              <w:spacing w:after="0"/>
              <w:rPr>
                <w:sz w:val="20"/>
                <w:szCs w:val="20"/>
                <w:color w:val="auto"/>
              </w:rPr>
            </w:pPr>
            <w:r>
              <w:rPr>
                <w:rFonts w:ascii="Times New Roman" w:cs="Times New Roman" w:eastAsia="Times New Roman" w:hAnsi="Times New Roman"/>
                <w:sz w:val="22"/>
                <w:szCs w:val="22"/>
                <w:color w:val="auto"/>
                <w:w w:val="97"/>
              </w:rPr>
              <w:t>$11,336</w:t>
            </w:r>
          </w:p>
        </w:tc>
        <w:tc>
          <w:tcPr>
            <w:tcW w:w="380" w:type="dxa"/>
            <w:vAlign w:val="bottom"/>
          </w:tcPr>
          <w:p>
            <w:pPr>
              <w:spacing w:after="0"/>
              <w:rPr>
                <w:sz w:val="24"/>
                <w:szCs w:val="24"/>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22"/>
                <w:szCs w:val="22"/>
                <w:color w:val="auto"/>
              </w:rPr>
              <w:t>$(2,063)</w:t>
            </w:r>
          </w:p>
        </w:tc>
        <w:tc>
          <w:tcPr>
            <w:tcW w:w="104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color w:val="auto"/>
                <w:w w:val="99"/>
              </w:rPr>
              <w:t>$9,273</w:t>
            </w:r>
          </w:p>
        </w:tc>
        <w:tc>
          <w:tcPr>
            <w:tcW w:w="180" w:type="dxa"/>
            <w:vAlign w:val="bottom"/>
          </w:tcPr>
          <w:p>
            <w:pPr>
              <w:spacing w:after="0"/>
              <w:rPr>
                <w:sz w:val="24"/>
                <w:szCs w:val="24"/>
                <w:color w:val="auto"/>
              </w:rPr>
            </w:pPr>
          </w:p>
        </w:tc>
      </w:tr>
      <w:tr>
        <w:trPr>
          <w:trHeight w:val="231"/>
        </w:trPr>
        <w:tc>
          <w:tcPr>
            <w:tcW w:w="3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w:t>
            </w:r>
          </w:p>
        </w:tc>
        <w:tc>
          <w:tcPr>
            <w:tcW w:w="2040" w:type="dxa"/>
            <w:vAlign w:val="bottom"/>
            <w:gridSpan w:val="2"/>
            <w:shd w:val="clear" w:color="auto" w:fill="E5FFFF"/>
          </w:tcPr>
          <w:p>
            <w:pPr>
              <w:jc w:val="center"/>
              <w:ind w:left="1072"/>
              <w:spacing w:after="0" w:line="243" w:lineRule="exact"/>
              <w:rPr>
                <w:sz w:val="20"/>
                <w:szCs w:val="20"/>
                <w:color w:val="auto"/>
              </w:rPr>
            </w:pPr>
            <w:r>
              <w:rPr>
                <w:rFonts w:ascii="Times New Roman" w:cs="Times New Roman" w:eastAsia="Times New Roman" w:hAnsi="Times New Roman"/>
                <w:sz w:val="22"/>
                <w:szCs w:val="22"/>
                <w:color w:val="auto"/>
                <w:w w:val="98"/>
              </w:rPr>
              <w:t>$(7,886)</w:t>
            </w:r>
          </w:p>
        </w:tc>
        <w:tc>
          <w:tcPr>
            <w:tcW w:w="38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$2,063</w:t>
            </w:r>
          </w:p>
        </w:tc>
        <w:tc>
          <w:tcPr>
            <w:tcW w:w="42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8"/>
              </w:rPr>
              <w:t>$(5,823)</w:t>
            </w:r>
          </w:p>
        </w:tc>
        <w:tc>
          <w:tcPr>
            <w:tcW w:w="180" w:type="dxa"/>
            <w:vAlign w:val="bottom"/>
            <w:shd w:val="clear" w:color="auto" w:fill="E5FFFF"/>
          </w:tcPr>
          <w:p>
            <w:pPr>
              <w:spacing w:after="0"/>
              <w:rPr>
                <w:sz w:val="21"/>
                <w:szCs w:val="21"/>
                <w:color w:val="auto"/>
              </w:rPr>
            </w:pPr>
          </w:p>
        </w:tc>
      </w:tr>
      <w:tr>
        <w:trPr>
          <w:trHeight w:val="428"/>
        </w:trPr>
        <w:tc>
          <w:tcPr>
            <w:tcW w:w="3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60" w:type="dxa"/>
            <w:vAlign w:val="bottom"/>
            <w:gridSpan w:val="7"/>
          </w:tcPr>
          <w:p>
            <w:pPr>
              <w:ind w:left="2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86"/>
        </w:trPr>
        <w:tc>
          <w:tcPr>
            <w:tcW w:w="3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gridSpan w:val="4"/>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October 31, 2022</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3"/>
        </w:trPr>
        <w:tc>
          <w:tcPr>
            <w:tcW w:w="3980" w:type="dxa"/>
            <w:vAlign w:val="bottom"/>
          </w:tcPr>
          <w:p>
            <w:pPr>
              <w:spacing w:after="0"/>
              <w:rPr>
                <w:sz w:val="24"/>
                <w:szCs w:val="24"/>
                <w:color w:val="auto"/>
              </w:rPr>
            </w:pPr>
          </w:p>
        </w:tc>
        <w:tc>
          <w:tcPr>
            <w:tcW w:w="2420" w:type="dxa"/>
            <w:vAlign w:val="bottom"/>
            <w:gridSpan w:val="3"/>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As Previously</w:t>
            </w: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Effect of</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As Currently</w:t>
            </w:r>
          </w:p>
        </w:tc>
      </w:tr>
      <w:tr>
        <w:trPr>
          <w:trHeight w:val="234"/>
        </w:trPr>
        <w:tc>
          <w:tcPr>
            <w:tcW w:w="3980" w:type="dxa"/>
            <w:vAlign w:val="bottom"/>
          </w:tcPr>
          <w:p>
            <w:pPr>
              <w:spacing w:after="0"/>
              <w:rPr>
                <w:sz w:val="20"/>
                <w:szCs w:val="20"/>
                <w:color w:val="auto"/>
              </w:rPr>
            </w:pPr>
          </w:p>
        </w:tc>
        <w:tc>
          <w:tcPr>
            <w:tcW w:w="2420" w:type="dxa"/>
            <w:vAlign w:val="bottom"/>
            <w:gridSpan w:val="3"/>
          </w:tcPr>
          <w:p>
            <w:pPr>
              <w:jc w:val="center"/>
              <w:ind w:left="692"/>
              <w:spacing w:after="0" w:line="23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1360" w:type="dxa"/>
            <w:vAlign w:val="bottom"/>
            <w:gridSpan w:val="3"/>
          </w:tcPr>
          <w:p>
            <w:pPr>
              <w:jc w:val="center"/>
              <w:ind w:right="180"/>
              <w:spacing w:after="0" w:line="233" w:lineRule="exact"/>
              <w:rPr>
                <w:sz w:val="20"/>
                <w:szCs w:val="20"/>
                <w:color w:val="auto"/>
              </w:rPr>
            </w:pPr>
            <w:r>
              <w:rPr>
                <w:rFonts w:ascii="Times New Roman" w:cs="Times New Roman" w:eastAsia="Times New Roman" w:hAnsi="Times New Roman"/>
                <w:sz w:val="22"/>
                <w:szCs w:val="22"/>
                <w:b w:val="1"/>
                <w:bCs w:val="1"/>
                <w:color w:val="auto"/>
                <w:w w:val="96"/>
              </w:rPr>
              <w:t>Change</w:t>
            </w:r>
          </w:p>
        </w:tc>
        <w:tc>
          <w:tcPr>
            <w:tcW w:w="180" w:type="dxa"/>
            <w:vAlign w:val="bottom"/>
          </w:tcPr>
          <w:p>
            <w:pPr>
              <w:spacing w:after="0"/>
              <w:rPr>
                <w:sz w:val="20"/>
                <w:szCs w:val="20"/>
                <w:color w:val="auto"/>
              </w:rPr>
            </w:pPr>
          </w:p>
        </w:tc>
        <w:tc>
          <w:tcPr>
            <w:tcW w:w="1040" w:type="dxa"/>
            <w:vAlign w:val="bottom"/>
            <w:gridSpan w:val="2"/>
          </w:tcPr>
          <w:p>
            <w:pPr>
              <w:jc w:val="center"/>
              <w:ind w:right="180"/>
              <w:spacing w:after="0" w:line="233" w:lineRule="exact"/>
              <w:rPr>
                <w:sz w:val="20"/>
                <w:szCs w:val="20"/>
                <w:color w:val="auto"/>
              </w:rPr>
            </w:pPr>
            <w:r>
              <w:rPr>
                <w:rFonts w:ascii="Times New Roman" w:cs="Times New Roman" w:eastAsia="Times New Roman" w:hAnsi="Times New Roman"/>
                <w:sz w:val="22"/>
                <w:szCs w:val="22"/>
                <w:b w:val="1"/>
                <w:bCs w:val="1"/>
                <w:color w:val="auto"/>
                <w:w w:val="97"/>
              </w:rPr>
              <w:t>Reported</w:t>
            </w:r>
          </w:p>
        </w:tc>
      </w:tr>
      <w:tr>
        <w:trPr>
          <w:trHeight w:val="263"/>
        </w:trPr>
        <w:tc>
          <w:tcPr>
            <w:tcW w:w="39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2040" w:type="dxa"/>
            <w:vAlign w:val="bottom"/>
            <w:gridSpan w:val="2"/>
            <w:shd w:val="clear" w:color="auto" w:fill="E5FFFF"/>
          </w:tcPr>
          <w:p>
            <w:pPr>
              <w:jc w:val="center"/>
              <w:ind w:left="1052"/>
              <w:spacing w:after="0" w:line="243" w:lineRule="exact"/>
              <w:rPr>
                <w:sz w:val="20"/>
                <w:szCs w:val="20"/>
                <w:color w:val="auto"/>
              </w:rPr>
            </w:pPr>
            <w:r>
              <w:rPr>
                <w:rFonts w:ascii="Times New Roman" w:cs="Times New Roman" w:eastAsia="Times New Roman" w:hAnsi="Times New Roman"/>
                <w:sz w:val="22"/>
                <w:szCs w:val="22"/>
                <w:color w:val="auto"/>
                <w:w w:val="96"/>
              </w:rPr>
              <w:t>$615,001</w:t>
            </w:r>
          </w:p>
        </w:tc>
        <w:tc>
          <w:tcPr>
            <w:tcW w:w="38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$4,548</w:t>
            </w:r>
          </w:p>
        </w:tc>
        <w:tc>
          <w:tcPr>
            <w:tcW w:w="42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center"/>
              <w:ind w:left="92"/>
              <w:spacing w:after="0" w:line="243" w:lineRule="exact"/>
              <w:rPr>
                <w:sz w:val="20"/>
                <w:szCs w:val="20"/>
                <w:color w:val="auto"/>
              </w:rPr>
            </w:pPr>
            <w:r>
              <w:rPr>
                <w:rFonts w:ascii="Times New Roman" w:cs="Times New Roman" w:eastAsia="Times New Roman" w:hAnsi="Times New Roman"/>
                <w:sz w:val="22"/>
                <w:szCs w:val="22"/>
                <w:color w:val="auto"/>
                <w:w w:val="96"/>
              </w:rPr>
              <w:t>$619,549</w:t>
            </w:r>
          </w:p>
        </w:tc>
        <w:tc>
          <w:tcPr>
            <w:tcW w:w="180" w:type="dxa"/>
            <w:vAlign w:val="bottom"/>
            <w:shd w:val="clear" w:color="auto" w:fill="E5FFFF"/>
          </w:tcPr>
          <w:p>
            <w:pPr>
              <w:spacing w:after="0"/>
              <w:rPr>
                <w:sz w:val="21"/>
                <w:szCs w:val="21"/>
                <w:color w:val="auto"/>
              </w:rPr>
            </w:pPr>
          </w:p>
        </w:tc>
      </w:tr>
      <w:tr>
        <w:trPr>
          <w:trHeight w:val="498"/>
        </w:trPr>
        <w:tc>
          <w:tcPr>
            <w:tcW w:w="398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2040" w:type="dxa"/>
            <w:vAlign w:val="bottom"/>
            <w:gridSpan w:val="2"/>
          </w:tcPr>
          <w:p>
            <w:pPr>
              <w:jc w:val="center"/>
              <w:ind w:left="1072"/>
              <w:spacing w:after="0"/>
              <w:rPr>
                <w:sz w:val="20"/>
                <w:szCs w:val="20"/>
                <w:color w:val="auto"/>
              </w:rPr>
            </w:pPr>
            <w:r>
              <w:rPr>
                <w:rFonts w:ascii="Times New Roman" w:cs="Times New Roman" w:eastAsia="Times New Roman" w:hAnsi="Times New Roman"/>
                <w:sz w:val="22"/>
                <w:szCs w:val="22"/>
                <w:color w:val="auto"/>
                <w:w w:val="97"/>
              </w:rPr>
              <w:t>$39,832</w:t>
            </w:r>
          </w:p>
        </w:tc>
        <w:tc>
          <w:tcPr>
            <w:tcW w:w="380" w:type="dxa"/>
            <w:vAlign w:val="bottom"/>
          </w:tcPr>
          <w:p>
            <w:pPr>
              <w:spacing w:after="0"/>
              <w:rPr>
                <w:sz w:val="24"/>
                <w:szCs w:val="24"/>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22"/>
                <w:szCs w:val="22"/>
                <w:color w:val="auto"/>
              </w:rPr>
              <w:t>$(4,548)</w:t>
            </w:r>
          </w:p>
        </w:tc>
        <w:tc>
          <w:tcPr>
            <w:tcW w:w="104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color w:val="auto"/>
                <w:w w:val="97"/>
              </w:rPr>
              <w:t>$35,284</w:t>
            </w:r>
          </w:p>
        </w:tc>
        <w:tc>
          <w:tcPr>
            <w:tcW w:w="180" w:type="dxa"/>
            <w:vAlign w:val="bottom"/>
          </w:tcPr>
          <w:p>
            <w:pPr>
              <w:spacing w:after="0"/>
              <w:rPr>
                <w:sz w:val="24"/>
                <w:szCs w:val="24"/>
                <w:color w:val="auto"/>
              </w:rPr>
            </w:pPr>
          </w:p>
        </w:tc>
      </w:tr>
      <w:tr>
        <w:trPr>
          <w:trHeight w:val="231"/>
        </w:trPr>
        <w:tc>
          <w:tcPr>
            <w:tcW w:w="3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w:t>
            </w:r>
          </w:p>
        </w:tc>
        <w:tc>
          <w:tcPr>
            <w:tcW w:w="2040" w:type="dxa"/>
            <w:vAlign w:val="bottom"/>
            <w:gridSpan w:val="2"/>
            <w:shd w:val="clear" w:color="auto" w:fill="E5FFFF"/>
          </w:tcPr>
          <w:p>
            <w:pPr>
              <w:jc w:val="center"/>
              <w:ind w:left="1052"/>
              <w:spacing w:after="0" w:line="243" w:lineRule="exact"/>
              <w:rPr>
                <w:sz w:val="20"/>
                <w:szCs w:val="20"/>
                <w:color w:val="auto"/>
              </w:rPr>
            </w:pPr>
            <w:r>
              <w:rPr>
                <w:rFonts w:ascii="Times New Roman" w:cs="Times New Roman" w:eastAsia="Times New Roman" w:hAnsi="Times New Roman"/>
                <w:sz w:val="22"/>
                <w:szCs w:val="22"/>
                <w:color w:val="auto"/>
                <w:w w:val="97"/>
              </w:rPr>
              <w:t>$(22,237)</w:t>
            </w:r>
          </w:p>
        </w:tc>
        <w:tc>
          <w:tcPr>
            <w:tcW w:w="38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$4,548</w:t>
            </w:r>
          </w:p>
        </w:tc>
        <w:tc>
          <w:tcPr>
            <w:tcW w:w="42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center"/>
              <w:ind w:left="92"/>
              <w:spacing w:after="0" w:line="243" w:lineRule="exact"/>
              <w:rPr>
                <w:sz w:val="20"/>
                <w:szCs w:val="20"/>
                <w:color w:val="auto"/>
              </w:rPr>
            </w:pPr>
            <w:r>
              <w:rPr>
                <w:rFonts w:ascii="Times New Roman" w:cs="Times New Roman" w:eastAsia="Times New Roman" w:hAnsi="Times New Roman"/>
                <w:sz w:val="22"/>
                <w:szCs w:val="22"/>
                <w:color w:val="auto"/>
                <w:w w:val="97"/>
              </w:rPr>
              <w:t>$(17,689)</w:t>
            </w:r>
          </w:p>
        </w:tc>
        <w:tc>
          <w:tcPr>
            <w:tcW w:w="180" w:type="dxa"/>
            <w:vAlign w:val="bottom"/>
            <w:shd w:val="clear" w:color="auto" w:fill="E5FFFF"/>
          </w:tcPr>
          <w:p>
            <w:pPr>
              <w:spacing w:after="0"/>
              <w:rPr>
                <w:sz w:val="21"/>
                <w:szCs w:val="21"/>
                <w:color w:val="auto"/>
              </w:rPr>
            </w:pPr>
          </w:p>
        </w:tc>
      </w:tr>
      <w:tr>
        <w:trPr>
          <w:trHeight w:val="471"/>
        </w:trPr>
        <w:tc>
          <w:tcPr>
            <w:tcW w:w="3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of the forward corn purchase and ethanol, distillers grains and distillers corn oil sale contracts are accounted for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the “normal purchases and normal sales” scope exemption of Accounting Standards Codification (“ASC”) 815,</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Derivatives and Hedging</w:t>
      </w:r>
      <w:r>
        <w:rPr>
          <w:rFonts w:ascii="Times New Roman" w:cs="Times New Roman" w:eastAsia="Times New Roman" w:hAnsi="Times New Roman"/>
          <w:sz w:val="21"/>
          <w:szCs w:val="21"/>
          <w:color w:val="auto"/>
        </w:rPr>
        <w:t>” (“ASC 815”) because these arrangements are for purchases of corn that will be delivered in quantities</w:t>
      </w:r>
    </w:p>
    <w:p>
      <w:pPr>
        <w:spacing w:after="0" w:line="231" w:lineRule="auto"/>
        <w:rPr>
          <w:sz w:val="20"/>
          <w:szCs w:val="20"/>
          <w:color w:val="auto"/>
        </w:rPr>
      </w:pPr>
      <w:r>
        <w:rPr>
          <w:rFonts w:ascii="Times New Roman" w:cs="Times New Roman" w:eastAsia="Times New Roman" w:hAnsi="Times New Roman"/>
          <w:sz w:val="22"/>
          <w:szCs w:val="22"/>
          <w:color w:val="auto"/>
        </w:rPr>
        <w:t>expected to be used by the Company and sales of ethanol, distillers grains and distillers corn oil in quantities expected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produced by the Company over a reasonable period of time in the normal course of business.</w:t>
      </w:r>
    </w:p>
    <w:p>
      <w:pPr>
        <w:spacing w:after="0" w:line="18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$8.7 million and $2.2 million and received no refunds during the nine months ended October 31, 2023 and 2022, respectively.</w:t>
      </w:r>
    </w:p>
    <w:p>
      <w:pPr>
        <w:spacing w:after="0" w:line="18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1"/>
          <w:szCs w:val="21"/>
          <w:color w:val="auto"/>
        </w:rPr>
        <w:t>As of October 31, 2023, and January 31, 2023, total unrecognized tax benefits were approximately $19,033,000. Accrued penalties and interest were approximately $64,000 and approximately $55,000 at October 31, 2023 and January 31, 2023, respectively. If the Company were to prevail on all unrecognized tax benefits recorded, the provision for income taxes would be reduced by approximately $18.9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Inventory</w:t>
      </w:r>
    </w:p>
    <w:p>
      <w:pPr>
        <w:spacing w:after="0" w:line="210" w:lineRule="exact"/>
        <w:rPr>
          <w:sz w:val="20"/>
          <w:szCs w:val="20"/>
          <w:color w:val="auto"/>
        </w:rPr>
      </w:pPr>
    </w:p>
    <w:p>
      <w:pPr>
        <w:ind w:right="220" w:firstLine="648"/>
        <w:spacing w:after="0" w:line="235"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Inventory is written down for instances when cost exceeds estimated net realizable value; such write-downs are based primarily upon commodity prices as the market value of inventory is often dependent upon changes in commodity prices. The Company did not record any inventory write-downs at October 31, 2023. The Company recorded inventory write-downs of approximately $0.7 million in cost of sales at January 31, 2023. Fluctuations in the write-down of inventory generally relate to the levels and composition of such inventory and changes in commodity prices at a given point in time.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inventory are as follows as of the dates presented (amounts in thousands):</w:t>
      </w:r>
    </w:p>
    <w:p>
      <w:pPr>
        <w:sectPr>
          <w:pgSz w:w="11900" w:h="16838" w:orient="portrait"/>
          <w:cols w:equalWidth="0" w:num="1">
            <w:col w:w="11200"/>
          </w:cols>
          <w:pgMar w:left="320" w:top="39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640"/>
        <w:spacing w:after="0" w:line="241" w:lineRule="auto"/>
        <w:rPr>
          <w:sz w:val="20"/>
          <w:szCs w:val="20"/>
          <w:color w:val="auto"/>
        </w:rPr>
      </w:pPr>
      <w:r>
        <w:rPr>
          <w:rFonts w:ascii="Times New Roman" w:cs="Times New Roman" w:eastAsia="Times New Roman" w:hAnsi="Times New Roman"/>
          <w:sz w:val="22"/>
          <w:szCs w:val="22"/>
          <w:color w:val="auto"/>
        </w:rPr>
        <w:t>Ethanol and other finished goods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498919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Corn and other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498919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Total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8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January 31,</w:t>
            </w:r>
          </w:p>
        </w:tc>
      </w:tr>
      <w:tr>
        <w:trPr>
          <w:trHeight w:val="234"/>
        </w:trPr>
        <w:tc>
          <w:tcPr>
            <w:tcW w:w="200" w:type="dxa"/>
            <w:vAlign w:val="bottom"/>
          </w:tcPr>
          <w:p>
            <w:pPr>
              <w:spacing w:after="0"/>
              <w:rPr>
                <w:sz w:val="20"/>
                <w:szCs w:val="20"/>
                <w:color w:val="auto"/>
              </w:rPr>
            </w:pPr>
          </w:p>
        </w:tc>
        <w:tc>
          <w:tcPr>
            <w:tcW w:w="540" w:type="dxa"/>
            <w:vAlign w:val="bottom"/>
            <w:gridSpan w:val="2"/>
          </w:tcPr>
          <w:p>
            <w:pPr>
              <w:ind w:left="120"/>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340"/>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2023</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8,035</w:t>
            </w:r>
          </w:p>
        </w:tc>
        <w:tc>
          <w:tcPr>
            <w:tcW w:w="42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12,695</w:t>
            </w:r>
          </w:p>
        </w:tc>
      </w:tr>
      <w:tr>
        <w:trPr>
          <w:trHeight w:val="257"/>
        </w:trPr>
        <w:tc>
          <w:tcPr>
            <w:tcW w:w="20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5,697</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10,194</w:t>
            </w:r>
          </w:p>
        </w:tc>
      </w:tr>
      <w:tr>
        <w:trPr>
          <w:trHeight w:val="270"/>
        </w:trPr>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23,783</w:t>
            </w:r>
          </w:p>
        </w:tc>
        <w:tc>
          <w:tcPr>
            <w:tcW w:w="4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25,855</w:t>
            </w:r>
          </w:p>
        </w:tc>
      </w:tr>
      <w:tr>
        <w:trPr>
          <w:trHeight w:val="250"/>
        </w:trPr>
        <w:tc>
          <w:tcPr>
            <w:tcW w:w="2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37,515</w:t>
            </w:r>
          </w:p>
        </w:tc>
        <w:tc>
          <w:tcPr>
            <w:tcW w:w="420" w:type="dxa"/>
            <w:vAlign w:val="bottom"/>
          </w:tcPr>
          <w:p>
            <w:pPr>
              <w:spacing w:after="0"/>
              <w:rPr>
                <w:sz w:val="21"/>
                <w:szCs w:val="21"/>
                <w:color w:val="auto"/>
              </w:rPr>
            </w:pPr>
          </w:p>
        </w:tc>
        <w:tc>
          <w:tcPr>
            <w:tcW w:w="340" w:type="dxa"/>
            <w:vAlign w:val="bottom"/>
            <w:tcBorders>
              <w:bottom w:val="single" w:sz="8" w:color="auto"/>
            </w:tcBorders>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48,744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25"/>
        </w:trPr>
        <w:tc>
          <w:tcPr>
            <w:tcW w:w="20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95250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500" w:space="720"/>
            <w:col w:w="5980"/>
          </w:cols>
          <w:pgMar w:left="320" w:top="392"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1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6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nine months of fiscal years 2023 or 2022.</w:t>
      </w:r>
    </w:p>
    <w:p>
      <w:pPr>
        <w:spacing w:after="0" w:line="176"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10"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Times New Roman" w:cs="Times New Roman" w:eastAsia="Times New Roman" w:hAnsi="Times New Roman"/>
          <w:sz w:val="22"/>
          <w:szCs w:val="22"/>
          <w:i w:val="1"/>
          <w:iCs w:val="1"/>
          <w:color w:val="auto"/>
        </w:rPr>
        <w:t>Investments-Equity Method and Joint Ventures</w:t>
      </w:r>
      <w:r>
        <w:rPr>
          <w:rFonts w:ascii="Times New Roman" w:cs="Times New Roman" w:eastAsia="Times New Roman" w:hAnsi="Times New Roman"/>
          <w:sz w:val="22"/>
          <w:szCs w:val="22"/>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79"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80"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Short-term investments, consisting of U.S. government obligations, are considered held to maturity, and therefore are carried at amortized historical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3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In November 2023, the FASB issued ASU 2023-07, </w:t>
      </w:r>
      <w:r>
        <w:rPr>
          <w:rFonts w:ascii="Times New Roman" w:cs="Times New Roman" w:eastAsia="Times New Roman" w:hAnsi="Times New Roman"/>
          <w:sz w:val="22"/>
          <w:szCs w:val="22"/>
          <w:i w:val="1"/>
          <w:iCs w:val="1"/>
          <w:color w:val="auto"/>
        </w:rPr>
        <w:t>Segment Reporting (Topic 280): Improvements to Reportable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Segment Disclosures</w:t>
      </w:r>
      <w:r>
        <w:rPr>
          <w:rFonts w:ascii="Times New Roman" w:cs="Times New Roman" w:eastAsia="Times New Roman" w:hAnsi="Times New Roman"/>
          <w:sz w:val="22"/>
          <w:szCs w:val="22"/>
          <w:color w:val="auto"/>
        </w:rPr>
        <w:t>, which updates reportable segment disclosure requirements primarily through enhanced disclosures about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significant segment expenses. The amendments are effective for fiscal years beginning after December 15, 2023, and for interim periods within fiscal years beginning after December 15, 2024, with early adoption permitted. The amendments should be applied retrospectively to all prior periods presented in the financial statements. Management is currently evaluating this ASU to determine its impact on the Company's disclosures.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1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22"/>
          <w:szCs w:val="22"/>
          <w:color w:val="auto"/>
        </w:rPr>
        <w:t>Sales, value added and other taxes the Company collects concurrent with revenue producing activities are excluded from net sales and revenue.</w:t>
      </w:r>
    </w:p>
    <w:p>
      <w:pPr>
        <w:spacing w:after="0" w:line="158"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9"/>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gridSpan w:val="9"/>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w w:val="97"/>
              </w:rPr>
              <w:t>Nine Months Ended</w:t>
            </w:r>
          </w:p>
        </w:tc>
      </w:tr>
      <w:tr>
        <w:trPr>
          <w:trHeight w:val="243"/>
        </w:trPr>
        <w:tc>
          <w:tcPr>
            <w:tcW w:w="4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8"/>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9"/>
          </w:tcPr>
          <w:p>
            <w:pPr>
              <w:ind w:left="40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r>
      <w:tr>
        <w:trPr>
          <w:trHeight w:val="234"/>
        </w:trPr>
        <w:tc>
          <w:tcPr>
            <w:tcW w:w="4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2022</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Ethanol</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170,194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165,135</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495,103</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502,404</w:t>
            </w:r>
          </w:p>
        </w:tc>
        <w:tc>
          <w:tcPr>
            <w:tcW w:w="80" w:type="dxa"/>
            <w:vAlign w:val="bottom"/>
          </w:tcPr>
          <w:p>
            <w:pPr>
              <w:spacing w:after="0"/>
              <w:rPr>
                <w:sz w:val="24"/>
                <w:szCs w:val="24"/>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9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34,983</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38,009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106,632</w:t>
            </w:r>
          </w:p>
        </w:tc>
        <w:tc>
          <w:tcPr>
            <w:tcW w:w="180" w:type="dxa"/>
            <w:vAlign w:val="bottom"/>
            <w:shd w:val="clear" w:color="auto" w:fill="E5FFFF"/>
          </w:tcPr>
          <w:p>
            <w:pPr>
              <w:spacing w:after="0"/>
              <w:rPr>
                <w:sz w:val="21"/>
                <w:szCs w:val="21"/>
                <w:color w:val="auto"/>
              </w:rPr>
            </w:pPr>
          </w:p>
        </w:tc>
        <w:tc>
          <w:tcPr>
            <w:tcW w:w="84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104,167</w:t>
            </w:r>
          </w:p>
        </w:tc>
        <w:tc>
          <w:tcPr>
            <w:tcW w:w="80" w:type="dxa"/>
            <w:vAlign w:val="bottom"/>
            <w:shd w:val="clear" w:color="auto" w:fill="E5FFFF"/>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14,756</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14,648</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39,257</w:t>
            </w:r>
          </w:p>
        </w:tc>
        <w:tc>
          <w:tcPr>
            <w:tcW w:w="180" w:type="dxa"/>
            <w:vAlign w:val="bottom"/>
          </w:tcPr>
          <w:p>
            <w:pPr>
              <w:spacing w:after="0"/>
              <w:rPr>
                <w:sz w:val="21"/>
                <w:szCs w:val="21"/>
                <w:color w:val="auto"/>
              </w:rPr>
            </w:pPr>
          </w:p>
        </w:tc>
        <w:tc>
          <w:tcPr>
            <w:tcW w:w="84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39,973</w:t>
            </w:r>
          </w:p>
        </w:tc>
        <w:tc>
          <w:tcPr>
            <w:tcW w:w="80" w:type="dxa"/>
            <w:vAlign w:val="bottom"/>
          </w:tcPr>
          <w:p>
            <w:pPr>
              <w:spacing w:after="0"/>
              <w:rPr>
                <w:sz w:val="21"/>
                <w:szCs w:val="2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9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1,159</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2,477</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3,814</w:t>
            </w:r>
          </w:p>
        </w:tc>
        <w:tc>
          <w:tcPr>
            <w:tcW w:w="180" w:type="dxa"/>
            <w:vAlign w:val="bottom"/>
            <w:shd w:val="clear" w:color="auto" w:fill="E5FFFF"/>
          </w:tcPr>
          <w:p>
            <w:pPr>
              <w:spacing w:after="0"/>
              <w:rPr>
                <w:sz w:val="21"/>
                <w:szCs w:val="21"/>
                <w:color w:val="auto"/>
              </w:rPr>
            </w:pPr>
          </w:p>
        </w:tc>
        <w:tc>
          <w:tcPr>
            <w:tcW w:w="84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9,288</w:t>
            </w:r>
          </w:p>
        </w:tc>
        <w:tc>
          <w:tcPr>
            <w:tcW w:w="80" w:type="dxa"/>
            <w:vAlign w:val="bottom"/>
            <w:shd w:val="clear" w:color="auto" w:fill="E5FFFF"/>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 (losses) gains</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840</w:t>
            </w:r>
          </w:p>
        </w:tc>
        <w:tc>
          <w:tcPr>
            <w:tcW w:w="180" w:type="dxa"/>
            <w:vAlign w:val="bottom"/>
          </w:tcPr>
          <w:p>
            <w:pPr>
              <w:spacing w:after="0"/>
              <w:rPr>
                <w:sz w:val="21"/>
                <w:szCs w:val="21"/>
                <w:color w:val="auto"/>
              </w:rPr>
            </w:pPr>
          </w:p>
        </w:tc>
        <w:tc>
          <w:tcPr>
            <w:tcW w:w="84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(1,144)</w:t>
            </w:r>
          </w:p>
        </w:tc>
        <w:tc>
          <w:tcPr>
            <w:tcW w:w="80" w:type="dxa"/>
            <w:vAlign w:val="bottom"/>
          </w:tcPr>
          <w:p>
            <w:pPr>
              <w:spacing w:after="0"/>
              <w:rPr>
                <w:sz w:val="21"/>
                <w:szCs w:val="21"/>
                <w:color w:val="auto"/>
              </w:rPr>
            </w:pPr>
          </w:p>
        </w:tc>
      </w:tr>
      <w:tr>
        <w:trPr>
          <w:trHeight w:val="257"/>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Other</w:t>
            </w:r>
          </w:p>
        </w:tc>
        <w:tc>
          <w:tcPr>
            <w:tcW w:w="9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4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24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124</w:t>
            </w:r>
          </w:p>
        </w:tc>
        <w:tc>
          <w:tcPr>
            <w:tcW w:w="180" w:type="dxa"/>
            <w:vAlign w:val="bottom"/>
            <w:shd w:val="clear" w:color="auto" w:fill="E5FFFF"/>
          </w:tcPr>
          <w:p>
            <w:pPr>
              <w:spacing w:after="0"/>
              <w:rPr>
                <w:sz w:val="22"/>
                <w:szCs w:val="22"/>
                <w:color w:val="auto"/>
              </w:rPr>
            </w:pPr>
          </w:p>
        </w:tc>
        <w:tc>
          <w:tcPr>
            <w:tcW w:w="840" w:type="dxa"/>
            <w:vAlign w:val="bottom"/>
            <w:gridSpan w:val="4"/>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145</w:t>
            </w:r>
          </w:p>
        </w:tc>
        <w:tc>
          <w:tcPr>
            <w:tcW w:w="80" w:type="dxa"/>
            <w:vAlign w:val="bottom"/>
            <w:shd w:val="clear" w:color="auto" w:fill="E5FFFF"/>
          </w:tcPr>
          <w:p>
            <w:pPr>
              <w:spacing w:after="0"/>
              <w:rPr>
                <w:sz w:val="22"/>
                <w:szCs w:val="22"/>
                <w:color w:val="auto"/>
              </w:rPr>
            </w:pPr>
          </w:p>
        </w:tc>
      </w:tr>
      <w:tr>
        <w:trPr>
          <w:trHeight w:val="250"/>
        </w:trPr>
        <w:tc>
          <w:tcPr>
            <w:tcW w:w="48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9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221,079</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220,277</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645,770</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654,833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12"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At October 31, 2023,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181"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lease expense, classified as SG&amp;A expenses on the Consolidated Statement of Operations are as follows (amounts in thousands):</w:t>
      </w:r>
    </w:p>
    <w:p>
      <w:pPr>
        <w:sectPr>
          <w:pgSz w:w="11900" w:h="16838" w:orient="portrait"/>
          <w:cols w:equalWidth="0" w:num="1">
            <w:col w:w="11240"/>
          </w:cols>
          <w:pgMar w:left="320" w:top="3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Operating lease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Variable lease expense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lease expense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Pr>
          <w:p>
            <w:pPr>
              <w:spacing w:after="0"/>
              <w:rPr>
                <w:sz w:val="21"/>
                <w:szCs w:val="21"/>
                <w:color w:val="auto"/>
              </w:rPr>
            </w:pPr>
          </w:p>
        </w:tc>
        <w:tc>
          <w:tcPr>
            <w:tcW w:w="2460" w:type="dxa"/>
            <w:vAlign w:val="bottom"/>
            <w:gridSpan w:val="8"/>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7"/>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34"/>
        </w:trPr>
        <w:tc>
          <w:tcPr>
            <w:tcW w:w="280" w:type="dxa"/>
            <w:vAlign w:val="bottom"/>
          </w:tcPr>
          <w:p>
            <w:pPr>
              <w:spacing w:after="0"/>
              <w:rPr>
                <w:sz w:val="20"/>
                <w:szCs w:val="20"/>
                <w:color w:val="auto"/>
              </w:rPr>
            </w:pPr>
          </w:p>
        </w:tc>
        <w:tc>
          <w:tcPr>
            <w:tcW w:w="44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2022</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19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2023</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9"/>
              </w:rPr>
              <w:t>2022</w:t>
            </w:r>
          </w:p>
        </w:tc>
        <w:tc>
          <w:tcPr>
            <w:tcW w:w="300" w:type="dxa"/>
            <w:vAlign w:val="bottom"/>
          </w:tcPr>
          <w:p>
            <w:pPr>
              <w:spacing w:after="0"/>
              <w:rPr>
                <w:sz w:val="20"/>
                <w:szCs w:val="20"/>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22"/>
                <w:szCs w:val="22"/>
                <w:color w:val="auto"/>
              </w:rPr>
              <w:t>1,499</w:t>
            </w: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2,060</w:t>
            </w:r>
          </w:p>
        </w:tc>
        <w:tc>
          <w:tcPr>
            <w:tcW w:w="128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4,691</w:t>
            </w:r>
          </w:p>
        </w:tc>
        <w:tc>
          <w:tcPr>
            <w:tcW w:w="660" w:type="dxa"/>
            <w:vAlign w:val="bottom"/>
          </w:tcPr>
          <w:p>
            <w:pPr>
              <w:spacing w:after="0"/>
              <w:rPr>
                <w:sz w:val="24"/>
                <w:szCs w:val="24"/>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5,661</w:t>
            </w:r>
          </w:p>
        </w:tc>
      </w:tr>
      <w:tr>
        <w:trPr>
          <w:trHeight w:val="270"/>
        </w:trPr>
        <w:tc>
          <w:tcPr>
            <w:tcW w:w="280" w:type="dxa"/>
            <w:vAlign w:val="bottom"/>
          </w:tcPr>
          <w:p>
            <w:pPr>
              <w:spacing w:after="0"/>
              <w:rPr>
                <w:sz w:val="23"/>
                <w:szCs w:val="23"/>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22"/>
                <w:szCs w:val="22"/>
                <w:color w:val="auto"/>
              </w:rPr>
              <w:t>(26)</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277</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757</w:t>
            </w:r>
          </w:p>
        </w:tc>
      </w:tr>
      <w:tr>
        <w:trPr>
          <w:trHeight w:val="250"/>
        </w:trPr>
        <w:tc>
          <w:tcPr>
            <w:tcW w:w="280" w:type="dxa"/>
            <w:vAlign w:val="bottom"/>
            <w:tcBorders>
              <w:top w:val="single" w:sz="8" w:color="auto"/>
              <w:bottom w:val="single" w:sz="8" w:color="auto"/>
            </w:tcBorders>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1,473</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2,152</w:t>
            </w:r>
          </w:p>
        </w:tc>
        <w:tc>
          <w:tcPr>
            <w:tcW w:w="10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4,968</w:t>
            </w:r>
          </w:p>
        </w:tc>
        <w:tc>
          <w:tcPr>
            <w:tcW w:w="66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6,418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424"/>
        </w:trPr>
        <w:tc>
          <w:tcPr>
            <w:tcW w:w="2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-795655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-478155</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95250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020" w:space="720"/>
            <w:col w:w="6500"/>
          </w:cols>
          <w:pgMar w:left="320" w:top="396" w:right="339" w:bottom="1440" w:gutter="0" w:footer="0" w:header="0"/>
          <w:type w:val="continuous"/>
        </w:sectPr>
      </w:pPr>
    </w:p>
    <w:bookmarkStart w:id="13" w:name="page14"/>
    <w:bookmarkEnd w:id="13"/>
    <w:p>
      <w:pPr>
        <w:ind w:left="660"/>
        <w:spacing w:after="0"/>
        <w:rPr>
          <w:sz w:val="20"/>
          <w:szCs w:val="20"/>
          <w:color w:val="auto"/>
        </w:rPr>
      </w:pPr>
      <w:r>
        <w:rPr>
          <w:rFonts w:ascii="Times New Roman" w:cs="Times New Roman" w:eastAsia="Times New Roman" w:hAnsi="Times New Roman"/>
          <w:sz w:val="21"/>
          <w:szCs w:val="21"/>
          <w:color w:val="auto"/>
        </w:rPr>
        <w:t>The following table is a summary of future minimum rentals on such leases at October 31, 2023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w w:val="99"/>
              </w:rPr>
              <w:t>Minimum</w:t>
            </w:r>
          </w:p>
        </w:tc>
      </w:tr>
      <w:tr>
        <w:trPr>
          <w:trHeight w:val="234"/>
        </w:trPr>
        <w:tc>
          <w:tcPr>
            <w:tcW w:w="462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Years Ended January 31,</w:t>
            </w:r>
          </w:p>
        </w:tc>
        <w:tc>
          <w:tcPr>
            <w:tcW w:w="260" w:type="dxa"/>
            <w:vAlign w:val="bottom"/>
          </w:tcPr>
          <w:p>
            <w:pPr>
              <w:spacing w:after="0"/>
              <w:rPr>
                <w:sz w:val="20"/>
                <w:szCs w:val="20"/>
                <w:color w:val="auto"/>
              </w:rPr>
            </w:pPr>
          </w:p>
        </w:tc>
        <w:tc>
          <w:tcPr>
            <w:tcW w:w="740" w:type="dxa"/>
            <w:vAlign w:val="bottom"/>
            <w:gridSpan w:val="2"/>
          </w:tcPr>
          <w:p>
            <w:pPr>
              <w:jc w:val="right"/>
              <w:ind w:right="40"/>
              <w:spacing w:after="0" w:line="233" w:lineRule="exact"/>
              <w:rPr>
                <w:sz w:val="20"/>
                <w:szCs w:val="20"/>
                <w:color w:val="auto"/>
              </w:rPr>
            </w:pPr>
            <w:r>
              <w:rPr>
                <w:rFonts w:ascii="Times New Roman" w:cs="Times New Roman" w:eastAsia="Times New Roman" w:hAnsi="Times New Roman"/>
                <w:sz w:val="22"/>
                <w:szCs w:val="22"/>
                <w:b w:val="1"/>
                <w:bCs w:val="1"/>
                <w:color w:val="auto"/>
                <w:w w:val="95"/>
              </w:rPr>
              <w:t>Rentals</w:t>
            </w:r>
          </w:p>
        </w:tc>
      </w:tr>
      <w:tr>
        <w:trPr>
          <w:trHeight w:val="237"/>
        </w:trPr>
        <w:tc>
          <w:tcPr>
            <w:tcW w:w="2320" w:type="dxa"/>
            <w:vAlign w:val="bottom"/>
            <w:tcBorders>
              <w:top w:val="single" w:sz="8" w:color="auto"/>
            </w:tcBorders>
          </w:tcPr>
          <w:p>
            <w:pPr>
              <w:spacing w:after="0"/>
              <w:rPr>
                <w:sz w:val="20"/>
                <w:szCs w:val="20"/>
                <w:color w:val="auto"/>
              </w:rPr>
            </w:pP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62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2024</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1,582</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2025</w:t>
            </w:r>
          </w:p>
        </w:tc>
        <w:tc>
          <w:tcPr>
            <w:tcW w:w="2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5,108</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2026</w:t>
            </w:r>
          </w:p>
        </w:tc>
        <w:tc>
          <w:tcPr>
            <w:tcW w:w="2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2,955</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2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2,907</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2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2,477</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Thereafter</w:t>
            </w:r>
          </w:p>
        </w:tc>
        <w:tc>
          <w:tcPr>
            <w:tcW w:w="2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1,154</w:t>
            </w:r>
          </w:p>
        </w:tc>
      </w:tr>
      <w:tr>
        <w:trPr>
          <w:trHeight w:val="237"/>
        </w:trPr>
        <w:tc>
          <w:tcPr>
            <w:tcW w:w="462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260" w:type="dxa"/>
            <w:vAlign w:val="bottom"/>
            <w:tcBorders>
              <w:top w:val="single" w:sz="8" w:color="auto"/>
            </w:tcBorders>
            <w:shd w:val="clear" w:color="auto" w:fill="E5FFFF"/>
          </w:tcPr>
          <w:p>
            <w:pPr>
              <w:spacing w:after="0"/>
              <w:rPr>
                <w:sz w:val="20"/>
                <w:szCs w:val="20"/>
                <w:color w:val="auto"/>
              </w:rPr>
            </w:pP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16,183</w:t>
            </w:r>
          </w:p>
        </w:tc>
        <w:tc>
          <w:tcPr>
            <w:tcW w:w="60" w:type="dxa"/>
            <w:vAlign w:val="bottom"/>
            <w:tcBorders>
              <w:top w:val="single" w:sz="8" w:color="E5FFFF"/>
            </w:tcBorders>
            <w:shd w:val="clear" w:color="auto" w:fill="E5FFFF"/>
          </w:tcPr>
          <w:p>
            <w:pPr>
              <w:spacing w:after="0"/>
              <w:rPr>
                <w:sz w:val="20"/>
                <w:szCs w:val="20"/>
                <w:color w:val="auto"/>
              </w:rPr>
            </w:pP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2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1,944</w:t>
            </w:r>
          </w:p>
        </w:tc>
      </w:tr>
      <w:tr>
        <w:trPr>
          <w:trHeight w:val="250"/>
        </w:trPr>
        <w:tc>
          <w:tcPr>
            <w:tcW w:w="462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Operating lease liabilities</w:t>
            </w: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14,239</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2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At October 31, 2023, the weighted average remaining lease term is 3.5 years, and the weighted average discount rate is 5.87% for the outstanding leases. At January 31, 2023, the weighted average remaining lease term was 3.7 years, and the weighted average discount rate was 5.51% for the outstanding leases.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0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Company applies ASC 820, “</w:t>
      </w:r>
      <w:r>
        <w:rPr>
          <w:rFonts w:ascii="Times New Roman" w:cs="Times New Roman" w:eastAsia="Times New Roman" w:hAnsi="Times New Roman"/>
          <w:sz w:val="22"/>
          <w:szCs w:val="22"/>
          <w:i w:val="1"/>
          <w:iCs w:val="1"/>
          <w:color w:val="auto"/>
        </w:rPr>
        <w:t>Fair Value Measurements and Disclosures”</w:t>
      </w:r>
      <w:r>
        <w:rPr>
          <w:rFonts w:ascii="Times New Roman" w:cs="Times New Roman" w:eastAsia="Times New Roman" w:hAnsi="Times New Roman"/>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21"/>
          <w:szCs w:val="21"/>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62"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4" w:name="page15"/>
    <w:bookmarkEnd w:id="14"/>
    <w:p>
      <w:pPr>
        <w:ind w:right="100"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420" w:firstLine="8"/>
        <w:spacing w:after="0" w:line="234" w:lineRule="auto"/>
        <w:tabs>
          <w:tab w:leader="none" w:pos="25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October 31, 2023 are summarized below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8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220" w:type="dxa"/>
            <w:vAlign w:val="bottom"/>
          </w:tcPr>
          <w:p>
            <w:pPr>
              <w:spacing w:after="0"/>
              <w:rPr>
                <w:sz w:val="22"/>
                <w:szCs w:val="22"/>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w w:val="94"/>
              </w:rPr>
              <w:t>Level 3</w:t>
            </w:r>
          </w:p>
        </w:tc>
        <w:tc>
          <w:tcPr>
            <w:tcW w:w="10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r>
      <w:tr>
        <w:trPr>
          <w:trHeight w:val="263"/>
        </w:trPr>
        <w:tc>
          <w:tcPr>
            <w:tcW w:w="4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40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Commodity futures asset (1)</w:t>
            </w:r>
          </w:p>
        </w:tc>
        <w:tc>
          <w:tcPr>
            <w:tcW w:w="980" w:type="dxa"/>
            <w:vAlign w:val="bottom"/>
            <w:gridSpan w:val="3"/>
            <w:shd w:val="clear" w:color="auto" w:fill="E5FFFF"/>
          </w:tcPr>
          <w:p>
            <w:pPr>
              <w:ind w:left="6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172</w:t>
            </w:r>
          </w:p>
        </w:tc>
        <w:tc>
          <w:tcPr>
            <w:tcW w:w="560" w:type="dxa"/>
            <w:vAlign w:val="bottom"/>
            <w:gridSpan w:val="2"/>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172</w:t>
            </w:r>
          </w:p>
        </w:tc>
        <w:tc>
          <w:tcPr>
            <w:tcW w:w="80" w:type="dxa"/>
            <w:vAlign w:val="bottom"/>
            <w:shd w:val="clear" w:color="auto" w:fill="E5FFFF"/>
          </w:tcPr>
          <w:p>
            <w:pPr>
              <w:spacing w:after="0"/>
              <w:rPr>
                <w:sz w:val="21"/>
                <w:szCs w:val="21"/>
                <w:color w:val="auto"/>
              </w:rPr>
            </w:pPr>
          </w:p>
        </w:tc>
      </w:tr>
      <w:tr>
        <w:trPr>
          <w:trHeight w:val="486"/>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liability (2)</w:t>
            </w:r>
          </w:p>
        </w:tc>
        <w:tc>
          <w:tcPr>
            <w:tcW w:w="98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1,405</w:t>
            </w:r>
          </w:p>
        </w:tc>
        <w:tc>
          <w:tcPr>
            <w:tcW w:w="5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1,405</w:t>
            </w:r>
          </w:p>
        </w:tc>
        <w:tc>
          <w:tcPr>
            <w:tcW w:w="80" w:type="dxa"/>
            <w:vAlign w:val="bottom"/>
          </w:tcPr>
          <w:p>
            <w:pPr>
              <w:spacing w:after="0"/>
              <w:rPr>
                <w:sz w:val="24"/>
                <w:szCs w:val="24"/>
                <w:color w:val="auto"/>
              </w:rPr>
            </w:pPr>
          </w:p>
        </w:tc>
      </w:tr>
      <w:tr>
        <w:trPr>
          <w:trHeight w:val="257"/>
        </w:trPr>
        <w:tc>
          <w:tcPr>
            <w:tcW w:w="40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liability (2)</w:t>
            </w:r>
          </w:p>
        </w:tc>
        <w:tc>
          <w:tcPr>
            <w:tcW w:w="6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74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7</w:t>
            </w:r>
          </w:p>
        </w:tc>
        <w:tc>
          <w:tcPr>
            <w:tcW w:w="22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80" w:type="dxa"/>
            <w:vAlign w:val="bottom"/>
            <w:shd w:val="clear" w:color="auto" w:fill="E5FFFF"/>
          </w:tcPr>
          <w:p>
            <w:pPr>
              <w:spacing w:after="0"/>
              <w:rPr>
                <w:sz w:val="22"/>
                <w:szCs w:val="22"/>
                <w:color w:val="auto"/>
              </w:rPr>
            </w:pPr>
          </w:p>
        </w:tc>
      </w:tr>
      <w:tr>
        <w:trPr>
          <w:trHeight w:val="250"/>
        </w:trPr>
        <w:tc>
          <w:tcPr>
            <w:tcW w:w="40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liabilities</w:t>
            </w:r>
          </w:p>
        </w:tc>
        <w:tc>
          <w:tcPr>
            <w:tcW w:w="620" w:type="dxa"/>
            <w:vAlign w:val="bottom"/>
          </w:tcPr>
          <w:p>
            <w:pPr>
              <w:spacing w:after="0"/>
              <w:rPr>
                <w:sz w:val="21"/>
                <w:szCs w:val="21"/>
                <w:color w:val="auto"/>
              </w:rPr>
            </w:pPr>
          </w:p>
        </w:tc>
        <w:tc>
          <w:tcPr>
            <w:tcW w:w="360" w:type="dxa"/>
            <w:vAlign w:val="bottom"/>
            <w:tcBorders>
              <w:top w:val="single" w:sz="8" w:color="auto"/>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54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1,412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3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1,412</w:t>
            </w:r>
          </w:p>
        </w:tc>
        <w:tc>
          <w:tcPr>
            <w:tcW w:w="8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2023 aresummarized below (amounts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8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220" w:type="dxa"/>
            <w:vAlign w:val="bottom"/>
          </w:tcPr>
          <w:p>
            <w:pPr>
              <w:spacing w:after="0"/>
              <w:rPr>
                <w:sz w:val="22"/>
                <w:szCs w:val="22"/>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w w:val="94"/>
              </w:rPr>
              <w:t>Level 3</w:t>
            </w:r>
          </w:p>
        </w:tc>
        <w:tc>
          <w:tcPr>
            <w:tcW w:w="10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r>
      <w:tr>
        <w:trPr>
          <w:trHeight w:val="263"/>
        </w:trPr>
        <w:tc>
          <w:tcPr>
            <w:tcW w:w="4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40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980" w:type="dxa"/>
            <w:vAlign w:val="bottom"/>
            <w:gridSpan w:val="3"/>
            <w:shd w:val="clear" w:color="auto" w:fill="E5FFFF"/>
          </w:tcPr>
          <w:p>
            <w:pPr>
              <w:ind w:left="6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560" w:type="dxa"/>
            <w:vAlign w:val="bottom"/>
            <w:gridSpan w:val="2"/>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80" w:type="dxa"/>
            <w:vAlign w:val="bottom"/>
            <w:shd w:val="clear" w:color="auto" w:fill="E5FFFF"/>
          </w:tcPr>
          <w:p>
            <w:pPr>
              <w:spacing w:after="0"/>
              <w:rPr>
                <w:sz w:val="21"/>
                <w:szCs w:val="21"/>
                <w:color w:val="auto"/>
              </w:rPr>
            </w:pP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asset (1)</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80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80" w:type="dxa"/>
            <w:vAlign w:val="bottom"/>
          </w:tcPr>
          <w:p>
            <w:pPr>
              <w:spacing w:after="0"/>
              <w:rPr>
                <w:sz w:val="22"/>
                <w:szCs w:val="22"/>
                <w:color w:val="auto"/>
              </w:rPr>
            </w:pPr>
          </w:p>
        </w:tc>
      </w:tr>
      <w:tr>
        <w:trPr>
          <w:trHeight w:val="250"/>
        </w:trPr>
        <w:tc>
          <w:tcPr>
            <w:tcW w:w="40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62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185</w:t>
            </w: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185</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liability (2)</w:t>
            </w:r>
          </w:p>
        </w:tc>
        <w:tc>
          <w:tcPr>
            <w:tcW w:w="98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355</w:t>
            </w:r>
          </w:p>
        </w:tc>
        <w:tc>
          <w:tcPr>
            <w:tcW w:w="5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355</w:t>
            </w:r>
          </w:p>
        </w:tc>
        <w:tc>
          <w:tcPr>
            <w:tcW w:w="80" w:type="dxa"/>
            <w:vAlign w:val="bottom"/>
          </w:tcPr>
          <w:p>
            <w:pPr>
              <w:spacing w:after="0"/>
              <w:rPr>
                <w:sz w:val="24"/>
                <w:szCs w:val="24"/>
                <w:color w:val="auto"/>
              </w:rPr>
            </w:pPr>
          </w:p>
        </w:tc>
      </w:tr>
      <w:tr>
        <w:trPr>
          <w:trHeight w:val="257"/>
        </w:trPr>
        <w:tc>
          <w:tcPr>
            <w:tcW w:w="40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liability (2)</w:t>
            </w:r>
          </w:p>
        </w:tc>
        <w:tc>
          <w:tcPr>
            <w:tcW w:w="6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6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67</w:t>
            </w:r>
          </w:p>
        </w:tc>
        <w:tc>
          <w:tcPr>
            <w:tcW w:w="22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5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80" w:type="dxa"/>
            <w:vAlign w:val="bottom"/>
            <w:shd w:val="clear" w:color="auto" w:fill="E5FFFF"/>
          </w:tcPr>
          <w:p>
            <w:pPr>
              <w:spacing w:after="0"/>
              <w:rPr>
                <w:sz w:val="22"/>
                <w:szCs w:val="22"/>
                <w:color w:val="auto"/>
              </w:rPr>
            </w:pPr>
          </w:p>
        </w:tc>
      </w:tr>
      <w:tr>
        <w:trPr>
          <w:trHeight w:val="250"/>
        </w:trPr>
        <w:tc>
          <w:tcPr>
            <w:tcW w:w="40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liabilities</w:t>
            </w:r>
          </w:p>
        </w:tc>
        <w:tc>
          <w:tcPr>
            <w:tcW w:w="620" w:type="dxa"/>
            <w:vAlign w:val="bottom"/>
          </w:tcPr>
          <w:p>
            <w:pPr>
              <w:spacing w:after="0"/>
              <w:rPr>
                <w:sz w:val="21"/>
                <w:szCs w:val="21"/>
                <w:color w:val="auto"/>
              </w:rPr>
            </w:pPr>
          </w:p>
        </w:tc>
        <w:tc>
          <w:tcPr>
            <w:tcW w:w="360" w:type="dxa"/>
            <w:vAlign w:val="bottom"/>
            <w:tcBorders>
              <w:top w:val="single" w:sz="8" w:color="auto"/>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422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3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422</w:t>
            </w:r>
          </w:p>
        </w:tc>
        <w:tc>
          <w:tcPr>
            <w:tcW w:w="8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260" w:hanging="9"/>
        <w:spacing w:after="0" w:line="241" w:lineRule="auto"/>
        <w:tabs>
          <w:tab w:leader="none" w:pos="6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and commodity futures assets are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260" w:right="20" w:hanging="9"/>
        <w:spacing w:after="0" w:line="237" w:lineRule="auto"/>
        <w:tabs>
          <w:tab w:leader="none" w:pos="59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and forward purchase contracts liabilities are included in “Accrued expenses and other current liabilities” on the accompanying Consolidated Balance Sheets.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2"/>
                <w:szCs w:val="22"/>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80" w:type="dxa"/>
            <w:vAlign w:val="bottom"/>
            <w:gridSpan w:val="6"/>
          </w:tcPr>
          <w:p>
            <w:pPr>
              <w:ind w:left="14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320"/>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3"/>
        </w:trPr>
        <w:tc>
          <w:tcPr>
            <w:tcW w:w="5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53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1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gridSpan w:val="4"/>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31,205</w:t>
            </w:r>
          </w:p>
        </w:tc>
        <w:tc>
          <w:tcPr>
            <w:tcW w:w="300" w:type="dxa"/>
            <w:vAlign w:val="bottom"/>
            <w:gridSpan w:val="2"/>
            <w:shd w:val="clear" w:color="auto" w:fill="E5FFFF"/>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30,194</w:t>
            </w:r>
          </w:p>
        </w:tc>
        <w:tc>
          <w:tcPr>
            <w:tcW w:w="60" w:type="dxa"/>
            <w:vAlign w:val="bottom"/>
            <w:shd w:val="clear" w:color="auto" w:fill="E5FFFF"/>
          </w:tcPr>
          <w:p>
            <w:pPr>
              <w:spacing w:after="0"/>
              <w:rPr>
                <w:sz w:val="21"/>
                <w:szCs w:val="21"/>
                <w:color w:val="auto"/>
              </w:rPr>
            </w:pPr>
          </w:p>
        </w:tc>
      </w:tr>
      <w:tr>
        <w:trPr>
          <w:trHeight w:val="243"/>
        </w:trPr>
        <w:tc>
          <w:tcPr>
            <w:tcW w:w="5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80" w:type="dxa"/>
            <w:vAlign w:val="bottom"/>
          </w:tcPr>
          <w:p>
            <w:pPr>
              <w:spacing w:after="0"/>
              <w:rPr>
                <w:sz w:val="21"/>
                <w:szCs w:val="21"/>
                <w:color w:val="auto"/>
              </w:rPr>
            </w:pPr>
          </w:p>
        </w:tc>
        <w:tc>
          <w:tcPr>
            <w:tcW w:w="1040" w:type="dxa"/>
            <w:vAlign w:val="bottom"/>
            <w:gridSpan w:val="4"/>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23,796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23,707</w:t>
            </w:r>
          </w:p>
        </w:tc>
        <w:tc>
          <w:tcPr>
            <w:tcW w:w="60" w:type="dxa"/>
            <w:vAlign w:val="bottom"/>
          </w:tcPr>
          <w:p>
            <w:pPr>
              <w:spacing w:after="0"/>
              <w:rPr>
                <w:sz w:val="21"/>
                <w:szCs w:val="21"/>
                <w:color w:val="auto"/>
              </w:rPr>
            </w:pPr>
          </w:p>
        </w:tc>
      </w:tr>
      <w:tr>
        <w:trPr>
          <w:trHeight w:val="243"/>
        </w:trPr>
        <w:tc>
          <w:tcPr>
            <w:tcW w:w="53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180" w:type="dxa"/>
            <w:vAlign w:val="bottom"/>
            <w:shd w:val="clear" w:color="auto" w:fill="E5FFFF"/>
          </w:tcPr>
          <w:p>
            <w:pPr>
              <w:spacing w:after="0"/>
              <w:rPr>
                <w:sz w:val="21"/>
                <w:szCs w:val="21"/>
                <w:color w:val="auto"/>
              </w:rPr>
            </w:pPr>
          </w:p>
        </w:tc>
        <w:tc>
          <w:tcPr>
            <w:tcW w:w="1040" w:type="dxa"/>
            <w:vAlign w:val="bottom"/>
            <w:gridSpan w:val="4"/>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305,310</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299,665</w:t>
            </w:r>
          </w:p>
        </w:tc>
        <w:tc>
          <w:tcPr>
            <w:tcW w:w="60" w:type="dxa"/>
            <w:vAlign w:val="bottom"/>
            <w:shd w:val="clear" w:color="auto" w:fill="E5FFFF"/>
          </w:tcPr>
          <w:p>
            <w:pPr>
              <w:spacing w:after="0"/>
              <w:rPr>
                <w:sz w:val="21"/>
                <w:szCs w:val="21"/>
                <w:color w:val="auto"/>
              </w:rPr>
            </w:pPr>
          </w:p>
        </w:tc>
      </w:tr>
      <w:tr>
        <w:trPr>
          <w:trHeight w:val="256"/>
        </w:trPr>
        <w:tc>
          <w:tcPr>
            <w:tcW w:w="5360" w:type="dxa"/>
            <w:vAlign w:val="bottom"/>
          </w:tcPr>
          <w:p>
            <w:pPr>
              <w:spacing w:after="0"/>
              <w:rPr>
                <w:sz w:val="20"/>
                <w:szCs w:val="20"/>
                <w:color w:val="auto"/>
              </w:rPr>
            </w:pPr>
            <w:r>
              <w:rPr>
                <w:rFonts w:ascii="Times New Roman" w:cs="Times New Roman" w:eastAsia="Times New Roman" w:hAnsi="Times New Roman"/>
                <w:sz w:val="22"/>
                <w:szCs w:val="22"/>
                <w:color w:val="auto"/>
              </w:rPr>
              <w:t>Construction in progress</w:t>
            </w:r>
          </w:p>
        </w:tc>
        <w:tc>
          <w:tcPr>
            <w:tcW w:w="180" w:type="dxa"/>
            <w:vAlign w:val="bottom"/>
          </w:tcPr>
          <w:p>
            <w:pPr>
              <w:spacing w:after="0"/>
              <w:rPr>
                <w:sz w:val="22"/>
                <w:szCs w:val="22"/>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22"/>
                <w:szCs w:val="22"/>
                <w:color w:val="auto"/>
              </w:rPr>
              <w:t>25,367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10,255</w:t>
            </w:r>
          </w:p>
        </w:tc>
        <w:tc>
          <w:tcPr>
            <w:tcW w:w="60" w:type="dxa"/>
            <w:vAlign w:val="bottom"/>
          </w:tcPr>
          <w:p>
            <w:pPr>
              <w:spacing w:after="0"/>
              <w:rPr>
                <w:sz w:val="22"/>
                <w:szCs w:val="22"/>
                <w:color w:val="auto"/>
              </w:rPr>
            </w:pPr>
          </w:p>
        </w:tc>
      </w:tr>
      <w:tr>
        <w:trPr>
          <w:trHeight w:val="237"/>
        </w:trPr>
        <w:tc>
          <w:tcPr>
            <w:tcW w:w="536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90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385,678</w:t>
            </w:r>
          </w:p>
        </w:tc>
        <w:tc>
          <w:tcPr>
            <w:tcW w:w="14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92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363,821</w:t>
            </w:r>
          </w:p>
        </w:tc>
        <w:tc>
          <w:tcPr>
            <w:tcW w:w="60" w:type="dxa"/>
            <w:vAlign w:val="bottom"/>
            <w:tcBorders>
              <w:top w:val="single" w:sz="8" w:color="E5FFFF"/>
            </w:tcBorders>
            <w:shd w:val="clear" w:color="auto" w:fill="E5FFFF"/>
          </w:tcPr>
          <w:p>
            <w:pPr>
              <w:spacing w:after="0"/>
              <w:rPr>
                <w:sz w:val="20"/>
                <w:szCs w:val="20"/>
                <w:color w:val="auto"/>
              </w:rPr>
            </w:pPr>
          </w:p>
        </w:tc>
      </w:tr>
      <w:tr>
        <w:trPr>
          <w:trHeight w:val="257"/>
        </w:trPr>
        <w:tc>
          <w:tcPr>
            <w:tcW w:w="5360" w:type="dxa"/>
            <w:vAlign w:val="bottom"/>
          </w:tcPr>
          <w:p>
            <w:pPr>
              <w:spacing w:after="0"/>
              <w:rPr>
                <w:sz w:val="20"/>
                <w:szCs w:val="20"/>
                <w:color w:val="auto"/>
              </w:rPr>
            </w:pPr>
            <w:r>
              <w:rPr>
                <w:rFonts w:ascii="Times New Roman" w:cs="Times New Roman" w:eastAsia="Times New Roman" w:hAnsi="Times New Roman"/>
                <w:sz w:val="22"/>
                <w:szCs w:val="22"/>
                <w:color w:val="auto"/>
              </w:rPr>
              <w:t>Less: Accumulated depreciation</w:t>
            </w:r>
          </w:p>
        </w:tc>
        <w:tc>
          <w:tcPr>
            <w:tcW w:w="180" w:type="dxa"/>
            <w:vAlign w:val="bottom"/>
          </w:tcPr>
          <w:p>
            <w:pPr>
              <w:spacing w:after="0"/>
              <w:rPr>
                <w:sz w:val="22"/>
                <w:szCs w:val="22"/>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22"/>
                <w:szCs w:val="22"/>
                <w:color w:val="auto"/>
              </w:rPr>
              <w:t>(241,111)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(228,324)</w:t>
            </w:r>
          </w:p>
        </w:tc>
        <w:tc>
          <w:tcPr>
            <w:tcW w:w="60" w:type="dxa"/>
            <w:vAlign w:val="bottom"/>
          </w:tcPr>
          <w:p>
            <w:pPr>
              <w:spacing w:after="0"/>
              <w:rPr>
                <w:sz w:val="22"/>
                <w:szCs w:val="22"/>
                <w:color w:val="auto"/>
              </w:rPr>
            </w:pPr>
          </w:p>
        </w:tc>
      </w:tr>
      <w:tr>
        <w:trPr>
          <w:trHeight w:val="250"/>
        </w:trPr>
        <w:tc>
          <w:tcPr>
            <w:tcW w:w="53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144,567</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135,497</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Other Assets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other assets are as follows for the periods presented (amounts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2"/>
                <w:szCs w:val="22"/>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80" w:type="dxa"/>
            <w:vAlign w:val="bottom"/>
            <w:gridSpan w:val="6"/>
          </w:tcPr>
          <w:p>
            <w:pPr>
              <w:ind w:left="14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32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3"/>
        </w:trPr>
        <w:tc>
          <w:tcPr>
            <w:tcW w:w="5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53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Deferred taxes</w:t>
            </w:r>
          </w:p>
        </w:tc>
        <w:tc>
          <w:tcPr>
            <w:tcW w:w="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3"/>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11,916</w:t>
            </w:r>
          </w:p>
        </w:tc>
        <w:tc>
          <w:tcPr>
            <w:tcW w:w="360" w:type="dxa"/>
            <w:vAlign w:val="bottom"/>
            <w:gridSpan w:val="2"/>
            <w:shd w:val="clear" w:color="auto" w:fill="E5FFFF"/>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21,964</w:t>
            </w:r>
          </w:p>
        </w:tc>
        <w:tc>
          <w:tcPr>
            <w:tcW w:w="60" w:type="dxa"/>
            <w:vAlign w:val="bottom"/>
            <w:shd w:val="clear" w:color="auto" w:fill="E5FFFF"/>
          </w:tcPr>
          <w:p>
            <w:pPr>
              <w:spacing w:after="0"/>
              <w:rPr>
                <w:sz w:val="21"/>
                <w:szCs w:val="21"/>
                <w:color w:val="auto"/>
              </w:rPr>
            </w:pPr>
          </w:p>
        </w:tc>
      </w:tr>
      <w:tr>
        <w:trPr>
          <w:trHeight w:val="256"/>
        </w:trPr>
        <w:tc>
          <w:tcPr>
            <w:tcW w:w="536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32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22"/>
                <w:szCs w:val="22"/>
                <w:color w:val="auto"/>
              </w:rPr>
              <w:t>1,673</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1,215</w:t>
            </w:r>
          </w:p>
        </w:tc>
        <w:tc>
          <w:tcPr>
            <w:tcW w:w="60" w:type="dxa"/>
            <w:vAlign w:val="bottom"/>
          </w:tcPr>
          <w:p>
            <w:pPr>
              <w:spacing w:after="0"/>
              <w:rPr>
                <w:sz w:val="22"/>
                <w:szCs w:val="22"/>
                <w:color w:val="auto"/>
              </w:rPr>
            </w:pPr>
          </w:p>
        </w:tc>
      </w:tr>
      <w:tr>
        <w:trPr>
          <w:trHeight w:val="250"/>
        </w:trPr>
        <w:tc>
          <w:tcPr>
            <w:tcW w:w="53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3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13,589</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23,179</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12"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1"/>
                <w:szCs w:val="21"/>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22"/>
                <w:szCs w:val="22"/>
                <w:b w:val="1"/>
                <w:bCs w:val="1"/>
                <w:color w:val="auto"/>
                <w:w w:val="98"/>
              </w:rPr>
              <w:t>January 31,</w:t>
            </w:r>
          </w:p>
        </w:tc>
        <w:tc>
          <w:tcPr>
            <w:tcW w:w="3380" w:type="dxa"/>
            <w:vAlign w:val="bottom"/>
          </w:tcPr>
          <w:p>
            <w:pPr>
              <w:spacing w:after="0"/>
              <w:rPr>
                <w:sz w:val="21"/>
                <w:szCs w:val="21"/>
                <w:color w:val="auto"/>
              </w:rPr>
            </w:pPr>
          </w:p>
        </w:tc>
      </w:tr>
      <w:tr>
        <w:trPr>
          <w:trHeight w:val="234"/>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20"/>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63"/>
        </w:trPr>
        <w:tc>
          <w:tcPr>
            <w:tcW w:w="5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43"/>
        </w:trPr>
        <w:tc>
          <w:tcPr>
            <w:tcW w:w="53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gridSpan w:val="4"/>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6,943</w:t>
            </w:r>
          </w:p>
        </w:tc>
        <w:tc>
          <w:tcPr>
            <w:tcW w:w="360" w:type="dxa"/>
            <w:vAlign w:val="bottom"/>
            <w:gridSpan w:val="2"/>
            <w:shd w:val="clear" w:color="auto" w:fill="E5FFFF"/>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4,428</w:t>
            </w:r>
          </w:p>
        </w:tc>
        <w:tc>
          <w:tcPr>
            <w:tcW w:w="3380" w:type="dxa"/>
            <w:vAlign w:val="bottom"/>
          </w:tcPr>
          <w:p>
            <w:pPr>
              <w:spacing w:after="0"/>
              <w:rPr>
                <w:sz w:val="21"/>
                <w:szCs w:val="21"/>
                <w:color w:val="auto"/>
              </w:rPr>
            </w:pPr>
          </w:p>
        </w:tc>
      </w:tr>
      <w:tr>
        <w:trPr>
          <w:trHeight w:val="243"/>
        </w:trPr>
        <w:tc>
          <w:tcPr>
            <w:tcW w:w="5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120" w:type="dxa"/>
            <w:vAlign w:val="bottom"/>
          </w:tcPr>
          <w:p>
            <w:pPr>
              <w:spacing w:after="0"/>
              <w:rPr>
                <w:sz w:val="21"/>
                <w:szCs w:val="21"/>
                <w:color w:val="auto"/>
              </w:rPr>
            </w:pPr>
          </w:p>
        </w:tc>
        <w:tc>
          <w:tcPr>
            <w:tcW w:w="1100" w:type="dxa"/>
            <w:vAlign w:val="bottom"/>
            <w:gridSpan w:val="4"/>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2,749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4,116</w:t>
            </w:r>
          </w:p>
        </w:tc>
        <w:tc>
          <w:tcPr>
            <w:tcW w:w="3380" w:type="dxa"/>
            <w:vAlign w:val="bottom"/>
          </w:tcPr>
          <w:p>
            <w:pPr>
              <w:spacing w:after="0"/>
              <w:rPr>
                <w:sz w:val="21"/>
                <w:szCs w:val="21"/>
                <w:color w:val="auto"/>
              </w:rPr>
            </w:pPr>
          </w:p>
        </w:tc>
      </w:tr>
      <w:tr>
        <w:trPr>
          <w:trHeight w:val="243"/>
        </w:trPr>
        <w:tc>
          <w:tcPr>
            <w:tcW w:w="53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120" w:type="dxa"/>
            <w:vAlign w:val="bottom"/>
            <w:shd w:val="clear" w:color="auto" w:fill="E5FFFF"/>
          </w:tcPr>
          <w:p>
            <w:pPr>
              <w:spacing w:after="0"/>
              <w:rPr>
                <w:sz w:val="21"/>
                <w:szCs w:val="21"/>
                <w:color w:val="auto"/>
              </w:rPr>
            </w:pPr>
          </w:p>
        </w:tc>
        <w:tc>
          <w:tcPr>
            <w:tcW w:w="1100" w:type="dxa"/>
            <w:vAlign w:val="bottom"/>
            <w:gridSpan w:val="4"/>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918</w:t>
            </w: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2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1,311</w:t>
            </w:r>
          </w:p>
        </w:tc>
        <w:tc>
          <w:tcPr>
            <w:tcW w:w="3380" w:type="dxa"/>
            <w:vAlign w:val="bottom"/>
          </w:tcPr>
          <w:p>
            <w:pPr>
              <w:spacing w:after="0"/>
              <w:rPr>
                <w:sz w:val="21"/>
                <w:szCs w:val="21"/>
                <w:color w:val="auto"/>
              </w:rPr>
            </w:pPr>
          </w:p>
        </w:tc>
      </w:tr>
      <w:tr>
        <w:trPr>
          <w:trHeight w:val="243"/>
        </w:trPr>
        <w:tc>
          <w:tcPr>
            <w:tcW w:w="5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120" w:type="dxa"/>
            <w:vAlign w:val="bottom"/>
          </w:tcPr>
          <w:p>
            <w:pPr>
              <w:spacing w:after="0"/>
              <w:rPr>
                <w:sz w:val="21"/>
                <w:szCs w:val="21"/>
                <w:color w:val="auto"/>
              </w:rPr>
            </w:pPr>
          </w:p>
        </w:tc>
        <w:tc>
          <w:tcPr>
            <w:tcW w:w="1100" w:type="dxa"/>
            <w:vAlign w:val="bottom"/>
            <w:gridSpan w:val="4"/>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1,387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1,850</w:t>
            </w:r>
          </w:p>
        </w:tc>
        <w:tc>
          <w:tcPr>
            <w:tcW w:w="3380" w:type="dxa"/>
            <w:vAlign w:val="bottom"/>
          </w:tcPr>
          <w:p>
            <w:pPr>
              <w:spacing w:after="0"/>
              <w:rPr>
                <w:sz w:val="21"/>
                <w:szCs w:val="21"/>
                <w:color w:val="auto"/>
              </w:rPr>
            </w:pPr>
          </w:p>
        </w:tc>
      </w:tr>
      <w:tr>
        <w:trPr>
          <w:trHeight w:val="243"/>
        </w:trPr>
        <w:tc>
          <w:tcPr>
            <w:tcW w:w="53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Commodity futures</w:t>
            </w:r>
          </w:p>
        </w:tc>
        <w:tc>
          <w:tcPr>
            <w:tcW w:w="120" w:type="dxa"/>
            <w:vAlign w:val="bottom"/>
            <w:shd w:val="clear" w:color="auto" w:fill="E5FFFF"/>
          </w:tcPr>
          <w:p>
            <w:pPr>
              <w:spacing w:after="0"/>
              <w:rPr>
                <w:sz w:val="21"/>
                <w:szCs w:val="21"/>
                <w:color w:val="auto"/>
              </w:rPr>
            </w:pPr>
          </w:p>
        </w:tc>
        <w:tc>
          <w:tcPr>
            <w:tcW w:w="1100" w:type="dxa"/>
            <w:vAlign w:val="bottom"/>
            <w:gridSpan w:val="4"/>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2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3380" w:type="dxa"/>
            <w:vAlign w:val="bottom"/>
          </w:tcPr>
          <w:p>
            <w:pPr>
              <w:spacing w:after="0"/>
              <w:rPr>
                <w:sz w:val="21"/>
                <w:szCs w:val="21"/>
                <w:color w:val="auto"/>
              </w:rPr>
            </w:pPr>
          </w:p>
        </w:tc>
      </w:tr>
      <w:tr>
        <w:trPr>
          <w:trHeight w:val="243"/>
        </w:trPr>
        <w:tc>
          <w:tcPr>
            <w:tcW w:w="5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120" w:type="dxa"/>
            <w:vAlign w:val="bottom"/>
          </w:tcPr>
          <w:p>
            <w:pPr>
              <w:spacing w:after="0"/>
              <w:rPr>
                <w:sz w:val="21"/>
                <w:szCs w:val="21"/>
                <w:color w:val="auto"/>
              </w:rPr>
            </w:pPr>
          </w:p>
        </w:tc>
        <w:tc>
          <w:tcPr>
            <w:tcW w:w="1100" w:type="dxa"/>
            <w:vAlign w:val="bottom"/>
            <w:gridSpan w:val="4"/>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1,405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355</w:t>
            </w:r>
          </w:p>
        </w:tc>
        <w:tc>
          <w:tcPr>
            <w:tcW w:w="3380" w:type="dxa"/>
            <w:vAlign w:val="bottom"/>
          </w:tcPr>
          <w:p>
            <w:pPr>
              <w:spacing w:after="0"/>
              <w:rPr>
                <w:sz w:val="21"/>
                <w:szCs w:val="21"/>
                <w:color w:val="auto"/>
              </w:rPr>
            </w:pPr>
          </w:p>
        </w:tc>
      </w:tr>
      <w:tr>
        <w:trPr>
          <w:trHeight w:val="243"/>
        </w:trPr>
        <w:tc>
          <w:tcPr>
            <w:tcW w:w="53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income taxes</w:t>
            </w:r>
          </w:p>
        </w:tc>
        <w:tc>
          <w:tcPr>
            <w:tcW w:w="120" w:type="dxa"/>
            <w:vAlign w:val="bottom"/>
            <w:shd w:val="clear" w:color="auto" w:fill="E5FFFF"/>
          </w:tcPr>
          <w:p>
            <w:pPr>
              <w:spacing w:after="0"/>
              <w:rPr>
                <w:sz w:val="21"/>
                <w:szCs w:val="21"/>
                <w:color w:val="auto"/>
              </w:rPr>
            </w:pPr>
          </w:p>
        </w:tc>
        <w:tc>
          <w:tcPr>
            <w:tcW w:w="1100" w:type="dxa"/>
            <w:vAlign w:val="bottom"/>
            <w:gridSpan w:val="4"/>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130</w:t>
            </w: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2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2,049</w:t>
            </w:r>
          </w:p>
        </w:tc>
        <w:tc>
          <w:tcPr>
            <w:tcW w:w="3380" w:type="dxa"/>
            <w:vAlign w:val="bottom"/>
          </w:tcPr>
          <w:p>
            <w:pPr>
              <w:spacing w:after="0"/>
              <w:rPr>
                <w:sz w:val="21"/>
                <w:szCs w:val="21"/>
                <w:color w:val="auto"/>
              </w:rPr>
            </w:pPr>
          </w:p>
        </w:tc>
      </w:tr>
      <w:tr>
        <w:trPr>
          <w:trHeight w:val="257"/>
        </w:trPr>
        <w:tc>
          <w:tcPr>
            <w:tcW w:w="536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120" w:type="dxa"/>
            <w:vAlign w:val="bottom"/>
          </w:tcPr>
          <w:p>
            <w:pPr>
              <w:spacing w:after="0"/>
              <w:rPr>
                <w:sz w:val="22"/>
                <w:szCs w:val="22"/>
                <w:color w:val="auto"/>
              </w:rPr>
            </w:pP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22"/>
                <w:szCs w:val="22"/>
                <w:color w:val="auto"/>
              </w:rPr>
              <w:t>1,303</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1,152</w:t>
            </w:r>
          </w:p>
        </w:tc>
        <w:tc>
          <w:tcPr>
            <w:tcW w:w="3380" w:type="dxa"/>
            <w:vAlign w:val="bottom"/>
          </w:tcPr>
          <w:p>
            <w:pPr>
              <w:spacing w:after="0"/>
              <w:rPr>
                <w:sz w:val="22"/>
                <w:szCs w:val="22"/>
                <w:color w:val="auto"/>
              </w:rPr>
            </w:pPr>
          </w:p>
        </w:tc>
      </w:tr>
      <w:tr>
        <w:trPr>
          <w:trHeight w:val="250"/>
        </w:trPr>
        <w:tc>
          <w:tcPr>
            <w:tcW w:w="53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14,842</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top w:val="single" w:sz="8" w:color="auto"/>
              <w:bottom w:val="single" w:sz="8" w:color="auto"/>
              <w:right w:val="single" w:sz="8" w:color="E5FFFF"/>
            </w:tcBorders>
            <w:gridSpan w:val="3"/>
            <w:shd w:val="clear" w:color="auto" w:fill="E5FFFF"/>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rPr>
              <w:t>15,328</w:t>
            </w:r>
          </w:p>
        </w:tc>
        <w:tc>
          <w:tcPr>
            <w:tcW w:w="3380" w:type="dxa"/>
            <w:vAlign w:val="bottom"/>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5"/>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color w:val="auto"/>
              </w:rPr>
              <w:t>16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84"/>
        </w:trPr>
        <w:tc>
          <w:tcPr>
            <w:tcW w:w="5360" w:type="dxa"/>
            <w:vAlign w:val="bottom"/>
            <w:tcBorders>
              <w:bottom w:val="single" w:sz="8" w:color="C0C0C0"/>
            </w:tcBorders>
          </w:tcPr>
          <w:p>
            <w:pPr>
              <w:spacing w:after="0"/>
              <w:rPr>
                <w:sz w:val="16"/>
                <w:szCs w:val="16"/>
                <w:color w:val="auto"/>
              </w:rPr>
            </w:pPr>
          </w:p>
        </w:tc>
        <w:tc>
          <w:tcPr>
            <w:tcW w:w="120" w:type="dxa"/>
            <w:vAlign w:val="bottom"/>
            <w:tcBorders>
              <w:bottom w:val="single" w:sz="8" w:color="C0C0C0"/>
            </w:tcBorders>
          </w:tcPr>
          <w:p>
            <w:pPr>
              <w:spacing w:after="0"/>
              <w:rPr>
                <w:sz w:val="16"/>
                <w:szCs w:val="16"/>
                <w:color w:val="auto"/>
              </w:rPr>
            </w:pPr>
          </w:p>
        </w:tc>
        <w:tc>
          <w:tcPr>
            <w:tcW w:w="200" w:type="dxa"/>
            <w:vAlign w:val="bottom"/>
            <w:tcBorders>
              <w:bottom w:val="single" w:sz="8" w:color="C0C0C0"/>
            </w:tcBorders>
          </w:tcPr>
          <w:p>
            <w:pPr>
              <w:spacing w:after="0"/>
              <w:rPr>
                <w:sz w:val="16"/>
                <w:szCs w:val="16"/>
                <w:color w:val="auto"/>
              </w:rPr>
            </w:pPr>
          </w:p>
        </w:tc>
        <w:tc>
          <w:tcPr>
            <w:tcW w:w="420" w:type="dxa"/>
            <w:vAlign w:val="bottom"/>
            <w:tcBorders>
              <w:bottom w:val="single" w:sz="8" w:color="C0C0C0"/>
            </w:tcBorders>
          </w:tcPr>
          <w:p>
            <w:pPr>
              <w:spacing w:after="0"/>
              <w:rPr>
                <w:sz w:val="16"/>
                <w:szCs w:val="16"/>
                <w:color w:val="auto"/>
              </w:rPr>
            </w:pPr>
          </w:p>
        </w:tc>
        <w:tc>
          <w:tcPr>
            <w:tcW w:w="340" w:type="dxa"/>
            <w:vAlign w:val="bottom"/>
            <w:tcBorders>
              <w:bottom w:val="single" w:sz="8" w:color="C0C0C0"/>
            </w:tcBorders>
          </w:tcPr>
          <w:p>
            <w:pPr>
              <w:spacing w:after="0"/>
              <w:rPr>
                <w:sz w:val="16"/>
                <w:szCs w:val="16"/>
                <w:color w:val="auto"/>
              </w:rPr>
            </w:pPr>
          </w:p>
        </w:tc>
        <w:tc>
          <w:tcPr>
            <w:tcW w:w="140" w:type="dxa"/>
            <w:vAlign w:val="bottom"/>
            <w:tcBorders>
              <w:bottom w:val="single" w:sz="8" w:color="C0C0C0"/>
            </w:tcBorders>
          </w:tcPr>
          <w:p>
            <w:pPr>
              <w:spacing w:after="0"/>
              <w:rPr>
                <w:sz w:val="16"/>
                <w:szCs w:val="16"/>
                <w:color w:val="auto"/>
              </w:rPr>
            </w:pPr>
          </w:p>
        </w:tc>
        <w:tc>
          <w:tcPr>
            <w:tcW w:w="140" w:type="dxa"/>
            <w:vAlign w:val="bottom"/>
            <w:tcBorders>
              <w:bottom w:val="single" w:sz="8" w:color="C0C0C0"/>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100" w:type="dxa"/>
            <w:vAlign w:val="bottom"/>
            <w:tcBorders>
              <w:bottom w:val="single" w:sz="8" w:color="C0C0C0"/>
            </w:tcBorders>
          </w:tcPr>
          <w:p>
            <w:pPr>
              <w:spacing w:after="0"/>
              <w:rPr>
                <w:sz w:val="16"/>
                <w:szCs w:val="16"/>
                <w:color w:val="auto"/>
              </w:rPr>
            </w:pPr>
          </w:p>
        </w:tc>
        <w:tc>
          <w:tcPr>
            <w:tcW w:w="440" w:type="dxa"/>
            <w:vAlign w:val="bottom"/>
            <w:tcBorders>
              <w:bottom w:val="single" w:sz="8" w:color="C0C0C0"/>
            </w:tcBorders>
          </w:tcPr>
          <w:p>
            <w:pPr>
              <w:spacing w:after="0"/>
              <w:rPr>
                <w:sz w:val="16"/>
                <w:szCs w:val="16"/>
                <w:color w:val="auto"/>
              </w:rPr>
            </w:pPr>
          </w:p>
        </w:tc>
        <w:tc>
          <w:tcPr>
            <w:tcW w:w="380" w:type="dxa"/>
            <w:vAlign w:val="bottom"/>
            <w:tcBorders>
              <w:bottom w:val="single" w:sz="8" w:color="C0C0C0"/>
            </w:tcBorders>
          </w:tcPr>
          <w:p>
            <w:pPr>
              <w:spacing w:after="0"/>
              <w:rPr>
                <w:sz w:val="16"/>
                <w:szCs w:val="16"/>
                <w:color w:val="auto"/>
              </w:rPr>
            </w:pPr>
          </w:p>
        </w:tc>
        <w:tc>
          <w:tcPr>
            <w:tcW w:w="3380" w:type="dxa"/>
            <w:vAlign w:val="bottom"/>
            <w:tcBorders>
              <w:bottom w:val="single" w:sz="8" w:color="C0C0C0"/>
            </w:tcBorders>
          </w:tcPr>
          <w:p>
            <w:pPr>
              <w:spacing w:after="0"/>
              <w:rPr>
                <w:sz w:val="16"/>
                <w:szCs w:val="16"/>
                <w:color w:val="auto"/>
              </w:rPr>
            </w:pPr>
          </w:p>
        </w:tc>
      </w:tr>
    </w:tbl>
    <w:p>
      <w:pPr>
        <w:sectPr>
          <w:pgSz w:w="11900" w:h="16838" w:orient="portrait"/>
          <w:cols w:equalWidth="0" w:num="1">
            <w:col w:w="11240"/>
          </w:cols>
          <w:pgMar w:left="320" w:top="3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Derivative Financial Instruments</w:t>
      </w:r>
    </w:p>
    <w:p>
      <w:pPr>
        <w:spacing w:after="0" w:line="212" w:lineRule="exact"/>
        <w:rPr>
          <w:sz w:val="20"/>
          <w:szCs w:val="20"/>
          <w:color w:val="auto"/>
        </w:rPr>
      </w:pPr>
    </w:p>
    <w:p>
      <w:pPr>
        <w:ind w:right="200" w:firstLine="648"/>
        <w:spacing w:after="0" w:line="235" w:lineRule="auto"/>
        <w:rPr>
          <w:sz w:val="20"/>
          <w:szCs w:val="20"/>
          <w:color w:val="auto"/>
        </w:rPr>
      </w:pPr>
      <w:r>
        <w:rPr>
          <w:rFonts w:ascii="Times New Roman" w:cs="Times New Roman" w:eastAsia="Times New Roman" w:hAnsi="Times New Roman"/>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83"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gridSpan w:val="6"/>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7"/>
              </w:rPr>
              <w:t>Asset Derivatives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6"/>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Liability Derivatives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gridSpan w:val="5"/>
          </w:tcPr>
          <w:p>
            <w:pPr>
              <w:jc w:val="center"/>
              <w:ind w:right="4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Fair Value</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5"/>
              </w:rPr>
              <w:t>Fair Value</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240" w:type="dxa"/>
            <w:vAlign w:val="bottom"/>
          </w:tcPr>
          <w:p>
            <w:pPr>
              <w:spacing w:after="0"/>
              <w:rPr>
                <w:sz w:val="21"/>
                <w:szCs w:val="21"/>
                <w:color w:val="auto"/>
              </w:rPr>
            </w:pPr>
          </w:p>
        </w:tc>
        <w:tc>
          <w:tcPr>
            <w:tcW w:w="2800" w:type="dxa"/>
            <w:vAlign w:val="bottom"/>
            <w:gridSpan w:val="5"/>
          </w:tcPr>
          <w:p>
            <w:pPr>
              <w:jc w:val="right"/>
              <w:ind w:right="18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1420" w:type="dxa"/>
            <w:vAlign w:val="bottom"/>
            <w:gridSpan w:val="5"/>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January 31,</w:t>
            </w:r>
          </w:p>
        </w:tc>
        <w:tc>
          <w:tcPr>
            <w:tcW w:w="1260" w:type="dxa"/>
            <w:vAlign w:val="bottom"/>
            <w:gridSpan w:val="5"/>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w w:val="96"/>
              </w:rPr>
              <w:t>October 31,</w:t>
            </w:r>
          </w:p>
        </w:tc>
        <w:tc>
          <w:tcPr>
            <w:tcW w:w="1520" w:type="dxa"/>
            <w:vAlign w:val="bottom"/>
            <w:gridSpan w:val="5"/>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4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212"/>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2023</w:t>
            </w:r>
          </w:p>
        </w:tc>
        <w:tc>
          <w:tcPr>
            <w:tcW w:w="180" w:type="dxa"/>
            <w:vAlign w:val="bottom"/>
          </w:tcPr>
          <w:p>
            <w:pPr>
              <w:spacing w:after="0"/>
              <w:rPr>
                <w:sz w:val="20"/>
                <w:szCs w:val="20"/>
                <w:color w:val="auto"/>
              </w:rPr>
            </w:pPr>
          </w:p>
        </w:tc>
        <w:tc>
          <w:tcPr>
            <w:tcW w:w="920" w:type="dxa"/>
            <w:vAlign w:val="bottom"/>
            <w:gridSpan w:val="3"/>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320" w:type="dxa"/>
            <w:vAlign w:val="bottom"/>
          </w:tcPr>
          <w:p>
            <w:pPr>
              <w:spacing w:after="0"/>
              <w:rPr>
                <w:sz w:val="20"/>
                <w:szCs w:val="20"/>
                <w:color w:val="auto"/>
              </w:rPr>
            </w:pPr>
          </w:p>
        </w:tc>
        <w:tc>
          <w:tcPr>
            <w:tcW w:w="1100" w:type="dxa"/>
            <w:vAlign w:val="bottom"/>
            <w:gridSpan w:val="3"/>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2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Commodity futures (1)</w:t>
            </w:r>
          </w:p>
        </w:tc>
        <w:tc>
          <w:tcPr>
            <w:tcW w:w="1860" w:type="dxa"/>
            <w:vAlign w:val="bottom"/>
            <w:gridSpan w:val="2"/>
            <w:shd w:val="clear" w:color="auto" w:fill="E5FF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3"/>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172</w:t>
            </w:r>
          </w:p>
        </w:tc>
        <w:tc>
          <w:tcPr>
            <w:tcW w:w="500" w:type="dxa"/>
            <w:vAlign w:val="bottom"/>
            <w:gridSpan w:val="2"/>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1"/>
                <w:szCs w:val="21"/>
                <w:color w:val="auto"/>
              </w:rPr>
            </w:pPr>
          </w:p>
        </w:tc>
        <w:tc>
          <w:tcPr>
            <w:tcW w:w="50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80</w:t>
            </w:r>
          </w:p>
        </w:tc>
        <w:tc>
          <w:tcPr>
            <w:tcW w:w="380" w:type="dxa"/>
            <w:vAlign w:val="bottom"/>
            <w:gridSpan w:val="2"/>
            <w:shd w:val="clear" w:color="auto" w:fill="E5FFFF"/>
          </w:tcPr>
          <w:p>
            <w:pPr>
              <w:ind w:lef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660" w:type="dxa"/>
            <w:vAlign w:val="bottom"/>
            <w:gridSpan w:val="2"/>
            <w:shd w:val="clear" w:color="auto" w:fill="E5FFFF"/>
          </w:tcPr>
          <w:p>
            <w:pPr>
              <w:ind w:left="3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shd w:val="clear" w:color="auto" w:fill="E5FFFF"/>
          </w:tcPr>
          <w:p>
            <w:pPr>
              <w:spacing w:after="0"/>
              <w:rPr>
                <w:sz w:val="21"/>
                <w:szCs w:val="21"/>
                <w:color w:val="auto"/>
              </w:rPr>
            </w:pP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100" w:type="dxa"/>
            <w:vAlign w:val="bottom"/>
            <w:shd w:val="clear" w:color="auto" w:fill="E5FFFF"/>
          </w:tcPr>
          <w:p>
            <w:pPr>
              <w:spacing w:after="0"/>
              <w:rPr>
                <w:sz w:val="21"/>
                <w:szCs w:val="21"/>
                <w:color w:val="auto"/>
              </w:rPr>
            </w:pP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(2)</w:t>
            </w: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w w:val="96"/>
              </w:rPr>
              <w:t>105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1,405</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355</w:t>
            </w:r>
          </w:p>
        </w:tc>
        <w:tc>
          <w:tcPr>
            <w:tcW w:w="100" w:type="dxa"/>
            <w:vAlign w:val="bottom"/>
          </w:tcPr>
          <w:p>
            <w:pPr>
              <w:spacing w:after="0"/>
              <w:rPr>
                <w:sz w:val="22"/>
                <w:szCs w:val="22"/>
                <w:color w:val="auto"/>
              </w:rPr>
            </w:pPr>
          </w:p>
        </w:tc>
      </w:tr>
      <w:tr>
        <w:trPr>
          <w:trHeight w:val="250"/>
        </w:trPr>
        <w:tc>
          <w:tcPr>
            <w:tcW w:w="42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5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172</w:t>
            </w: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420" w:type="dxa"/>
            <w:vAlign w:val="bottom"/>
            <w:tcBorders>
              <w:top w:val="single" w:sz="8" w:color="auto"/>
              <w:bottom w:val="single" w:sz="8" w:color="auto"/>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6"/>
              </w:rPr>
              <w:t>185</w:t>
            </w: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1,412</w:t>
            </w:r>
          </w:p>
        </w:tc>
        <w:tc>
          <w:tcPr>
            <w:tcW w:w="36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tcBorders>
              <w:top w:val="single" w:sz="8" w:color="auto"/>
              <w:bottom w:val="single" w:sz="8" w:color="auto"/>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422</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left="260" w:right="80" w:hanging="9"/>
        <w:spacing w:after="0" w:line="235" w:lineRule="auto"/>
        <w:tabs>
          <w:tab w:leader="none" w:pos="5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futures assets are included in “Prepaid expenses and other” on the accompanying Consolidated Balance Sheets. These contracts include short/sell positions and long/buy positions for approximately 0.5 million bushels and 4.7 million bushels of corn, respectively, at October 31, 2023. These contracts included short/sell positions and long/buy positions for approximately 3.2 million bushels and 725,000 bushels of corn, respectively, at January 31, 2023. Commodity futures liabilities are included in “Accrued expenses and other current liabilities” on the accompanying Consolidated Balance Sheets. These contracts include short/sell positions and long/buy positions for approximately 45,000 bushels and 1.3 million bushels of corn, respectively, at October 31, 2023.These contracts included short/sell positions for approximately 1.4 million bushels of corn at January 31, 2023.</w:t>
      </w:r>
    </w:p>
    <w:p>
      <w:pPr>
        <w:spacing w:after="0" w:line="178" w:lineRule="exact"/>
        <w:rPr>
          <w:rFonts w:ascii="Times New Roman" w:cs="Times New Roman" w:eastAsia="Times New Roman" w:hAnsi="Times New Roman"/>
          <w:sz w:val="22"/>
          <w:szCs w:val="22"/>
          <w:color w:val="auto"/>
        </w:rPr>
      </w:pPr>
    </w:p>
    <w:p>
      <w:pPr>
        <w:ind w:left="260" w:right="40" w:hanging="9"/>
        <w:spacing w:after="0" w:line="238" w:lineRule="auto"/>
        <w:tabs>
          <w:tab w:leader="none" w:pos="5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assets are included in “Prepaid expenses and other” on the accompanying Consolidated Balance Sheets. These contracts were for purchases of approximately 5.2 million bushels of corn at January 31, 2023. Forward contract liabilities are included in “Accrued expenses and other current liabilities” on the accompanying Consolidated Balance Sheets. These contracts were for purchases of approximately 13.8 million bushels and 12.8 million bushels of corn at October 31, 2023 and January 31, 2023, respectively.</w:t>
      </w:r>
    </w:p>
    <w:p>
      <w:pPr>
        <w:spacing w:after="0" w:line="177"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As of October 31, 2023, and January 31, 2023, all of the derivative financial instruments held by the Company were subject to enforceable master netting arrangements with the counterparties. The Company’s accounting policy is to offset positions and amounts owed with the same counterparties. As of October 31, 2023, and January 31, 2023, the gross positions of the enforceable master netting agreements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7" w:name="page18"/>
    <w:bookmarkEnd w:id="17"/>
    <w:p>
      <w:pPr>
        <w:ind w:right="140"/>
        <w:spacing w:after="0" w:line="238" w:lineRule="auto"/>
        <w:rPr>
          <w:sz w:val="20"/>
          <w:szCs w:val="20"/>
          <w:color w:val="auto"/>
        </w:rPr>
      </w:pPr>
      <w:r>
        <w:rPr>
          <w:rFonts w:ascii="Times New Roman" w:cs="Times New Roman" w:eastAsia="Times New Roman" w:hAnsi="Times New Roman"/>
          <w:sz w:val="22"/>
          <w:szCs w:val="22"/>
          <w:color w:val="auto"/>
        </w:rPr>
        <w:t>were not significantly different from the net positions presented in the table above. Depending on the amount of an unrealized loss on a derivative contract held by the Company, the counterparties may require collateral to secure the Company’s derivative contract position. The Company was required to maintain collateral in the amount of approximately $1.7 million to secure the Company’s derivative liability positions at both October 31, 2023 and January 31, 2023, which is recorded as “Restricted cash” on the accompanying Consolidated Balance Sheets.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20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recognized (losses) and gains, which are included in “Net sales and revenue” in the accompanying Consolidated Statement of Operations, on derivative financial instruments related to ethanol sales contracts of approximately $(20,000) and $8,000 for the third quarter of fiscal years 2023 and 2022, respectively. The Company recognized gains and (losses) on derivative financial instruments related to ethanol sales contracts of approximately $0.8 million and $(1.1) million for the first nine months of fiscal years 2023 and 2022, respectively.</w:t>
      </w:r>
    </w:p>
    <w:p>
      <w:pPr>
        <w:spacing w:after="0" w:line="177"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recognized gains, which are included in “Cost of sales” in the accompanying Consolidated Statement of Operations, on derivative financial instruments related to corn purchase contracts of approximately $10.6 million and of $9,000 for the third quarter of fiscal years 2023 and 2022, respectively. The Company recognized gains (losses) on derivative financial instruments related to corn purchase contracts of approximately $15.7 million and $(12.9) million for the first nine months of fiscal years 2023 and 2022,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p>
      <w:pPr>
        <w:spacing w:after="0" w:line="210"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October 31, 2023 and January 31, 2023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60" w:type="dxa"/>
            <w:vAlign w:val="bottom"/>
            <w:gridSpan w:val="3"/>
          </w:tcPr>
          <w:p>
            <w:pPr>
              <w:jc w:val="right"/>
              <w:ind w:right="892"/>
              <w:spacing w:after="0"/>
              <w:rPr>
                <w:sz w:val="20"/>
                <w:szCs w:val="20"/>
                <w:color w:val="auto"/>
              </w:rPr>
            </w:pPr>
            <w:r>
              <w:rPr>
                <w:rFonts w:ascii="Times New Roman" w:cs="Times New Roman" w:eastAsia="Times New Roman" w:hAnsi="Times New Roman"/>
                <w:sz w:val="22"/>
                <w:szCs w:val="22"/>
                <w:b w:val="1"/>
                <w:bCs w:val="1"/>
                <w:color w:val="auto"/>
              </w:rPr>
              <w:t>Carrying Amount</w:t>
            </w:r>
          </w:p>
        </w:tc>
      </w:tr>
      <w:tr>
        <w:trPr>
          <w:trHeight w:val="234"/>
        </w:trPr>
        <w:tc>
          <w:tcPr>
            <w:tcW w:w="140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Entity</w:t>
            </w:r>
          </w:p>
        </w:tc>
        <w:tc>
          <w:tcPr>
            <w:tcW w:w="3380" w:type="dxa"/>
            <w:vAlign w:val="bottom"/>
            <w:gridSpan w:val="3"/>
          </w:tcPr>
          <w:p>
            <w:pPr>
              <w:jc w:val="center"/>
              <w:ind w:right="240"/>
              <w:spacing w:after="0" w:line="233" w:lineRule="exact"/>
              <w:rPr>
                <w:sz w:val="20"/>
                <w:szCs w:val="20"/>
                <w:color w:val="auto"/>
              </w:rPr>
            </w:pPr>
            <w:r>
              <w:rPr>
                <w:rFonts w:ascii="Times New Roman" w:cs="Times New Roman" w:eastAsia="Times New Roman" w:hAnsi="Times New Roman"/>
                <w:sz w:val="22"/>
                <w:szCs w:val="22"/>
                <w:b w:val="1"/>
                <w:bCs w:val="1"/>
                <w:color w:val="auto"/>
                <w:w w:val="98"/>
              </w:rPr>
              <w:t>Ownership Percentage</w:t>
            </w:r>
          </w:p>
        </w:tc>
        <w:tc>
          <w:tcPr>
            <w:tcW w:w="2080" w:type="dxa"/>
            <w:vAlign w:val="bottom"/>
            <w:gridSpan w:val="2"/>
          </w:tcPr>
          <w:p>
            <w:pPr>
              <w:jc w:val="right"/>
              <w:ind w:right="520"/>
              <w:spacing w:after="0" w:line="233" w:lineRule="exact"/>
              <w:rPr>
                <w:sz w:val="20"/>
                <w:szCs w:val="20"/>
                <w:color w:val="auto"/>
              </w:rPr>
            </w:pPr>
            <w:r>
              <w:rPr>
                <w:rFonts w:ascii="Times New Roman" w:cs="Times New Roman" w:eastAsia="Times New Roman" w:hAnsi="Times New Roman"/>
                <w:sz w:val="22"/>
                <w:szCs w:val="22"/>
                <w:b w:val="1"/>
                <w:bCs w:val="1"/>
                <w:color w:val="auto"/>
                <w:w w:val="96"/>
              </w:rPr>
              <w:t>October 31, 2023</w:t>
            </w:r>
          </w:p>
        </w:tc>
        <w:tc>
          <w:tcPr>
            <w:tcW w:w="158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7"/>
              </w:rPr>
              <w:t>January 31, 2023</w:t>
            </w:r>
          </w:p>
        </w:tc>
      </w:tr>
      <w:tr>
        <w:trPr>
          <w:trHeight w:val="20"/>
        </w:trPr>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518"/>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262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10.3%</w:t>
            </w:r>
          </w:p>
        </w:tc>
        <w:tc>
          <w:tcPr>
            <w:tcW w:w="760" w:type="dxa"/>
            <w:vAlign w:val="bottom"/>
          </w:tcPr>
          <w:p>
            <w:pPr>
              <w:spacing w:after="0"/>
              <w:rPr>
                <w:sz w:val="24"/>
                <w:szCs w:val="24"/>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22"/>
                <w:szCs w:val="22"/>
                <w:color w:val="auto"/>
              </w:rPr>
              <w:t>$36,807</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$ 33,045</w:t>
            </w:r>
          </w:p>
        </w:tc>
      </w:tr>
    </w:tbl>
    <w:p>
      <w:pPr>
        <w:spacing w:after="0" w:line="17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1"/>
          <w:szCs w:val="21"/>
          <w:color w:val="auto"/>
        </w:rPr>
        <w:t>Undistributed earnings of the Company’s equity method investee totaled approximately $16.8 million and approximately $13.0 million at October 31, 2023 and January 31, 2023, respectively. The Company received dividends from its equity method investee of approximately $5.5 million and $3.0 million in the first nine months of fiscal year 2023 and 2022, respectively.</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18" w:name="page19"/>
    <w:bookmarkEnd w:id="18"/>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320" w:type="dxa"/>
            <w:vAlign w:val="bottom"/>
            <w:gridSpan w:val="7"/>
          </w:tcPr>
          <w:p>
            <w:pPr>
              <w:jc w:val="right"/>
              <w:ind w:right="34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320" w:type="dxa"/>
            <w:vAlign w:val="bottom"/>
          </w:tcPr>
          <w:p>
            <w:pPr>
              <w:spacing w:after="0"/>
              <w:rPr>
                <w:sz w:val="22"/>
                <w:szCs w:val="22"/>
                <w:color w:val="auto"/>
              </w:rPr>
            </w:pPr>
          </w:p>
        </w:tc>
        <w:tc>
          <w:tcPr>
            <w:tcW w:w="2380" w:type="dxa"/>
            <w:vAlign w:val="bottom"/>
            <w:gridSpan w:val="7"/>
          </w:tcPr>
          <w:p>
            <w:pPr>
              <w:jc w:val="right"/>
              <w:ind w:right="38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45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6"/>
          </w:tcPr>
          <w:p>
            <w:pPr>
              <w:jc w:val="right"/>
              <w:ind w:right="78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6"/>
          </w:tcPr>
          <w:p>
            <w:pPr>
              <w:jc w:val="right"/>
              <w:ind w:right="76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r>
      <w:tr>
        <w:trPr>
          <w:trHeight w:val="234"/>
        </w:trPr>
        <w:tc>
          <w:tcPr>
            <w:tcW w:w="4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6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jc w:val="right"/>
              <w:ind w:right="480"/>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320" w:type="dxa"/>
            <w:vAlign w:val="bottom"/>
          </w:tcPr>
          <w:p>
            <w:pPr>
              <w:spacing w:after="0"/>
              <w:rPr>
                <w:sz w:val="20"/>
                <w:szCs w:val="20"/>
                <w:color w:val="auto"/>
              </w:rPr>
            </w:pPr>
          </w:p>
        </w:tc>
        <w:tc>
          <w:tcPr>
            <w:tcW w:w="980" w:type="dxa"/>
            <w:vAlign w:val="bottom"/>
            <w:gridSpan w:val="3"/>
          </w:tcPr>
          <w:p>
            <w:pPr>
              <w:jc w:val="right"/>
              <w:ind w:right="38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r>
      <w:tr>
        <w:trPr>
          <w:trHeight w:val="277"/>
        </w:trPr>
        <w:tc>
          <w:tcPr>
            <w:tcW w:w="4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45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16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351,390</w:t>
            </w:r>
          </w:p>
        </w:tc>
        <w:tc>
          <w:tcPr>
            <w:tcW w:w="3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398,838</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w w:val="95"/>
              </w:rPr>
              <w:t>1,128,012</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7"/>
              </w:rPr>
              <w:t>1,200,980</w:t>
            </w:r>
          </w:p>
        </w:tc>
      </w:tr>
      <w:tr>
        <w:trPr>
          <w:trHeight w:val="243"/>
        </w:trPr>
        <w:tc>
          <w:tcPr>
            <w:tcW w:w="4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52,869</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11,432</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107,395</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60,593</w:t>
            </w:r>
          </w:p>
        </w:tc>
      </w:tr>
      <w:tr>
        <w:trPr>
          <w:trHeight w:val="243"/>
        </w:trPr>
        <w:tc>
          <w:tcPr>
            <w:tcW w:w="45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Income from continuing operations</w:t>
            </w:r>
          </w:p>
        </w:tc>
        <w:tc>
          <w:tcPr>
            <w:tcW w:w="16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45,955</w:t>
            </w:r>
          </w:p>
        </w:tc>
        <w:tc>
          <w:tcPr>
            <w:tcW w:w="3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6,415</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89,954</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60,230</w:t>
            </w:r>
          </w:p>
        </w:tc>
      </w:tr>
      <w:tr>
        <w:trPr>
          <w:trHeight w:val="282"/>
        </w:trPr>
        <w:tc>
          <w:tcPr>
            <w:tcW w:w="458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22"/>
                <w:szCs w:val="22"/>
                <w:color w:val="auto"/>
              </w:rPr>
              <w:t>45,955</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2"/>
                <w:szCs w:val="22"/>
                <w:color w:val="auto"/>
              </w:rPr>
              <w:t>6,415</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22"/>
                <w:szCs w:val="22"/>
                <w:color w:val="auto"/>
              </w:rPr>
              <w:t>89,954</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60,230</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10"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At October 31, 2023, the Company owned United States Treasury Bills (classified as short-term investments) that had an amortized cost, or carrying value, of approximately $259.2 million. The contractual maturity of these investments was less than one year. The yield to maturity rate was approximately 5.5%. Unrealized gains or losses were insignificant.</w:t>
      </w:r>
    </w:p>
    <w:p>
      <w:pPr>
        <w:spacing w:after="0" w:line="173"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22"/>
          <w:szCs w:val="22"/>
          <w:color w:val="auto"/>
        </w:rPr>
        <w:t>At January 31, 2023, the Company owned United States Treasury Bills (classified as short-term investments) that had an amortized cost, or carrying value, of approximately $211.3 million. The contractual maturity of these investments was less than one year. The yield to maturity rate was approximately 3.9%. Unrealized gains or losses were insignificant.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w:t>
      </w:r>
      <w:r>
        <w:rPr>
          <w:rFonts w:ascii="Times New Roman" w:cs="Times New Roman" w:eastAsia="Times New Roman" w:hAnsi="Times New Roman"/>
          <w:sz w:val="22"/>
          <w:szCs w:val="22"/>
          <w:b w:val="1"/>
          <w:bCs w:val="1"/>
          <w:i w:val="1"/>
          <w:iCs w:val="1"/>
          <w:color w:val="auto"/>
        </w:rPr>
        <w:t>Employee Benefits</w:t>
      </w:r>
    </w:p>
    <w:p>
      <w:pPr>
        <w:spacing w:after="0" w:line="21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1"/>
          <w:szCs w:val="21"/>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October 31, 2023, 1,229,116 shares remain available for issuance under the Plan, excluding the impact of the 67,500 restricted stock units that may vest between zero and 135,000 shares of stock depending on certain performance metrics being achieved.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10" w:lineRule="exact"/>
        <w:rPr>
          <w:sz w:val="20"/>
          <w:szCs w:val="20"/>
          <w:color w:val="auto"/>
        </w:rPr>
      </w:pPr>
    </w:p>
    <w:p>
      <w:pPr>
        <w:jc w:val="both"/>
        <w:ind w:right="100" w:firstLine="648"/>
        <w:spacing w:after="0" w:line="239" w:lineRule="auto"/>
        <w:rPr>
          <w:sz w:val="20"/>
          <w:szCs w:val="20"/>
          <w:color w:val="auto"/>
        </w:rPr>
      </w:pPr>
      <w:r>
        <w:rPr>
          <w:rFonts w:ascii="Times New Roman" w:cs="Times New Roman" w:eastAsia="Times New Roman" w:hAnsi="Times New Roman"/>
          <w:sz w:val="22"/>
          <w:szCs w:val="22"/>
          <w:color w:val="auto"/>
        </w:rPr>
        <w:t>As a component of their compensation, restricted stock has been granted to directors and certain employees at the closing market price of REX common stock on the grant date. In addition, one quarter of executives’ incentive compensation is payable by an award of restricted stock-based on the then closing market price of REX common stock on the grant date. The Company’s board of directors has determined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color w:val="auto"/>
        </w:rPr>
        <w:t>that the grant date will be June 15</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or the next business day if June 15</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is not a business day, for all grants of restricted stock.</w:t>
      </w:r>
    </w:p>
    <w:p>
      <w:pPr>
        <w:spacing w:after="0" w:line="11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At October 31, 2023 and January 31, 2023, unrecognized compensation cost related to nonvested restricted stock awards was approximately $545,000 and $450,000 respectively. The following tables summarize non-vested restricted stock award activity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20" w:type="dxa"/>
            <w:vAlign w:val="bottom"/>
            <w:gridSpan w:val="17"/>
          </w:tcPr>
          <w:p>
            <w:pPr>
              <w:jc w:val="right"/>
              <w:ind w:right="1060"/>
              <w:spacing w:after="0"/>
              <w:rPr>
                <w:sz w:val="20"/>
                <w:szCs w:val="20"/>
                <w:color w:val="auto"/>
              </w:rPr>
            </w:pPr>
            <w:r>
              <w:rPr>
                <w:rFonts w:ascii="Times New Roman" w:cs="Times New Roman" w:eastAsia="Times New Roman" w:hAnsi="Times New Roman"/>
                <w:sz w:val="22"/>
                <w:szCs w:val="22"/>
                <w:b w:val="1"/>
                <w:bCs w:val="1"/>
                <w:color w:val="auto"/>
              </w:rPr>
              <w:t>Nine Months Ended October 31, 2023</w:t>
            </w:r>
          </w:p>
        </w:tc>
        <w:tc>
          <w:tcPr>
            <w:tcW w:w="0" w:type="dxa"/>
            <w:vAlign w:val="bottom"/>
          </w:tcPr>
          <w:p>
            <w:pPr>
              <w:spacing w:after="0"/>
              <w:rPr>
                <w:sz w:val="1"/>
                <w:szCs w:val="1"/>
                <w:color w:val="auto"/>
              </w:rPr>
            </w:pPr>
          </w:p>
        </w:tc>
      </w:tr>
      <w:tr>
        <w:trPr>
          <w:trHeight w:val="443"/>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7"/>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2040" w:type="dxa"/>
            <w:vAlign w:val="bottom"/>
            <w:gridSpan w:val="3"/>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8"/>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2040" w:type="dxa"/>
            <w:vAlign w:val="bottom"/>
            <w:gridSpan w:val="3"/>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7"/>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100" w:type="dxa"/>
            <w:vAlign w:val="bottom"/>
          </w:tcPr>
          <w:p>
            <w:pPr>
              <w:spacing w:after="0"/>
              <w:rPr>
                <w:sz w:val="21"/>
                <w:szCs w:val="21"/>
                <w:color w:val="auto"/>
              </w:rPr>
            </w:pPr>
          </w:p>
        </w:tc>
        <w:tc>
          <w:tcPr>
            <w:tcW w:w="1680" w:type="dxa"/>
            <w:vAlign w:val="bottom"/>
            <w:gridSpan w:val="8"/>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2040" w:type="dxa"/>
            <w:vAlign w:val="bottom"/>
            <w:gridSpan w:val="3"/>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6"/>
          </w:tcPr>
          <w:p>
            <w:pPr>
              <w:jc w:val="center"/>
              <w:ind w:right="520"/>
              <w:spacing w:after="0" w:line="233" w:lineRule="exact"/>
              <w:rPr>
                <w:sz w:val="20"/>
                <w:szCs w:val="20"/>
                <w:color w:val="auto"/>
              </w:rPr>
            </w:pPr>
            <w:r>
              <w:rPr>
                <w:rFonts w:ascii="Times New Roman" w:cs="Times New Roman" w:eastAsia="Times New Roman" w:hAnsi="Times New Roman"/>
                <w:sz w:val="22"/>
                <w:szCs w:val="22"/>
                <w:b w:val="1"/>
                <w:bCs w:val="1"/>
                <w:color w:val="auto"/>
                <w:w w:val="97"/>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6"/>
          </w:tcPr>
          <w:p>
            <w:pPr>
              <w:jc w:val="center"/>
              <w:ind w:right="640"/>
              <w:spacing w:after="0" w:line="233" w:lineRule="exact"/>
              <w:rPr>
                <w:sz w:val="20"/>
                <w:szCs w:val="20"/>
                <w:color w:val="auto"/>
              </w:rPr>
            </w:pPr>
            <w:r>
              <w:rPr>
                <w:rFonts w:ascii="Times New Roman" w:cs="Times New Roman" w:eastAsia="Times New Roman" w:hAnsi="Times New Roman"/>
                <w:sz w:val="22"/>
                <w:szCs w:val="22"/>
                <w:b w:val="1"/>
                <w:bCs w:val="1"/>
                <w:color w:val="auto"/>
                <w:w w:val="97"/>
              </w:rPr>
              <w:t>(000’s)</w:t>
            </w:r>
          </w:p>
        </w:tc>
        <w:tc>
          <w:tcPr>
            <w:tcW w:w="700" w:type="dxa"/>
            <w:vAlign w:val="bottom"/>
          </w:tcPr>
          <w:p>
            <w:pPr>
              <w:spacing w:after="0"/>
              <w:rPr>
                <w:sz w:val="20"/>
                <w:szCs w:val="20"/>
                <w:color w:val="auto"/>
              </w:rPr>
            </w:pPr>
          </w:p>
        </w:tc>
        <w:tc>
          <w:tcPr>
            <w:tcW w:w="1340" w:type="dxa"/>
            <w:vAlign w:val="bottom"/>
            <w:gridSpan w:val="2"/>
          </w:tcPr>
          <w:p>
            <w:pPr>
              <w:jc w:val="center"/>
              <w:ind w:right="480"/>
              <w:spacing w:after="0" w:line="233" w:lineRule="exact"/>
              <w:rPr>
                <w:sz w:val="20"/>
                <w:szCs w:val="20"/>
                <w:color w:val="auto"/>
              </w:rPr>
            </w:pPr>
            <w:r>
              <w:rPr>
                <w:rFonts w:ascii="Times New Roman" w:cs="Times New Roman" w:eastAsia="Times New Roman" w:hAnsi="Times New Roman"/>
                <w:sz w:val="22"/>
                <w:szCs w:val="22"/>
                <w:b w:val="1"/>
                <w:bCs w:val="1"/>
                <w:color w:val="auto"/>
                <w:w w:val="97"/>
              </w:rPr>
              <w:t>(in years)</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2023</w:t>
            </w:r>
          </w:p>
        </w:tc>
        <w:tc>
          <w:tcPr>
            <w:tcW w:w="1580" w:type="dxa"/>
            <w:vAlign w:val="bottom"/>
            <w:gridSpan w:val="8"/>
            <w:shd w:val="clear" w:color="auto" w:fill="E5FFFF"/>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81,264</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gridSpan w:val="5"/>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2,320</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40" w:type="dxa"/>
            <w:vAlign w:val="bottom"/>
            <w:gridSpan w:val="3"/>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43"/>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580" w:type="dxa"/>
            <w:vAlign w:val="bottom"/>
            <w:gridSpan w:val="8"/>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113,726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color w:val="auto"/>
              </w:rPr>
              <w:t>3,945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580" w:type="dxa"/>
            <w:vAlign w:val="bottom"/>
            <w:gridSpan w:val="8"/>
            <w:shd w:val="clear" w:color="auto" w:fill="E5FFFF"/>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60" w:type="dxa"/>
            <w:vAlign w:val="bottom"/>
            <w:gridSpan w:val="5"/>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22"/>
                <w:szCs w:val="22"/>
                <w:color w:val="auto"/>
              </w:rPr>
              <w:t>32,135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896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October 31, 2023</w:t>
            </w:r>
          </w:p>
        </w:tc>
        <w:tc>
          <w:tcPr>
            <w:tcW w:w="120" w:type="dxa"/>
            <w:vAlign w:val="bottom"/>
            <w:tcBorders>
              <w:bottom w:val="single" w:sz="8" w:color="E5FFFF"/>
            </w:tcBorders>
            <w:shd w:val="clear" w:color="auto" w:fill="E5FFFF"/>
          </w:tcPr>
          <w:p>
            <w:pPr>
              <w:spacing w:after="0"/>
              <w:rPr>
                <w:sz w:val="23"/>
                <w:szCs w:val="23"/>
                <w:color w:val="auto"/>
              </w:rPr>
            </w:pPr>
          </w:p>
        </w:tc>
        <w:tc>
          <w:tcPr>
            <w:tcW w:w="1120" w:type="dxa"/>
            <w:vAlign w:val="bottom"/>
            <w:tcBorders>
              <w:bottom w:val="single" w:sz="8" w:color="auto"/>
            </w:tcBorders>
            <w:gridSpan w:val="6"/>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162,855</w:t>
            </w:r>
          </w:p>
        </w:tc>
        <w:tc>
          <w:tcPr>
            <w:tcW w:w="340" w:type="dxa"/>
            <w:vAlign w:val="bottom"/>
            <w:tcBorders>
              <w:bottom w:val="single" w:sz="8" w:color="E5FFFF"/>
            </w:tcBorders>
            <w:shd w:val="clear" w:color="auto" w:fill="E5FFFF"/>
          </w:tcPr>
          <w:p>
            <w:pPr>
              <w:spacing w:after="0"/>
              <w:rPr>
                <w:sz w:val="23"/>
                <w:szCs w:val="23"/>
                <w:color w:val="auto"/>
              </w:rPr>
            </w:pPr>
          </w:p>
        </w:tc>
        <w:tc>
          <w:tcPr>
            <w:tcW w:w="10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60" w:type="dxa"/>
            <w:vAlign w:val="bottom"/>
            <w:tcBorders>
              <w:bottom w:val="single" w:sz="8" w:color="auto"/>
            </w:tcBorders>
            <w:gridSpan w:val="5"/>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5,369</w:t>
            </w:r>
          </w:p>
        </w:tc>
        <w:tc>
          <w:tcPr>
            <w:tcW w:w="2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E5FFFF"/>
            </w:tcBorders>
            <w:shd w:val="clear" w:color="auto" w:fill="E5FFFF"/>
          </w:tcPr>
          <w:p>
            <w:pPr>
              <w:spacing w:after="0"/>
              <w:rPr>
                <w:sz w:val="23"/>
                <w:szCs w:val="23"/>
                <w:color w:val="auto"/>
              </w:rPr>
            </w:pPr>
          </w:p>
        </w:tc>
        <w:tc>
          <w:tcPr>
            <w:tcW w:w="2040" w:type="dxa"/>
            <w:vAlign w:val="bottom"/>
            <w:tcBorders>
              <w:bottom w:val="single" w:sz="8" w:color="E5FFFF"/>
            </w:tcBorders>
            <w:gridSpan w:val="3"/>
            <w:shd w:val="clear" w:color="auto" w:fill="E5FFFF"/>
          </w:tcPr>
          <w:p>
            <w:pPr>
              <w:jc w:val="right"/>
              <w:ind w:right="300"/>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16"/>
          </w:tcPr>
          <w:p>
            <w:pPr>
              <w:jc w:val="right"/>
              <w:ind w:right="980"/>
              <w:spacing w:after="0"/>
              <w:rPr>
                <w:sz w:val="20"/>
                <w:szCs w:val="20"/>
                <w:color w:val="auto"/>
              </w:rPr>
            </w:pPr>
            <w:r>
              <w:rPr>
                <w:rFonts w:ascii="Times New Roman" w:cs="Times New Roman" w:eastAsia="Times New Roman" w:hAnsi="Times New Roman"/>
                <w:sz w:val="22"/>
                <w:szCs w:val="22"/>
                <w:b w:val="1"/>
                <w:bCs w:val="1"/>
                <w:color w:val="auto"/>
                <w:w w:val="97"/>
              </w:rPr>
              <w:t>Nine Months Ended October 31, 2022</w:t>
            </w:r>
          </w:p>
        </w:tc>
        <w:tc>
          <w:tcPr>
            <w:tcW w:w="0" w:type="dxa"/>
            <w:vAlign w:val="bottom"/>
          </w:tcPr>
          <w:p>
            <w:pPr>
              <w:spacing w:after="0"/>
              <w:rPr>
                <w:sz w:val="1"/>
                <w:szCs w:val="1"/>
                <w:color w:val="auto"/>
              </w:rPr>
            </w:pPr>
          </w:p>
        </w:tc>
      </w:tr>
      <w:tr>
        <w:trPr>
          <w:trHeight w:val="416"/>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7"/>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2040" w:type="dxa"/>
            <w:vAlign w:val="bottom"/>
            <w:gridSpan w:val="3"/>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8"/>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Average Grant</w:t>
            </w:r>
          </w:p>
        </w:tc>
        <w:tc>
          <w:tcPr>
            <w:tcW w:w="2040" w:type="dxa"/>
            <w:vAlign w:val="bottom"/>
            <w:gridSpan w:val="3"/>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1580" w:type="dxa"/>
            <w:vAlign w:val="bottom"/>
            <w:gridSpan w:val="8"/>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100" w:type="dxa"/>
            <w:vAlign w:val="bottom"/>
          </w:tcPr>
          <w:p>
            <w:pPr>
              <w:spacing w:after="0"/>
              <w:rPr>
                <w:sz w:val="21"/>
                <w:szCs w:val="21"/>
                <w:color w:val="auto"/>
              </w:rPr>
            </w:pPr>
          </w:p>
        </w:tc>
        <w:tc>
          <w:tcPr>
            <w:tcW w:w="1680" w:type="dxa"/>
            <w:vAlign w:val="bottom"/>
            <w:gridSpan w:val="8"/>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5"/>
              </w:rPr>
              <w:t>Date Fair Value</w:t>
            </w:r>
          </w:p>
        </w:tc>
        <w:tc>
          <w:tcPr>
            <w:tcW w:w="2040" w:type="dxa"/>
            <w:vAlign w:val="bottom"/>
            <w:gridSpan w:val="3"/>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7"/>
          </w:tcPr>
          <w:p>
            <w:pPr>
              <w:jc w:val="center"/>
              <w:ind w:right="440"/>
              <w:spacing w:after="0" w:line="233" w:lineRule="exact"/>
              <w:rPr>
                <w:sz w:val="20"/>
                <w:szCs w:val="20"/>
                <w:color w:val="auto"/>
              </w:rPr>
            </w:pPr>
            <w:r>
              <w:rPr>
                <w:rFonts w:ascii="Times New Roman" w:cs="Times New Roman" w:eastAsia="Times New Roman" w:hAnsi="Times New Roman"/>
                <w:sz w:val="22"/>
                <w:szCs w:val="22"/>
                <w:b w:val="1"/>
                <w:bCs w:val="1"/>
                <w:color w:val="auto"/>
                <w:w w:val="97"/>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6"/>
          </w:tcPr>
          <w:p>
            <w:pPr>
              <w:jc w:val="center"/>
              <w:ind w:right="600"/>
              <w:spacing w:after="0" w:line="233" w:lineRule="exact"/>
              <w:rPr>
                <w:sz w:val="20"/>
                <w:szCs w:val="20"/>
                <w:color w:val="auto"/>
              </w:rPr>
            </w:pPr>
            <w:r>
              <w:rPr>
                <w:rFonts w:ascii="Times New Roman" w:cs="Times New Roman" w:eastAsia="Times New Roman" w:hAnsi="Times New Roman"/>
                <w:sz w:val="22"/>
                <w:szCs w:val="22"/>
                <w:b w:val="1"/>
                <w:bCs w:val="1"/>
                <w:color w:val="auto"/>
                <w:w w:val="97"/>
              </w:rPr>
              <w:t>(000’s)</w:t>
            </w:r>
          </w:p>
        </w:tc>
        <w:tc>
          <w:tcPr>
            <w:tcW w:w="700" w:type="dxa"/>
            <w:vAlign w:val="bottom"/>
          </w:tcPr>
          <w:p>
            <w:pPr>
              <w:spacing w:after="0"/>
              <w:rPr>
                <w:sz w:val="20"/>
                <w:szCs w:val="20"/>
                <w:color w:val="auto"/>
              </w:rPr>
            </w:pPr>
          </w:p>
        </w:tc>
        <w:tc>
          <w:tcPr>
            <w:tcW w:w="1340" w:type="dxa"/>
            <w:vAlign w:val="bottom"/>
            <w:gridSpan w:val="2"/>
          </w:tcPr>
          <w:p>
            <w:pPr>
              <w:jc w:val="center"/>
              <w:ind w:right="480"/>
              <w:spacing w:after="0" w:line="233" w:lineRule="exact"/>
              <w:rPr>
                <w:sz w:val="20"/>
                <w:szCs w:val="20"/>
                <w:color w:val="auto"/>
              </w:rPr>
            </w:pPr>
            <w:r>
              <w:rPr>
                <w:rFonts w:ascii="Times New Roman" w:cs="Times New Roman" w:eastAsia="Times New Roman" w:hAnsi="Times New Roman"/>
                <w:sz w:val="22"/>
                <w:szCs w:val="22"/>
                <w:b w:val="1"/>
                <w:bCs w:val="1"/>
                <w:color w:val="auto"/>
                <w:w w:val="97"/>
              </w:rPr>
              <w:t>(in years)</w:t>
            </w: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2022</w:t>
            </w:r>
          </w:p>
        </w:tc>
        <w:tc>
          <w:tcPr>
            <w:tcW w:w="1240" w:type="dxa"/>
            <w:vAlign w:val="bottom"/>
            <w:gridSpan w:val="7"/>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30,167</w:t>
            </w:r>
          </w:p>
        </w:tc>
        <w:tc>
          <w:tcPr>
            <w:tcW w:w="340" w:type="dxa"/>
            <w:vAlign w:val="bottom"/>
            <w:shd w:val="clear" w:color="auto" w:fill="E5FFFF"/>
          </w:tcPr>
          <w:p>
            <w:pPr>
              <w:spacing w:after="0"/>
              <w:rPr>
                <w:sz w:val="21"/>
                <w:szCs w:val="21"/>
                <w:color w:val="auto"/>
              </w:rPr>
            </w:pPr>
          </w:p>
        </w:tc>
        <w:tc>
          <w:tcPr>
            <w:tcW w:w="300" w:type="dxa"/>
            <w:vAlign w:val="bottom"/>
            <w:gridSpan w:val="2"/>
            <w:shd w:val="clear" w:color="auto" w:fill="E5FF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gridSpan w:val="7"/>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773</w:t>
            </w:r>
          </w:p>
        </w:tc>
        <w:tc>
          <w:tcPr>
            <w:tcW w:w="2040" w:type="dxa"/>
            <w:vAlign w:val="bottom"/>
            <w:gridSpan w:val="3"/>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43"/>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40" w:type="dxa"/>
            <w:vAlign w:val="bottom"/>
            <w:gridSpan w:val="7"/>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70,689</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7"/>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2,032</w:t>
            </w: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40" w:type="dxa"/>
            <w:vAlign w:val="bottom"/>
            <w:gridSpan w:val="7"/>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80" w:type="dxa"/>
            <w:vAlign w:val="bottom"/>
            <w:gridSpan w:val="7"/>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240" w:type="dxa"/>
            <w:vAlign w:val="bottom"/>
            <w:gridSpan w:val="7"/>
          </w:tcPr>
          <w:p>
            <w:pPr>
              <w:jc w:val="right"/>
              <w:ind w:right="80"/>
              <w:spacing w:after="0"/>
              <w:rPr>
                <w:sz w:val="20"/>
                <w:szCs w:val="20"/>
                <w:color w:val="auto"/>
              </w:rPr>
            </w:pPr>
            <w:r>
              <w:rPr>
                <w:rFonts w:ascii="Times New Roman" w:cs="Times New Roman" w:eastAsia="Times New Roman" w:hAnsi="Times New Roman"/>
                <w:sz w:val="22"/>
                <w:szCs w:val="22"/>
                <w:color w:val="auto"/>
              </w:rPr>
              <w:t>18,403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7"/>
          </w:tcPr>
          <w:p>
            <w:pPr>
              <w:jc w:val="right"/>
              <w:ind w:right="200"/>
              <w:spacing w:after="0"/>
              <w:rPr>
                <w:sz w:val="20"/>
                <w:szCs w:val="20"/>
                <w:color w:val="auto"/>
              </w:rPr>
            </w:pPr>
            <w:r>
              <w:rPr>
                <w:rFonts w:ascii="Times New Roman" w:cs="Times New Roman" w:eastAsia="Times New Roman" w:hAnsi="Times New Roman"/>
                <w:sz w:val="22"/>
                <w:szCs w:val="22"/>
                <w:color w:val="auto"/>
              </w:rPr>
              <w:t>451</w:t>
            </w: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October 31, 2022</w:t>
            </w:r>
          </w:p>
        </w:tc>
        <w:tc>
          <w:tcPr>
            <w:tcW w:w="1240" w:type="dxa"/>
            <w:vAlign w:val="bottom"/>
            <w:gridSpan w:val="7"/>
            <w:shd w:val="clear" w:color="auto" w:fill="E5FFFF"/>
          </w:tcPr>
          <w:p>
            <w:pPr>
              <w:jc w:val="right"/>
              <w:ind w:right="80"/>
              <w:spacing w:after="0"/>
              <w:rPr>
                <w:sz w:val="20"/>
                <w:szCs w:val="20"/>
                <w:color w:val="auto"/>
              </w:rPr>
            </w:pPr>
            <w:r>
              <w:rPr>
                <w:rFonts w:ascii="Times New Roman" w:cs="Times New Roman" w:eastAsia="Times New Roman" w:hAnsi="Times New Roman"/>
                <w:sz w:val="22"/>
                <w:szCs w:val="22"/>
                <w:color w:val="auto"/>
              </w:rPr>
              <w:t>82,453</w:t>
            </w:r>
          </w:p>
        </w:tc>
        <w:tc>
          <w:tcPr>
            <w:tcW w:w="340" w:type="dxa"/>
            <w:vAlign w:val="bottom"/>
            <w:shd w:val="clear" w:color="auto" w:fill="E5FFFF"/>
          </w:tcPr>
          <w:p>
            <w:pPr>
              <w:spacing w:after="0"/>
              <w:rPr>
                <w:sz w:val="23"/>
                <w:szCs w:val="23"/>
                <w:color w:val="auto"/>
              </w:rPr>
            </w:pPr>
          </w:p>
        </w:tc>
        <w:tc>
          <w:tcPr>
            <w:tcW w:w="300" w:type="dxa"/>
            <w:vAlign w:val="bottom"/>
            <w:gridSpan w:val="2"/>
            <w:shd w:val="clear" w:color="auto" w:fill="E5FF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gridSpan w:val="7"/>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2,354</w:t>
            </w:r>
          </w:p>
        </w:tc>
        <w:tc>
          <w:tcPr>
            <w:tcW w:w="2040" w:type="dxa"/>
            <w:vAlign w:val="bottom"/>
            <w:gridSpan w:val="3"/>
            <w:shd w:val="clear" w:color="auto" w:fill="E5FFFF"/>
          </w:tcPr>
          <w:p>
            <w:pPr>
              <w:jc w:val="right"/>
              <w:ind w:right="300"/>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0"/>
        </w:trPr>
        <w:tc>
          <w:tcPr>
            <w:tcW w:w="528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Restricted Stock Units (“RSUs”)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E5FFFF"/>
            </w:tcBorders>
          </w:tcPr>
          <w:p>
            <w:pPr>
              <w:spacing w:after="0" w:line="20" w:lineRule="exact"/>
              <w:rPr>
                <w:sz w:val="1"/>
                <w:szCs w:val="1"/>
                <w:color w:val="auto"/>
              </w:rPr>
            </w:pPr>
          </w:p>
        </w:tc>
        <w:tc>
          <w:tcPr>
            <w:tcW w:w="4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In May 2022, the Company issued a total of 67,500 RSUs to certain officers. The number of RSUs eligible to vest will be determined based on how the Company’s TSR compares to the TSR of companies that comprise the Russell 2000 Index during the performance period ending December 31, 2024. The number of RSUs eligible to vest ranges from zero percent to two hundred percent, depending on actual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0" w:name="page21"/>
    <w:bookmarkEnd w:id="20"/>
    <w:p>
      <w:pPr>
        <w:ind w:right="600"/>
        <w:spacing w:after="0" w:line="258" w:lineRule="auto"/>
        <w:rPr>
          <w:sz w:val="20"/>
          <w:szCs w:val="20"/>
          <w:color w:val="auto"/>
        </w:rPr>
      </w:pPr>
      <w:r>
        <w:rPr>
          <w:rFonts w:ascii="Times New Roman" w:cs="Times New Roman" w:eastAsia="Times New Roman" w:hAnsi="Times New Roman"/>
          <w:sz w:val="22"/>
          <w:szCs w:val="22"/>
          <w:color w:val="auto"/>
        </w:rPr>
        <w:t>performance during the performance period. While dilutive, the impact to earnings per share is not material to the financial statements.</w:t>
      </w:r>
    </w:p>
    <w:p>
      <w:pPr>
        <w:spacing w:after="0" w:line="158"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For the three and nine-month periods ended October 31, 2023, the Company recognized compensation cost of approximately $265,000 and $794,000, respectively, related to the RSUs. For the three and nine-month periods ended October 31, 2022, the Company recognized compensation cost of approximately $253,000 and $441,100, respectively, related to the RSUs. Unrecognized compensation cost related to the RSUs at October 31, 2023 and January 31, 2023, was approximately $1.2 million and $2.0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r>
        <w:rPr>
          <w:rFonts w:ascii="Times New Roman" w:cs="Times New Roman" w:eastAsia="Times New Roman" w:hAnsi="Times New Roman"/>
          <w:sz w:val="22"/>
          <w:szCs w:val="22"/>
          <w:b w:val="1"/>
          <w:bCs w:val="1"/>
          <w:i w:val="1"/>
          <w:iCs w:val="1"/>
          <w:color w:val="auto"/>
        </w:rPr>
        <w:t>. Income Taxes</w:t>
      </w:r>
    </w:p>
    <w:p>
      <w:pPr>
        <w:spacing w:after="0" w:line="212"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The Company’s income tax provision was approximately $9.6 million and $1.2 million for the three months ended October 31, 2023 and 2022, respectively. The Company’s income tax provision was approximately $15.4 and $7.4 million for the nine months ended October 31, 2023 and 2022, respectively.</w:t>
      </w:r>
    </w:p>
    <w:p>
      <w:pPr>
        <w:spacing w:after="0" w:line="17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180"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2020.</w:t>
      </w:r>
    </w:p>
    <w:p>
      <w:pPr>
        <w:spacing w:after="0" w:line="180" w:lineRule="exact"/>
        <w:rPr>
          <w:sz w:val="20"/>
          <w:szCs w:val="20"/>
          <w:color w:val="auto"/>
        </w:rPr>
      </w:pPr>
    </w:p>
    <w:p>
      <w:pPr>
        <w:ind w:right="300" w:firstLine="648"/>
        <w:spacing w:after="0" w:line="238"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20" w:type="dxa"/>
            <w:vAlign w:val="bottom"/>
            <w:gridSpan w:val="6"/>
          </w:tcPr>
          <w:p>
            <w:pPr>
              <w:jc w:val="right"/>
              <w:ind w:right="540"/>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3380" w:type="dxa"/>
            <w:vAlign w:val="bottom"/>
          </w:tcPr>
          <w:p>
            <w:pPr>
              <w:spacing w:after="0"/>
              <w:rPr>
                <w:sz w:val="21"/>
                <w:szCs w:val="21"/>
                <w:color w:val="auto"/>
              </w:rPr>
            </w:pPr>
          </w:p>
        </w:tc>
      </w:tr>
      <w:tr>
        <w:trPr>
          <w:trHeight w:val="243"/>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34"/>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9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2023</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36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2022</w:t>
            </w:r>
          </w:p>
        </w:tc>
        <w:tc>
          <w:tcPr>
            <w:tcW w:w="3380" w:type="dxa"/>
            <w:vAlign w:val="bottom"/>
          </w:tcPr>
          <w:p>
            <w:pPr>
              <w:spacing w:after="0"/>
              <w:rPr>
                <w:sz w:val="20"/>
                <w:szCs w:val="20"/>
                <w:color w:val="auto"/>
              </w:rPr>
            </w:pPr>
          </w:p>
        </w:tc>
      </w:tr>
      <w:tr>
        <w:trPr>
          <w:trHeight w:val="237"/>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320" w:type="dxa"/>
            <w:vAlign w:val="bottom"/>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19,088</w:t>
            </w: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right w:val="single" w:sz="8" w:color="E5FFFF"/>
            </w:tcBorders>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16,781</w:t>
            </w:r>
          </w:p>
        </w:tc>
        <w:tc>
          <w:tcPr>
            <w:tcW w:w="3380" w:type="dxa"/>
            <w:vAlign w:val="bottom"/>
          </w:tcPr>
          <w:p>
            <w:pPr>
              <w:spacing w:after="0"/>
              <w:rPr>
                <w:sz w:val="21"/>
                <w:szCs w:val="21"/>
                <w:color w:val="auto"/>
              </w:rPr>
            </w:pPr>
          </w:p>
        </w:tc>
      </w:tr>
      <w:tr>
        <w:trPr>
          <w:trHeight w:val="243"/>
        </w:trPr>
        <w:tc>
          <w:tcPr>
            <w:tcW w:w="5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320" w:type="dxa"/>
            <w:vAlign w:val="bottom"/>
          </w:tcPr>
          <w:p>
            <w:pPr>
              <w:spacing w:after="0"/>
              <w:rPr>
                <w:sz w:val="21"/>
                <w:szCs w:val="21"/>
                <w:color w:val="auto"/>
              </w:rPr>
            </w:pP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94</w:t>
            </w:r>
          </w:p>
        </w:tc>
        <w:tc>
          <w:tcPr>
            <w:tcW w:w="3380" w:type="dxa"/>
            <w:vAlign w:val="bottom"/>
          </w:tcPr>
          <w:p>
            <w:pPr>
              <w:spacing w:after="0"/>
              <w:rPr>
                <w:sz w:val="21"/>
                <w:szCs w:val="21"/>
                <w:color w:val="auto"/>
              </w:rPr>
            </w:pPr>
          </w:p>
        </w:tc>
      </w:tr>
      <w:tr>
        <w:trPr>
          <w:trHeight w:val="257"/>
        </w:trPr>
        <w:tc>
          <w:tcPr>
            <w:tcW w:w="50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Changes for current year tax positions</w:t>
            </w:r>
          </w:p>
        </w:tc>
        <w:tc>
          <w:tcPr>
            <w:tcW w:w="320" w:type="dxa"/>
            <w:vAlign w:val="bottom"/>
            <w:tcBorders>
              <w:bottom w:val="single" w:sz="8" w:color="auto"/>
            </w:tcBorders>
            <w:shd w:val="clear" w:color="auto" w:fill="E5FFFF"/>
          </w:tcPr>
          <w:p>
            <w:pPr>
              <w:spacing w:after="0"/>
              <w:rPr>
                <w:sz w:val="22"/>
                <w:szCs w:val="22"/>
                <w:color w:val="auto"/>
              </w:rPr>
            </w:pPr>
          </w:p>
        </w:tc>
        <w:tc>
          <w:tcPr>
            <w:tcW w:w="72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800" w:type="dxa"/>
            <w:vAlign w:val="bottom"/>
            <w:tcBorders>
              <w:bottom w:val="single" w:sz="8" w:color="auto"/>
              <w:right w:val="single" w:sz="8" w:color="E5FFFF"/>
            </w:tcBorders>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3380" w:type="dxa"/>
            <w:vAlign w:val="bottom"/>
          </w:tcPr>
          <w:p>
            <w:pPr>
              <w:spacing w:after="0"/>
              <w:rPr>
                <w:sz w:val="22"/>
                <w:szCs w:val="22"/>
                <w:color w:val="auto"/>
              </w:rPr>
            </w:pPr>
          </w:p>
        </w:tc>
      </w:tr>
      <w:tr>
        <w:trPr>
          <w:trHeight w:val="250"/>
        </w:trPr>
        <w:tc>
          <w:tcPr>
            <w:tcW w:w="50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320" w:type="dxa"/>
            <w:vAlign w:val="bottom"/>
            <w:tcBorders>
              <w:bottom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Borders>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19,097</w:t>
            </w:r>
          </w:p>
        </w:tc>
        <w:tc>
          <w:tcPr>
            <w:tcW w:w="700" w:type="dxa"/>
            <w:vAlign w:val="bottom"/>
          </w:tcPr>
          <w:p>
            <w:pPr>
              <w:spacing w:after="0"/>
              <w:rPr>
                <w:sz w:val="21"/>
                <w:szCs w:val="21"/>
                <w:color w:val="auto"/>
              </w:rPr>
            </w:pPr>
          </w:p>
        </w:tc>
        <w:tc>
          <w:tcPr>
            <w:tcW w:w="300" w:type="dxa"/>
            <w:vAlign w:val="bottom"/>
            <w:tcBorders>
              <w:bottom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bottom w:val="single" w:sz="8" w:color="auto"/>
            </w:tcBorders>
            <w:gridSpan w:val="2"/>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rPr>
              <w:t>16,875</w:t>
            </w:r>
          </w:p>
        </w:tc>
        <w:tc>
          <w:tcPr>
            <w:tcW w:w="3380" w:type="dxa"/>
            <w:vAlign w:val="bottom"/>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4"/>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8"/>
        </w:trPr>
        <w:tc>
          <w:tcPr>
            <w:tcW w:w="50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Commitments and Contingencies</w:t>
      </w:r>
    </w:p>
    <w:p>
      <w:pPr>
        <w:spacing w:after="0" w:line="212"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1"/>
          <w:szCs w:val="21"/>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Financial Statements. The Company maintained a liability of $250,000 at October 31, 2023 and January 31, 2023, as a probable and reasonably estimable loss associated with a legal contingency for a patent infringement case involving our refined coal facility which is no longer in operation.</w:t>
      </w:r>
    </w:p>
    <w:p>
      <w:pPr>
        <w:spacing w:after="0" w:line="168" w:lineRule="exact"/>
        <w:rPr>
          <w:sz w:val="20"/>
          <w:szCs w:val="20"/>
          <w:color w:val="auto"/>
        </w:rPr>
      </w:pPr>
    </w:p>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At October 31, 2023, One Earth and NuGen had combined forward purchase contracts for approximately 13.8 million bushels of corn, the principal raw material for their ethanol plants, and they have combined forward purchase contracts for approximately 1.6 million MmBtu (million British thermal unit) of natural gas.</w:t>
      </w:r>
    </w:p>
    <w:p>
      <w:pPr>
        <w:spacing w:after="0" w:line="17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At October 31, 2023, One Earth and NuGen had combined sales commitments for approximately 53.8 million gallons of ethanol, approximately 111,000 tons of distillers grains and approximately 14.2 million pounds of distillers corn oil.</w:t>
      </w:r>
    </w:p>
    <w:p>
      <w:pPr>
        <w:spacing w:after="0" w:line="15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At October 31, 2023, One Earth had signed non-cancelable contracts for capital projects with approximately $38.1 million remaining in future payments, of which $31.2 million is related to One Earth’s carbon sequestration project and $6.9 million relates to planned plant expansion.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w:t>
      </w:r>
      <w:r>
        <w:rPr>
          <w:rFonts w:ascii="Times New Roman" w:cs="Times New Roman" w:eastAsia="Times New Roman" w:hAnsi="Times New Roman"/>
          <w:sz w:val="22"/>
          <w:szCs w:val="22"/>
          <w:b w:val="1"/>
          <w:bCs w:val="1"/>
          <w:i w:val="1"/>
          <w:iCs w:val="1"/>
          <w:color w:val="auto"/>
        </w:rPr>
        <w:t>Related-Party Transactions</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During the third quarters of fiscal years 2023 and 2022, One Earth and NuGen purchased approximately $32.7 million and $35.2 million, respectively, of corn (and other supplies) from minority equity investors and board members of those affiliates. Such purchases totaled approximately $92.6 million and $101.2 million for the nine months ended October 31, 2023 and 2022, respectively. The Company had amounts payable to related parties of approximately $1.9 million and $1.5 million at October 31, 2023 and January 31, 2023, respectively.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2" w:name="page23"/>
    <w:bookmarkEnd w:id="22"/>
    <w:p>
      <w:pPr>
        <w:ind w:right="2500"/>
        <w:spacing w:after="0" w:line="438" w:lineRule="auto"/>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r>
        <w:rPr>
          <w:rFonts w:ascii="Times New Roman" w:cs="Times New Roman" w:eastAsia="Times New Roman" w:hAnsi="Times New Roman"/>
          <w:sz w:val="22"/>
          <w:szCs w:val="22"/>
          <w:b w:val="1"/>
          <w:bCs w:val="1"/>
          <w:color w:val="auto"/>
        </w:rPr>
        <w:t xml:space="preserve"> Ethanol and By-Products</w:t>
      </w:r>
    </w:p>
    <w:p>
      <w:pPr>
        <w:spacing w:after="0" w:line="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At October 31, 2023, we had investments in three ethanol limited liability companies, in two of which we have a majority ownership interest. The following table is a summary of ethanol entity ownership interests at October 31, 2023:</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040" w:type="dxa"/>
            <w:vAlign w:val="bottom"/>
            <w:tcBorders>
              <w:top w:val="single" w:sz="8" w:color="auto"/>
              <w:left w:val="single" w:sz="8" w:color="auto"/>
              <w:right w:val="single" w:sz="8" w:color="auto"/>
            </w:tcBorders>
            <w:vMerge w:val="restart"/>
          </w:tcPr>
          <w:p>
            <w:pPr>
              <w:ind w:left="224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840" w:type="dxa"/>
            <w:vAlign w:val="bottom"/>
            <w:tcBorders>
              <w:top w:val="single" w:sz="8" w:color="auto"/>
              <w:right w:val="single" w:sz="8" w:color="auto"/>
            </w:tcBorders>
          </w:tcPr>
          <w:p>
            <w:pPr>
              <w:jc w:val="right"/>
              <w:ind w:right="612"/>
              <w:spacing w:after="0" w:line="225" w:lineRule="exact"/>
              <w:rPr>
                <w:sz w:val="20"/>
                <w:szCs w:val="20"/>
                <w:color w:val="auto"/>
              </w:rPr>
            </w:pPr>
            <w:r>
              <w:rPr>
                <w:rFonts w:ascii="Times New Roman" w:cs="Times New Roman" w:eastAsia="Times New Roman" w:hAnsi="Times New Roman"/>
                <w:sz w:val="22"/>
                <w:szCs w:val="22"/>
                <w:b w:val="1"/>
                <w:bCs w:val="1"/>
                <w:color w:val="auto"/>
              </w:rPr>
              <w:t>REX’s Current</w:t>
            </w:r>
          </w:p>
        </w:tc>
        <w:tc>
          <w:tcPr>
            <w:tcW w:w="0" w:type="dxa"/>
            <w:vAlign w:val="bottom"/>
          </w:tcPr>
          <w:p>
            <w:pPr>
              <w:spacing w:after="0"/>
              <w:rPr>
                <w:sz w:val="1"/>
                <w:szCs w:val="1"/>
                <w:color w:val="auto"/>
              </w:rPr>
            </w:pPr>
          </w:p>
        </w:tc>
      </w:tr>
      <w:tr>
        <w:trPr>
          <w:trHeight w:val="286"/>
        </w:trPr>
        <w:tc>
          <w:tcPr>
            <w:tcW w:w="5040" w:type="dxa"/>
            <w:vAlign w:val="bottom"/>
            <w:tcBorders>
              <w:left w:val="single" w:sz="8" w:color="auto"/>
              <w:right w:val="single" w:sz="8" w:color="auto"/>
            </w:tcBorders>
            <w:vMerge w:val="continue"/>
          </w:tcPr>
          <w:p>
            <w:pPr>
              <w:spacing w:after="0"/>
              <w:rPr>
                <w:sz w:val="24"/>
                <w:szCs w:val="24"/>
                <w:color w:val="auto"/>
              </w:rPr>
            </w:pPr>
          </w:p>
        </w:tc>
        <w:tc>
          <w:tcPr>
            <w:tcW w:w="2840" w:type="dxa"/>
            <w:vAlign w:val="bottom"/>
            <w:tcBorders>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Ownership Interest</w:t>
            </w:r>
          </w:p>
        </w:tc>
        <w:tc>
          <w:tcPr>
            <w:tcW w:w="0" w:type="dxa"/>
            <w:vAlign w:val="bottom"/>
          </w:tcPr>
          <w:p>
            <w:pPr>
              <w:spacing w:after="0"/>
              <w:rPr>
                <w:sz w:val="1"/>
                <w:szCs w:val="1"/>
                <w:color w:val="auto"/>
              </w:rPr>
            </w:pPr>
          </w:p>
        </w:tc>
      </w:tr>
      <w:tr>
        <w:trPr>
          <w:trHeight w:val="164"/>
        </w:trPr>
        <w:tc>
          <w:tcPr>
            <w:tcW w:w="5040" w:type="dxa"/>
            <w:vAlign w:val="bottom"/>
            <w:tcBorders>
              <w:left w:val="single" w:sz="8" w:color="auto"/>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40" w:type="dxa"/>
            <w:vAlign w:val="bottom"/>
            <w:tcBorders>
              <w:left w:val="single" w:sz="8" w:color="auto"/>
              <w:bottom w:val="single" w:sz="8" w:color="auto"/>
              <w:right w:val="single" w:sz="8" w:color="auto"/>
            </w:tcBorders>
            <w:shd w:val="clear" w:color="auto" w:fill="E5FFFF"/>
          </w:tcPr>
          <w:p>
            <w:pPr>
              <w:ind w:left="20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2840" w:type="dxa"/>
            <w:vAlign w:val="bottom"/>
            <w:tcBorders>
              <w:bottom w:val="single" w:sz="8" w:color="auto"/>
              <w:right w:val="single" w:sz="8" w:color="auto"/>
            </w:tcBorders>
            <w:shd w:val="clear" w:color="auto" w:fill="E5FFFF"/>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75.8%</w:t>
            </w:r>
          </w:p>
        </w:tc>
        <w:tc>
          <w:tcPr>
            <w:tcW w:w="0" w:type="dxa"/>
            <w:vAlign w:val="bottom"/>
          </w:tcPr>
          <w:p>
            <w:pPr>
              <w:spacing w:after="0"/>
              <w:rPr>
                <w:sz w:val="1"/>
                <w:szCs w:val="1"/>
                <w:color w:val="auto"/>
              </w:rPr>
            </w:pPr>
          </w:p>
        </w:tc>
      </w:tr>
      <w:tr>
        <w:trPr>
          <w:trHeight w:val="236"/>
        </w:trPr>
        <w:tc>
          <w:tcPr>
            <w:tcW w:w="5040" w:type="dxa"/>
            <w:vAlign w:val="bottom"/>
            <w:tcBorders>
              <w:left w:val="single" w:sz="8" w:color="auto"/>
              <w:bottom w:val="single" w:sz="8" w:color="auto"/>
              <w:right w:val="single" w:sz="8" w:color="auto"/>
            </w:tcBorders>
          </w:tcPr>
          <w:p>
            <w:pPr>
              <w:ind w:left="20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28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99.7%</w:t>
            </w:r>
          </w:p>
        </w:tc>
        <w:tc>
          <w:tcPr>
            <w:tcW w:w="0" w:type="dxa"/>
            <w:vAlign w:val="bottom"/>
          </w:tcPr>
          <w:p>
            <w:pPr>
              <w:spacing w:after="0"/>
              <w:rPr>
                <w:sz w:val="1"/>
                <w:szCs w:val="1"/>
                <w:color w:val="auto"/>
              </w:rPr>
            </w:pPr>
          </w:p>
        </w:tc>
      </w:tr>
      <w:tr>
        <w:trPr>
          <w:trHeight w:val="237"/>
        </w:trPr>
        <w:tc>
          <w:tcPr>
            <w:tcW w:w="5040" w:type="dxa"/>
            <w:vAlign w:val="bottom"/>
            <w:tcBorders>
              <w:left w:val="single" w:sz="8" w:color="auto"/>
              <w:right w:val="single" w:sz="8" w:color="auto"/>
            </w:tcBorders>
            <w:shd w:val="clear" w:color="auto" w:fill="E5FFFF"/>
          </w:tcPr>
          <w:p>
            <w:pPr>
              <w:ind w:left="200"/>
              <w:spacing w:after="0" w:line="237" w:lineRule="exact"/>
              <w:rPr>
                <w:sz w:val="20"/>
                <w:szCs w:val="20"/>
                <w:color w:val="auto"/>
              </w:rPr>
            </w:pPr>
            <w:r>
              <w:rPr>
                <w:rFonts w:ascii="Times New Roman" w:cs="Times New Roman" w:eastAsia="Times New Roman" w:hAnsi="Times New Roman"/>
                <w:sz w:val="22"/>
                <w:szCs w:val="22"/>
                <w:color w:val="auto"/>
              </w:rPr>
              <w:t>Big River Resources, LLC:</w:t>
            </w:r>
          </w:p>
        </w:tc>
        <w:tc>
          <w:tcPr>
            <w:tcW w:w="2840" w:type="dxa"/>
            <w:vAlign w:val="bottom"/>
            <w:tcBorders>
              <w:right w:val="single" w:sz="8" w:color="auto"/>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Borders>
              <w:left w:val="single" w:sz="8" w:color="auto"/>
              <w:right w:val="single" w:sz="8" w:color="auto"/>
            </w:tcBorders>
          </w:tcPr>
          <w:p>
            <w:pPr>
              <w:ind w:left="38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28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43"/>
        </w:trPr>
        <w:tc>
          <w:tcPr>
            <w:tcW w:w="5040" w:type="dxa"/>
            <w:vAlign w:val="bottom"/>
            <w:tcBorders>
              <w:left w:val="single" w:sz="8" w:color="auto"/>
              <w:right w:val="single" w:sz="8" w:color="auto"/>
            </w:tcBorders>
            <w:shd w:val="clear" w:color="auto" w:fill="E5FFFF"/>
          </w:tcPr>
          <w:p>
            <w:pPr>
              <w:ind w:left="38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2840" w:type="dxa"/>
            <w:vAlign w:val="bottom"/>
            <w:tcBorders>
              <w:right w:val="single" w:sz="8" w:color="auto"/>
            </w:tcBorders>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43"/>
        </w:trPr>
        <w:tc>
          <w:tcPr>
            <w:tcW w:w="5040" w:type="dxa"/>
            <w:vAlign w:val="bottom"/>
            <w:tcBorders>
              <w:left w:val="single" w:sz="8" w:color="auto"/>
              <w:right w:val="single" w:sz="8" w:color="auto"/>
            </w:tcBorders>
          </w:tcPr>
          <w:p>
            <w:pPr>
              <w:ind w:left="38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28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43"/>
        </w:trPr>
        <w:tc>
          <w:tcPr>
            <w:tcW w:w="5040" w:type="dxa"/>
            <w:vAlign w:val="bottom"/>
            <w:tcBorders>
              <w:left w:val="single" w:sz="8" w:color="auto"/>
              <w:bottom w:val="single" w:sz="8" w:color="auto"/>
              <w:right w:val="single" w:sz="8" w:color="auto"/>
            </w:tcBorders>
            <w:shd w:val="clear" w:color="auto" w:fill="E5FFFF"/>
          </w:tcPr>
          <w:p>
            <w:pPr>
              <w:ind w:left="380"/>
              <w:spacing w:after="0" w:line="243" w:lineRule="exact"/>
              <w:rPr>
                <w:sz w:val="20"/>
                <w:szCs w:val="20"/>
                <w:color w:val="auto"/>
              </w:rPr>
            </w:pPr>
            <w:r>
              <w:rPr>
                <w:rFonts w:ascii="Times New Roman" w:cs="Times New Roman" w:eastAsia="Times New Roman" w:hAnsi="Times New Roman"/>
                <w:sz w:val="22"/>
                <w:szCs w:val="22"/>
                <w:color w:val="auto"/>
              </w:rPr>
              <w:t>Big River Resources Boyceville, LLC</w:t>
            </w:r>
          </w:p>
        </w:tc>
        <w:tc>
          <w:tcPr>
            <w:tcW w:w="2840" w:type="dxa"/>
            <w:vAlign w:val="bottom"/>
            <w:tcBorders>
              <w:bottom w:val="single" w:sz="8" w:color="auto"/>
              <w:right w:val="single" w:sz="8" w:color="auto"/>
            </w:tcBorders>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Our ethanol operations and the results thereof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8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81"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 contracts with an appropriate quantity of corn purchase contracts over a given period of time when we can obtain an adequate gross margin resulting from the crush spread inherent in the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0" w:right="359" w:bottom="1440" w:gutter="0" w:footer="0" w:header="0"/>
        </w:sectPr>
      </w:pPr>
    </w:p>
    <w:bookmarkStart w:id="23" w:name="page24"/>
    <w:bookmarkEnd w:id="23"/>
    <w:p>
      <w:pPr>
        <w:ind w:right="20"/>
        <w:spacing w:after="0" w:line="235" w:lineRule="auto"/>
        <w:rPr>
          <w:sz w:val="20"/>
          <w:szCs w:val="20"/>
          <w:color w:val="auto"/>
        </w:rPr>
      </w:pPr>
      <w:r>
        <w:rPr>
          <w:rFonts w:ascii="Times New Roman" w:cs="Times New Roman" w:eastAsia="Times New Roman" w:hAnsi="Times New Roman"/>
          <w:sz w:val="22"/>
          <w:szCs w:val="22"/>
          <w:color w:val="auto"/>
        </w:rPr>
        <w:t>contracts we have executed. However, the market for future ethanol sales contracts generally lags the spot market with respect to ethanol price.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 contracts, in conjunction with certain of our corn procurement activities and commodity marketing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Earth Energy, LLC Carbon Sequestration and Plant Expansion</w:t>
      </w:r>
    </w:p>
    <w:p>
      <w:pPr>
        <w:spacing w:after="0" w:line="210"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Through our affiliate, One Earth Energy, LLC, we are in the developmental stage of a carbon sequestration project near the One Earth Energy ethanol plant. A test well has been drilled to a total depth of approximately 7,100 feet, in which almost 2,000 feet of Mt. Simon Sandstone was encountered,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We have applied for a Class VI injection well permit for three wells with the U.S. Environmental Protection Agency (“EPA”). In addition, we have begun construction for a facility to capture, dehydrate, and compress carbon dioxide from the One Earth Energy ethanol plant to a state suitable for sequestration. We expect to complete construction by July 31, 2024, at which time testing of the facility would commence. We have submitted an application for a short pipeline to deliver carbon dioxide from the ethanol plant to the sequestration site. Although we have made meaningful progress and significant investments in this project, we continue to complete required documentation for various government agencies and obtain other approvals with no assurances of ultimate success.</w:t>
      </w:r>
    </w:p>
    <w:p>
      <w:pPr>
        <w:spacing w:after="0" w:line="185"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We also intend to concurrently expand the One Earth ethanol plant. We recently received a permit to increase production from 150 million gallons of ethanol per year to 175 million gallons of ethanol per year. Once we achieve that level of production, planned for late 2024, we intend to apply for a 200 million gallon per year permit from the EPA. Finally, we continue to work to identify ways to reduce our carbon intensity (“CI”) score at the One Earth plant with the intention to maximize tax credits available under the Inflation Reduction Act.</w:t>
      </w:r>
    </w:p>
    <w:p>
      <w:pPr>
        <w:spacing w:after="0" w:line="177"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If all approvals and permits are received, we expect the total cost of these projects to be approximately $165 million, which we currently plan to pay from our available cash. As of October 31, 2023, we have spent $16.0 million life-to-date and are contractually committed to spend an additional $31.2 million toward the carbon sequestration project. If the carbon sequestration project is successful, we believe we would qualify for tax credits under section 45Q of the Internal Revenue Code (“45Q”) and section 45Z of the Internal Revenue Code (“45Z”), as outlined in the Inflation Reduction Act. As of October 31, 2023, we have spent $8.5 million life-to-date and are contractually committed to spend an additional $6.9 million toward plant capacity expansion and ongoing efforts to reduce our CI scoring.</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1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 The federal production tax credits received through ownership of this facility remain under IRS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During the three months ended October 31, 2023, we did not change any of our critical accounting policies as disclosed in our 2022 Annual Report on Form 10-K as filed with the Securities and Exchange Commission on March 30,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10"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2023” means the period February 1, 2023 to January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1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Renewable Fuel Standard II (“RFS II”), established in October 2010, has been an important factor in the growth of ethanol usage in the United States. In recent years, there has been much uncertainty on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and the EPA was given the authority to calculate and establish the target volumes for subsequent periods. The EPA also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obligation to submit renewable identification numbers (“RINs”) for the oil they process. The EPA, through consultation with the Department of Energy and the U.S. Department of Agriculture (“USDA”), can grant the refiner a full or partial waiver, or deny the waiver. The EPA issued 88 refinery exemptions for 2016-2018 compliance years, undercutting the statutory renewable fuel volumes by a total of 4.3 billion gallons. In recent years, the EPA had largely denied small refiners on their requested waivers. On November 22, 2023, the Fifth U.S. Circuit Court of Appeals (the “Court”) ruled against the EPA on six small refiner exemptions the EPA had previously denied. The Court remanded those six petitions back to the EPA and each refinery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will continue to operate under temporary small refiner exemptions previously offered to them by the Court.</w:t>
      </w:r>
    </w:p>
    <w:p>
      <w:pPr>
        <w:spacing w:after="0" w:line="206"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On June 21, 2023, the EPA issued final Renewable Fuel Standard volume obligations for calendar years 2023-2025. The volumes from conventional biofuels (which includes corn-based ethanol) were 15.25 billion gallons for 2023 and 15.0 billion gallons for each of 2024 and 2025.</w:t>
      </w:r>
    </w:p>
    <w:p>
      <w:pPr>
        <w:spacing w:after="0" w:line="173"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21"/>
          <w:szCs w:val="21"/>
          <w:color w:val="auto"/>
        </w:rPr>
        <w:t>In November 2023, the USDA forecasted the 2023 U.S. corn harvest to be 15.2 billion bushels. This represents approximately an 11% increase over the prior year. That forecast was based upon then available information to the USDA.</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1"/>
          <w:szCs w:val="21"/>
          <w:color w:val="auto"/>
        </w:rPr>
        <w:t>Due to the Russian-Ukraine conflict, corn and natural gas supplies worldwide have been adversely affected at times. This could contribute to the volatility in the prices for both commodities and could impact corn availability in the United States.</w:t>
      </w:r>
    </w:p>
    <w:p>
      <w:pPr>
        <w:spacing w:after="0" w:line="13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Inflation Reduction Act of 2022 (the “IRA”) will likely impact our business by creating a new Clean Fuel Production Credit, section 45Z of the Internal Revenue Code, that would be dependent on the level of greenhouse gas emissions reduction for each gallon of ethanol produced and sold, available for years 2025 to 2027. The Act also raises the carbon capture tax credit from $50 per metric ton to $85 per metric ton under section 45Q of the Internal Revenue Code. Taxpayers may elect to be treated as making a payment against tax for 100% 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include (a) extending the biodiesel tax credit, which could positively impact our distillers corn oil prices, as this co-product serves as a low-carbon feedstock for renewable diesel and biomass based diesel production; (b) creating a new tax credit for sustainable aviation fuel; (c) funding biofuel refueling infrastructure which could positively impact the availability of higher level ethanol blended fuel; and (d) providing for production and purchase credits for electric vehicles, which could impact the amount of internal combustion engines on the road over time, and ultimately reduce the demand for gasoline, diesel fuels and ethanol. Certain rules and implementation guidance associated with the IRA have yet to be finalized, so we cannot determine the full impact it may have on our business at this time.</w:t>
      </w:r>
    </w:p>
    <w:p>
      <w:pPr>
        <w:spacing w:after="0" w:line="18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Through our subsidiary One Earth Energy LLC we have begun construction of a carbon capture facility along with a planned carbon sequestration site near our ethanol plant using a short pipeline. We have spent approximately $16.0 million to date and have commitments of approximately $31.2 million towards this project. We continue to work on required approvals and permits required to complete this project without guarantee that we will be able to receive these permits.</w:t>
      </w:r>
    </w:p>
    <w:p>
      <w:pPr>
        <w:spacing w:after="0" w:line="180" w:lineRule="exact"/>
        <w:rPr>
          <w:sz w:val="20"/>
          <w:szCs w:val="20"/>
          <w:color w:val="auto"/>
        </w:rPr>
      </w:pPr>
    </w:p>
    <w:p>
      <w:pPr>
        <w:jc w:val="center"/>
        <w:ind w:left="580" w:right="400"/>
        <w:spacing w:after="0" w:line="437" w:lineRule="auto"/>
        <w:rPr>
          <w:sz w:val="20"/>
          <w:szCs w:val="20"/>
          <w:color w:val="auto"/>
        </w:rPr>
      </w:pPr>
      <w:r>
        <w:rPr>
          <w:rFonts w:ascii="Times New Roman" w:cs="Times New Roman" w:eastAsia="Times New Roman" w:hAnsi="Times New Roman"/>
          <w:sz w:val="22"/>
          <w:szCs w:val="22"/>
          <w:color w:val="auto"/>
        </w:rPr>
        <w:t>Should any of the trends and uncertainties mentioned above continue, our future operating results could be impacted.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86"/>
        </w:trPr>
        <w:tc>
          <w:tcPr>
            <w:tcW w:w="744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Comparison of Three and Nine Months Ended October 31, 2023 and 2022</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60" w:type="dxa"/>
            <w:vAlign w:val="bottom"/>
            <w:gridSpan w:val="19"/>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our results from operations (amounts in thousands):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60" w:type="dxa"/>
            <w:vAlign w:val="bottom"/>
            <w:gridSpan w:val="17"/>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11"/>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8"/>
              </w:rPr>
              <w:t>Nine Months Ended</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gridSpan w:val="14"/>
          </w:tcPr>
          <w:p>
            <w:pPr>
              <w:jc w:val="center"/>
              <w:ind w:right="6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October 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gridSpan w:val="9"/>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October 31,</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140" w:type="dxa"/>
            <w:vAlign w:val="bottom"/>
            <w:gridSpan w:val="6"/>
          </w:tcPr>
          <w:p>
            <w:pPr>
              <w:jc w:val="right"/>
              <w:ind w:right="40"/>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3"/>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20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320" w:type="dxa"/>
            <w:vAlign w:val="bottom"/>
            <w:gridSpan w:val="8"/>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$221,079</w:t>
            </w:r>
          </w:p>
        </w:tc>
        <w:tc>
          <w:tcPr>
            <w:tcW w:w="1200" w:type="dxa"/>
            <w:vAlign w:val="bottom"/>
            <w:gridSpan w:val="8"/>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$220,277</w:t>
            </w:r>
          </w:p>
        </w:tc>
        <w:tc>
          <w:tcPr>
            <w:tcW w:w="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40" w:type="dxa"/>
            <w:vAlign w:val="bottom"/>
            <w:gridSpan w:val="7"/>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$ 645,770</w:t>
            </w:r>
          </w:p>
        </w:tc>
        <w:tc>
          <w:tcPr>
            <w:tcW w:w="42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654,833</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2320" w:type="dxa"/>
            <w:vAlign w:val="bottom"/>
            <w:gridSpan w:val="8"/>
          </w:tcPr>
          <w:p>
            <w:pPr>
              <w:jc w:val="right"/>
              <w:ind w:right="40"/>
              <w:spacing w:after="0"/>
              <w:rPr>
                <w:sz w:val="20"/>
                <w:szCs w:val="20"/>
                <w:color w:val="auto"/>
              </w:rPr>
            </w:pPr>
            <w:r>
              <w:rPr>
                <w:rFonts w:ascii="Times New Roman" w:cs="Times New Roman" w:eastAsia="Times New Roman" w:hAnsi="Times New Roman"/>
                <w:sz w:val="22"/>
                <w:szCs w:val="22"/>
                <w:color w:val="auto"/>
              </w:rPr>
              <w:t>181,789</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w w:val="95"/>
              </w:rPr>
              <w:t>211,004</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577,962</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w w:val="95"/>
              </w:rPr>
              <w:t>619,549</w:t>
            </w:r>
          </w:p>
        </w:tc>
        <w:tc>
          <w:tcPr>
            <w:tcW w:w="0" w:type="dxa"/>
            <w:vAlign w:val="bottom"/>
          </w:tcPr>
          <w:p>
            <w:pPr>
              <w:spacing w:after="0"/>
              <w:rPr>
                <w:sz w:val="1"/>
                <w:szCs w:val="1"/>
                <w:color w:val="auto"/>
              </w:rPr>
            </w:pPr>
          </w:p>
        </w:tc>
      </w:tr>
      <w:tr>
        <w:trPr>
          <w:trHeight w:val="250"/>
        </w:trPr>
        <w:tc>
          <w:tcPr>
            <w:tcW w:w="51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Gross profit</w:t>
            </w:r>
          </w:p>
        </w:tc>
        <w:tc>
          <w:tcPr>
            <w:tcW w:w="1480" w:type="dxa"/>
            <w:vAlign w:val="bottom"/>
            <w:tcBorders>
              <w:top w:val="single" w:sz="8" w:color="E5FFFF"/>
              <w:bottom w:val="single" w:sz="8" w:color="E5FFFF"/>
            </w:tcBorders>
            <w:shd w:val="clear" w:color="auto" w:fill="E5FFFF"/>
          </w:tcPr>
          <w:p>
            <w:pPr>
              <w:spacing w:after="0"/>
              <w:rPr>
                <w:sz w:val="21"/>
                <w:szCs w:val="21"/>
                <w:color w:val="auto"/>
              </w:rPr>
            </w:pPr>
          </w:p>
        </w:tc>
        <w:tc>
          <w:tcPr>
            <w:tcW w:w="800" w:type="dxa"/>
            <w:vAlign w:val="bottom"/>
            <w:tcBorders>
              <w:top w:val="single" w:sz="8" w:color="auto"/>
              <w:bottom w:val="single" w:sz="8" w:color="auto"/>
            </w:tcBorders>
            <w:gridSpan w:val="6"/>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$ 39,290</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top w:val="single" w:sz="8" w:color="auto"/>
              <w:bottom w:val="single" w:sz="8" w:color="auto"/>
            </w:tcBorders>
            <w:gridSpan w:val="5"/>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9,273</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top w:val="single" w:sz="8" w:color="auto"/>
              <w:bottom w:val="single" w:sz="8" w:color="auto"/>
            </w:tcBorders>
            <w:gridSpan w:val="5"/>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67,808</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35,284</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1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120" w:type="dxa"/>
            <w:vAlign w:val="bottom"/>
            <w:vMerge w:val="continue"/>
          </w:tcPr>
          <w:p>
            <w:pPr>
              <w:spacing w:after="0"/>
              <w:rPr>
                <w:sz w:val="24"/>
                <w:szCs w:val="24"/>
                <w:color w:val="auto"/>
              </w:rPr>
            </w:pPr>
          </w:p>
        </w:tc>
        <w:tc>
          <w:tcPr>
            <w:tcW w:w="2320" w:type="dxa"/>
            <w:vAlign w:val="bottom"/>
            <w:gridSpan w:val="8"/>
          </w:tcPr>
          <w:p>
            <w:pPr>
              <w:jc w:val="right"/>
              <w:ind w:right="40"/>
              <w:spacing w:after="0"/>
              <w:rPr>
                <w:sz w:val="20"/>
                <w:szCs w:val="20"/>
                <w:color w:val="auto"/>
              </w:rPr>
            </w:pPr>
            <w:r>
              <w:rPr>
                <w:rFonts w:ascii="Times New Roman" w:cs="Times New Roman" w:eastAsia="Times New Roman" w:hAnsi="Times New Roman"/>
                <w:sz w:val="22"/>
                <w:szCs w:val="22"/>
                <w:color w:val="auto"/>
              </w:rPr>
              <w:t>$ 41,282</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6,094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66,022</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34,143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2320" w:type="dxa"/>
            <w:vAlign w:val="bottom"/>
            <w:gridSpan w:val="8"/>
            <w:shd w:val="clear" w:color="auto" w:fill="E5FFFF"/>
          </w:tcPr>
          <w:p>
            <w:pPr>
              <w:jc w:val="right"/>
              <w:ind w:right="40"/>
              <w:spacing w:after="0"/>
              <w:rPr>
                <w:sz w:val="20"/>
                <w:szCs w:val="20"/>
                <w:color w:val="auto"/>
              </w:rPr>
            </w:pPr>
            <w:r>
              <w:rPr>
                <w:rFonts w:ascii="Times New Roman" w:cs="Times New Roman" w:eastAsia="Times New Roman" w:hAnsi="Times New Roman"/>
                <w:sz w:val="22"/>
                <w:szCs w:val="22"/>
                <w:color w:val="auto"/>
              </w:rPr>
              <w:t>$ (9,640)</w:t>
            </w:r>
          </w:p>
        </w:tc>
        <w:tc>
          <w:tcPr>
            <w:tcW w:w="1200" w:type="dxa"/>
            <w:vAlign w:val="bottom"/>
            <w:gridSpan w:val="8"/>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 (1,196)</w:t>
            </w:r>
          </w:p>
        </w:tc>
        <w:tc>
          <w:tcPr>
            <w:tcW w:w="40" w:type="dxa"/>
            <w:vAlign w:val="bottom"/>
            <w:shd w:val="clear" w:color="auto" w:fill="E5FFFF"/>
          </w:tcPr>
          <w:p>
            <w:pPr>
              <w:spacing w:after="0"/>
              <w:rPr>
                <w:sz w:val="23"/>
                <w:szCs w:val="23"/>
                <w:color w:val="auto"/>
              </w:rPr>
            </w:pPr>
          </w:p>
        </w:tc>
        <w:tc>
          <w:tcPr>
            <w:tcW w:w="380" w:type="dxa"/>
            <w:vAlign w:val="bottom"/>
            <w:shd w:val="clear" w:color="auto" w:fill="E5FFFF"/>
          </w:tcPr>
          <w:p>
            <w:pPr>
              <w:spacing w:after="0"/>
              <w:rPr>
                <w:sz w:val="23"/>
                <w:szCs w:val="23"/>
                <w:color w:val="auto"/>
              </w:rPr>
            </w:pPr>
          </w:p>
        </w:tc>
        <w:tc>
          <w:tcPr>
            <w:tcW w:w="840" w:type="dxa"/>
            <w:vAlign w:val="bottom"/>
            <w:gridSpan w:val="7"/>
            <w:shd w:val="clear" w:color="auto" w:fill="E5FFFF"/>
          </w:tcPr>
          <w:p>
            <w:pPr>
              <w:jc w:val="right"/>
              <w:spacing w:after="0"/>
              <w:rPr>
                <w:sz w:val="20"/>
                <w:szCs w:val="20"/>
                <w:color w:val="auto"/>
              </w:rPr>
            </w:pPr>
            <w:r>
              <w:rPr>
                <w:rFonts w:ascii="Times New Roman" w:cs="Times New Roman" w:eastAsia="Times New Roman" w:hAnsi="Times New Roman"/>
                <w:sz w:val="22"/>
                <w:szCs w:val="22"/>
                <w:u w:val="single" w:color="auto"/>
                <w:color w:val="auto"/>
                <w:w w:val="95"/>
              </w:rPr>
              <w:t>$</w:t>
            </w:r>
            <w:r>
              <w:rPr>
                <w:rFonts w:ascii="Times New Roman" w:cs="Times New Roman" w:eastAsia="Times New Roman" w:hAnsi="Times New Roman"/>
                <w:sz w:val="22"/>
                <w:szCs w:val="22"/>
                <w:color w:val="auto"/>
                <w:w w:val="95"/>
              </w:rPr>
              <w:t>(15,396)</w:t>
            </w:r>
          </w:p>
        </w:tc>
        <w:tc>
          <w:tcPr>
            <w:tcW w:w="420" w:type="dxa"/>
            <w:vAlign w:val="bottom"/>
            <w:shd w:val="clear" w:color="auto" w:fill="E5FFFF"/>
          </w:tcPr>
          <w:p>
            <w:pPr>
              <w:spacing w:after="0"/>
              <w:rPr>
                <w:sz w:val="23"/>
                <w:szCs w:val="23"/>
                <w:color w:val="auto"/>
              </w:rPr>
            </w:pP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(7,374)</w:t>
            </w:r>
          </w:p>
        </w:tc>
        <w:tc>
          <w:tcPr>
            <w:tcW w:w="0" w:type="dxa"/>
            <w:vAlign w:val="bottom"/>
          </w:tcPr>
          <w:p>
            <w:pPr>
              <w:spacing w:after="0"/>
              <w:rPr>
                <w:sz w:val="1"/>
                <w:szCs w:val="1"/>
                <w:color w:val="auto"/>
              </w:rPr>
            </w:pPr>
          </w:p>
        </w:tc>
      </w:tr>
      <w:tr>
        <w:trPr>
          <w:trHeight w:val="20"/>
        </w:trPr>
        <w:tc>
          <w:tcPr>
            <w:tcW w:w="51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148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120" w:type="dxa"/>
            <w:vAlign w:val="bottom"/>
            <w:vMerge w:val="continue"/>
          </w:tcPr>
          <w:p>
            <w:pPr>
              <w:spacing w:after="0"/>
              <w:rPr>
                <w:sz w:val="24"/>
                <w:szCs w:val="24"/>
                <w:color w:val="auto"/>
              </w:rPr>
            </w:pPr>
          </w:p>
        </w:tc>
        <w:tc>
          <w:tcPr>
            <w:tcW w:w="2320" w:type="dxa"/>
            <w:vAlign w:val="bottom"/>
            <w:gridSpan w:val="8"/>
          </w:tcPr>
          <w:p>
            <w:pPr>
              <w:jc w:val="right"/>
              <w:ind w:right="40"/>
              <w:spacing w:after="0"/>
              <w:rPr>
                <w:sz w:val="20"/>
                <w:szCs w:val="20"/>
                <w:color w:val="auto"/>
              </w:rPr>
            </w:pPr>
            <w:r>
              <w:rPr>
                <w:rFonts w:ascii="Times New Roman" w:cs="Times New Roman" w:eastAsia="Times New Roman" w:hAnsi="Times New Roman"/>
                <w:sz w:val="22"/>
                <w:szCs w:val="22"/>
                <w:color w:val="auto"/>
              </w:rPr>
              <w:t>$ 26,076</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3,184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40,367</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19,536</w:t>
            </w: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9060" w:type="dxa"/>
            <w:vAlign w:val="bottom"/>
            <w:gridSpan w:val="19"/>
          </w:tcPr>
          <w:p>
            <w:pPr>
              <w:ind w:left="660"/>
              <w:spacing w:after="0"/>
              <w:rPr>
                <w:sz w:val="20"/>
                <w:szCs w:val="20"/>
                <w:color w:val="auto"/>
              </w:rPr>
            </w:pPr>
            <w:r>
              <w:rPr>
                <w:rFonts w:ascii="Times New Roman" w:cs="Times New Roman" w:eastAsia="Times New Roman" w:hAnsi="Times New Roman"/>
                <w:sz w:val="22"/>
                <w:szCs w:val="22"/>
                <w:color w:val="auto"/>
                <w:w w:val="98"/>
              </w:rPr>
              <w:t>The following table summarizes net sales and revenue by product group (amounts in thousands):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16"/>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11"/>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8"/>
              </w:rPr>
              <w:t>Nine Months Ended</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gridSpan w:val="14"/>
          </w:tcPr>
          <w:p>
            <w:pPr>
              <w:jc w:val="center"/>
              <w:ind w:right="5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October 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gridSpan w:val="9"/>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October 31,</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140" w:type="dxa"/>
            <w:vAlign w:val="bottom"/>
            <w:gridSpan w:val="6"/>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5"/>
          </w:tcPr>
          <w:p>
            <w:pPr>
              <w:jc w:val="right"/>
              <w:ind w:right="16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4"/>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20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2320" w:type="dxa"/>
            <w:vAlign w:val="bottom"/>
            <w:gridSpan w:val="8"/>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$170,194</w:t>
            </w:r>
          </w:p>
        </w:tc>
        <w:tc>
          <w:tcPr>
            <w:tcW w:w="1620" w:type="dxa"/>
            <w:vAlign w:val="bottom"/>
            <w:gridSpan w:val="10"/>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$165,135</w:t>
            </w:r>
          </w:p>
        </w:tc>
        <w:tc>
          <w:tcPr>
            <w:tcW w:w="840" w:type="dxa"/>
            <w:vAlign w:val="bottom"/>
            <w:gridSpan w:val="7"/>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$495,103</w:t>
            </w:r>
          </w:p>
        </w:tc>
        <w:tc>
          <w:tcPr>
            <w:tcW w:w="42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502,404</w:t>
            </w:r>
          </w:p>
        </w:tc>
        <w:tc>
          <w:tcPr>
            <w:tcW w:w="0" w:type="dxa"/>
            <w:vAlign w:val="bottom"/>
          </w:tcPr>
          <w:p>
            <w:pPr>
              <w:spacing w:after="0"/>
              <w:rPr>
                <w:sz w:val="1"/>
                <w:szCs w:val="1"/>
                <w:color w:val="auto"/>
              </w:rPr>
            </w:pP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2320" w:type="dxa"/>
            <w:vAlign w:val="bottom"/>
            <w:gridSpan w:val="8"/>
          </w:tcPr>
          <w:p>
            <w:pPr>
              <w:jc w:val="right"/>
              <w:spacing w:after="0" w:line="243" w:lineRule="exact"/>
              <w:rPr>
                <w:sz w:val="20"/>
                <w:szCs w:val="20"/>
                <w:color w:val="auto"/>
              </w:rPr>
            </w:pPr>
            <w:r>
              <w:rPr>
                <w:rFonts w:ascii="Times New Roman" w:cs="Times New Roman" w:eastAsia="Times New Roman" w:hAnsi="Times New Roman"/>
                <w:sz w:val="22"/>
                <w:szCs w:val="22"/>
                <w:color w:val="auto"/>
              </w:rPr>
              <w:t>34,983</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7"/>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38,009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color w:val="auto"/>
              </w:rPr>
              <w:t>106,632</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104,167</w:t>
            </w: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2320" w:type="dxa"/>
            <w:vAlign w:val="bottom"/>
            <w:gridSpan w:val="8"/>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14,756</w:t>
            </w:r>
          </w:p>
        </w:tc>
        <w:tc>
          <w:tcPr>
            <w:tcW w:w="3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120" w:type="dxa"/>
            <w:vAlign w:val="bottom"/>
            <w:gridSpan w:val="7"/>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14,648</w:t>
            </w:r>
          </w:p>
        </w:tc>
        <w:tc>
          <w:tcPr>
            <w:tcW w:w="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gridSpan w:val="5"/>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39,257</w:t>
            </w:r>
          </w:p>
        </w:tc>
        <w:tc>
          <w:tcPr>
            <w:tcW w:w="4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39,973</w:t>
            </w:r>
          </w:p>
        </w:tc>
        <w:tc>
          <w:tcPr>
            <w:tcW w:w="0" w:type="dxa"/>
            <w:vAlign w:val="bottom"/>
          </w:tcPr>
          <w:p>
            <w:pPr>
              <w:spacing w:after="0"/>
              <w:rPr>
                <w:sz w:val="1"/>
                <w:szCs w:val="1"/>
                <w:color w:val="auto"/>
              </w:rPr>
            </w:pP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2320" w:type="dxa"/>
            <w:vAlign w:val="bottom"/>
            <w:gridSpan w:val="8"/>
          </w:tcPr>
          <w:p>
            <w:pPr>
              <w:jc w:val="right"/>
              <w:spacing w:after="0" w:line="243" w:lineRule="exact"/>
              <w:rPr>
                <w:sz w:val="20"/>
                <w:szCs w:val="20"/>
                <w:color w:val="auto"/>
              </w:rPr>
            </w:pPr>
            <w:r>
              <w:rPr>
                <w:rFonts w:ascii="Times New Roman" w:cs="Times New Roman" w:eastAsia="Times New Roman" w:hAnsi="Times New Roman"/>
                <w:sz w:val="22"/>
                <w:szCs w:val="22"/>
                <w:color w:val="auto"/>
              </w:rPr>
              <w:t>1,159</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7"/>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2,477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color w:val="auto"/>
              </w:rPr>
              <w:t>3,814</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9,288</w:t>
            </w: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(losses) gains</w:t>
            </w:r>
          </w:p>
        </w:tc>
        <w:tc>
          <w:tcPr>
            <w:tcW w:w="2320" w:type="dxa"/>
            <w:vAlign w:val="bottom"/>
            <w:gridSpan w:val="8"/>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3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120" w:type="dxa"/>
            <w:vAlign w:val="bottom"/>
            <w:gridSpan w:val="7"/>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gridSpan w:val="5"/>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840</w:t>
            </w:r>
          </w:p>
        </w:tc>
        <w:tc>
          <w:tcPr>
            <w:tcW w:w="4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(1,144)</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2320" w:type="dxa"/>
            <w:vAlign w:val="bottom"/>
            <w:gridSpan w:val="8"/>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7"/>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124</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145</w:t>
            </w:r>
          </w:p>
        </w:tc>
        <w:tc>
          <w:tcPr>
            <w:tcW w:w="0" w:type="dxa"/>
            <w:vAlign w:val="bottom"/>
          </w:tcPr>
          <w:p>
            <w:pPr>
              <w:spacing w:after="0"/>
              <w:rPr>
                <w:sz w:val="1"/>
                <w:szCs w:val="1"/>
                <w:color w:val="auto"/>
              </w:rPr>
            </w:pPr>
          </w:p>
        </w:tc>
      </w:tr>
      <w:tr>
        <w:trPr>
          <w:trHeight w:val="250"/>
        </w:trPr>
        <w:tc>
          <w:tcPr>
            <w:tcW w:w="51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520" w:type="dxa"/>
            <w:vAlign w:val="bottom"/>
            <w:tcBorders>
              <w:top w:val="single" w:sz="8" w:color="E5FFFF"/>
              <w:bottom w:val="single" w:sz="8" w:color="E5FFFF"/>
            </w:tcBorders>
            <w:gridSpan w:val="2"/>
            <w:shd w:val="clear" w:color="auto" w:fill="E5FFFF"/>
          </w:tcPr>
          <w:p>
            <w:pPr>
              <w:spacing w:after="0"/>
              <w:rPr>
                <w:sz w:val="21"/>
                <w:szCs w:val="21"/>
                <w:color w:val="auto"/>
              </w:rPr>
            </w:pPr>
          </w:p>
        </w:tc>
        <w:tc>
          <w:tcPr>
            <w:tcW w:w="800" w:type="dxa"/>
            <w:vAlign w:val="bottom"/>
            <w:tcBorders>
              <w:top w:val="single" w:sz="8" w:color="auto"/>
              <w:bottom w:val="single" w:sz="8" w:color="auto"/>
            </w:tcBorders>
            <w:gridSpan w:val="6"/>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94"/>
              </w:rPr>
              <w:t>$</w:t>
            </w:r>
            <w:r>
              <w:rPr>
                <w:rFonts w:ascii="Times New Roman" w:cs="Times New Roman" w:eastAsia="Times New Roman" w:hAnsi="Times New Roman"/>
                <w:sz w:val="22"/>
                <w:szCs w:val="22"/>
                <w:color w:val="auto"/>
                <w:w w:val="94"/>
              </w:rPr>
              <w:t>221,079</w:t>
            </w:r>
          </w:p>
        </w:tc>
        <w:tc>
          <w:tcPr>
            <w:tcW w:w="420" w:type="dxa"/>
            <w:vAlign w:val="bottom"/>
            <w:tcBorders>
              <w:top w:val="single" w:sz="8" w:color="E5FFFF"/>
              <w:bottom w:val="single" w:sz="8" w:color="E5FFFF"/>
            </w:tcBorders>
            <w:gridSpan w:val="2"/>
            <w:shd w:val="clear" w:color="auto" w:fill="E5FFFF"/>
          </w:tcPr>
          <w:p>
            <w:pPr>
              <w:spacing w:after="0"/>
              <w:rPr>
                <w:sz w:val="21"/>
                <w:szCs w:val="21"/>
                <w:color w:val="auto"/>
              </w:rPr>
            </w:pPr>
          </w:p>
        </w:tc>
        <w:tc>
          <w:tcPr>
            <w:tcW w:w="820" w:type="dxa"/>
            <w:vAlign w:val="bottom"/>
            <w:tcBorders>
              <w:top w:val="single" w:sz="8" w:color="auto"/>
              <w:bottom w:val="single" w:sz="8" w:color="auto"/>
            </w:tcBorders>
            <w:gridSpan w:val="7"/>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96"/>
              </w:rPr>
              <w:t>$</w:t>
            </w:r>
            <w:r>
              <w:rPr>
                <w:rFonts w:ascii="Times New Roman" w:cs="Times New Roman" w:eastAsia="Times New Roman" w:hAnsi="Times New Roman"/>
                <w:sz w:val="22"/>
                <w:szCs w:val="22"/>
                <w:color w:val="auto"/>
                <w:w w:val="96"/>
              </w:rPr>
              <w:t>220,277</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c>
          <w:tcPr>
            <w:tcW w:w="800" w:type="dxa"/>
            <w:vAlign w:val="bottom"/>
            <w:tcBorders>
              <w:top w:val="single" w:sz="8" w:color="auto"/>
              <w:bottom w:val="single" w:sz="8" w:color="auto"/>
            </w:tcBorders>
            <w:gridSpan w:val="6"/>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94"/>
              </w:rPr>
              <w:t>$</w:t>
            </w:r>
            <w:r>
              <w:rPr>
                <w:rFonts w:ascii="Times New Roman" w:cs="Times New Roman" w:eastAsia="Times New Roman" w:hAnsi="Times New Roman"/>
                <w:sz w:val="22"/>
                <w:szCs w:val="22"/>
                <w:color w:val="auto"/>
                <w:w w:val="94"/>
              </w:rPr>
              <w:t>645,770</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72"/>
              </w:rPr>
              <w:t>$</w:t>
            </w:r>
          </w:p>
        </w:tc>
        <w:tc>
          <w:tcPr>
            <w:tcW w:w="7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5"/>
              </w:rPr>
              <w:t>654,833</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1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C0C0C0"/>
            </w:tcBorders>
          </w:tcPr>
          <w:p>
            <w:pPr>
              <w:spacing w:after="0"/>
              <w:rPr>
                <w:sz w:val="20"/>
                <w:szCs w:val="20"/>
                <w:color w:val="auto"/>
              </w:rPr>
            </w:pPr>
          </w:p>
        </w:tc>
        <w:tc>
          <w:tcPr>
            <w:tcW w:w="148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2"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selected operating data:</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6"/>
        </w:trPr>
        <w:tc>
          <w:tcPr>
            <w:tcW w:w="6080" w:type="dxa"/>
            <w:vAlign w:val="bottom"/>
          </w:tcPr>
          <w:p>
            <w:pPr>
              <w:spacing w:after="0"/>
              <w:rPr>
                <w:sz w:val="24"/>
                <w:szCs w:val="24"/>
                <w:color w:val="auto"/>
              </w:rPr>
            </w:pPr>
          </w:p>
        </w:tc>
        <w:tc>
          <w:tcPr>
            <w:tcW w:w="2800" w:type="dxa"/>
            <w:vAlign w:val="bottom"/>
            <w:gridSpan w:val="8"/>
          </w:tcPr>
          <w:p>
            <w:pPr>
              <w:jc w:val="right"/>
              <w:ind w:righ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360" w:type="dxa"/>
            <w:vAlign w:val="bottom"/>
            <w:gridSpan w:val="8"/>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6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gridSpan w:val="6"/>
          </w:tcPr>
          <w:p>
            <w:pPr>
              <w:jc w:val="right"/>
              <w:ind w:right="68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60" w:type="dxa"/>
            <w:vAlign w:val="bottom"/>
            <w:gridSpan w:val="6"/>
          </w:tcPr>
          <w:p>
            <w:pPr>
              <w:jc w:val="right"/>
              <w:ind w:right="58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r>
      <w:tr>
        <w:trPr>
          <w:trHeight w:val="234"/>
        </w:trPr>
        <w:tc>
          <w:tcPr>
            <w:tcW w:w="6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ind w:right="40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32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2023</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3"/>
          </w:tcPr>
          <w:p>
            <w:pPr>
              <w:jc w:val="right"/>
              <w:ind w:right="30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r>
      <w:tr>
        <w:trPr>
          <w:trHeight w:val="237"/>
        </w:trPr>
        <w:tc>
          <w:tcPr>
            <w:tcW w:w="6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43"/>
        </w:trPr>
        <w:tc>
          <w:tcPr>
            <w:tcW w:w="6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gallon of ethanol (net of hedging)</w:t>
            </w:r>
          </w:p>
        </w:tc>
        <w:tc>
          <w:tcPr>
            <w:tcW w:w="6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2.32</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2.49</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2.32</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2.48</w:t>
            </w: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660" w:type="dxa"/>
            <w:vAlign w:val="bottom"/>
          </w:tcPr>
          <w:p>
            <w:pPr>
              <w:spacing w:after="0"/>
              <w:rPr>
                <w:sz w:val="21"/>
                <w:szCs w:val="21"/>
                <w:color w:val="auto"/>
              </w:rPr>
            </w:pPr>
          </w:p>
        </w:tc>
        <w:tc>
          <w:tcPr>
            <w:tcW w:w="92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73.2</w:t>
            </w:r>
          </w:p>
        </w:tc>
        <w:tc>
          <w:tcPr>
            <w:tcW w:w="320" w:type="dxa"/>
            <w:vAlign w:val="bottom"/>
          </w:tcPr>
          <w:p>
            <w:pPr>
              <w:spacing w:after="0"/>
              <w:rPr>
                <w:sz w:val="21"/>
                <w:szCs w:val="21"/>
                <w:color w:val="auto"/>
              </w:rPr>
            </w:pPr>
          </w:p>
        </w:tc>
        <w:tc>
          <w:tcPr>
            <w:tcW w:w="900" w:type="dxa"/>
            <w:vAlign w:val="bottom"/>
            <w:gridSpan w:val="3"/>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66.3</w:t>
            </w:r>
          </w:p>
        </w:tc>
        <w:tc>
          <w:tcPr>
            <w:tcW w:w="320" w:type="dxa"/>
            <w:vAlign w:val="bottom"/>
          </w:tcPr>
          <w:p>
            <w:pPr>
              <w:spacing w:after="0"/>
              <w:rPr>
                <w:sz w:val="21"/>
                <w:szCs w:val="21"/>
                <w:color w:val="auto"/>
              </w:rPr>
            </w:pPr>
          </w:p>
        </w:tc>
        <w:tc>
          <w:tcPr>
            <w:tcW w:w="92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213.8</w:t>
            </w:r>
          </w:p>
        </w:tc>
        <w:tc>
          <w:tcPr>
            <w:tcW w:w="320" w:type="dxa"/>
            <w:vAlign w:val="bottom"/>
          </w:tcPr>
          <w:p>
            <w:pPr>
              <w:spacing w:after="0"/>
              <w:rPr>
                <w:sz w:val="21"/>
                <w:szCs w:val="21"/>
                <w:color w:val="auto"/>
              </w:rPr>
            </w:pPr>
          </w:p>
        </w:tc>
        <w:tc>
          <w:tcPr>
            <w:tcW w:w="80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202.1</w:t>
            </w:r>
          </w:p>
        </w:tc>
      </w:tr>
      <w:tr>
        <w:trPr>
          <w:trHeight w:val="243"/>
        </w:trPr>
        <w:tc>
          <w:tcPr>
            <w:tcW w:w="6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dried distillers grains</w:t>
            </w:r>
          </w:p>
        </w:tc>
        <w:tc>
          <w:tcPr>
            <w:tcW w:w="6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194.94</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230.29</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220.92</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232.51</w:t>
            </w: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660" w:type="dxa"/>
            <w:vAlign w:val="bottom"/>
          </w:tcPr>
          <w:p>
            <w:pPr>
              <w:spacing w:after="0"/>
              <w:rPr>
                <w:sz w:val="21"/>
                <w:szCs w:val="21"/>
                <w:color w:val="auto"/>
              </w:rPr>
            </w:pPr>
          </w:p>
        </w:tc>
        <w:tc>
          <w:tcPr>
            <w:tcW w:w="92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w w:val="95"/>
              </w:rPr>
              <w:t>179,451</w:t>
            </w:r>
          </w:p>
        </w:tc>
        <w:tc>
          <w:tcPr>
            <w:tcW w:w="320" w:type="dxa"/>
            <w:vAlign w:val="bottom"/>
          </w:tcPr>
          <w:p>
            <w:pPr>
              <w:spacing w:after="0"/>
              <w:rPr>
                <w:sz w:val="21"/>
                <w:szCs w:val="21"/>
                <w:color w:val="auto"/>
              </w:rPr>
            </w:pPr>
          </w:p>
        </w:tc>
        <w:tc>
          <w:tcPr>
            <w:tcW w:w="900" w:type="dxa"/>
            <w:vAlign w:val="bottom"/>
            <w:gridSpan w:val="3"/>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w w:val="95"/>
              </w:rPr>
              <w:t>165,052</w:t>
            </w:r>
          </w:p>
        </w:tc>
        <w:tc>
          <w:tcPr>
            <w:tcW w:w="320" w:type="dxa"/>
            <w:vAlign w:val="bottom"/>
          </w:tcPr>
          <w:p>
            <w:pPr>
              <w:spacing w:after="0"/>
              <w:rPr>
                <w:sz w:val="21"/>
                <w:szCs w:val="21"/>
                <w:color w:val="auto"/>
              </w:rPr>
            </w:pPr>
          </w:p>
        </w:tc>
        <w:tc>
          <w:tcPr>
            <w:tcW w:w="92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w w:val="95"/>
              </w:rPr>
              <w:t>482,660</w:t>
            </w:r>
          </w:p>
        </w:tc>
        <w:tc>
          <w:tcPr>
            <w:tcW w:w="320" w:type="dxa"/>
            <w:vAlign w:val="bottom"/>
          </w:tcPr>
          <w:p>
            <w:pPr>
              <w:spacing w:after="0"/>
              <w:rPr>
                <w:sz w:val="21"/>
                <w:szCs w:val="21"/>
                <w:color w:val="auto"/>
              </w:rPr>
            </w:pPr>
          </w:p>
        </w:tc>
        <w:tc>
          <w:tcPr>
            <w:tcW w:w="80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448,016</w:t>
            </w:r>
          </w:p>
        </w:tc>
      </w:tr>
      <w:tr>
        <w:trPr>
          <w:trHeight w:val="243"/>
        </w:trPr>
        <w:tc>
          <w:tcPr>
            <w:tcW w:w="6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pound of distillers corn oil</w:t>
            </w:r>
          </w:p>
        </w:tc>
        <w:tc>
          <w:tcPr>
            <w:tcW w:w="6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0.61</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0.74</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0.60</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0.70</w:t>
            </w: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Pounds of distillers corn oil sold (in millions)</w:t>
            </w:r>
          </w:p>
        </w:tc>
        <w:tc>
          <w:tcPr>
            <w:tcW w:w="660" w:type="dxa"/>
            <w:vAlign w:val="bottom"/>
          </w:tcPr>
          <w:p>
            <w:pPr>
              <w:spacing w:after="0"/>
              <w:rPr>
                <w:sz w:val="21"/>
                <w:szCs w:val="21"/>
                <w:color w:val="auto"/>
              </w:rPr>
            </w:pPr>
          </w:p>
        </w:tc>
        <w:tc>
          <w:tcPr>
            <w:tcW w:w="92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24.1</w:t>
            </w:r>
          </w:p>
        </w:tc>
        <w:tc>
          <w:tcPr>
            <w:tcW w:w="320" w:type="dxa"/>
            <w:vAlign w:val="bottom"/>
          </w:tcPr>
          <w:p>
            <w:pPr>
              <w:spacing w:after="0"/>
              <w:rPr>
                <w:sz w:val="21"/>
                <w:szCs w:val="21"/>
                <w:color w:val="auto"/>
              </w:rPr>
            </w:pPr>
          </w:p>
        </w:tc>
        <w:tc>
          <w:tcPr>
            <w:tcW w:w="900" w:type="dxa"/>
            <w:vAlign w:val="bottom"/>
            <w:gridSpan w:val="3"/>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19.8</w:t>
            </w:r>
          </w:p>
        </w:tc>
        <w:tc>
          <w:tcPr>
            <w:tcW w:w="320" w:type="dxa"/>
            <w:vAlign w:val="bottom"/>
          </w:tcPr>
          <w:p>
            <w:pPr>
              <w:spacing w:after="0"/>
              <w:rPr>
                <w:sz w:val="21"/>
                <w:szCs w:val="21"/>
                <w:color w:val="auto"/>
              </w:rPr>
            </w:pPr>
          </w:p>
        </w:tc>
        <w:tc>
          <w:tcPr>
            <w:tcW w:w="92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65.5</w:t>
            </w:r>
          </w:p>
        </w:tc>
        <w:tc>
          <w:tcPr>
            <w:tcW w:w="320" w:type="dxa"/>
            <w:vAlign w:val="bottom"/>
          </w:tcPr>
          <w:p>
            <w:pPr>
              <w:spacing w:after="0"/>
              <w:rPr>
                <w:sz w:val="21"/>
                <w:szCs w:val="21"/>
                <w:color w:val="auto"/>
              </w:rPr>
            </w:pPr>
          </w:p>
        </w:tc>
        <w:tc>
          <w:tcPr>
            <w:tcW w:w="80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57.1</w:t>
            </w:r>
          </w:p>
        </w:tc>
      </w:tr>
      <w:tr>
        <w:trPr>
          <w:trHeight w:val="243"/>
        </w:trPr>
        <w:tc>
          <w:tcPr>
            <w:tcW w:w="6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modified distillers grains</w:t>
            </w:r>
          </w:p>
        </w:tc>
        <w:tc>
          <w:tcPr>
            <w:tcW w:w="6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85.86</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116.49</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104.94</w:t>
            </w:r>
          </w:p>
        </w:tc>
        <w:tc>
          <w:tcPr>
            <w:tcW w:w="3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120.23</w:t>
            </w:r>
          </w:p>
        </w:tc>
      </w:tr>
      <w:tr>
        <w:trPr>
          <w:trHeight w:val="282"/>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Tons of modified distillers grains sold</w:t>
            </w:r>
          </w:p>
        </w:tc>
        <w:tc>
          <w:tcPr>
            <w:tcW w:w="66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2"/>
                <w:szCs w:val="22"/>
                <w:color w:val="auto"/>
              </w:rPr>
              <w:t>13,496</w:t>
            </w:r>
          </w:p>
        </w:tc>
        <w:tc>
          <w:tcPr>
            <w:tcW w:w="320" w:type="dxa"/>
            <w:vAlign w:val="bottom"/>
          </w:tcPr>
          <w:p>
            <w:pPr>
              <w:spacing w:after="0"/>
              <w:rPr>
                <w:sz w:val="24"/>
                <w:szCs w:val="24"/>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21,264</w:t>
            </w:r>
          </w:p>
        </w:tc>
        <w:tc>
          <w:tcPr>
            <w:tcW w:w="32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2"/>
                <w:szCs w:val="22"/>
                <w:color w:val="auto"/>
              </w:rPr>
              <w:t>36,349</w:t>
            </w:r>
          </w:p>
        </w:tc>
        <w:tc>
          <w:tcPr>
            <w:tcW w:w="32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77,253</w:t>
            </w:r>
          </w:p>
        </w:tc>
      </w:tr>
    </w:tbl>
    <w:p>
      <w:pPr>
        <w:spacing w:after="0" w:line="149"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Net sales and revenue in the quarter ended October 31, 2023 increased less than 1% compared to the prior year’s third quarter. Net sales and revenue in the first nine months ended October 31, 2023 decreased approximately 1% compared to the first nine months of fiscal year 2022.</w:t>
      </w:r>
    </w:p>
    <w:p>
      <w:pPr>
        <w:spacing w:after="0" w:line="17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Ethanol sales increased 3% in the third quarter of fiscal year 2023 compared to the third quarter of fiscal year 2022 as the quantities sold at our consolidated plants during the third quarter of fiscal year 2023 increased 10% from the prior year comparable period, offset by a 7% decrease in the average selling price on ethanol. Ethanol sales decreased 1% in the first nine months of fiscal year 2023 compared to the first nine months of fiscal year 2022, driven by a 6% decrease in selling price, offset partially by a 6% increase in gallons sold. The decrease in the ethanol selling price resulted primarily from a decrease in commodity prices.</w:t>
      </w:r>
    </w:p>
    <w:p>
      <w:pPr>
        <w:spacing w:after="0" w:line="181"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Dried distillers grains sales decreased 8% in the third quarter of fiscal year 2023 compared to the third quarter of fiscal year 2022 as the average price per ton sold decreased 15%, offset by a 9% increase in tons sold. The decrease in the dried distillers grains selling price resulted primarily from a decrease in corn prices as dried distillers grains prices often correlate with corn pricing. Dried distillers grains sales increased 2% in the first nine months of fiscal year 2023 compared to the first nine months of fiscal year 2022, primarily driven by a 8% increase in tons sold, offset by a 5% decrease in price per ton sold.</w:t>
      </w:r>
    </w:p>
    <w:p>
      <w:pPr>
        <w:spacing w:after="0" w:line="17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Distillers corn oil sales increased approximately 1% in the third quarter of fiscal year 2023 compared to the third quarter of fiscal year 2022 as the amount of pounds sold increased 22%, offset partially by a 18% decrease in the price per ton sold. Distillers corn oil sales decreased approximately 2% in the first nine months of fiscal year 2023 compared to the first nine months of fiscal year 2022 as the selling price of distillers corn oil decreased 14% over the prior year, offset partially by a 15% increase in pounds sold. The decrease in the distillers corn oil selling price resulted primarily from a decrease in commodity prices.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8" w:name="page29"/>
    <w:bookmarkEnd w:id="28"/>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Modified distillers grains sales decreased in the third quarter of fiscal year 2023 compared to the third quarter of fiscal year 2022 due to a 37% decrease in tons sold, as well as a 26% decrease in price per ton sold. Modified distillers grains sales decreased in the first nine months of fiscal year 2023 compared to the first nine months of fiscal year 2022 due to a 53% decrease in tons sold, as well as a 13% decrease in price per ton sold. The decrease in the modified distillers grains selling price resulted primarily from a decrease in corn prices. Our consolidated plants’ decisions to sell modified or dried distillers grains fluctuates from time to time based upon market conditions.</w:t>
      </w:r>
    </w:p>
    <w:p>
      <w:pPr>
        <w:spacing w:after="0" w:line="18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Losses on derivative financial instruments, included in net sales and revenue, were approximately $20,000 in the third quarter of fiscal year 2023, compared to gains on derivative financial instruments of approximately $8,000 during the third quarter of fiscal year 2022. For the first nine months of fiscal year 2023, gains on derivative financial instruments, which are included in net sales and revenue, were approximately $0.8 million, compared to losses of $1.1 million in the first nine months of fiscal year 2022. These gains and losses are related to our risk management activities and were impacted by the price movements and types of contracts entered into at one of our consolidated ethanol plants.</w:t>
      </w:r>
    </w:p>
    <w:p>
      <w:pPr>
        <w:spacing w:after="0" w:line="18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1"/>
          <w:szCs w:val="21"/>
          <w:color w:val="auto"/>
        </w:rPr>
        <w:t>Cost of sales decreased approximately 14% in the quarter ended October 31, 2023, compared to the prior year third quarter. Corn accounted for approximately 80% ($145.2 million) of our cost of sales during the third quarter of fiscal year 2023 compared to approximately 82% ($172.5 million) during the third quarter of fiscal year 2022. The cost of corn decreased primarily due to lower corn prices, partially offset by an increase in corn used between the two periods. Natural gas accounted for approximately 3% ($6.2 million) of our cost of sales during the third quarter of fiscal year 2023 compared to approximately 6% ($12.2 million) during the third quarter of fiscal year 2022. Cost of sales decreased approximately 7% in the nine months ended October 31, 2023, compared to the prior year comparable period. Corn accounted for approximately 81% ($467.0 million) of our cost of sales during the first nine months of fiscal year 2023 compared to approximately 83% ($512.2 million) during the first nine months of fiscal year 2022. The cost of corn decreased primarily due to lower corn prices during the nine-month period ended October 31, 2023, compared to the prior year comparable period, partially offset by an increase in corn used between the two periods. Natural gas accounted for approximately 4% ($23.3 million) of our cost of sales during the first nine months of fiscal year 2023 compared to approximately 6% ($35.9 million) during the first nine months of fiscal year 2022.</w:t>
      </w:r>
    </w:p>
    <w:p>
      <w:pPr>
        <w:spacing w:after="0" w:line="17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gross profit for the third quarter of fiscal year 2023 increased approximately $30.0 million compared to the prior year’s third quarter. Gross profit for the first nine months of fiscal year 2023 increased approximately $32.5 million compared to the first nine months of fiscal year 2022.</w:t>
      </w:r>
    </w:p>
    <w:p>
      <w:pPr>
        <w:spacing w:after="0" w:line="173"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9" w:name="page30"/>
    <w:bookmarkEnd w:id="29"/>
    <w:p>
      <w:pPr>
        <w:ind w:right="560"/>
        <w:spacing w:after="0" w:line="258" w:lineRule="auto"/>
        <w:rPr>
          <w:sz w:val="20"/>
          <w:szCs w:val="20"/>
          <w:color w:val="auto"/>
        </w:rPr>
      </w:pPr>
      <w:r>
        <w:rPr>
          <w:rFonts w:ascii="Times New Roman" w:cs="Times New Roman" w:eastAsia="Times New Roman" w:hAnsi="Times New Roman"/>
          <w:sz w:val="22"/>
          <w:szCs w:val="22"/>
          <w:color w:val="auto"/>
        </w:rPr>
        <w:t>time our contracts cover, we generally cannot predict the future movements in our realized crush spread for more than four months.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SG&amp;A expenses were approximately $7.6 million for the third quarter of fiscal year 2023, compared to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$5.8 million of expenses for the third quarter of fiscal year 2022. SG&amp;A expenses were approximately $22.0 million for the first</w:t>
      </w:r>
    </w:p>
    <w:p>
      <w:pPr>
        <w:spacing w:after="0" w:line="231" w:lineRule="auto"/>
        <w:rPr>
          <w:sz w:val="20"/>
          <w:szCs w:val="20"/>
          <w:color w:val="auto"/>
        </w:rPr>
      </w:pPr>
      <w:r>
        <w:rPr>
          <w:rFonts w:ascii="Times New Roman" w:cs="Times New Roman" w:eastAsia="Times New Roman" w:hAnsi="Times New Roman"/>
          <w:sz w:val="22"/>
          <w:szCs w:val="22"/>
          <w:color w:val="auto"/>
        </w:rPr>
        <w:t>nine months of fiscal year 2023, compared to approximately $17.7 million for the first nine months of fiscal year 2022.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increases are primarily related to the increase in performance bonus expense as a result of higher net income in 2023. In addition,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year-to-date increase is also impacted by restricted stock awards granted to certain executive officers in the second quarter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2023, which were expensed upon issuance.</w:t>
      </w:r>
    </w:p>
    <w:p>
      <w:pPr>
        <w:spacing w:after="0" w:line="182"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During the third quarter of fiscal year 2023, we recognized income from our equity investment in Big River of approximately $4.7 million compared to income of approximately $0.7 million for the third quarter of fiscal year 2022. During the first nine months of fiscal year 2023, we recognized income from our equity investment in Big River of approximately $9.3 million compared to income of approximately $6.2 million during the first nine months of fiscal year 2022. During the second quarter of 2022, COVID-19 relief grants from the USDA received by Big River contributed $1.6 million to the income we recognized in 2022. The third quarter of fiscal year 2023 benefited approximately $195,000 from an additional USDA payment. Our investment in Big River, which has interests in four ethanol production plants, represents an effective ownership of approximately 38.0 million gallons of ethanol shipped in the trailing twelve months ended October 31, 2023. Due to the inherent volatility of commodity prices within the ethanol industry, we cannot predict the likelihood of future operating results from Big River being similar to historical results.</w:t>
      </w:r>
    </w:p>
    <w:p>
      <w:pPr>
        <w:spacing w:after="0" w:line="179"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Interest and other income was approximately $4.9 million for the third quarter of fiscal year 2023 versus approximately $2.0 million for the third quarter of fiscal year 2022. Interest and other income was approximately $10.9 million for the first nine months of 2023 versus approximately $10.3 million for the first nine months of fiscal year 2022. During 2022, the Company’s consolidated plants received COVID-19 relief grants from the USDA totaling approximately $7.8 million in the second quarter. Each plant received an additional payment from that program in 2023, totaling $1.0 million. The remaining change in both the three-month and nine-month periods related to increased interest income in the current year as yields on our excess cash and short-term investments increased in fiscal year 2023, compared to 2022.</w:t>
      </w:r>
    </w:p>
    <w:p>
      <w:pPr>
        <w:spacing w:after="0" w:line="183"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$41.3 million and $6.1 million for the third quarters of fiscal year 2023 and 2022, respectively. Income before income taxes was approximately $66.0 million and $34.1 million for the first nine months of fiscal year 2023 and 2022, respectively.</w:t>
      </w:r>
    </w:p>
    <w:p>
      <w:pPr>
        <w:spacing w:after="0" w:line="173" w:lineRule="exact"/>
        <w:rPr>
          <w:sz w:val="20"/>
          <w:szCs w:val="20"/>
          <w:color w:val="auto"/>
        </w:rPr>
      </w:pPr>
    </w:p>
    <w:p>
      <w:pPr>
        <w:jc w:val="both"/>
        <w:ind w:right="160" w:firstLine="648"/>
        <w:spacing w:after="0" w:line="239"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Our income tax provision was approximately $9.6 million and $1.2 million for the three months ended October 31, 2023 and 2022, respectively. Our income tax provision was approximately $15.4 million and $7.4 million for the first nine months of fiscal year 2023 and 2022, respectively.</w:t>
      </w:r>
    </w:p>
    <w:p>
      <w:pPr>
        <w:spacing w:after="0" w:line="180" w:lineRule="exact"/>
        <w:rPr>
          <w:sz w:val="20"/>
          <w:szCs w:val="20"/>
          <w:color w:val="auto"/>
        </w:rPr>
      </w:pPr>
    </w:p>
    <w:p>
      <w:pPr>
        <w:ind w:right="76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foregoing, net income was approximately $31.6 million for the third quarter of fiscal year 2023 compared to approximately $4.9 million for the third quarter of fiscal year 2022. Net</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30" w:name="page31"/>
    <w:bookmarkEnd w:id="30"/>
    <w:p>
      <w:pPr>
        <w:ind w:right="220"/>
        <w:spacing w:after="0" w:line="258" w:lineRule="auto"/>
        <w:rPr>
          <w:sz w:val="20"/>
          <w:szCs w:val="20"/>
          <w:color w:val="auto"/>
        </w:rPr>
      </w:pPr>
      <w:r>
        <w:rPr>
          <w:rFonts w:ascii="Times New Roman" w:cs="Times New Roman" w:eastAsia="Times New Roman" w:hAnsi="Times New Roman"/>
          <w:sz w:val="22"/>
          <w:szCs w:val="22"/>
          <w:color w:val="auto"/>
        </w:rPr>
        <w:t>income was approximately $50.6 million for the first nine months of fiscal year 2023 compared to approximately $26.8 million for the first nine months of fiscal year 2022.</w:t>
      </w:r>
    </w:p>
    <w:p>
      <w:pPr>
        <w:spacing w:after="0" w:line="15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Net income attributable to noncontrolling interests was approximately $5.6 million for the third quarter of fiscal year 2023 compared to $1.7 million for the third quarter of fiscal year 2022. Net income attributable to noncontrolling interests was approximately $10.3 million for the first nine months of fiscal year 2023 compared to approximately $7.2 million for the first nine months of fiscal year 2022. These amounts represent the other owners’ share of the income of NuGen and One Earth.</w:t>
      </w:r>
    </w:p>
    <w:p>
      <w:pPr>
        <w:spacing w:after="0" w:line="18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As a result of the foregoing, net income attributable to REX common shareholders from for the third quarter of fiscal year 2023 was approximately $26.1 million, compared to net income attributable to REX common shareholders of approximately $3.2 million for the third quarter of fiscal year 2022. Net income attributable to REX common shareholders from the first nine months of fiscal year 2023 was approximately $40.4 million, compared to net income attributable to REX common shareholders of approximately $19.5 million for the first nine months of fiscal year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22"/>
          <w:szCs w:val="22"/>
          <w:color w:val="auto"/>
        </w:rPr>
        <w:t>Net cash provided by operating activities was approximately $67.2 million for the first nine months of fiscal year 2023, compared to cash provided by operating activities of approximately $54.0 million for the first nine months of fiscal year 2022. For the first nine months of fiscal year 2023, cash was provided by net income of approximately $50.6 million, adjusted for non-cash items of approximately $16.3 million, which consisted of depreciation, amortization of operating lease right-of-use assets, income from equity method investments, interest income from short-term investments, the deferred income tax provision, stock-based compensation expense, and loss on sale of property and equipment. We received dividends from Big River of approximately $5.5 million in the first nine months of fiscal year 2023. An increase in the balance of accounts receivable used cash of approximately $5.0 million, primarily a result of the timing of products shipped and the receipt of customer payments at One Earth and NuGen. Inventories decreased over the first nine months of fiscal year 2023, providing cash of $11.2 million. A decrease in the balance of other assets of approximately $0.4 million primarily relates to changes in the carrying value of forward purchase contracts and commodity futures positions recorded at fair value. An increase in the balance of refundable income taxes of approximately $1.5 million primarily relates to overpayment of taxes currently payable for the previous fiscal year and quarterly estimated tax payments. While the Company has tax credits available to offset all amounts owed, the Company is limited to using tax credits for only 75% of federal taxes owed. A decrease in the balance of accounts payable used cash of approximately $5.6 million, which was primarily a result of the timing of inventory receipts and vendor payments. A decrease in the balance of other liabilities used cash of approximately $4.8 million.</w:t>
      </w:r>
    </w:p>
    <w:p>
      <w:pPr>
        <w:spacing w:after="0" w:line="191"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Net cash provided by operating activities was approximately $54.0 million for the first nine months of fiscal year 2022. For the first nine months of fiscal year 2022, cash was provided by net income of approximately $26.8 million, adjusted for non-cash items of approximately $16.5 million, which consisted of depreciation, amortization of operating lease right-of-use assets, income from equity method investments, interest income from short-term investments, the deferred income tax provision, stock-based compensation expense, and gain on sale of property and equipment. We received dividends from Big River of approximately $3.0 million in the first nine months of fiscal year 2022. A decrease in the balance of accounts receivable provided cash of approximately $3.1 million, primarily a result of the timing of</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 w:name="page32"/>
    <w:bookmarkEnd w:id="31"/>
    <w:p>
      <w:pPr>
        <w:ind w:right="80"/>
        <w:spacing w:after="0" w:line="235" w:lineRule="auto"/>
        <w:rPr>
          <w:sz w:val="20"/>
          <w:szCs w:val="20"/>
          <w:color w:val="auto"/>
        </w:rPr>
      </w:pPr>
      <w:r>
        <w:rPr>
          <w:rFonts w:ascii="Times New Roman" w:cs="Times New Roman" w:eastAsia="Times New Roman" w:hAnsi="Times New Roman"/>
          <w:sz w:val="22"/>
          <w:szCs w:val="22"/>
          <w:color w:val="auto"/>
        </w:rPr>
        <w:t>products shipped and the receipt of customer payments at One Earth and NuGen. Inventories remained relatively flat over the first nine months of fiscal year 2022. A decrease in the balance of other assets of approximately $0.6 million primarily relates to changes in the carrying value of forward purchase contracts recorded at fair value. A decrease in the balance of refundable income taxes of approximately $66,000 primarily relates to amounts currently payable on income from the first nine months of the fiscal year, offset by quarterly estimated tax payments. An increase in the balance of accounts payable provided cash of approximately $8.0 million, which was primarily a result of the timing of inventory receipts and vendor payments. A decrease in the balance of other liabilities used cash of approximately $4.3 million.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 October 31, 2023, working capital was approximately $369.4 million, compared to $318.0 million at January 31,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ratio of current assets to current liabilities was 8.6 to 1 at October 31, 2023 and 6.8 to 1 at January 31, 2023.</w:t>
      </w:r>
    </w:p>
    <w:p>
      <w:pPr>
        <w:spacing w:after="0" w:line="182"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Cash of approximately $63.3 million was used by investing activities for the first nine months of fiscal year 2023, compared to cash used by investing activities of approximately $134.0 million during the first nine months of fiscal year 2022. During the first nine months of fiscal year 2023, we had capital expenditures of approximately $22.4 million, primarily for various capital projects at our consolidated ethanol plants, including $7.7 million for expansion and CI scoring reduction projects at the One Earth facility and $8.0 million for the carbon sequestration project. During the first nine months of fiscal year 2023, we purchased short-term U.S. Treasury Bills of approximately $378.4 million, while U.S. Treasury Bills of approximately $337.5 million matured. The U.S Treasury Bills had maturities of less than one year and we classified them as short-term investments. Depending on investment options available, we may elect to retain the funds, or a portion thereof, in cash, short-term investments or long-term investments.</w:t>
      </w:r>
    </w:p>
    <w:p>
      <w:pPr>
        <w:spacing w:after="0" w:line="18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Cash of approximately $134.0 million was used in investing activities for the first nine months of fiscal year 2022. During the first nine months of fiscal year 2022, we had capital expenditures of approximately $7.2 million, primarily for improvements at the One Earth and NuGen facilities. During the first nine months of fiscal year 2022, we purchased U.S. Treasury Bills of approximately $307.4 million. During the first nine months of fiscal year 2022 certificates of deposit of approximately $180.5 million matured. The certificates of deposit and U.S. Treasury Bills had maturities of less than one year and we classified as short-term investments.</w:t>
      </w:r>
    </w:p>
    <w:p>
      <w:pPr>
        <w:spacing w:after="0" w:line="181" w:lineRule="exact"/>
        <w:rPr>
          <w:sz w:val="20"/>
          <w:szCs w:val="20"/>
          <w:color w:val="auto"/>
        </w:rPr>
      </w:pPr>
    </w:p>
    <w:p>
      <w:pPr>
        <w:ind w:right="460" w:firstLine="648"/>
        <w:spacing w:after="0" w:line="255" w:lineRule="auto"/>
        <w:rPr>
          <w:sz w:val="20"/>
          <w:szCs w:val="20"/>
          <w:color w:val="auto"/>
        </w:rPr>
      </w:pPr>
      <w:r>
        <w:rPr>
          <w:rFonts w:ascii="Times New Roman" w:cs="Times New Roman" w:eastAsia="Times New Roman" w:hAnsi="Times New Roman"/>
          <w:sz w:val="21"/>
          <w:szCs w:val="21"/>
          <w:color w:val="auto"/>
        </w:rPr>
        <w:t>Cash of approximately $0.7 million was used in financing activities for the first nine months of fiscal year 2023 for payments to noncontrolling interests holders, compared to approximately $1.7 million for the first nine months of fiscal year 2022. No treasury stock was acquired in the first nine months of fiscal year 2023, compared to $13.0 million to purchase approximately 472,000 shares of our common stock in open market transactions in the first nine months of fiscal year 2022.</w:t>
      </w:r>
    </w:p>
    <w:p>
      <w:pPr>
        <w:spacing w:after="0" w:line="162"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We are investigating various uses for our excess cash and short-term investments. We have a stock buyback program with 876,786 shares remaining authorized at October 31, 2023. We typically repurchase our common stock when our stock price is trading at a price we deem to be a discount to the underlying value of our net assets. We plan to seek and evaluate various investment opportunities including ethanol and/or energy related, carbon sequestration related, agricultural or other ventures we believe meet our investment criteria. If all approvals and permits are received, we expect capital expenditures related to the construction at the One Earth plant to approximate $165 million, inclusive of the carbon sequestration project and plant capacity expansion and ongoing efforts to reduce CI scoring, which we currently plan to</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2" w:name="page33"/>
    <w:bookmarkEnd w:id="32"/>
    <w:p>
      <w:pPr>
        <w:ind w:right="40"/>
        <w:spacing w:after="0" w:line="255" w:lineRule="auto"/>
        <w:rPr>
          <w:sz w:val="20"/>
          <w:szCs w:val="20"/>
          <w:color w:val="auto"/>
        </w:rPr>
      </w:pPr>
      <w:r>
        <w:rPr>
          <w:rFonts w:ascii="Times New Roman" w:cs="Times New Roman" w:eastAsia="Times New Roman" w:hAnsi="Times New Roman"/>
          <w:sz w:val="21"/>
          <w:szCs w:val="21"/>
          <w:color w:val="auto"/>
        </w:rPr>
        <w:t>pay from our available cash. As of October 31, 2023, we have spent $16.0 million life-to-date and are contractually committed to spend an additional $31.2 million toward the carbon sequestration project. As of October 31, 2023, we have spent $8.5 million life-to-date and are contractually committed to spend an additional $6.9 million toward plant capacity expansion and CI scoring reduction efforts. For all projects, we plan to spend $40 million to $50 million during the remainder of fiscal year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2023 (File No. 001-09097).</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06" w:lineRule="exact"/>
        <w:rPr>
          <w:sz w:val="20"/>
          <w:szCs w:val="20"/>
          <w:color w:val="auto"/>
        </w:rPr>
      </w:pPr>
    </w:p>
    <w:p>
      <w:pPr>
        <w:ind w:right="60" w:firstLine="495"/>
        <w:spacing w:after="0" w:line="238"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October 31, 2023 is as follows, assuming normal operating capacity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480" w:type="dxa"/>
            <w:vAlign w:val="bottom"/>
            <w:gridSpan w:val="3"/>
          </w:tcPr>
          <w:p>
            <w:pPr>
              <w:jc w:val="right"/>
              <w:ind w:right="740"/>
              <w:spacing w:after="0"/>
              <w:rPr>
                <w:sz w:val="20"/>
                <w:szCs w:val="20"/>
                <w:color w:val="auto"/>
              </w:rPr>
            </w:pPr>
            <w:r>
              <w:rPr>
                <w:rFonts w:ascii="Times New Roman" w:cs="Times New Roman" w:eastAsia="Times New Roman" w:hAnsi="Times New Roman"/>
                <w:sz w:val="22"/>
                <w:szCs w:val="22"/>
                <w:b w:val="1"/>
                <w:bCs w:val="1"/>
                <w:color w:val="auto"/>
              </w:rPr>
              <w:t>Estimated Total</w:t>
            </w:r>
          </w:p>
        </w:tc>
        <w:tc>
          <w:tcPr>
            <w:tcW w:w="1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Decrease in Pre-tax</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480" w:type="dxa"/>
            <w:vAlign w:val="bottom"/>
            <w:gridSpan w:val="3"/>
          </w:tcPr>
          <w:p>
            <w:pPr>
              <w:jc w:val="right"/>
              <w:ind w:right="740"/>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00" w:type="dxa"/>
            <w:vAlign w:val="bottom"/>
            <w:gridSpan w:val="3"/>
          </w:tcPr>
          <w:p>
            <w:pPr>
              <w:jc w:val="right"/>
              <w:ind w:right="20"/>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c>
          <w:tcPr>
            <w:tcW w:w="0" w:type="dxa"/>
            <w:vAlign w:val="bottom"/>
          </w:tcPr>
          <w:p>
            <w:pPr>
              <w:spacing w:after="0"/>
              <w:rPr>
                <w:sz w:val="1"/>
                <w:szCs w:val="1"/>
                <w:color w:val="auto"/>
              </w:rPr>
            </w:pPr>
          </w:p>
        </w:tc>
      </w:tr>
      <w:tr>
        <w:trPr>
          <w:trHeight w:val="234"/>
        </w:trPr>
        <w:tc>
          <w:tcPr>
            <w:tcW w:w="290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Commodity</w:t>
            </w:r>
          </w:p>
        </w:tc>
        <w:tc>
          <w:tcPr>
            <w:tcW w:w="1760" w:type="dxa"/>
            <w:vAlign w:val="bottom"/>
          </w:tcPr>
          <w:p>
            <w:pPr>
              <w:spacing w:after="0"/>
              <w:rPr>
                <w:sz w:val="20"/>
                <w:szCs w:val="20"/>
                <w:color w:val="auto"/>
              </w:rPr>
            </w:pPr>
          </w:p>
        </w:tc>
        <w:tc>
          <w:tcPr>
            <w:tcW w:w="1720" w:type="dxa"/>
            <w:vAlign w:val="bottom"/>
            <w:gridSpan w:val="2"/>
          </w:tcPr>
          <w:p>
            <w:pPr>
              <w:jc w:val="right"/>
              <w:ind w:right="740"/>
              <w:spacing w:after="0" w:line="233" w:lineRule="exact"/>
              <w:rPr>
                <w:sz w:val="20"/>
                <w:szCs w:val="20"/>
                <w:color w:val="auto"/>
              </w:rPr>
            </w:pPr>
            <w:r>
              <w:rPr>
                <w:rFonts w:ascii="Times New Roman" w:cs="Times New Roman" w:eastAsia="Times New Roman" w:hAnsi="Times New Roman"/>
                <w:sz w:val="22"/>
                <w:szCs w:val="22"/>
                <w:b w:val="1"/>
                <w:bCs w:val="1"/>
                <w:color w:val="auto"/>
                <w:w w:val="96"/>
              </w:rPr>
              <w:t>12 Months</w:t>
            </w:r>
          </w:p>
        </w:tc>
        <w:tc>
          <w:tcPr>
            <w:tcW w:w="2040" w:type="dxa"/>
            <w:vAlign w:val="bottom"/>
            <w:gridSpan w:val="2"/>
          </w:tcPr>
          <w:p>
            <w:pPr>
              <w:jc w:val="right"/>
              <w:ind w:right="540"/>
              <w:spacing w:after="0" w:line="233" w:lineRule="exact"/>
              <w:rPr>
                <w:sz w:val="20"/>
                <w:szCs w:val="20"/>
                <w:color w:val="auto"/>
              </w:rPr>
            </w:pPr>
            <w:r>
              <w:rPr>
                <w:rFonts w:ascii="Times New Roman" w:cs="Times New Roman" w:eastAsia="Times New Roman" w:hAnsi="Times New Roman"/>
                <w:sz w:val="22"/>
                <w:szCs w:val="22"/>
                <w:b w:val="1"/>
                <w:bCs w:val="1"/>
                <w:color w:val="auto"/>
                <w:w w:val="96"/>
              </w:rPr>
              <w:t>Unit of Measure</w:t>
            </w:r>
          </w:p>
        </w:tc>
        <w:tc>
          <w:tcPr>
            <w:tcW w:w="2840" w:type="dxa"/>
            <w:vAlign w:val="bottom"/>
            <w:gridSpan w:val="4"/>
          </w:tcPr>
          <w:p>
            <w:pPr>
              <w:jc w:val="right"/>
              <w:ind w:right="20"/>
              <w:spacing w:after="0" w:line="233" w:lineRule="exact"/>
              <w:rPr>
                <w:sz w:val="20"/>
                <w:szCs w:val="20"/>
                <w:color w:val="auto"/>
              </w:rPr>
            </w:pPr>
            <w:r>
              <w:rPr>
                <w:rFonts w:ascii="Times New Roman" w:cs="Times New Roman" w:eastAsia="Times New Roman" w:hAnsi="Times New Roman"/>
                <w:sz w:val="22"/>
                <w:szCs w:val="22"/>
                <w:b w:val="1"/>
                <w:bCs w:val="1"/>
                <w:color w:val="auto"/>
              </w:rPr>
              <w:t>Adverse Change in Price</w:t>
            </w:r>
          </w:p>
        </w:tc>
        <w:tc>
          <w:tcPr>
            <w:tcW w:w="0" w:type="dxa"/>
            <w:vAlign w:val="bottom"/>
          </w:tcPr>
          <w:p>
            <w:pPr>
              <w:spacing w:after="0"/>
              <w:rPr>
                <w:sz w:val="1"/>
                <w:szCs w:val="1"/>
                <w:color w:val="auto"/>
              </w:rPr>
            </w:pPr>
          </w:p>
        </w:tc>
      </w:tr>
      <w:tr>
        <w:trPr>
          <w:trHeight w:val="263"/>
        </w:trPr>
        <w:tc>
          <w:tcPr>
            <w:tcW w:w="1100" w:type="dxa"/>
            <w:vAlign w:val="bottom"/>
            <w:tcBorders>
              <w:top w:val="single" w:sz="8" w:color="auto"/>
            </w:tcBorders>
          </w:tcPr>
          <w:p>
            <w:pPr>
              <w:spacing w:after="0"/>
              <w:rPr>
                <w:sz w:val="22"/>
                <w:szCs w:val="22"/>
                <w:color w:val="auto"/>
              </w:rPr>
            </w:pPr>
          </w:p>
        </w:tc>
        <w:tc>
          <w:tcPr>
            <w:tcW w:w="18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27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284,000</w:t>
            </w:r>
          </w:p>
        </w:tc>
        <w:tc>
          <w:tcPr>
            <w:tcW w:w="740" w:type="dxa"/>
            <w:vAlign w:val="bottom"/>
            <w:shd w:val="clear" w:color="auto" w:fill="E5FFFF"/>
          </w:tcPr>
          <w:p>
            <w:pPr>
              <w:spacing w:after="0"/>
              <w:rPr>
                <w:sz w:val="21"/>
                <w:szCs w:val="21"/>
                <w:color w:val="auto"/>
              </w:rPr>
            </w:pPr>
          </w:p>
        </w:tc>
        <w:tc>
          <w:tcPr>
            <w:tcW w:w="2040" w:type="dxa"/>
            <w:vAlign w:val="bottom"/>
            <w:gridSpan w:val="2"/>
            <w:shd w:val="clear" w:color="auto" w:fill="E5FFFF"/>
          </w:tcPr>
          <w:p>
            <w:pPr>
              <w:jc w:val="right"/>
              <w:ind w:right="540"/>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22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49,365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2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101,400</w:t>
            </w:r>
          </w:p>
        </w:tc>
        <w:tc>
          <w:tcPr>
            <w:tcW w:w="740" w:type="dxa"/>
            <w:vAlign w:val="bottom"/>
          </w:tcPr>
          <w:p>
            <w:pPr>
              <w:spacing w:after="0"/>
              <w:rPr>
                <w:sz w:val="21"/>
                <w:szCs w:val="21"/>
                <w:color w:val="auto"/>
              </w:rPr>
            </w:pPr>
          </w:p>
        </w:tc>
        <w:tc>
          <w:tcPr>
            <w:tcW w:w="2040" w:type="dxa"/>
            <w:vAlign w:val="bottom"/>
            <w:gridSpan w:val="2"/>
          </w:tcPr>
          <w:p>
            <w:pPr>
              <w:jc w:val="right"/>
              <w:ind w:right="540"/>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22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44,646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27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681</w:t>
            </w:r>
          </w:p>
        </w:tc>
        <w:tc>
          <w:tcPr>
            <w:tcW w:w="740" w:type="dxa"/>
            <w:vAlign w:val="bottom"/>
            <w:shd w:val="clear" w:color="auto" w:fill="E5FFFF"/>
          </w:tcPr>
          <w:p>
            <w:pPr>
              <w:spacing w:after="0"/>
              <w:rPr>
                <w:sz w:val="21"/>
                <w:szCs w:val="21"/>
                <w:color w:val="auto"/>
              </w:rPr>
            </w:pPr>
          </w:p>
        </w:tc>
        <w:tc>
          <w:tcPr>
            <w:tcW w:w="2040" w:type="dxa"/>
            <w:vAlign w:val="bottom"/>
            <w:gridSpan w:val="2"/>
            <w:shd w:val="clear" w:color="auto" w:fill="E5FFFF"/>
          </w:tcPr>
          <w:p>
            <w:pPr>
              <w:jc w:val="right"/>
              <w:ind w:right="540"/>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22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10,401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2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89,800</w:t>
            </w:r>
          </w:p>
        </w:tc>
        <w:tc>
          <w:tcPr>
            <w:tcW w:w="740" w:type="dxa"/>
            <w:vAlign w:val="bottom"/>
          </w:tcPr>
          <w:p>
            <w:pPr>
              <w:spacing w:after="0"/>
              <w:rPr>
                <w:sz w:val="21"/>
                <w:szCs w:val="21"/>
                <w:color w:val="auto"/>
              </w:rPr>
            </w:pPr>
          </w:p>
        </w:tc>
        <w:tc>
          <w:tcPr>
            <w:tcW w:w="2040" w:type="dxa"/>
            <w:vAlign w:val="bottom"/>
            <w:gridSpan w:val="2"/>
          </w:tcPr>
          <w:p>
            <w:pPr>
              <w:jc w:val="right"/>
              <w:ind w:right="540"/>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22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27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740" w:type="dxa"/>
            <w:vAlign w:val="bottom"/>
            <w:shd w:val="clear" w:color="auto" w:fill="E5FFFF"/>
          </w:tcPr>
          <w:p>
            <w:pPr>
              <w:spacing w:after="0"/>
              <w:rPr>
                <w:sz w:val="21"/>
                <w:szCs w:val="21"/>
                <w:color w:val="auto"/>
              </w:rPr>
            </w:pPr>
          </w:p>
        </w:tc>
        <w:tc>
          <w:tcPr>
            <w:tcW w:w="2040" w:type="dxa"/>
            <w:vAlign w:val="bottom"/>
            <w:gridSpan w:val="2"/>
            <w:shd w:val="clear" w:color="auto" w:fill="E5FFFF"/>
          </w:tcPr>
          <w:p>
            <w:pPr>
              <w:jc w:val="right"/>
              <w:ind w:right="540"/>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22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2,384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12"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4" w:name="page35"/>
    <w:bookmarkEnd w:id="34"/>
    <w:p>
      <w:pPr>
        <w:ind w:left="4280"/>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1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1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discussed in our Annual Report on Form 10-K for the year ended January 31,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1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21"/>
          <w:szCs w:val="21"/>
          <w:color w:val="auto"/>
        </w:rPr>
        <w:t>On August 31, 2021, our Board of Directors increased our share repurchase authorization by an additional 1,500,000 shares (split-adjusted). At October 31, 2023, a total of 876,786 shares remained available to purchase under this authorization.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were no share repurchases by the Company in the third quarter of fiscal year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33" w:lineRule="exact"/>
        <w:rPr>
          <w:sz w:val="20"/>
          <w:szCs w:val="20"/>
          <w:color w:val="auto"/>
        </w:rPr>
      </w:pPr>
    </w:p>
    <w:p>
      <w:pPr>
        <w:ind w:left="1300" w:hanging="536"/>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Rule 13a-14(a)/15d-14(a) Certifications</w:t>
      </w:r>
    </w:p>
    <w:p>
      <w:pPr>
        <w:spacing w:after="0" w:line="233" w:lineRule="exact"/>
        <w:rPr>
          <w:rFonts w:ascii="Times New Roman" w:cs="Times New Roman" w:eastAsia="Times New Roman" w:hAnsi="Times New Roman"/>
          <w:sz w:val="22"/>
          <w:szCs w:val="22"/>
          <w:color w:val="auto"/>
        </w:rPr>
      </w:pPr>
    </w:p>
    <w:p>
      <w:pPr>
        <w:ind w:left="1300" w:hanging="536"/>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ind w:left="1300" w:hanging="644"/>
        <w:spacing w:after="0" w:line="239" w:lineRule="auto"/>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information from REX American Resources Corporation Quarterly Report on Form 10-Q for the quarter ended October 31, 2023, formatted in iXBRL: (i) Consolidated Balance Sheets, (ii) Consolidated Statements of Operations, (iii) Consolidated Statements of Equity, (iv) Consolidated Statements of Cash Flows and (v) Notes to Consolidated Financial Statements.</w:t>
      </w:r>
    </w:p>
    <w:p>
      <w:pPr>
        <w:spacing w:after="0" w:line="1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40"/>
          </w:cols>
          <w:pgMar w:left="320" w:top="390" w:right="6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960" w:type="dxa"/>
            <w:vAlign w:val="bottom"/>
            <w:gridSpan w:val="6"/>
          </w:tcPr>
          <w:p>
            <w:pPr>
              <w:ind w:left="2340"/>
              <w:spacing w:after="0"/>
              <w:rPr>
                <w:sz w:val="20"/>
                <w:szCs w:val="20"/>
                <w:color w:val="auto"/>
              </w:rPr>
            </w:pPr>
            <w:r>
              <w:rPr>
                <w:rFonts w:ascii="Times New Roman" w:cs="Times New Roman" w:eastAsia="Times New Roman" w:hAnsi="Times New Roman"/>
                <w:sz w:val="22"/>
                <w:szCs w:val="22"/>
                <w:color w:val="auto"/>
              </w:rPr>
              <w:t>REX American Resources Corporation</w:t>
            </w:r>
          </w:p>
        </w:tc>
      </w:tr>
      <w:tr>
        <w:trPr>
          <w:trHeight w:val="282"/>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60" w:type="dxa"/>
            <w:vAlign w:val="bottom"/>
            <w:gridSpan w:val="3"/>
          </w:tcPr>
          <w:p>
            <w:pPr>
              <w:ind w:left="2340"/>
              <w:spacing w:after="0"/>
              <w:rPr>
                <w:sz w:val="20"/>
                <w:szCs w:val="20"/>
                <w:color w:val="auto"/>
              </w:rPr>
            </w:pPr>
            <w:r>
              <w:rPr>
                <w:rFonts w:ascii="Times New Roman" w:cs="Times New Roman" w:eastAsia="Times New Roman" w:hAnsi="Times New Roman"/>
                <w:sz w:val="22"/>
                <w:szCs w:val="22"/>
                <w:color w:val="auto"/>
              </w:rPr>
              <w:t>Registrant</w:t>
            </w: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7"/>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Signature</w:t>
            </w:r>
          </w:p>
        </w:tc>
        <w:tc>
          <w:tcPr>
            <w:tcW w:w="102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Title</w:t>
            </w: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20" w:type="dxa"/>
            <w:vAlign w:val="bottom"/>
          </w:tcPr>
          <w:p>
            <w:pPr>
              <w:spacing w:after="0"/>
              <w:rPr>
                <w:sz w:val="24"/>
                <w:szCs w:val="24"/>
                <w:color w:val="auto"/>
              </w:rPr>
            </w:pPr>
          </w:p>
        </w:tc>
      </w:tr>
      <w:tr>
        <w:trPr>
          <w:trHeight w:val="466"/>
        </w:trPr>
        <w:tc>
          <w:tcPr>
            <w:tcW w:w="680" w:type="dxa"/>
            <w:vAlign w:val="bottom"/>
          </w:tcPr>
          <w:p>
            <w:pPr>
              <w:spacing w:after="0"/>
              <w:rPr>
                <w:sz w:val="24"/>
                <w:szCs w:val="24"/>
                <w:color w:val="auto"/>
              </w:rPr>
            </w:pPr>
          </w:p>
        </w:tc>
        <w:tc>
          <w:tcPr>
            <w:tcW w:w="2600" w:type="dxa"/>
            <w:vAlign w:val="bottom"/>
            <w:gridSpan w:val="6"/>
          </w:tcPr>
          <w:p>
            <w:pPr>
              <w:jc w:val="center"/>
              <w:ind w:right="340"/>
              <w:spacing w:after="0"/>
              <w:rPr>
                <w:sz w:val="20"/>
                <w:szCs w:val="20"/>
                <w:color w:val="auto"/>
              </w:rPr>
            </w:pPr>
            <w:r>
              <w:rPr>
                <w:rFonts w:ascii="Times New Roman" w:cs="Times New Roman" w:eastAsia="Times New Roman" w:hAnsi="Times New Roman"/>
                <w:sz w:val="22"/>
                <w:szCs w:val="22"/>
                <w:color w:val="auto"/>
                <w:w w:val="97"/>
              </w:rPr>
              <w:t>/s/ Zafar A. Rizvi</w:t>
            </w:r>
          </w:p>
        </w:tc>
        <w:tc>
          <w:tcPr>
            <w:tcW w:w="44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6"/>
              </w:rPr>
              <w:t>(Zafar A. Rizvi)</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(Chief Executive Officer)</w:t>
            </w:r>
          </w:p>
        </w:tc>
        <w:tc>
          <w:tcPr>
            <w:tcW w:w="350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December 4, 2023</w:t>
            </w:r>
          </w:p>
        </w:tc>
      </w:tr>
      <w:tr>
        <w:trPr>
          <w:trHeight w:val="406"/>
        </w:trPr>
        <w:tc>
          <w:tcPr>
            <w:tcW w:w="680" w:type="dxa"/>
            <w:vAlign w:val="bottom"/>
          </w:tcPr>
          <w:p>
            <w:pPr>
              <w:spacing w:after="0"/>
              <w:rPr>
                <w:sz w:val="24"/>
                <w:szCs w:val="24"/>
                <w:color w:val="auto"/>
              </w:rPr>
            </w:pPr>
          </w:p>
        </w:tc>
        <w:tc>
          <w:tcPr>
            <w:tcW w:w="2600" w:type="dxa"/>
            <w:vAlign w:val="bottom"/>
            <w:gridSpan w:val="6"/>
          </w:tcPr>
          <w:p>
            <w:pPr>
              <w:jc w:val="center"/>
              <w:ind w:right="320"/>
              <w:spacing w:after="0"/>
              <w:rPr>
                <w:sz w:val="20"/>
                <w:szCs w:val="20"/>
                <w:color w:val="auto"/>
              </w:rPr>
            </w:pPr>
            <w:r>
              <w:rPr>
                <w:rFonts w:ascii="Times New Roman" w:cs="Times New Roman" w:eastAsia="Times New Roman" w:hAnsi="Times New Roman"/>
                <w:sz w:val="22"/>
                <w:szCs w:val="22"/>
                <w:color w:val="auto"/>
                <w:w w:val="98"/>
              </w:rPr>
              <w:t>/s/ Douglas L. Bruggeman</w:t>
            </w:r>
          </w:p>
        </w:tc>
        <w:tc>
          <w:tcPr>
            <w:tcW w:w="44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Vice President, Finance and Treasurer</w:t>
            </w:r>
          </w:p>
        </w:tc>
        <w:tc>
          <w:tcPr>
            <w:tcW w:w="350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December 4, 2023</w:t>
            </w:r>
          </w:p>
        </w:tc>
      </w:tr>
      <w:tr>
        <w:trPr>
          <w:trHeight w:val="276"/>
        </w:trPr>
        <w:tc>
          <w:tcPr>
            <w:tcW w:w="680" w:type="dxa"/>
            <w:vAlign w:val="bottom"/>
          </w:tcPr>
          <w:p>
            <w:pPr>
              <w:spacing w:after="0"/>
              <w:rPr>
                <w:sz w:val="23"/>
                <w:szCs w:val="23"/>
                <w:color w:val="auto"/>
              </w:rPr>
            </w:pPr>
          </w:p>
        </w:tc>
        <w:tc>
          <w:tcPr>
            <w:tcW w:w="22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color w:val="auto"/>
                <w:w w:val="98"/>
              </w:rPr>
              <w:t>(Douglas L. Bruggeman)</w:t>
            </w:r>
          </w:p>
        </w:tc>
        <w:tc>
          <w:tcPr>
            <w:tcW w:w="340" w:type="dxa"/>
            <w:vAlign w:val="bottom"/>
          </w:tcPr>
          <w:p>
            <w:pPr>
              <w:spacing w:after="0"/>
              <w:rPr>
                <w:sz w:val="23"/>
                <w:szCs w:val="23"/>
                <w:color w:val="auto"/>
              </w:rPr>
            </w:pPr>
          </w:p>
        </w:tc>
        <w:tc>
          <w:tcPr>
            <w:tcW w:w="44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(Chief Financial Officer)</w:t>
            </w:r>
          </w:p>
        </w:tc>
        <w:tc>
          <w:tcPr>
            <w:tcW w:w="1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432"/>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37</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68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5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19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840" w:hanging="184"/>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52"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2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3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320" w:firstLine="320"/>
        <w:spacing w:after="0" w:line="282" w:lineRule="auto"/>
        <w:tabs>
          <w:tab w:leader="none" w:pos="122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3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ind w:left="-656" w:firstLine="656"/>
        <w:spacing w:after="0" w:line="282" w:lineRule="auto"/>
        <w:tabs>
          <w:tab w:leader="none" w:pos="1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4" w:right="460" w:firstLine="320"/>
        <w:spacing w:after="0" w:line="282" w:lineRule="auto"/>
        <w:tabs>
          <w:tab w:leader="none" w:pos="5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4" w:right="140" w:firstLine="320"/>
        <w:spacing w:after="0" w:line="282" w:lineRule="auto"/>
        <w:tabs>
          <w:tab w:leader="none" w:pos="5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12"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5" w:right="41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52"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20"/>
        <w:spacing w:after="0" w:line="266" w:lineRule="auto"/>
        <w:tabs>
          <w:tab w:leader="none" w:pos="12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2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40" w:name="page41"/>
    <w:bookmarkEnd w:id="40"/>
    <w:p>
      <w:pPr>
        <w:ind w:left="-656" w:firstLine="656"/>
        <w:spacing w:after="0" w:line="282" w:lineRule="auto"/>
        <w:tabs>
          <w:tab w:leader="none" w:pos="1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4" w:right="120" w:firstLine="644"/>
        <w:spacing w:after="0" w:line="282" w:lineRule="auto"/>
        <w:tabs>
          <w:tab w:leader="none" w:pos="8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400" w:firstLine="644"/>
        <w:spacing w:after="0" w:line="282" w:lineRule="auto"/>
        <w:tabs>
          <w:tab w:leader="none" w:pos="9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12"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5" w:right="4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Quarterly Report on Form 10-Q for the period ended October 31, 2023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5"/>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2023-12-04T13:54:18Z</dcterms:created>
  <dcterms:modified xsi:type="dcterms:W3CDTF">2023-12-04T13:54:18Z</dcterms:modified>
</cp:coreProperties>
</file>