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60" w:right="1360" w:hanging="452"/>
        <w:spacing w:after="0" w:line="261"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2020</w:t>
      </w: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60" w:right="1360" w:hanging="452"/>
        <w:spacing w:after="0" w:line="493"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tbl>
      <w:tblPr>
        <w:tblLayout w:type="fixed"/>
        <w:tblInd w:w="110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Commission File Number 001-09097</w:t>
            </w:r>
          </w:p>
        </w:tc>
        <w:tc>
          <w:tcPr>
            <w:tcW w:w="1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16"/>
        </w:trPr>
        <w:tc>
          <w:tcPr>
            <w:tcW w:w="2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80" w:type="dxa"/>
            <w:vAlign w:val="bottom"/>
            <w:tcBorders>
              <w:bottom w:val="single" w:sz="8" w:color="auto"/>
            </w:tcBorders>
            <w:gridSpan w:val="3"/>
          </w:tcPr>
          <w:p>
            <w:pPr>
              <w:spacing w:after="0"/>
              <w:rPr>
                <w:sz w:val="18"/>
                <w:szCs w:val="18"/>
                <w:color w:val="auto"/>
              </w:rPr>
            </w:pPr>
          </w:p>
        </w:tc>
        <w:tc>
          <w:tcPr>
            <w:tcW w:w="3340" w:type="dxa"/>
            <w:vAlign w:val="bottom"/>
          </w:tcPr>
          <w:p>
            <w:pPr>
              <w:spacing w:after="0"/>
              <w:rPr>
                <w:sz w:val="18"/>
                <w:szCs w:val="18"/>
                <w:color w:val="auto"/>
              </w:rPr>
            </w:pPr>
          </w:p>
        </w:tc>
      </w:tr>
      <w:tr>
        <w:trPr>
          <w:trHeight w:val="272"/>
        </w:trPr>
        <w:tc>
          <w:tcPr>
            <w:tcW w:w="2380" w:type="dxa"/>
            <w:vAlign w:val="bottom"/>
          </w:tcPr>
          <w:p>
            <w:pPr>
              <w:spacing w:after="0"/>
              <w:rPr>
                <w:sz w:val="23"/>
                <w:szCs w:val="23"/>
                <w:color w:val="auto"/>
              </w:rPr>
            </w:pPr>
          </w:p>
        </w:tc>
        <w:tc>
          <w:tcPr>
            <w:tcW w:w="7180" w:type="dxa"/>
            <w:vAlign w:val="bottom"/>
            <w:gridSpan w:val="5"/>
          </w:tcPr>
          <w:p>
            <w:pPr>
              <w:jc w:val="center"/>
              <w:ind w:right="2790"/>
              <w:spacing w:after="0"/>
              <w:rPr>
                <w:sz w:val="20"/>
                <w:szCs w:val="20"/>
                <w:color w:val="auto"/>
              </w:rPr>
            </w:pPr>
            <w:r>
              <w:rPr>
                <w:rFonts w:ascii="Arial" w:cs="Arial" w:eastAsia="Arial" w:hAnsi="Arial"/>
                <w:sz w:val="18"/>
                <w:szCs w:val="18"/>
                <w:b w:val="1"/>
                <w:bCs w:val="1"/>
                <w:color w:val="auto"/>
                <w:w w:val="99"/>
              </w:rPr>
              <w:t>REX AMERICAN RESOURCES CORPORATION</w:t>
            </w:r>
          </w:p>
        </w:tc>
      </w:tr>
      <w:tr>
        <w:trPr>
          <w:trHeight w:val="234"/>
        </w:trPr>
        <w:tc>
          <w:tcPr>
            <w:tcW w:w="2380" w:type="dxa"/>
            <w:vAlign w:val="bottom"/>
          </w:tcPr>
          <w:p>
            <w:pPr>
              <w:spacing w:after="0"/>
              <w:rPr>
                <w:sz w:val="20"/>
                <w:szCs w:val="20"/>
                <w:color w:val="auto"/>
              </w:rPr>
            </w:pPr>
          </w:p>
        </w:tc>
        <w:tc>
          <w:tcPr>
            <w:tcW w:w="7180" w:type="dxa"/>
            <w:vAlign w:val="bottom"/>
            <w:gridSpan w:val="5"/>
          </w:tcPr>
          <w:p>
            <w:pPr>
              <w:jc w:val="center"/>
              <w:ind w:right="27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0"/>
        </w:trPr>
        <w:tc>
          <w:tcPr>
            <w:tcW w:w="2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21"/>
        </w:trPr>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Delaware</w:t>
            </w:r>
          </w:p>
        </w:tc>
        <w:tc>
          <w:tcPr>
            <w:tcW w:w="4460" w:type="dxa"/>
            <w:vAlign w:val="bottom"/>
            <w:gridSpan w:val="3"/>
          </w:tcPr>
          <w:p>
            <w:pPr>
              <w:jc w:val="center"/>
              <w:ind w:right="2570"/>
              <w:spacing w:after="0"/>
              <w:rPr>
                <w:sz w:val="20"/>
                <w:szCs w:val="20"/>
                <w:color w:val="auto"/>
              </w:rPr>
            </w:pPr>
            <w:r>
              <w:rPr>
                <w:rFonts w:ascii="Arial" w:cs="Arial" w:eastAsia="Arial" w:hAnsi="Arial"/>
                <w:sz w:val="18"/>
                <w:szCs w:val="18"/>
                <w:b w:val="1"/>
                <w:bCs w:val="1"/>
                <w:color w:val="auto"/>
                <w:w w:val="91"/>
              </w:rPr>
              <w:t>31-1095548</w:t>
            </w:r>
          </w:p>
        </w:tc>
      </w:tr>
      <w:tr>
        <w:trPr>
          <w:trHeight w:val="216"/>
        </w:trPr>
        <w:tc>
          <w:tcPr>
            <w:tcW w:w="510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91"/>
              </w:rPr>
              <w:t>(State or other jurisdiction of</w:t>
            </w:r>
          </w:p>
        </w:tc>
        <w:tc>
          <w:tcPr>
            <w:tcW w:w="4460" w:type="dxa"/>
            <w:vAlign w:val="bottom"/>
            <w:gridSpan w:val="3"/>
          </w:tcPr>
          <w:p>
            <w:pPr>
              <w:jc w:val="center"/>
              <w:ind w:right="25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10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91"/>
              </w:rPr>
              <w:t>incorporation or organization)</w:t>
            </w:r>
          </w:p>
        </w:tc>
        <w:tc>
          <w:tcPr>
            <w:tcW w:w="4460" w:type="dxa"/>
            <w:vAlign w:val="bottom"/>
            <w:gridSpan w:val="3"/>
          </w:tcPr>
          <w:p>
            <w:pPr>
              <w:jc w:val="center"/>
              <w:ind w:right="259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2380" w:type="dxa"/>
            <w:vAlign w:val="bottom"/>
          </w:tcPr>
          <w:p>
            <w:pPr>
              <w:spacing w:after="0"/>
              <w:rPr>
                <w:sz w:val="24"/>
                <w:szCs w:val="24"/>
                <w:color w:val="auto"/>
              </w:rPr>
            </w:pPr>
          </w:p>
        </w:tc>
        <w:tc>
          <w:tcPr>
            <w:tcW w:w="36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7720 Paragon Road, Dayton, Ohio</w:t>
            </w:r>
          </w:p>
        </w:tc>
        <w:tc>
          <w:tcPr>
            <w:tcW w:w="3500" w:type="dxa"/>
            <w:vAlign w:val="bottom"/>
            <w:gridSpan w:val="2"/>
          </w:tcPr>
          <w:p>
            <w:pPr>
              <w:jc w:val="right"/>
              <w:ind w:right="2630"/>
              <w:spacing w:after="0"/>
              <w:rPr>
                <w:sz w:val="20"/>
                <w:szCs w:val="20"/>
                <w:color w:val="auto"/>
              </w:rPr>
            </w:pPr>
            <w:r>
              <w:rPr>
                <w:rFonts w:ascii="Arial" w:cs="Arial" w:eastAsia="Arial" w:hAnsi="Arial"/>
                <w:sz w:val="18"/>
                <w:szCs w:val="18"/>
                <w:b w:val="1"/>
                <w:bCs w:val="1"/>
                <w:color w:val="auto"/>
              </w:rPr>
              <w:t>45459</w:t>
            </w:r>
          </w:p>
        </w:tc>
      </w:tr>
      <w:tr>
        <w:trPr>
          <w:trHeight w:val="234"/>
        </w:trPr>
        <w:tc>
          <w:tcPr>
            <w:tcW w:w="2380" w:type="dxa"/>
            <w:vAlign w:val="bottom"/>
          </w:tcPr>
          <w:p>
            <w:pPr>
              <w:spacing w:after="0"/>
              <w:rPr>
                <w:sz w:val="20"/>
                <w:szCs w:val="20"/>
                <w:color w:val="auto"/>
              </w:rPr>
            </w:pPr>
          </w:p>
        </w:tc>
        <w:tc>
          <w:tcPr>
            <w:tcW w:w="36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500" w:type="dxa"/>
            <w:vAlign w:val="bottom"/>
            <w:gridSpan w:val="2"/>
          </w:tcPr>
          <w:p>
            <w:pPr>
              <w:jc w:val="center"/>
              <w:ind w:right="2310"/>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2380" w:type="dxa"/>
            <w:vAlign w:val="bottom"/>
          </w:tcPr>
          <w:p>
            <w:pPr>
              <w:spacing w:after="0"/>
              <w:rPr>
                <w:sz w:val="24"/>
                <w:szCs w:val="24"/>
                <w:color w:val="auto"/>
              </w:rPr>
            </w:pPr>
          </w:p>
        </w:tc>
        <w:tc>
          <w:tcPr>
            <w:tcW w:w="272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w w:val="90"/>
              </w:rPr>
              <w:t>(937) 276-3931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7180" w:type="dxa"/>
            <w:vAlign w:val="bottom"/>
            <w:gridSpan w:val="5"/>
          </w:tcPr>
          <w:p>
            <w:pPr>
              <w:jc w:val="center"/>
              <w:ind w:right="279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414"/>
        </w:trPr>
        <w:tc>
          <w:tcPr>
            <w:tcW w:w="2380" w:type="dxa"/>
            <w:vAlign w:val="bottom"/>
          </w:tcPr>
          <w:p>
            <w:pPr>
              <w:spacing w:after="0"/>
              <w:rPr>
                <w:sz w:val="24"/>
                <w:szCs w:val="24"/>
                <w:color w:val="auto"/>
              </w:rPr>
            </w:pPr>
          </w:p>
        </w:tc>
        <w:tc>
          <w:tcPr>
            <w:tcW w:w="7180" w:type="dxa"/>
            <w:vAlign w:val="bottom"/>
            <w:gridSpan w:val="5"/>
          </w:tcPr>
          <w:p>
            <w:pPr>
              <w:jc w:val="center"/>
              <w:ind w:right="279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20"/>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60" w:type="dxa"/>
            <w:vAlign w:val="bottom"/>
          </w:tcPr>
          <w:p>
            <w:pPr>
              <w:spacing w:after="0"/>
              <w:rPr>
                <w:sz w:val="19"/>
                <w:szCs w:val="19"/>
                <w:color w:val="auto"/>
              </w:rPr>
            </w:pPr>
          </w:p>
        </w:tc>
        <w:tc>
          <w:tcPr>
            <w:tcW w:w="32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Trading Symbol(s)</w:t>
            </w:r>
          </w:p>
        </w:tc>
        <w:tc>
          <w:tcPr>
            <w:tcW w:w="16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38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460" w:type="dxa"/>
            <w:vAlign w:val="bottom"/>
          </w:tcPr>
          <w:p>
            <w:pPr>
              <w:spacing w:after="0"/>
              <w:rPr>
                <w:sz w:val="20"/>
                <w:szCs w:val="20"/>
                <w:color w:val="auto"/>
              </w:rPr>
            </w:pPr>
          </w:p>
        </w:tc>
        <w:tc>
          <w:tcPr>
            <w:tcW w:w="2260" w:type="dxa"/>
            <w:vAlign w:val="bottom"/>
          </w:tcPr>
          <w:p>
            <w:pPr>
              <w:jc w:val="center"/>
              <w:ind w:left="1050"/>
              <w:spacing w:after="0"/>
              <w:rPr>
                <w:sz w:val="20"/>
                <w:szCs w:val="20"/>
                <w:color w:val="auto"/>
              </w:rPr>
            </w:pPr>
            <w:r>
              <w:rPr>
                <w:rFonts w:ascii="Arial" w:cs="Arial" w:eastAsia="Arial" w:hAnsi="Arial"/>
                <w:sz w:val="18"/>
                <w:szCs w:val="18"/>
                <w:color w:val="auto"/>
                <w:w w:val="97"/>
              </w:rPr>
              <w:t>REX</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137160</wp:posOffset>
            </wp:positionV>
            <wp:extent cx="2143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03"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41" w:lineRule="exact"/>
        <w:rPr>
          <w:sz w:val="24"/>
          <w:szCs w:val="24"/>
          <w:color w:val="auto"/>
        </w:rPr>
      </w:pPr>
    </w:p>
    <w:p>
      <w:pPr>
        <w:spacing w:after="0" w:line="207" w:lineRule="exact"/>
        <w:tabs>
          <w:tab w:leader="none" w:pos="9900" w:val="left"/>
        </w:tabs>
        <w:rPr>
          <w:sz w:val="20"/>
          <w:szCs w:val="20"/>
          <w:color w:val="auto"/>
        </w:rPr>
      </w:pPr>
      <w:r>
        <w:rPr>
          <w:rFonts w:ascii="Arial" w:cs="Arial" w:eastAsia="Arial" w:hAnsi="Arial"/>
          <w:sz w:val="18"/>
          <w:szCs w:val="18"/>
          <w:color w:val="auto"/>
        </w:rPr>
        <w:t>Regulation S-T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980"/>
          </w:cols>
          <w:pgMar w:left="320" w:top="499" w:right="599" w:bottom="1440" w:gutter="0" w:footer="0" w:header="0"/>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700" w:space="720"/>
            <w:col w:w="4560"/>
          </w:cols>
          <w:pgMar w:left="320" w:top="499" w:right="599" w:bottom="1440" w:gutter="0" w:footer="0" w:header="0"/>
          <w:type w:val="continuous"/>
        </w:sectPr>
      </w:pPr>
    </w:p>
    <w:p>
      <w:pPr>
        <w:spacing w:after="0" w:line="3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At the close of business on December 3, 2020 the registrant had 5,992,002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99" w:right="5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3"/>
                <w:szCs w:val="23"/>
                <w:color w:val="auto"/>
              </w:rPr>
            </w:pPr>
          </w:p>
        </w:tc>
        <w:tc>
          <w:tcPr>
            <w:tcW w:w="8860" w:type="dxa"/>
            <w:vAlign w:val="bottom"/>
          </w:tcPr>
          <w:p>
            <w:pPr>
              <w:jc w:val="center"/>
              <w:ind w:left="372"/>
              <w:spacing w:after="0"/>
              <w:rPr>
                <w:sz w:val="20"/>
                <w:szCs w:val="20"/>
                <w:color w:val="auto"/>
              </w:rPr>
            </w:pPr>
            <w:r>
              <w:rPr>
                <w:rFonts w:ascii="Arial" w:cs="Arial" w:eastAsia="Arial" w:hAnsi="Arial"/>
                <w:sz w:val="22"/>
                <w:szCs w:val="22"/>
                <w:color w:val="auto"/>
                <w:w w:val="94"/>
              </w:rPr>
              <w:t>REX AMERICAN RESOURCES CORPORATION AND SUBSIDIARIES</w:t>
            </w:r>
          </w:p>
        </w:tc>
        <w:tc>
          <w:tcPr>
            <w:tcW w:w="1420" w:type="dxa"/>
            <w:vAlign w:val="bottom"/>
          </w:tcPr>
          <w:p>
            <w:pPr>
              <w:spacing w:after="0"/>
              <w:rPr>
                <w:sz w:val="23"/>
                <w:szCs w:val="23"/>
                <w:color w:val="auto"/>
              </w:rPr>
            </w:pPr>
          </w:p>
        </w:tc>
      </w:tr>
      <w:tr>
        <w:trPr>
          <w:trHeight w:val="459"/>
        </w:trPr>
        <w:tc>
          <w:tcPr>
            <w:tcW w:w="960" w:type="dxa"/>
            <w:vAlign w:val="bottom"/>
          </w:tcPr>
          <w:p>
            <w:pPr>
              <w:spacing w:after="0"/>
              <w:rPr>
                <w:sz w:val="24"/>
                <w:szCs w:val="24"/>
                <w:color w:val="auto"/>
              </w:rPr>
            </w:pPr>
          </w:p>
        </w:tc>
        <w:tc>
          <w:tcPr>
            <w:tcW w:w="8860" w:type="dxa"/>
            <w:vAlign w:val="bottom"/>
          </w:tcPr>
          <w:p>
            <w:pPr>
              <w:jc w:val="center"/>
              <w:ind w:left="352"/>
              <w:spacing w:after="0"/>
              <w:rPr>
                <w:sz w:val="20"/>
                <w:szCs w:val="20"/>
                <w:color w:val="auto"/>
              </w:rPr>
            </w:pPr>
            <w:r>
              <w:rPr>
                <w:rFonts w:ascii="Arial" w:cs="Arial" w:eastAsia="Arial" w:hAnsi="Arial"/>
                <w:sz w:val="22"/>
                <w:szCs w:val="22"/>
                <w:color w:val="auto"/>
              </w:rPr>
              <w:t>INDEX</w:t>
            </w:r>
          </w:p>
        </w:tc>
        <w:tc>
          <w:tcPr>
            <w:tcW w:w="1420" w:type="dxa"/>
            <w:vAlign w:val="bottom"/>
          </w:tcPr>
          <w:p>
            <w:pPr>
              <w:spacing w:after="0"/>
              <w:rPr>
                <w:sz w:val="24"/>
                <w:szCs w:val="24"/>
                <w:color w:val="auto"/>
              </w:rPr>
            </w:pPr>
          </w:p>
        </w:tc>
      </w:tr>
      <w:tr>
        <w:trPr>
          <w:trHeight w:val="459"/>
        </w:trPr>
        <w:tc>
          <w:tcPr>
            <w:tcW w:w="9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PART I.</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INFORMATION</w:t>
              </w:r>
            </w:hyperlink>
          </w:p>
        </w:tc>
        <w:tc>
          <w:tcPr>
            <w:tcW w:w="1420" w:type="dxa"/>
            <w:vAlign w:val="bottom"/>
          </w:tcPr>
          <w:p>
            <w:pPr>
              <w:spacing w:after="0"/>
              <w:rPr>
                <w:sz w:val="24"/>
                <w:szCs w:val="24"/>
                <w:color w:val="auto"/>
              </w:rPr>
            </w:pP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Item 1.</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Statements</w:t>
              </w:r>
            </w:hyperlink>
          </w:p>
        </w:tc>
        <w:tc>
          <w:tcPr>
            <w:tcW w:w="1420" w:type="dxa"/>
            <w:vAlign w:val="bottom"/>
          </w:tcPr>
          <w:p>
            <w:pPr>
              <w:spacing w:after="0"/>
              <w:rPr>
                <w:sz w:val="24"/>
                <w:szCs w:val="24"/>
                <w:color w:val="auto"/>
              </w:rPr>
            </w:pPr>
          </w:p>
        </w:tc>
      </w:tr>
      <w:tr>
        <w:trPr>
          <w:trHeight w:val="455"/>
        </w:trPr>
        <w:tc>
          <w:tcPr>
            <w:tcW w:w="960" w:type="dxa"/>
            <w:vAlign w:val="bottom"/>
          </w:tcPr>
          <w:p>
            <w:pPr>
              <w:spacing w:after="0"/>
              <w:rPr>
                <w:sz w:val="24"/>
                <w:szCs w:val="24"/>
                <w:color w:val="auto"/>
              </w:rPr>
            </w:pPr>
          </w:p>
        </w:tc>
        <w:tc>
          <w:tcPr>
            <w:tcW w:w="8860" w:type="dxa"/>
            <w:vAlign w:val="bottom"/>
          </w:tcPr>
          <w:p>
            <w:pPr>
              <w:ind w:left="18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Consolidated Condensed Balance Sheets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960" w:type="dxa"/>
            <w:vAlign w:val="bottom"/>
          </w:tcPr>
          <w:p>
            <w:pPr>
              <w:spacing w:after="0"/>
              <w:rPr>
                <w:sz w:val="21"/>
                <w:szCs w:val="21"/>
                <w:color w:val="auto"/>
              </w:rPr>
            </w:pPr>
          </w:p>
        </w:tc>
        <w:tc>
          <w:tcPr>
            <w:tcW w:w="8860" w:type="dxa"/>
            <w:vAlign w:val="bottom"/>
          </w:tcPr>
          <w:p>
            <w:pPr>
              <w:ind w:left="180"/>
              <w:spacing w:after="0" w:line="243" w:lineRule="exact"/>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Consolidated Condensed Statements of Operations</w:t>
              </w:r>
            </w:hyperlink>
          </w:p>
        </w:tc>
        <w:tc>
          <w:tcPr>
            <w:tcW w:w="142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960" w:type="dxa"/>
            <w:vAlign w:val="bottom"/>
          </w:tcPr>
          <w:p>
            <w:pPr>
              <w:spacing w:after="0"/>
              <w:rPr>
                <w:sz w:val="21"/>
                <w:szCs w:val="21"/>
                <w:color w:val="auto"/>
              </w:rPr>
            </w:pPr>
          </w:p>
        </w:tc>
        <w:tc>
          <w:tcPr>
            <w:tcW w:w="8860" w:type="dxa"/>
            <w:vAlign w:val="bottom"/>
          </w:tcPr>
          <w:p>
            <w:pPr>
              <w:ind w:left="180"/>
              <w:spacing w:after="0" w:line="243" w:lineRule="exact"/>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Consolidated Condensed Statements of Equity</w:t>
              </w:r>
            </w:hyperlink>
          </w:p>
        </w:tc>
        <w:tc>
          <w:tcPr>
            <w:tcW w:w="142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960" w:type="dxa"/>
            <w:vAlign w:val="bottom"/>
          </w:tcPr>
          <w:p>
            <w:pPr>
              <w:spacing w:after="0"/>
              <w:rPr>
                <w:sz w:val="21"/>
                <w:szCs w:val="21"/>
                <w:color w:val="auto"/>
              </w:rPr>
            </w:pPr>
          </w:p>
        </w:tc>
        <w:tc>
          <w:tcPr>
            <w:tcW w:w="8860" w:type="dxa"/>
            <w:vAlign w:val="bottom"/>
          </w:tcPr>
          <w:p>
            <w:pPr>
              <w:ind w:left="180"/>
              <w:spacing w:after="0" w:line="243" w:lineRule="exact"/>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Consolidated Condensed Statements of Cash Flows</w:t>
              </w:r>
            </w:hyperlink>
          </w:p>
        </w:tc>
        <w:tc>
          <w:tcPr>
            <w:tcW w:w="142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74"/>
        </w:trPr>
        <w:tc>
          <w:tcPr>
            <w:tcW w:w="960" w:type="dxa"/>
            <w:vAlign w:val="bottom"/>
          </w:tcPr>
          <w:p>
            <w:pPr>
              <w:spacing w:after="0"/>
              <w:rPr>
                <w:sz w:val="23"/>
                <w:szCs w:val="23"/>
                <w:color w:val="auto"/>
              </w:rPr>
            </w:pPr>
          </w:p>
        </w:tc>
        <w:tc>
          <w:tcPr>
            <w:tcW w:w="8860" w:type="dxa"/>
            <w:vAlign w:val="bottom"/>
          </w:tcPr>
          <w:p>
            <w:pPr>
              <w:ind w:left="180"/>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Consolidated Condensed Financial Statements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2.</w:t>
              </w:r>
            </w:hyperlink>
          </w:p>
        </w:tc>
        <w:tc>
          <w:tcPr>
            <w:tcW w:w="8860" w:type="dxa"/>
            <w:vAlign w:val="bottom"/>
          </w:tcPr>
          <w:p>
            <w:pPr>
              <w:ind w:left="180"/>
              <w:spacing w:after="0"/>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Management’s Discussion and Analysis of Financial Condition and Results of Operations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Item 3.</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Quantitative and Qualitative Disclosures About Market Risk</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Item 4.</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Controls and Procedures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PART II.</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OTHER INFORMATION</w:t>
              </w:r>
            </w:hyperlink>
          </w:p>
        </w:tc>
        <w:tc>
          <w:tcPr>
            <w:tcW w:w="1420" w:type="dxa"/>
            <w:vAlign w:val="bottom"/>
          </w:tcPr>
          <w:p>
            <w:pPr>
              <w:spacing w:after="0"/>
              <w:rPr>
                <w:sz w:val="24"/>
                <w:szCs w:val="24"/>
                <w:color w:val="auto"/>
              </w:rPr>
            </w:pP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1.</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Legal Proceedings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1A.</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Risk Factors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2.</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Unregistered Sales of Equity Securities and Use of Proceeds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3.</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Defaults upon Senior Securities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4.</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Mine Safety Disclosures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5.</w:t>
              </w:r>
            </w:hyperlink>
          </w:p>
        </w:tc>
        <w:tc>
          <w:tcPr>
            <w:tcW w:w="8860" w:type="dxa"/>
            <w:vAlign w:val="bottom"/>
          </w:tcPr>
          <w:p>
            <w:pPr>
              <w:ind w:left="18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Other Information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60" w:type="dxa"/>
            <w:vAlign w:val="bottom"/>
          </w:tcPr>
          <w:p>
            <w:pPr>
              <w:spacing w:after="0"/>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Item 6.</w:t>
              </w:r>
            </w:hyperlink>
          </w:p>
        </w:tc>
        <w:tc>
          <w:tcPr>
            <w:tcW w:w="8860" w:type="dxa"/>
            <w:vAlign w:val="bottom"/>
          </w:tcPr>
          <w:p>
            <w:pPr>
              <w:ind w:left="180"/>
              <w:spacing w:after="0"/>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Exhibits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32"/>
        </w:trPr>
        <w:tc>
          <w:tcPr>
            <w:tcW w:w="960" w:type="dxa"/>
            <w:vAlign w:val="bottom"/>
          </w:tcPr>
          <w:p>
            <w:pPr>
              <w:spacing w:after="0"/>
              <w:rPr>
                <w:sz w:val="24"/>
                <w:szCs w:val="24"/>
                <w:color w:val="auto"/>
              </w:rPr>
            </w:pPr>
          </w:p>
        </w:tc>
        <w:tc>
          <w:tcPr>
            <w:tcW w:w="8860" w:type="dxa"/>
            <w:vAlign w:val="bottom"/>
          </w:tcPr>
          <w:p>
            <w:pPr>
              <w:jc w:val="center"/>
              <w:ind w:left="372"/>
              <w:spacing w:after="0"/>
              <w:rPr>
                <w:sz w:val="20"/>
                <w:szCs w:val="20"/>
                <w:color w:val="auto"/>
              </w:rPr>
            </w:pPr>
            <w:r>
              <w:rPr>
                <w:rFonts w:ascii="Arial" w:cs="Arial" w:eastAsia="Arial" w:hAnsi="Arial"/>
                <w:sz w:val="22"/>
                <w:szCs w:val="22"/>
                <w:color w:val="auto"/>
                <w:w w:val="81"/>
              </w:rPr>
              <w:t>2</w:t>
            </w:r>
          </w:p>
        </w:tc>
        <w:tc>
          <w:tcPr>
            <w:tcW w:w="1420" w:type="dxa"/>
            <w:vAlign w:val="bottom"/>
          </w:tcPr>
          <w:p>
            <w:pPr>
              <w:spacing w:after="0"/>
              <w:rPr>
                <w:sz w:val="24"/>
                <w:szCs w:val="24"/>
                <w:color w:val="auto"/>
              </w:rPr>
            </w:pPr>
          </w:p>
        </w:tc>
      </w:tr>
      <w:tr>
        <w:trPr>
          <w:trHeight w:val="240"/>
        </w:trPr>
        <w:tc>
          <w:tcPr>
            <w:tcW w:w="960" w:type="dxa"/>
            <w:vAlign w:val="bottom"/>
            <w:tcBorders>
              <w:bottom w:val="single" w:sz="8" w:color="C0C0C0"/>
            </w:tcBorders>
          </w:tcPr>
          <w:p>
            <w:pPr>
              <w:spacing w:after="0"/>
              <w:rPr>
                <w:sz w:val="20"/>
                <w:szCs w:val="20"/>
                <w:color w:val="auto"/>
              </w:rPr>
            </w:pPr>
          </w:p>
        </w:tc>
        <w:tc>
          <w:tcPr>
            <w:tcW w:w="886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410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46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46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4"/>
                <w:szCs w:val="24"/>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4"/>
              </w:rPr>
              <w:t>October 31,</w:t>
            </w: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8460" w:type="dxa"/>
            <w:vAlign w:val="bottom"/>
            <w:tcBorders>
              <w:bottom w:val="single" w:sz="8" w:color="E5FFFF"/>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5FFFF"/>
            </w:tcBorders>
          </w:tcPr>
          <w:p>
            <w:pPr>
              <w:spacing w:after="0"/>
              <w:rPr>
                <w:sz w:val="20"/>
                <w:szCs w:val="20"/>
                <w:color w:val="auto"/>
              </w:rPr>
            </w:pPr>
          </w:p>
        </w:tc>
      </w:tr>
      <w:tr>
        <w:trPr>
          <w:trHeight w:val="210"/>
        </w:trPr>
        <w:tc>
          <w:tcPr>
            <w:tcW w:w="846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173,075</w:t>
            </w:r>
          </w:p>
        </w:tc>
        <w:tc>
          <w:tcPr>
            <w:tcW w:w="180" w:type="dxa"/>
            <w:vAlign w:val="bottom"/>
            <w:shd w:val="clear" w:color="auto" w:fill="E5FF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179,658</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29,216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26,073</w:t>
            </w:r>
          </w:p>
        </w:tc>
      </w:tr>
      <w:tr>
        <w:trPr>
          <w:trHeight w:val="216"/>
        </w:trPr>
        <w:tc>
          <w:tcPr>
            <w:tcW w:w="8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1,113</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12,496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12,969</w:t>
            </w:r>
          </w:p>
        </w:tc>
      </w:tr>
      <w:tr>
        <w:trPr>
          <w:trHeight w:val="216"/>
        </w:trPr>
        <w:tc>
          <w:tcPr>
            <w:tcW w:w="8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21,616</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35,634</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5,947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6,029</w:t>
            </w:r>
          </w:p>
        </w:tc>
      </w:tr>
      <w:tr>
        <w:trPr>
          <w:trHeight w:val="229"/>
        </w:trPr>
        <w:tc>
          <w:tcPr>
            <w:tcW w:w="8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9,771</w:t>
            </w:r>
          </w:p>
        </w:tc>
        <w:tc>
          <w:tcPr>
            <w:tcW w:w="18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9,659</w:t>
            </w:r>
          </w:p>
        </w:tc>
      </w:tr>
      <w:tr>
        <w:trPr>
          <w:trHeight w:val="210"/>
        </w:trPr>
        <w:tc>
          <w:tcPr>
            <w:tcW w:w="84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253,005</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271,135</w:t>
            </w:r>
          </w:p>
        </w:tc>
        <w:tc>
          <w:tcPr>
            <w:tcW w:w="100" w:type="dxa"/>
            <w:vAlign w:val="bottom"/>
          </w:tcPr>
          <w:p>
            <w:pPr>
              <w:spacing w:after="0"/>
              <w:rPr>
                <w:sz w:val="18"/>
                <w:szCs w:val="18"/>
                <w:color w:val="auto"/>
              </w:rPr>
            </w:pPr>
          </w:p>
        </w:tc>
      </w:tr>
      <w:tr>
        <w:trPr>
          <w:trHeight w:val="216"/>
        </w:trPr>
        <w:tc>
          <w:tcPr>
            <w:tcW w:w="846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154,401</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163,327</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14,054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16,173</w:t>
            </w:r>
          </w:p>
        </w:tc>
      </w:tr>
      <w:tr>
        <w:trPr>
          <w:trHeight w:val="216"/>
        </w:trPr>
        <w:tc>
          <w:tcPr>
            <w:tcW w:w="8460" w:type="dxa"/>
            <w:vAlign w:val="bottom"/>
            <w:shd w:val="clear" w:color="auto" w:fill="E5FFFF"/>
          </w:tcPr>
          <w:p>
            <w:pPr>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22,297</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17,061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1,278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29"/>
        </w:trPr>
        <w:tc>
          <w:tcPr>
            <w:tcW w:w="8460" w:type="dxa"/>
            <w:vAlign w:val="bottom"/>
            <w:shd w:val="clear" w:color="auto" w:fill="E5FFFF"/>
          </w:tcPr>
          <w:p>
            <w:pPr>
              <w:spacing w:after="0"/>
              <w:rPr>
                <w:sz w:val="20"/>
                <w:szCs w:val="20"/>
                <w:color w:val="auto"/>
              </w:rPr>
            </w:pPr>
            <w:r>
              <w:rPr>
                <w:rFonts w:ascii="Arial" w:cs="Arial" w:eastAsia="Arial" w:hAnsi="Arial"/>
                <w:sz w:val="18"/>
                <w:szCs w:val="18"/>
                <w:color w:val="auto"/>
              </w:rPr>
              <w:t>Equity method investment</w:t>
            </w:r>
          </w:p>
        </w:tc>
        <w:tc>
          <w:tcPr>
            <w:tcW w:w="2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30,126</w:t>
            </w:r>
          </w:p>
        </w:tc>
        <w:tc>
          <w:tcPr>
            <w:tcW w:w="18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32,464</w:t>
            </w:r>
          </w:p>
        </w:tc>
      </w:tr>
      <w:tr>
        <w:trPr>
          <w:trHeight w:val="223"/>
        </w:trPr>
        <w:tc>
          <w:tcPr>
            <w:tcW w:w="84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475,161</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500,502</w:t>
            </w:r>
          </w:p>
        </w:tc>
        <w:tc>
          <w:tcPr>
            <w:tcW w:w="10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60" w:type="dxa"/>
            <w:vAlign w:val="bottom"/>
            <w:shd w:val="clear" w:color="auto" w:fill="E5FFFF"/>
          </w:tcPr>
          <w:p>
            <w:pPr>
              <w:spacing w:after="0"/>
              <w:rPr>
                <w:sz w:val="20"/>
                <w:szCs w:val="20"/>
                <w:color w:val="auto"/>
              </w:rPr>
            </w:pPr>
            <w:r>
              <w:rPr>
                <w:rFonts w:ascii="Arial" w:cs="Arial" w:eastAsia="Arial" w:hAnsi="Arial"/>
                <w:sz w:val="18"/>
                <w:szCs w:val="18"/>
                <w:color w:val="auto"/>
              </w:rPr>
              <w:t>Liabilities and equity:</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46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w w:val="91"/>
              </w:rPr>
              <w:t>Accounts payable, trade (includes $777 and $686 with related parties at October 31, 2020 and January 31, 2020,</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0"/>
        </w:trPr>
        <w:tc>
          <w:tcPr>
            <w:tcW w:w="8460" w:type="dxa"/>
            <w:vAlign w:val="bottom"/>
            <w:shd w:val="clear" w:color="auto" w:fill="E5FFFF"/>
          </w:tcPr>
          <w:p>
            <w:pPr>
              <w:ind w:left="360"/>
              <w:spacing w:after="0"/>
              <w:rPr>
                <w:sz w:val="20"/>
                <w:szCs w:val="20"/>
                <w:color w:val="auto"/>
              </w:rPr>
            </w:pPr>
            <w:r>
              <w:rPr>
                <w:rFonts w:ascii="Arial" w:cs="Arial" w:eastAsia="Arial" w:hAnsi="Arial"/>
                <w:sz w:val="18"/>
                <w:szCs w:val="18"/>
                <w:color w:val="auto"/>
              </w:rPr>
              <w:t>respectively)</w:t>
            </w:r>
          </w:p>
        </w:tc>
        <w:tc>
          <w:tcPr>
            <w:tcW w:w="40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15,588</w:t>
            </w:r>
          </w:p>
        </w:tc>
        <w:tc>
          <w:tcPr>
            <w:tcW w:w="180" w:type="dxa"/>
            <w:vAlign w:val="bottom"/>
            <w:shd w:val="clear" w:color="auto" w:fill="E5FF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18,900</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5,105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4,935</w:t>
            </w:r>
          </w:p>
        </w:tc>
      </w:tr>
      <w:tr>
        <w:trPr>
          <w:trHeight w:val="202"/>
        </w:trPr>
        <w:tc>
          <w:tcPr>
            <w:tcW w:w="846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w w:val="93"/>
              </w:rPr>
              <w:t>Accrued expenses and other current liabilities (includes $186 and $474 with related parties at October 31, 2020</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0"/>
        </w:trPr>
        <w:tc>
          <w:tcPr>
            <w:tcW w:w="8460" w:type="dxa"/>
            <w:vAlign w:val="bottom"/>
            <w:shd w:val="clear" w:color="auto" w:fill="E5FFFF"/>
          </w:tcPr>
          <w:p>
            <w:pPr>
              <w:ind w:left="360"/>
              <w:spacing w:after="0"/>
              <w:rPr>
                <w:sz w:val="20"/>
                <w:szCs w:val="20"/>
                <w:color w:val="auto"/>
              </w:rPr>
            </w:pPr>
            <w:r>
              <w:rPr>
                <w:rFonts w:ascii="Arial" w:cs="Arial" w:eastAsia="Arial" w:hAnsi="Arial"/>
                <w:sz w:val="18"/>
                <w:szCs w:val="18"/>
                <w:color w:val="auto"/>
              </w:rPr>
              <w:t>and January 31, 2020, respectively)</w:t>
            </w:r>
          </w:p>
        </w:tc>
        <w:tc>
          <w:tcPr>
            <w:tcW w:w="2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6,049</w:t>
            </w:r>
          </w:p>
        </w:tc>
        <w:tc>
          <w:tcPr>
            <w:tcW w:w="180" w:type="dxa"/>
            <w:vAlign w:val="bottom"/>
            <w:shd w:val="clear" w:color="auto" w:fill="E5FFFF"/>
          </w:tcPr>
          <w:p>
            <w:pPr>
              <w:spacing w:after="0"/>
              <w:rPr>
                <w:sz w:val="20"/>
                <w:szCs w:val="20"/>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7,764</w:t>
            </w:r>
          </w:p>
        </w:tc>
      </w:tr>
      <w:tr>
        <w:trPr>
          <w:trHeight w:val="210"/>
        </w:trPr>
        <w:tc>
          <w:tcPr>
            <w:tcW w:w="846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26,742</w:t>
            </w:r>
          </w:p>
        </w:tc>
        <w:tc>
          <w:tcPr>
            <w:tcW w:w="460" w:type="dxa"/>
            <w:vAlign w:val="bottom"/>
            <w:tcBorders>
              <w:bottom w:val="single" w:sz="8" w:color="E5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31,599</w:t>
            </w:r>
          </w:p>
        </w:tc>
        <w:tc>
          <w:tcPr>
            <w:tcW w:w="100" w:type="dxa"/>
            <w:vAlign w:val="bottom"/>
            <w:tcBorders>
              <w:bottom w:val="single" w:sz="8" w:color="E5FFFF"/>
            </w:tcBorders>
          </w:tcPr>
          <w:p>
            <w:pPr>
              <w:spacing w:after="0"/>
              <w:rPr>
                <w:sz w:val="18"/>
                <w:szCs w:val="18"/>
                <w:color w:val="auto"/>
              </w:rPr>
            </w:pPr>
          </w:p>
        </w:tc>
      </w:tr>
      <w:tr>
        <w:trPr>
          <w:trHeight w:val="210"/>
        </w:trPr>
        <w:tc>
          <w:tcPr>
            <w:tcW w:w="8460" w:type="dxa"/>
            <w:vAlign w:val="bottom"/>
            <w:shd w:val="clear" w:color="auto" w:fill="E5FFFF"/>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4,138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4,334</w:t>
            </w:r>
          </w:p>
        </w:tc>
      </w:tr>
      <w:tr>
        <w:trPr>
          <w:trHeight w:val="216"/>
        </w:trPr>
        <w:tc>
          <w:tcPr>
            <w:tcW w:w="8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8,548</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10,688</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0"/>
        </w:trPr>
        <w:tc>
          <w:tcPr>
            <w:tcW w:w="846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12,968</w:t>
            </w:r>
          </w:p>
        </w:tc>
        <w:tc>
          <w:tcPr>
            <w:tcW w:w="46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REX shareholders’ equity:</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460" w:type="dxa"/>
            <w:vAlign w:val="bottom"/>
          </w:tcPr>
          <w:p>
            <w:pPr>
              <w:ind w:left="54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8460" w:type="dxa"/>
            <w:vAlign w:val="bottom"/>
            <w:shd w:val="clear" w:color="auto" w:fill="E5FFFF"/>
          </w:tcPr>
          <w:p>
            <w:pPr>
              <w:ind w:left="540"/>
              <w:spacing w:after="0"/>
              <w:rPr>
                <w:sz w:val="20"/>
                <w:szCs w:val="20"/>
                <w:color w:val="auto"/>
              </w:rPr>
            </w:pPr>
            <w:r>
              <w:rPr>
                <w:rFonts w:ascii="Arial" w:cs="Arial" w:eastAsia="Arial" w:hAnsi="Arial"/>
                <w:sz w:val="18"/>
                <w:szCs w:val="18"/>
                <w:color w:val="auto"/>
              </w:rPr>
              <w:t>Paid-in capital</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149,077</w:t>
            </w:r>
          </w:p>
        </w:tc>
        <w:tc>
          <w:tcPr>
            <w:tcW w:w="1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148,789</w:t>
            </w:r>
          </w:p>
        </w:tc>
      </w:tr>
      <w:tr>
        <w:trPr>
          <w:trHeight w:val="216"/>
        </w:trPr>
        <w:tc>
          <w:tcPr>
            <w:tcW w:w="8460" w:type="dxa"/>
            <w:vAlign w:val="bottom"/>
          </w:tcPr>
          <w:p>
            <w:pPr>
              <w:ind w:left="5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586,443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586,985</w:t>
            </w:r>
          </w:p>
        </w:tc>
      </w:tr>
      <w:tr>
        <w:trPr>
          <w:trHeight w:val="230"/>
        </w:trPr>
        <w:tc>
          <w:tcPr>
            <w:tcW w:w="8460" w:type="dxa"/>
            <w:vAlign w:val="bottom"/>
            <w:shd w:val="clear" w:color="auto" w:fill="E5FFFF"/>
          </w:tcPr>
          <w:p>
            <w:pPr>
              <w:ind w:left="540"/>
              <w:spacing w:after="0"/>
              <w:rPr>
                <w:sz w:val="20"/>
                <w:szCs w:val="20"/>
                <w:color w:val="auto"/>
              </w:rPr>
            </w:pPr>
            <w:r>
              <w:rPr>
                <w:rFonts w:ascii="Arial" w:cs="Arial" w:eastAsia="Arial" w:hAnsi="Arial"/>
                <w:sz w:val="18"/>
                <w:szCs w:val="18"/>
                <w:color w:val="auto"/>
              </w:rPr>
              <w:t>Treasury stock</w:t>
            </w:r>
          </w:p>
        </w:tc>
        <w:tc>
          <w:tcPr>
            <w:tcW w:w="2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(353,910)</w:t>
            </w:r>
          </w:p>
        </w:tc>
        <w:tc>
          <w:tcPr>
            <w:tcW w:w="18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(335,066)</w:t>
            </w:r>
          </w:p>
        </w:tc>
      </w:tr>
      <w:tr>
        <w:trPr>
          <w:trHeight w:val="210"/>
        </w:trPr>
        <w:tc>
          <w:tcPr>
            <w:tcW w:w="8460" w:type="dxa"/>
            <w:vAlign w:val="bottom"/>
          </w:tcPr>
          <w:p>
            <w:pPr>
              <w:ind w:left="720"/>
              <w:spacing w:after="0"/>
              <w:rPr>
                <w:sz w:val="20"/>
                <w:szCs w:val="20"/>
                <w:color w:val="auto"/>
              </w:rPr>
            </w:pPr>
            <w:r>
              <w:rPr>
                <w:rFonts w:ascii="Arial" w:cs="Arial" w:eastAsia="Arial" w:hAnsi="Arial"/>
                <w:sz w:val="18"/>
                <w:szCs w:val="18"/>
                <w:color w:val="auto"/>
              </w:rPr>
              <w:t>Total REX shareholders’ equity</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381,909</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401,007</w:t>
            </w:r>
          </w:p>
        </w:tc>
        <w:tc>
          <w:tcPr>
            <w:tcW w:w="100" w:type="dxa"/>
            <w:vAlign w:val="bottom"/>
          </w:tcPr>
          <w:p>
            <w:pPr>
              <w:spacing w:after="0"/>
              <w:rPr>
                <w:sz w:val="18"/>
                <w:szCs w:val="18"/>
                <w:color w:val="auto"/>
              </w:rPr>
            </w:pPr>
          </w:p>
        </w:tc>
      </w:tr>
      <w:tr>
        <w:trPr>
          <w:trHeight w:val="229"/>
        </w:trPr>
        <w:tc>
          <w:tcPr>
            <w:tcW w:w="8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53,542</w:t>
            </w:r>
          </w:p>
        </w:tc>
        <w:tc>
          <w:tcPr>
            <w:tcW w:w="18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52,599</w:t>
            </w:r>
          </w:p>
        </w:tc>
      </w:tr>
      <w:tr>
        <w:trPr>
          <w:trHeight w:val="210"/>
        </w:trPr>
        <w:tc>
          <w:tcPr>
            <w:tcW w:w="84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435,451</w:t>
            </w:r>
          </w:p>
        </w:tc>
        <w:tc>
          <w:tcPr>
            <w:tcW w:w="460" w:type="dxa"/>
            <w:vAlign w:val="bottom"/>
            <w:tcBorders>
              <w:bottom w:val="single" w:sz="8" w:color="E5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453,606</w:t>
            </w:r>
          </w:p>
        </w:tc>
        <w:tc>
          <w:tcPr>
            <w:tcW w:w="100" w:type="dxa"/>
            <w:vAlign w:val="bottom"/>
            <w:tcBorders>
              <w:bottom w:val="single" w:sz="8" w:color="E5FFFF"/>
            </w:tcBorders>
          </w:tcPr>
          <w:p>
            <w:pPr>
              <w:spacing w:after="0"/>
              <w:rPr>
                <w:sz w:val="18"/>
                <w:szCs w:val="18"/>
                <w:color w:val="auto"/>
              </w:rPr>
            </w:pPr>
          </w:p>
        </w:tc>
      </w:tr>
      <w:tr>
        <w:trPr>
          <w:trHeight w:val="223"/>
        </w:trPr>
        <w:tc>
          <w:tcPr>
            <w:tcW w:w="8460" w:type="dxa"/>
            <w:vAlign w:val="bottom"/>
            <w:tcBorders>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475,161</w:t>
            </w:r>
          </w:p>
        </w:tc>
        <w:tc>
          <w:tcPr>
            <w:tcW w:w="46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500,502</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r>
        <w:rPr>
          <w:rFonts w:ascii="Arial" w:cs="Arial" w:eastAsia="Arial" w:hAnsi="Arial"/>
          <w:sz w:val="19"/>
          <w:szCs w:val="19"/>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1"/>
              </w:rPr>
              <w:t>Three Months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Nine Months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0"/>
              </w:rPr>
              <w:t>Ended</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0"/>
              </w:rPr>
              <w:t>October 31,</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October 31,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2019</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40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124,251</w:t>
            </w:r>
          </w:p>
        </w:tc>
        <w:tc>
          <w:tcPr>
            <w:tcW w:w="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86,671</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246,828</w:t>
            </w:r>
          </w:p>
        </w:tc>
        <w:tc>
          <w:tcPr>
            <w:tcW w:w="300" w:type="dxa"/>
            <w:vAlign w:val="bottom"/>
            <w:shd w:val="clear" w:color="auto" w:fill="E5FF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297,114</w:t>
            </w:r>
          </w:p>
        </w:tc>
        <w:tc>
          <w:tcPr>
            <w:tcW w:w="0" w:type="dxa"/>
            <w:vAlign w:val="bottom"/>
          </w:tcPr>
          <w:p>
            <w:pPr>
              <w:spacing w:after="0"/>
              <w:rPr>
                <w:sz w:val="1"/>
                <w:szCs w:val="1"/>
                <w:color w:val="auto"/>
              </w:rPr>
            </w:pP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w w:val="97"/>
              </w:rPr>
              <w:t>Cost of sales (includes $16,861 and $58,536 with related parties for the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w w:val="95"/>
              </w:rPr>
              <w:t>quarters ended October 31, 2020 and 2019, respectively, and $34,021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w w:val="97"/>
              </w:rPr>
              <w:t>and $148,743 with related parties for the nine months ended October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60" w:type="dxa"/>
            <w:vAlign w:val="bottom"/>
          </w:tcPr>
          <w:p>
            <w:pPr>
              <w:ind w:left="180"/>
              <w:spacing w:after="0"/>
              <w:rPr>
                <w:sz w:val="20"/>
                <w:szCs w:val="20"/>
                <w:color w:val="auto"/>
              </w:rPr>
            </w:pPr>
            <w:r>
              <w:rPr>
                <w:rFonts w:ascii="Arial" w:cs="Arial" w:eastAsia="Arial" w:hAnsi="Arial"/>
                <w:sz w:val="18"/>
                <w:szCs w:val="18"/>
                <w:color w:val="auto"/>
              </w:rPr>
              <w:t>31, 2020 and 2019, respectively</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106,572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88,429</w:t>
            </w:r>
          </w:p>
        </w:tc>
        <w:tc>
          <w:tcPr>
            <w:tcW w:w="20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239,810</w:t>
            </w:r>
          </w:p>
        </w:tc>
        <w:tc>
          <w:tcPr>
            <w:tcW w:w="3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291,222</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Gross profit (loss)</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17,679</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7,018</w:t>
            </w:r>
          </w:p>
        </w:tc>
        <w:tc>
          <w:tcPr>
            <w:tcW w:w="30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w w:val="96"/>
              </w:rPr>
              <w:t>Selling, general and administrative expenses (includes $(15) and $(242)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w w:val="95"/>
              </w:rPr>
              <w:t>with related parties for the quarters ended October 31, 2020 and 2019,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respectively, and $(160) and $(577) with related parties for the nine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months ended October 31, 2020 and 2019,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(4,257)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(4,133)</w:t>
            </w:r>
          </w:p>
        </w:tc>
        <w:tc>
          <w:tcPr>
            <w:tcW w:w="2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(13,300)</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(13,629)</w:t>
            </w: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(loss) of unconsolidated affiliates</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1,152</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1,403</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15,111</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(4,904)</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(4,711)</w:t>
            </w:r>
          </w:p>
        </w:tc>
        <w:tc>
          <w:tcPr>
            <w:tcW w:w="30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(4,052)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3,231</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5,307</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9,401</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11,059</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(1,673)</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(2,218)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(1,138)</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Net income (loss) attributable to REX common shareholders</w:t>
            </w:r>
          </w:p>
        </w:tc>
        <w:tc>
          <w:tcPr>
            <w:tcW w:w="180" w:type="dxa"/>
            <w:vAlign w:val="bottom"/>
            <w:shd w:val="clear" w:color="auto" w:fill="E5FFFF"/>
          </w:tcPr>
          <w:p>
            <w:pPr>
              <w:spacing w:after="0"/>
              <w:rPr>
                <w:sz w:val="21"/>
                <w:szCs w:val="21"/>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8,841</w:t>
            </w:r>
          </w:p>
        </w:tc>
        <w:tc>
          <w:tcPr>
            <w:tcW w:w="220" w:type="dxa"/>
            <w:vAlign w:val="bottom"/>
            <w:shd w:val="clear" w:color="auto" w:fill="E5FFFF"/>
          </w:tcPr>
          <w:p>
            <w:pPr>
              <w:spacing w:after="0"/>
              <w:rPr>
                <w:sz w:val="21"/>
                <w:szCs w:val="21"/>
                <w:color w:val="auto"/>
              </w:rPr>
            </w:pPr>
          </w:p>
        </w:tc>
        <w:tc>
          <w:tcPr>
            <w:tcW w:w="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(2,052)</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E5FF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0"/>
        </w:trPr>
        <w:tc>
          <w:tcPr>
            <w:tcW w:w="556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6,143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6,319</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6,221</w:t>
            </w:r>
          </w:p>
        </w:tc>
        <w:tc>
          <w:tcPr>
            <w:tcW w:w="3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3"/>
              </w:rPr>
              <w:t>Basic and diluted net income (loss) per share attributable to REX common</w:t>
            </w:r>
          </w:p>
        </w:tc>
        <w:tc>
          <w:tcPr>
            <w:tcW w:w="1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shareholders</w:t>
            </w:r>
          </w:p>
        </w:tc>
        <w:tc>
          <w:tcPr>
            <w:tcW w:w="40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1.44</w:t>
            </w:r>
          </w:p>
        </w:tc>
        <w:tc>
          <w:tcPr>
            <w:tcW w:w="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E5FF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5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October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4"/>
              </w:rPr>
              <w:t>REX Shareholders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300" w:type="dxa"/>
            <w:vAlign w:val="bottom"/>
          </w:tcPr>
          <w:p>
            <w:pPr>
              <w:spacing w:after="0"/>
              <w:rPr>
                <w:sz w:val="23"/>
                <w:szCs w:val="23"/>
                <w:color w:val="auto"/>
              </w:rPr>
            </w:pPr>
          </w:p>
        </w:tc>
        <w:tc>
          <w:tcPr>
            <w:tcW w:w="1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Common Shares</w:t>
            </w:r>
          </w:p>
        </w:tc>
        <w:tc>
          <w:tcPr>
            <w:tcW w:w="182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Retained</w:t>
            </w:r>
          </w:p>
        </w:tc>
        <w:tc>
          <w:tcPr>
            <w:tcW w:w="12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Issued</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3"/>
                <w:szCs w:val="13"/>
                <w:color w:val="auto"/>
              </w:rPr>
            </w:pPr>
          </w:p>
        </w:tc>
        <w:tc>
          <w:tcPr>
            <w:tcW w:w="82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82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July 31, 2020</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23,655</w:t>
            </w:r>
          </w:p>
        </w:tc>
        <w:tc>
          <w:tcPr>
            <w:tcW w:w="100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 (340,591)</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149,044</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w w:val="98"/>
              </w:rPr>
              <w:t>577,602</w:t>
            </w:r>
          </w:p>
        </w:tc>
        <w:tc>
          <w:tcPr>
            <w:tcW w:w="3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51,385</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437,739</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8,841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2,218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11,059</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197</w:t>
            </w:r>
          </w:p>
        </w:tc>
        <w:tc>
          <w:tcPr>
            <w:tcW w:w="100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(13,328)</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(13,328)</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63</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311"/>
        </w:trPr>
        <w:tc>
          <w:tcPr>
            <w:tcW w:w="3300" w:type="dxa"/>
            <w:vAlign w:val="bottom"/>
          </w:tcPr>
          <w:p>
            <w:pPr>
              <w:spacing w:after="0"/>
              <w:rPr>
                <w:sz w:val="20"/>
                <w:szCs w:val="20"/>
                <w:color w:val="auto"/>
              </w:rPr>
            </w:pPr>
            <w:r>
              <w:rPr>
                <w:rFonts w:ascii="Arial" w:cs="Arial" w:eastAsia="Arial" w:hAnsi="Arial"/>
                <w:sz w:val="14"/>
                <w:szCs w:val="14"/>
                <w:color w:val="auto"/>
              </w:rPr>
              <w:t>Stock based compensation expense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E5FFFF"/>
          </w:tcPr>
          <w:p>
            <w:pPr>
              <w:spacing w:after="0"/>
              <w:rPr>
                <w:sz w:val="20"/>
                <w:szCs w:val="20"/>
                <w:color w:val="auto"/>
              </w:rPr>
            </w:pPr>
            <w:r>
              <w:rPr>
                <w:rFonts w:ascii="Arial" w:cs="Arial" w:eastAsia="Arial" w:hAnsi="Arial"/>
                <w:sz w:val="14"/>
                <w:szCs w:val="14"/>
                <w:color w:val="auto"/>
              </w:rPr>
              <w:t>Balance at October 31, 2020</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299</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23,852</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 (353,910)</w:t>
            </w: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149,077</w:t>
            </w:r>
          </w:p>
        </w:tc>
        <w:tc>
          <w:tcPr>
            <w:tcW w:w="14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w w:val="98"/>
              </w:rPr>
              <w:t>586,443</w:t>
            </w:r>
          </w:p>
        </w:tc>
        <w:tc>
          <w:tcPr>
            <w:tcW w:w="300" w:type="dxa"/>
            <w:vAlign w:val="bottom"/>
            <w:gridSpan w:val="2"/>
            <w:shd w:val="clear" w:color="auto" w:fill="E5FFFF"/>
          </w:tcPr>
          <w:p>
            <w:pPr>
              <w:ind w:lef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53,542</w:t>
            </w: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435,451</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300" w:type="dxa"/>
            <w:vAlign w:val="bottom"/>
          </w:tcPr>
          <w:p>
            <w:pPr>
              <w:spacing w:after="0"/>
              <w:rPr>
                <w:sz w:val="20"/>
                <w:szCs w:val="20"/>
                <w:color w:val="auto"/>
              </w:rPr>
            </w:pPr>
            <w:r>
              <w:rPr>
                <w:rFonts w:ascii="Arial" w:cs="Arial" w:eastAsia="Arial" w:hAnsi="Arial"/>
                <w:sz w:val="14"/>
                <w:szCs w:val="14"/>
                <w:color w:val="auto"/>
              </w:rPr>
              <w:t>Balance at January 31, 2020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299</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23,561</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 (335,066)</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148,789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586,985</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52,599</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453,606</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Net (loss) income</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(542)</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1,138</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Treasury stock acquired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306</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(18,918)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(18,918)</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(283)</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Capital contributions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 based</w:t>
            </w: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300" w:type="dxa"/>
            <w:vAlign w:val="bottom"/>
            <w:shd w:val="clear" w:color="auto" w:fill="E5FFFF"/>
          </w:tcPr>
          <w:p>
            <w:pPr>
              <w:spacing w:after="0"/>
              <w:rPr>
                <w:sz w:val="20"/>
                <w:szCs w:val="20"/>
                <w:color w:val="auto"/>
              </w:rPr>
            </w:pPr>
            <w:r>
              <w:rPr>
                <w:rFonts w:ascii="Arial" w:cs="Arial" w:eastAsia="Arial" w:hAnsi="Arial"/>
                <w:sz w:val="14"/>
                <w:szCs w:val="14"/>
                <w:color w:val="auto"/>
              </w:rPr>
              <w:t>compensation expense</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92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(15)</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74</w:t>
            </w:r>
          </w:p>
        </w:tc>
        <w:tc>
          <w:tcPr>
            <w:tcW w:w="1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9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288</w:t>
            </w:r>
          </w:p>
        </w:tc>
        <w:tc>
          <w:tcPr>
            <w:tcW w:w="140" w:type="dxa"/>
            <w:vAlign w:val="bottom"/>
            <w:shd w:val="clear" w:color="auto" w:fill="E5FFFF"/>
          </w:tcPr>
          <w:p>
            <w:pPr>
              <w:spacing w:after="0"/>
              <w:rPr>
                <w:sz w:val="15"/>
                <w:szCs w:val="15"/>
                <w:color w:val="auto"/>
              </w:rPr>
            </w:pPr>
          </w:p>
        </w:tc>
        <w:tc>
          <w:tcPr>
            <w:tcW w:w="6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color w:val="auto"/>
              </w:rPr>
              <w:t>Balance at October 31, 2020</w:t>
            </w: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00" w:type="dxa"/>
            <w:vAlign w:val="bottom"/>
            <w:vMerge w:val="continue"/>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299</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23,852</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 (353,910)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149,077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586,443</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53,542</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435,451</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color w:val="auto"/>
              </w:rPr>
              <w:t>Continued on the following page</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Equity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20"/>
                <w:szCs w:val="20"/>
                <w:color w:val="auto"/>
              </w:rPr>
            </w:pPr>
            <w:r>
              <w:rPr>
                <w:rFonts w:ascii="Arial" w:cs="Arial" w:eastAsia="Arial" w:hAnsi="Arial"/>
                <w:sz w:val="14"/>
                <w:szCs w:val="14"/>
                <w:color w:val="auto"/>
              </w:rPr>
              <w:t>Continued from the previous page</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33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4"/>
              </w:rPr>
              <w:t>REX Shareholders</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300" w:type="dxa"/>
            <w:vAlign w:val="bottom"/>
          </w:tcPr>
          <w:p>
            <w:pPr>
              <w:spacing w:after="0"/>
              <w:rPr>
                <w:sz w:val="23"/>
                <w:szCs w:val="23"/>
                <w:color w:val="auto"/>
              </w:rPr>
            </w:pPr>
          </w:p>
        </w:tc>
        <w:tc>
          <w:tcPr>
            <w:tcW w:w="1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23"/>
                <w:szCs w:val="23"/>
                <w:color w:val="auto"/>
              </w:rPr>
            </w:pPr>
          </w:p>
        </w:tc>
        <w:tc>
          <w:tcPr>
            <w:tcW w:w="172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Retained</w:t>
            </w:r>
          </w:p>
        </w:tc>
        <w:tc>
          <w:tcPr>
            <w:tcW w:w="12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Issued</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82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July 31, 2019</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299</w:t>
            </w:r>
          </w:p>
        </w:tc>
        <w:tc>
          <w:tcPr>
            <w:tcW w:w="82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23,561</w:t>
            </w:r>
          </w:p>
        </w:tc>
        <w:tc>
          <w:tcPr>
            <w:tcW w:w="100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 (335,080)</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148,724</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w w:val="98"/>
              </w:rPr>
              <w:t>584,635</w:t>
            </w:r>
          </w:p>
        </w:tc>
        <w:tc>
          <w:tcPr>
            <w:tcW w:w="3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51,912</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450,490</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Net (loss)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(2,052)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379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73</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8"/>
        </w:trPr>
        <w:tc>
          <w:tcPr>
            <w:tcW w:w="3300" w:type="dxa"/>
            <w:vAlign w:val="bottom"/>
          </w:tcPr>
          <w:p>
            <w:pPr>
              <w:spacing w:after="0"/>
              <w:rPr>
                <w:sz w:val="20"/>
                <w:szCs w:val="20"/>
                <w:color w:val="auto"/>
              </w:rPr>
            </w:pPr>
            <w:r>
              <w:rPr>
                <w:rFonts w:ascii="Arial" w:cs="Arial" w:eastAsia="Arial" w:hAnsi="Arial"/>
                <w:sz w:val="14"/>
                <w:szCs w:val="14"/>
                <w:color w:val="auto"/>
              </w:rPr>
              <w:t>Issuance of equity awards and stock based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20"/>
                <w:szCs w:val="20"/>
                <w:color w:val="auto"/>
              </w:rPr>
            </w:pPr>
            <w:r>
              <w:rPr>
                <w:rFonts w:ascii="Arial" w:cs="Arial" w:eastAsia="Arial" w:hAnsi="Arial"/>
                <w:sz w:val="14"/>
                <w:szCs w:val="14"/>
                <w:color w:val="auto"/>
              </w:rPr>
              <w:t>compensation expense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E5FFFF"/>
          </w:tcPr>
          <w:p>
            <w:pPr>
              <w:spacing w:after="0"/>
              <w:rPr>
                <w:sz w:val="20"/>
                <w:szCs w:val="20"/>
                <w:color w:val="auto"/>
              </w:rPr>
            </w:pPr>
            <w:r>
              <w:rPr>
                <w:rFonts w:ascii="Arial" w:cs="Arial" w:eastAsia="Arial" w:hAnsi="Arial"/>
                <w:sz w:val="14"/>
                <w:szCs w:val="14"/>
                <w:color w:val="auto"/>
              </w:rPr>
              <w:t>Balance at October 31, 2019</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299</w:t>
            </w:r>
          </w:p>
        </w:tc>
        <w:tc>
          <w:tcPr>
            <w:tcW w:w="82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23,561</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 (335,073)</w:t>
            </w: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148,756</w:t>
            </w:r>
          </w:p>
        </w:tc>
        <w:tc>
          <w:tcPr>
            <w:tcW w:w="14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w w:val="98"/>
              </w:rPr>
              <w:t>582,583</w:t>
            </w:r>
          </w:p>
        </w:tc>
        <w:tc>
          <w:tcPr>
            <w:tcW w:w="300" w:type="dxa"/>
            <w:vAlign w:val="bottom"/>
            <w:gridSpan w:val="2"/>
            <w:shd w:val="clear" w:color="auto" w:fill="E5FFFF"/>
          </w:tcPr>
          <w:p>
            <w:pPr>
              <w:ind w:lef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52,364</w:t>
            </w: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448,929</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300" w:type="dxa"/>
            <w:vAlign w:val="bottom"/>
          </w:tcPr>
          <w:p>
            <w:pPr>
              <w:spacing w:after="0"/>
              <w:rPr>
                <w:sz w:val="20"/>
                <w:szCs w:val="20"/>
                <w:color w:val="auto"/>
              </w:rPr>
            </w:pPr>
            <w:r>
              <w:rPr>
                <w:rFonts w:ascii="Arial" w:cs="Arial" w:eastAsia="Arial" w:hAnsi="Arial"/>
                <w:sz w:val="14"/>
                <w:szCs w:val="14"/>
                <w:color w:val="auto"/>
              </w:rPr>
              <w:t>Balance at January 31, 2019</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299</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23,580</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 (335,193)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148,273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579,558</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52,334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445,271</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3,025</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2,370</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5,395</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(2,598)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258</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8"/>
        </w:trPr>
        <w:tc>
          <w:tcPr>
            <w:tcW w:w="3300" w:type="dxa"/>
            <w:vAlign w:val="bottom"/>
          </w:tcPr>
          <w:p>
            <w:pPr>
              <w:spacing w:after="0"/>
              <w:rPr>
                <w:sz w:val="20"/>
                <w:szCs w:val="20"/>
                <w:color w:val="auto"/>
              </w:rPr>
            </w:pPr>
            <w:r>
              <w:rPr>
                <w:rFonts w:ascii="Arial" w:cs="Arial" w:eastAsia="Arial" w:hAnsi="Arial"/>
                <w:sz w:val="14"/>
                <w:szCs w:val="14"/>
                <w:color w:val="auto"/>
              </w:rPr>
              <w:t>Issuance of equity awards and stock based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20"/>
                <w:szCs w:val="20"/>
                <w:color w:val="auto"/>
              </w:rPr>
            </w:pPr>
            <w:r>
              <w:rPr>
                <w:rFonts w:ascii="Arial" w:cs="Arial" w:eastAsia="Arial" w:hAnsi="Arial"/>
                <w:sz w:val="14"/>
                <w:szCs w:val="14"/>
                <w:color w:val="auto"/>
              </w:rPr>
              <w:t>compensation expense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(19)</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120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483</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E5FFFF"/>
          </w:tcPr>
          <w:p>
            <w:pPr>
              <w:spacing w:after="0"/>
              <w:rPr>
                <w:sz w:val="20"/>
                <w:szCs w:val="20"/>
                <w:color w:val="auto"/>
              </w:rPr>
            </w:pPr>
            <w:r>
              <w:rPr>
                <w:rFonts w:ascii="Arial" w:cs="Arial" w:eastAsia="Arial" w:hAnsi="Arial"/>
                <w:sz w:val="14"/>
                <w:szCs w:val="14"/>
                <w:color w:val="auto"/>
              </w:rPr>
              <w:t>Balance at October 31, 2019</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299</w:t>
            </w:r>
          </w:p>
        </w:tc>
        <w:tc>
          <w:tcPr>
            <w:tcW w:w="82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23,561</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 (335,073)</w:t>
            </w: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148,756</w:t>
            </w:r>
          </w:p>
        </w:tc>
        <w:tc>
          <w:tcPr>
            <w:tcW w:w="14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w w:val="98"/>
              </w:rPr>
              <w:t>582,583</w:t>
            </w:r>
          </w:p>
        </w:tc>
        <w:tc>
          <w:tcPr>
            <w:tcW w:w="300" w:type="dxa"/>
            <w:vAlign w:val="bottom"/>
            <w:gridSpan w:val="2"/>
            <w:shd w:val="clear" w:color="auto" w:fill="E5FFFF"/>
          </w:tcPr>
          <w:p>
            <w:pPr>
              <w:ind w:lef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52,364</w:t>
            </w: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448,929</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29"/>
        </w:trPr>
        <w:tc>
          <w:tcPr>
            <w:tcW w:w="7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0"/>
              </w:rPr>
              <w:t>October 31,</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7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7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596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5,395</w:t>
            </w:r>
          </w:p>
        </w:tc>
        <w:tc>
          <w:tcPr>
            <w:tcW w:w="80" w:type="dxa"/>
            <w:vAlign w:val="bottom"/>
          </w:tcPr>
          <w:p>
            <w:pPr>
              <w:spacing w:after="0"/>
              <w:rPr>
                <w:sz w:val="18"/>
                <w:szCs w:val="18"/>
                <w:color w:val="auto"/>
              </w:rPr>
            </w:pPr>
          </w:p>
        </w:tc>
      </w:tr>
      <w:tr>
        <w:trPr>
          <w:trHeight w:val="216"/>
        </w:trPr>
        <w:tc>
          <w:tcPr>
            <w:tcW w:w="760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15,697</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17,682</w:t>
            </w: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3,982</w:t>
            </w:r>
          </w:p>
        </w:tc>
        <w:tc>
          <w:tcPr>
            <w:tcW w:w="30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4,648</w:t>
            </w:r>
          </w:p>
        </w:tc>
        <w:tc>
          <w:tcPr>
            <w:tcW w:w="80" w:type="dxa"/>
            <w:vAlign w:val="bottom"/>
            <w:shd w:val="clear" w:color="auto" w:fill="E5FF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Dividends received from equity method investee</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2,506</w:t>
            </w:r>
          </w:p>
        </w:tc>
        <w:tc>
          <w:tcPr>
            <w:tcW w:w="30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E5FF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Interest income from investments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income tax</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(5,431)</w:t>
            </w:r>
          </w:p>
        </w:tc>
        <w:tc>
          <w:tcPr>
            <w:tcW w:w="30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(9,828)</w:t>
            </w:r>
          </w:p>
        </w:tc>
        <w:tc>
          <w:tcPr>
            <w:tcW w:w="80" w:type="dxa"/>
            <w:vAlign w:val="bottom"/>
            <w:shd w:val="clear" w:color="auto" w:fill="E5FF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Stock 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Gain on sale of property and equipment – net</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473</w:t>
            </w:r>
          </w:p>
        </w:tc>
        <w:tc>
          <w:tcPr>
            <w:tcW w:w="30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(5,013)</w:t>
            </w:r>
          </w:p>
        </w:tc>
        <w:tc>
          <w:tcPr>
            <w:tcW w:w="80" w:type="dxa"/>
            <w:vAlign w:val="bottom"/>
            <w:shd w:val="clear" w:color="auto" w:fill="E5FF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14,018</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(12,561)</w:t>
            </w: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Refundable income taxes</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E5FFFF"/>
          </w:tcPr>
          <w:p>
            <w:pPr>
              <w:spacing w:after="0"/>
              <w:rPr>
                <w:sz w:val="18"/>
                <w:szCs w:val="18"/>
                <w:color w:val="auto"/>
              </w:rPr>
            </w:pPr>
          </w:p>
        </w:tc>
        <w:tc>
          <w:tcPr>
            <w:tcW w:w="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473</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(517)</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(583)</w:t>
            </w: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payable, trade</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(4,302)</w:t>
            </w:r>
          </w:p>
        </w:tc>
        <w:tc>
          <w:tcPr>
            <w:tcW w:w="30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5,618</w:t>
            </w:r>
          </w:p>
        </w:tc>
        <w:tc>
          <w:tcPr>
            <w:tcW w:w="80" w:type="dxa"/>
            <w:vAlign w:val="bottom"/>
            <w:shd w:val="clear" w:color="auto" w:fill="E5FFFF"/>
          </w:tcPr>
          <w:p>
            <w:pPr>
              <w:spacing w:after="0"/>
              <w:rPr>
                <w:sz w:val="18"/>
                <w:szCs w:val="18"/>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(5,301)</w:t>
            </w:r>
          </w:p>
        </w:tc>
        <w:tc>
          <w:tcPr>
            <w:tcW w:w="3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(9,010)</w:t>
            </w:r>
          </w:p>
        </w:tc>
        <w:tc>
          <w:tcPr>
            <w:tcW w:w="80" w:type="dxa"/>
            <w:vAlign w:val="bottom"/>
          </w:tcPr>
          <w:p>
            <w:pPr>
              <w:spacing w:after="0"/>
              <w:rPr>
                <w:sz w:val="19"/>
                <w:szCs w:val="19"/>
                <w:color w:val="auto"/>
              </w:rPr>
            </w:pPr>
          </w:p>
        </w:tc>
      </w:tr>
      <w:tr>
        <w:trPr>
          <w:trHeight w:val="209"/>
        </w:trPr>
        <w:tc>
          <w:tcPr>
            <w:tcW w:w="7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21,499</w:t>
            </w:r>
          </w:p>
        </w:tc>
        <w:tc>
          <w:tcPr>
            <w:tcW w:w="46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Capital expenditures</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(6,610)</w:t>
            </w:r>
          </w:p>
        </w:tc>
        <w:tc>
          <w:tcPr>
            <w:tcW w:w="30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(2,643)</w:t>
            </w:r>
          </w:p>
        </w:tc>
        <w:tc>
          <w:tcPr>
            <w:tcW w:w="80" w:type="dxa"/>
            <w:vAlign w:val="bottom"/>
            <w:shd w:val="clear" w:color="auto" w:fill="E5FF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(68,225)</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Sale of short-term investments</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65,282</w:t>
            </w:r>
          </w:p>
        </w:tc>
        <w:tc>
          <w:tcPr>
            <w:tcW w:w="300" w:type="dxa"/>
            <w:vAlign w:val="bottom"/>
            <w:shd w:val="clear" w:color="auto" w:fill="E5FFFF"/>
          </w:tcPr>
          <w:p>
            <w:pPr>
              <w:spacing w:after="0"/>
              <w:rPr>
                <w:sz w:val="18"/>
                <w:szCs w:val="18"/>
                <w:color w:val="auto"/>
              </w:rPr>
            </w:pPr>
          </w:p>
        </w:tc>
        <w:tc>
          <w:tcPr>
            <w:tcW w:w="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15,000</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369</w:t>
            </w:r>
          </w:p>
        </w:tc>
      </w:tr>
      <w:tr>
        <w:trPr>
          <w:trHeight w:val="210"/>
        </w:trPr>
        <w:tc>
          <w:tcPr>
            <w:tcW w:w="7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(10,027)</w:t>
            </w:r>
          </w:p>
        </w:tc>
        <w:tc>
          <w:tcPr>
            <w:tcW w:w="46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tcBorders>
              <w:top w:val="single" w:sz="8" w:color="E5FFFF"/>
            </w:tcBorders>
            <w:gridSpan w:val="2"/>
            <w:shd w:val="clear" w:color="auto" w:fill="E5FFFF"/>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Treasury stock acquired</w:t>
            </w: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(18,089)</w:t>
            </w:r>
          </w:p>
        </w:tc>
        <w:tc>
          <w:tcPr>
            <w:tcW w:w="30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Payments to noncontrolling interests holders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(2,598)</w:t>
            </w:r>
          </w:p>
        </w:tc>
        <w:tc>
          <w:tcPr>
            <w:tcW w:w="80" w:type="dxa"/>
            <w:vAlign w:val="bottom"/>
          </w:tcPr>
          <w:p>
            <w:pPr>
              <w:spacing w:after="0"/>
              <w:rPr>
                <w:sz w:val="18"/>
                <w:szCs w:val="18"/>
                <w:color w:val="auto"/>
              </w:rPr>
            </w:pPr>
          </w:p>
        </w:tc>
      </w:tr>
      <w:tr>
        <w:trPr>
          <w:trHeight w:val="230"/>
        </w:trPr>
        <w:tc>
          <w:tcPr>
            <w:tcW w:w="7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Capital contributions from minority investor</w:t>
            </w:r>
          </w:p>
        </w:tc>
        <w:tc>
          <w:tcPr>
            <w:tcW w:w="10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E5FFFF"/>
          </w:tcPr>
          <w:p>
            <w:pPr>
              <w:spacing w:after="0"/>
              <w:rPr>
                <w:sz w:val="19"/>
                <w:szCs w:val="19"/>
                <w:color w:val="auto"/>
              </w:rPr>
            </w:pPr>
          </w:p>
        </w:tc>
        <w:tc>
          <w:tcPr>
            <w:tcW w:w="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258</w:t>
            </w:r>
          </w:p>
        </w:tc>
      </w:tr>
      <w:tr>
        <w:trPr>
          <w:trHeight w:val="210"/>
        </w:trPr>
        <w:tc>
          <w:tcPr>
            <w:tcW w:w="76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(18,284)</w:t>
            </w:r>
          </w:p>
        </w:tc>
        <w:tc>
          <w:tcPr>
            <w:tcW w:w="4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40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(decrease)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restricted cash,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00"/>
        <w:spacing w:after="0"/>
        <w:tabs>
          <w:tab w:leader="none" w:pos="2040" w:val="left"/>
        </w:tabs>
        <w:rPr>
          <w:sz w:val="20"/>
          <w:szCs w:val="20"/>
          <w:color w:val="auto"/>
        </w:rPr>
      </w:pPr>
      <w:r>
        <w:rPr>
          <w:rFonts w:ascii="Arial" w:cs="Arial" w:eastAsia="Arial" w:hAnsi="Arial"/>
          <w:sz w:val="18"/>
          <w:szCs w:val="18"/>
          <w:color w:val="auto"/>
        </w:rPr>
        <w:t>(6,812)</w:t>
      </w:r>
      <w:r>
        <w:rPr>
          <w:sz w:val="20"/>
          <w:szCs w:val="20"/>
          <w:color w:val="auto"/>
        </w:rPr>
        <w:tab/>
      </w:r>
      <w:r>
        <w:rPr>
          <w:rFonts w:ascii="Arial" w:cs="Arial" w:eastAsia="Arial" w:hAnsi="Arial"/>
          <w:sz w:val="18"/>
          <w:szCs w:val="18"/>
          <w:color w:val="auto"/>
        </w:rPr>
        <w:t>8,050</w:t>
      </w:r>
    </w:p>
    <w:p>
      <w:pPr>
        <w:spacing w:after="0" w:line="23" w:lineRule="exact"/>
        <w:rPr>
          <w:sz w:val="20"/>
          <w:szCs w:val="20"/>
          <w:color w:val="auto"/>
        </w:rPr>
      </w:pPr>
    </w:p>
    <w:p>
      <w:pPr>
        <w:jc w:val="both"/>
        <w:ind w:left="440"/>
        <w:spacing w:after="0"/>
        <w:tabs>
          <w:tab w:leader="none" w:pos="1860" w:val="left"/>
        </w:tabs>
        <w:rPr>
          <w:sz w:val="20"/>
          <w:szCs w:val="20"/>
          <w:color w:val="auto"/>
        </w:rPr>
      </w:pPr>
      <w:r>
        <w:rPr>
          <w:rFonts w:ascii="Arial" w:cs="Arial" w:eastAsia="Arial" w:hAnsi="Arial"/>
          <w:sz w:val="18"/>
          <w:szCs w:val="18"/>
          <w:color w:val="auto"/>
        </w:rPr>
        <w:t>180,771</w:t>
      </w:r>
      <w:r>
        <w:rPr>
          <w:sz w:val="20"/>
          <w:szCs w:val="20"/>
          <w:color w:val="auto"/>
        </w:rPr>
        <w:tab/>
      </w:r>
      <w:r>
        <w:rPr>
          <w:rFonts w:ascii="Arial" w:cs="Arial" w:eastAsia="Arial" w:hAnsi="Arial"/>
          <w:sz w:val="18"/>
          <w:szCs w:val="18"/>
          <w:color w:val="auto"/>
        </w:rPr>
        <w:t>188,812</w:t>
      </w:r>
    </w:p>
    <w:p>
      <w:pPr>
        <w:spacing w:after="0" w:line="35" w:lineRule="exact"/>
        <w:rPr>
          <w:sz w:val="20"/>
          <w:szCs w:val="20"/>
          <w:color w:val="auto"/>
        </w:rPr>
      </w:pPr>
    </w:p>
    <w:p>
      <w:pPr>
        <w:spacing w:after="0"/>
        <w:tabs>
          <w:tab w:leader="none" w:pos="420" w:val="left"/>
          <w:tab w:leader="none" w:pos="1460" w:val="left"/>
          <w:tab w:leader="none" w:pos="1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173,959</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196,862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1568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580"/>
          </w:cols>
          <w:pgMar w:left="320" w:top="405" w:right="3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Non cash investing activities – Accrued capital expenditures</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198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97"/>
        </w:trPr>
        <w:tc>
          <w:tcPr>
            <w:tcW w:w="7060" w:type="dxa"/>
            <w:vAlign w:val="bottom"/>
            <w:tcBorders>
              <w:top w:val="single" w:sz="8" w:color="E5FFFF"/>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Non cash financing activities – Stock awards accrued</w:t>
            </w:r>
          </w:p>
        </w:tc>
        <w:tc>
          <w:tcPr>
            <w:tcW w:w="160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99</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Non cash financing activities – Stock awards issued</w:t>
            </w:r>
          </w:p>
        </w:tc>
        <w:tc>
          <w:tcPr>
            <w:tcW w:w="16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Borders>
              <w:bottom w:val="single" w:sz="8" w:color="E5FFFF"/>
            </w:tcBorders>
            <w:vMerge w:val="continue"/>
          </w:tcPr>
          <w:p>
            <w:pPr>
              <w:spacing w:after="0"/>
              <w:rPr>
                <w:sz w:val="20"/>
                <w:szCs w:val="20"/>
                <w:color w:val="auto"/>
              </w:rPr>
            </w:pPr>
          </w:p>
        </w:tc>
        <w:tc>
          <w:tcPr>
            <w:tcW w:w="160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w:t>
            </w:r>
          </w:p>
        </w:tc>
        <w:tc>
          <w:tcPr>
            <w:tcW w:w="460" w:type="dxa"/>
            <w:vAlign w:val="bottom"/>
            <w:tcBorders>
              <w:bottom w:val="single" w:sz="8" w:color="E5FF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w:t>
            </w:r>
          </w:p>
        </w:tc>
        <w:tc>
          <w:tcPr>
            <w:tcW w:w="100" w:type="dxa"/>
            <w:vAlign w:val="bottom"/>
            <w:tcBorders>
              <w:bottom w:val="single" w:sz="8" w:color="E5FF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06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Initial right-of-use assets and liabilities recorded upon adoption of ASC 842</w:t>
            </w:r>
          </w:p>
        </w:tc>
        <w:tc>
          <w:tcPr>
            <w:tcW w:w="160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20,918</w:t>
            </w:r>
          </w:p>
        </w:tc>
        <w:tc>
          <w:tcPr>
            <w:tcW w:w="100" w:type="dxa"/>
            <w:vAlign w:val="bottom"/>
            <w:tcBorders>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Right-of-use assets acquired and liabilities incurred upon lease execution</w:t>
            </w:r>
          </w:p>
        </w:tc>
        <w:tc>
          <w:tcPr>
            <w:tcW w:w="16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tcBorders>
              <w:bottom w:val="single" w:sz="8" w:color="E5FFFF"/>
            </w:tcBorders>
            <w:vMerge w:val="continue"/>
          </w:tcPr>
          <w:p>
            <w:pPr>
              <w:spacing w:after="0"/>
              <w:rPr>
                <w:sz w:val="20"/>
                <w:szCs w:val="20"/>
                <w:color w:val="auto"/>
              </w:rPr>
            </w:pPr>
          </w:p>
        </w:tc>
        <w:tc>
          <w:tcPr>
            <w:tcW w:w="160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1,863</w:t>
            </w:r>
          </w:p>
        </w:tc>
        <w:tc>
          <w:tcPr>
            <w:tcW w:w="460" w:type="dxa"/>
            <w:vAlign w:val="bottom"/>
            <w:tcBorders>
              <w:bottom w:val="single" w:sz="8" w:color="E5FF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432</w:t>
            </w:r>
          </w:p>
        </w:tc>
        <w:tc>
          <w:tcPr>
            <w:tcW w:w="100" w:type="dxa"/>
            <w:vAlign w:val="bottom"/>
            <w:tcBorders>
              <w:bottom w:val="single" w:sz="8" w:color="E5FF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Reconciliation of total cash, cash equivalents and restricted cash:</w:t>
            </w:r>
          </w:p>
        </w:tc>
        <w:tc>
          <w:tcPr>
            <w:tcW w:w="1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173,075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196,339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160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884</w:t>
            </w:r>
          </w:p>
        </w:tc>
        <w:tc>
          <w:tcPr>
            <w:tcW w:w="240" w:type="dxa"/>
            <w:vAlign w:val="bottom"/>
            <w:shd w:val="clear" w:color="auto" w:fill="E5FFFF"/>
          </w:tcPr>
          <w:p>
            <w:pPr>
              <w:spacing w:after="0"/>
              <w:rPr>
                <w:sz w:val="19"/>
                <w:szCs w:val="19"/>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6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173,959</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196,862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 w:name="page8"/>
    <w:bookmarkEnd w:id="7"/>
    <w:p>
      <w:pPr>
        <w:ind w:left="2180"/>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139"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October 31, 2020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Condensed Financial Statements</w:t>
      </w:r>
    </w:p>
    <w:p>
      <w:pPr>
        <w:spacing w:after="0" w:line="239"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21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9"/>
          <w:szCs w:val="19"/>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2020 included in these financial statements has been derived from the audited consolidated financial statements included in the Company’s Annual Report on Form 10-K for the year ended January 31, 2020 (fiscal year 2019). It is suggested that these unaudited consolidated condensed financial statements be read in conjunction with the consolidated financial statements and the notes thereto included in the Company’s Annual Report on Form 10-K for the year ended January 31, 2020. The results of operations for the interim periods are not necessarily indicative of the results to be expected for the year.</w:t>
      </w:r>
    </w:p>
    <w:p>
      <w:pPr>
        <w:spacing w:after="0" w:line="200" w:lineRule="exact"/>
        <w:rPr>
          <w:sz w:val="20"/>
          <w:szCs w:val="20"/>
          <w:color w:val="auto"/>
        </w:rPr>
      </w:pPr>
    </w:p>
    <w:p>
      <w:pPr>
        <w:spacing w:after="0" w:line="235"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four majority owned subsidiaries. The Company includes the results of operations of One Earth Energy, LLC (“One Earth”) in its Consolidated Condensed Statements of Operations on a delayed basis of one month as One Earth has a fiscal year end of December 31.</w:t>
      </w:r>
    </w:p>
    <w:p>
      <w:pPr>
        <w:spacing w:after="0" w:line="214"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Nature of Operations –The Company has two reportable segments: i) ethanol and by-products; and ii) refined coal. Within the ethanol and by-products segment, 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39" w:lineRule="exact"/>
        <w:rPr>
          <w:sz w:val="20"/>
          <w:szCs w:val="20"/>
          <w:color w:val="auto"/>
        </w:rPr>
      </w:pPr>
    </w:p>
    <w:p>
      <w:pPr>
        <w:ind w:right="120" w:firstLine="729"/>
        <w:spacing w:after="0" w:line="246" w:lineRule="auto"/>
        <w:rPr>
          <w:sz w:val="20"/>
          <w:szCs w:val="20"/>
          <w:color w:val="auto"/>
        </w:rPr>
      </w:pPr>
      <w:r>
        <w:rPr>
          <w:rFonts w:ascii="Arial" w:cs="Arial" w:eastAsia="Arial" w:hAnsi="Arial"/>
          <w:sz w:val="21"/>
          <w:szCs w:val="21"/>
          <w:color w:val="auto"/>
        </w:rPr>
        <w:t>The interim consolidated condensed financial statements have been prepared in accordance with the accounting policies described in the notes to the consolidated financial statements included in the Company’s fiscal year 2019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For ethanol and by-products segment sales, 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 Net sales and revenue also includes net gains or losses from derivative financial instruments related to products sold.</w:t>
      </w:r>
    </w:p>
    <w:p>
      <w:pPr>
        <w:spacing w:after="0" w:line="170"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For refined coal segment sales, the Company recognizes sales of refined coal when obligations under the term of the contract with its customer are satisfied; this occurs when title and control of the product transfers to its customer, generally upon the coal leaving the refined coal plant. Refined coal sales are recorded net of the cost of coal as the Company purchases the coal feedstock from the customer to which the processed refined coal is sold.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39"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Cost of sales includes depreciation, costs of raw materials, inbound freight charges, purchasing and receiving costs, inspection costs, other distribution expenses, warehousing costs, plant management, certain compensations costs, general facility overhead charges and net gains or losses from derivative financial instruments related to commodities purchased.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39"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The Company includes non-production related costs such as professional fees, selling charges and certain payroll in SG&amp;A expenses.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39" w:lineRule="exact"/>
        <w:rPr>
          <w:sz w:val="20"/>
          <w:szCs w:val="20"/>
          <w:color w:val="auto"/>
        </w:rPr>
      </w:pPr>
    </w:p>
    <w:p>
      <w:pPr>
        <w:ind w:right="200" w:firstLine="648"/>
        <w:spacing w:after="0" w:line="282" w:lineRule="auto"/>
        <w:rPr>
          <w:sz w:val="20"/>
          <w:szCs w:val="20"/>
          <w:color w:val="auto"/>
        </w:rPr>
      </w:pPr>
      <w:r>
        <w:rPr>
          <w:rFonts w:ascii="Arial" w:cs="Arial" w:eastAsia="Arial" w:hAnsi="Arial"/>
          <w:sz w:val="19"/>
          <w:szCs w:val="19"/>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grain that will be delivered in quantities expected to be used by the Company and sales of ethanol, distillers grains and non-food grade corn oil quantities expected to be produced by the Company over a reasonable period of time in the normal course of business.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9" w:name="page10"/>
    <w:bookmarkEnd w:id="9"/>
    <w:p>
      <w:pPr>
        <w:ind w:right="40" w:firstLine="648"/>
        <w:spacing w:after="0" w:line="275" w:lineRule="auto"/>
        <w:rPr>
          <w:sz w:val="20"/>
          <w:szCs w:val="20"/>
          <w:color w:val="auto"/>
        </w:rPr>
      </w:pPr>
      <w:r>
        <w:rPr>
          <w:rFonts w:ascii="Arial" w:cs="Arial" w:eastAsia="Arial" w:hAnsi="Arial"/>
          <w:sz w:val="19"/>
          <w:szCs w:val="19"/>
          <w:color w:val="auto"/>
        </w:rPr>
        <w:t>The Company uses derivative financial instruments (exchange-traded futures contracts and swaps) to manage a portion of the risk associated with changes in commodity prices, primarily related to ethanol, corn and distillers grains.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right="280" w:firstLine="648"/>
        <w:spacing w:after="0" w:line="257" w:lineRule="auto"/>
        <w:rPr>
          <w:sz w:val="20"/>
          <w:szCs w:val="20"/>
          <w:color w:val="auto"/>
        </w:rPr>
      </w:pPr>
      <w:r>
        <w:rPr>
          <w:rFonts w:ascii="Arial" w:cs="Arial" w:eastAsia="Arial" w:hAnsi="Arial"/>
          <w:sz w:val="21"/>
          <w:szCs w:val="21"/>
          <w:color w:val="auto"/>
        </w:rPr>
        <w:t>The Company determined that small changes in estimated “ordinary” income would result in significant changes in the estimated annual effective tax rate. Thus, the Company used a discrete effective tax rate method to calculate the provision or benefit for income taxes for the three and nine months ended October 31, 2020 and 2019.</w:t>
      </w:r>
    </w:p>
    <w:p>
      <w:pPr>
        <w:spacing w:after="0" w:line="196"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evidence, it is more likely than not that some or all of the deferred tax assets will not be realized. The Company paid income taxes of approximately $0.5 million and received refunds of income taxes of approximately $0.7 million during the nine months ended October 31, 2020. The Company paid no income taxes nor received refunds of income taxes during the nine months ended October 31, 2019.</w:t>
      </w:r>
    </w:p>
    <w:p>
      <w:pPr>
        <w:spacing w:after="0" w:line="21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As of October 31, 2020, and January 31, 2020, total unrecognized tax benefits were approximately $7,298,000 and $7,353,000, respectively. Accrued penalties and interest were insignificant at October 31, 2020 and January 31, 2020, If the Company were to prevail on all unrecognized tax benefits recorded, the provision for income taxes would be reduced by approximately $7.3 million at October 31, 2020.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Inventory is written down for instances when cost exceeds estimated net realizable value; such write-downs are based primarily upon commodity prices as the market value of inventory is often dependent upon changes in commodity prices. There was no inventory write-down at October 31, 2020. The Company recorded approximately $1.3 million of inventory write-downs in cost of sales at January 31, 2020. Fluctuations in the write-down of inventory generally relate to the levels and composition of such inventory and changes in commodity prices at a given point in time. The components of inventory are as follows as of the dates presented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20" w:type="dxa"/>
            <w:vAlign w:val="bottom"/>
          </w:tcPr>
          <w:p>
            <w:pPr>
              <w:spacing w:after="0"/>
              <w:rPr>
                <w:sz w:val="21"/>
                <w:szCs w:val="21"/>
                <w:color w:val="auto"/>
              </w:rPr>
            </w:pPr>
          </w:p>
        </w:tc>
        <w:tc>
          <w:tcPr>
            <w:tcW w:w="1500" w:type="dxa"/>
            <w:vAlign w:val="bottom"/>
            <w:gridSpan w:val="4"/>
          </w:tcPr>
          <w:p>
            <w:pPr>
              <w:ind w:left="20"/>
              <w:spacing w:after="0"/>
              <w:rPr>
                <w:sz w:val="20"/>
                <w:szCs w:val="20"/>
                <w:color w:val="auto"/>
              </w:rPr>
            </w:pPr>
            <w:r>
              <w:rPr>
                <w:rFonts w:ascii="Arial" w:cs="Arial" w:eastAsia="Arial" w:hAnsi="Arial"/>
                <w:sz w:val="22"/>
                <w:szCs w:val="22"/>
                <w:b w:val="1"/>
                <w:bCs w:val="1"/>
                <w:color w:val="auto"/>
              </w:rPr>
              <w:t>October 31,</w:t>
            </w:r>
          </w:p>
        </w:tc>
        <w:tc>
          <w:tcPr>
            <w:tcW w:w="1260" w:type="dxa"/>
            <w:vAlign w:val="bottom"/>
            <w:gridSpan w:val="3"/>
          </w:tcPr>
          <w:p>
            <w:pPr>
              <w:ind w:left="60"/>
              <w:spacing w:after="0"/>
              <w:rPr>
                <w:sz w:val="20"/>
                <w:szCs w:val="20"/>
                <w:color w:val="auto"/>
              </w:rPr>
            </w:pPr>
            <w:r>
              <w:rPr>
                <w:rFonts w:ascii="Arial" w:cs="Arial" w:eastAsia="Arial" w:hAnsi="Arial"/>
                <w:sz w:val="22"/>
                <w:szCs w:val="22"/>
                <w:b w:val="1"/>
                <w:bCs w:val="1"/>
                <w:color w:val="auto"/>
                <w:w w:val="97"/>
              </w:rPr>
              <w:t>January 31,</w:t>
            </w:r>
          </w:p>
        </w:tc>
      </w:tr>
      <w:tr>
        <w:trPr>
          <w:trHeight w:val="270"/>
        </w:trPr>
        <w:tc>
          <w:tcPr>
            <w:tcW w:w="6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2020</w:t>
            </w:r>
          </w:p>
        </w:tc>
        <w:tc>
          <w:tcPr>
            <w:tcW w:w="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2020</w:t>
            </w:r>
          </w:p>
        </w:tc>
        <w:tc>
          <w:tcPr>
            <w:tcW w:w="80" w:type="dxa"/>
            <w:vAlign w:val="bottom"/>
            <w:tcBorders>
              <w:bottom w:val="single" w:sz="8" w:color="auto"/>
            </w:tcBorders>
          </w:tcPr>
          <w:p>
            <w:pPr>
              <w:spacing w:after="0"/>
              <w:rPr>
                <w:sz w:val="23"/>
                <w:szCs w:val="23"/>
                <w:color w:val="auto"/>
              </w:rPr>
            </w:pPr>
          </w:p>
        </w:tc>
      </w:tr>
      <w:tr>
        <w:trPr>
          <w:trHeight w:val="237"/>
        </w:trPr>
        <w:tc>
          <w:tcPr>
            <w:tcW w:w="6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other finished goods</w:t>
            </w:r>
          </w:p>
        </w:tc>
        <w:tc>
          <w:tcPr>
            <w:tcW w:w="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7,013</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40" w:type="dxa"/>
            <w:vAlign w:val="bottom"/>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10,864</w:t>
            </w:r>
          </w:p>
        </w:tc>
        <w:tc>
          <w:tcPr>
            <w:tcW w:w="80" w:type="dxa"/>
            <w:vAlign w:val="bottom"/>
            <w:shd w:val="clear" w:color="auto" w:fill="E5FFFF"/>
          </w:tcPr>
          <w:p>
            <w:pPr>
              <w:spacing w:after="0"/>
              <w:rPr>
                <w:sz w:val="21"/>
                <w:szCs w:val="21"/>
                <w:color w:val="auto"/>
              </w:rPr>
            </w:pP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Work in process</w:t>
            </w:r>
          </w:p>
        </w:tc>
        <w:tc>
          <w:tcPr>
            <w:tcW w:w="2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3,010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3,258</w:t>
            </w:r>
          </w:p>
        </w:tc>
        <w:tc>
          <w:tcPr>
            <w:tcW w:w="80" w:type="dxa"/>
            <w:vAlign w:val="bottom"/>
          </w:tcPr>
          <w:p>
            <w:pPr>
              <w:spacing w:after="0"/>
              <w:rPr>
                <w:sz w:val="21"/>
                <w:szCs w:val="21"/>
                <w:color w:val="auto"/>
              </w:rPr>
            </w:pPr>
          </w:p>
        </w:tc>
      </w:tr>
      <w:tr>
        <w:trPr>
          <w:trHeight w:val="243"/>
        </w:trPr>
        <w:tc>
          <w:tcPr>
            <w:tcW w:w="6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Grain and other raw materials</w:t>
            </w:r>
          </w:p>
        </w:tc>
        <w:tc>
          <w:tcPr>
            <w:tcW w:w="2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11,593</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21,512</w:t>
            </w:r>
          </w:p>
        </w:tc>
        <w:tc>
          <w:tcPr>
            <w:tcW w:w="80" w:type="dxa"/>
            <w:vAlign w:val="bottom"/>
            <w:shd w:val="clear" w:color="auto" w:fill="E5FFFF"/>
          </w:tcPr>
          <w:p>
            <w:pPr>
              <w:spacing w:after="0"/>
              <w:rPr>
                <w:sz w:val="21"/>
                <w:szCs w:val="21"/>
                <w:color w:val="auto"/>
              </w:rPr>
            </w:pPr>
          </w:p>
        </w:tc>
      </w:tr>
      <w:tr>
        <w:trPr>
          <w:trHeight w:val="250"/>
        </w:trPr>
        <w:tc>
          <w:tcPr>
            <w:tcW w:w="6220" w:type="dxa"/>
            <w:vAlign w:val="bottom"/>
          </w:tcPr>
          <w:p>
            <w:pPr>
              <w:spacing w:after="0" w:line="250" w:lineRule="exact"/>
              <w:rPr>
                <w:sz w:val="20"/>
                <w:szCs w:val="20"/>
                <w:color w:val="auto"/>
              </w:rPr>
            </w:pPr>
            <w:r>
              <w:rPr>
                <w:rFonts w:ascii="Arial" w:cs="Arial" w:eastAsia="Arial" w:hAnsi="Arial"/>
                <w:sz w:val="22"/>
                <w:szCs w:val="22"/>
                <w:color w:val="auto"/>
              </w:rPr>
              <w:t>Total</w:t>
            </w:r>
          </w:p>
        </w:tc>
        <w:tc>
          <w:tcPr>
            <w:tcW w:w="2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21,616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35,634</w:t>
            </w:r>
          </w:p>
        </w:tc>
        <w:tc>
          <w:tcPr>
            <w:tcW w:w="80" w:type="dxa"/>
            <w:vAlign w:val="bottom"/>
          </w:tcPr>
          <w:p>
            <w:pPr>
              <w:spacing w:after="0"/>
              <w:rPr>
                <w:sz w:val="21"/>
                <w:szCs w:val="21"/>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39" w:lineRule="exact"/>
        <w:rPr>
          <w:sz w:val="20"/>
          <w:szCs w:val="20"/>
          <w:color w:val="auto"/>
        </w:rPr>
      </w:pPr>
    </w:p>
    <w:p>
      <w:pPr>
        <w:ind w:right="140" w:firstLine="648"/>
        <w:spacing w:after="0" w:line="257" w:lineRule="auto"/>
        <w:rPr>
          <w:sz w:val="20"/>
          <w:szCs w:val="20"/>
          <w:color w:val="auto"/>
        </w:rPr>
      </w:pPr>
      <w:r>
        <w:rPr>
          <w:rFonts w:ascii="Arial" w:cs="Arial" w:eastAsia="Arial" w:hAnsi="Arial"/>
          <w:sz w:val="21"/>
          <w:szCs w:val="21"/>
          <w:color w:val="auto"/>
        </w:rPr>
        <w:t>Property and equipment is recorded at cost or the fair value on the date of acquisition (for property and equipment acquired in a business combination). Depreciation is computed using the straight-line method. Estimated useful lives are 5 to 40 years for buildings and improvements, and 2 to 20 years for fixtures and equipment.</w:t>
      </w:r>
    </w:p>
    <w:p>
      <w:pPr>
        <w:spacing w:after="0" w:line="196"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In accordance with ASC 360-10 “</w:t>
      </w:r>
      <w:r>
        <w:rPr>
          <w:rFonts w:ascii="Arial" w:cs="Arial" w:eastAsia="Arial" w:hAnsi="Arial"/>
          <w:sz w:val="21"/>
          <w:szCs w:val="21"/>
          <w:i w:val="1"/>
          <w:iCs w:val="1"/>
          <w:color w:val="auto"/>
        </w:rPr>
        <w:t>Impairment or Disposal of Long-Lived Assets</w:t>
      </w:r>
      <w:r>
        <w:rPr>
          <w:rFonts w:ascii="Arial" w:cs="Arial" w:eastAsia="Arial" w:hAnsi="Arial"/>
          <w:sz w:val="21"/>
          <w:szCs w:val="21"/>
          <w:color w:val="auto"/>
        </w:rPr>
        <w:t>”, the carrying value of long-lived assets is assessed for recoverability by management when changes in circumstances indicate that the carrying amount may not be recoverable. The Company concluded that the impact of the COVID-19 pandemic and other factors are an indicator that impairment may exist related to certain of its long-lived assets. As a result, the Company performed an impairment analysis and determined that there was no impairment. Although it is not possible to reliably estimate the duration of the pandemic and its financial impact, a prolonged significant downturn in the economy could negatively impact the Company’s results of operations and significantly reduce its expectation for future sales, profits and cash flows. Such a reduction in expected future performance could result in the impairment of long-lived assets in subsequent periods. There were no impairment charges in the first nine months of fiscal years 2020 or 2019.</w:t>
      </w:r>
    </w:p>
    <w:p>
      <w:pPr>
        <w:spacing w:after="0" w:line="21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88"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Short-term investments are considered held to maturity, and, therefore are carried at amortized historical cost.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39" w:lineRule="exact"/>
        <w:rPr>
          <w:sz w:val="20"/>
          <w:szCs w:val="20"/>
          <w:color w:val="auto"/>
        </w:rPr>
      </w:pPr>
    </w:p>
    <w:p>
      <w:pPr>
        <w:ind w:right="540" w:firstLine="648"/>
        <w:spacing w:after="0" w:line="250" w:lineRule="auto"/>
        <w:rPr>
          <w:sz w:val="20"/>
          <w:szCs w:val="20"/>
          <w:color w:val="auto"/>
        </w:rPr>
      </w:pPr>
      <w:r>
        <w:rPr>
          <w:rFonts w:ascii="Arial" w:cs="Arial" w:eastAsia="Arial" w:hAnsi="Arial"/>
          <w:sz w:val="22"/>
          <w:szCs w:val="22"/>
          <w:color w:val="auto"/>
        </w:rPr>
        <w:t>The Company has no components of other comprehensive income, and therefore, comprehensive income equals net income.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Changes and Recently Issued Accounting Standards</w:t>
      </w:r>
    </w:p>
    <w:p>
      <w:pPr>
        <w:spacing w:after="0" w:line="239"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9"/>
          <w:szCs w:val="19"/>
          <w:color w:val="auto"/>
        </w:rPr>
        <w:t>In December 2019, the Financial Accounting Standards Board (“FASB”) issued Accounting Standards Update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which simplifies the accounting for income taxes by removing certain exceptions to the general principles in Topic 740. The Company will be required to adopt this update effective February 1, 2021. The Company has not determined the effect of this update on its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14" w:lineRule="exact"/>
        <w:rPr>
          <w:sz w:val="20"/>
          <w:szCs w:val="20"/>
          <w:color w:val="auto"/>
        </w:rPr>
      </w:pPr>
    </w:p>
    <w:p>
      <w:pPr>
        <w:ind w:right="140" w:firstLine="648"/>
        <w:spacing w:after="0" w:line="252" w:lineRule="auto"/>
        <w:rPr>
          <w:sz w:val="20"/>
          <w:szCs w:val="20"/>
          <w:color w:val="auto"/>
        </w:rPr>
      </w:pPr>
      <w:r>
        <w:rPr>
          <w:rFonts w:ascii="Arial" w:cs="Arial" w:eastAsia="Arial" w:hAnsi="Arial"/>
          <w:sz w:val="21"/>
          <w:szCs w:val="21"/>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unearned revenue.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14 for disaggregation of net sales and revenue by operating segment and by product.</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39"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At October 31, 2020, the Company has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 The components of lease expense, classified as SG&amp;A expenses on the Consolidated Condensed Statement of Operations, are as follows:</w:t>
      </w:r>
    </w:p>
    <w:p>
      <w:pPr>
        <w:sectPr>
          <w:pgSz w:w="11900" w:h="16838" w:orient="portrait"/>
          <w:cols w:equalWidth="0" w:num="1">
            <w:col w:w="11240"/>
          </w:cols>
          <w:pgMar w:left="320" w:top="3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Variable lease expense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Total lease expense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060" w:type="dxa"/>
            <w:vAlign w:val="bottom"/>
            <w:gridSpan w:val="5"/>
          </w:tcPr>
          <w:p>
            <w:pPr>
              <w:jc w:val="right"/>
              <w:ind w:right="380"/>
              <w:spacing w:after="0"/>
              <w:rPr>
                <w:sz w:val="20"/>
                <w:szCs w:val="20"/>
                <w:color w:val="auto"/>
              </w:rPr>
            </w:pPr>
            <w:r>
              <w:rPr>
                <w:rFonts w:ascii="Arial" w:cs="Arial" w:eastAsia="Arial" w:hAnsi="Arial"/>
                <w:sz w:val="22"/>
                <w:szCs w:val="22"/>
                <w:b w:val="1"/>
                <w:bCs w:val="1"/>
                <w:color w:val="auto"/>
              </w:rPr>
              <w:t>Three Months</w:t>
            </w:r>
          </w:p>
        </w:tc>
        <w:tc>
          <w:tcPr>
            <w:tcW w:w="660" w:type="dxa"/>
            <w:vAlign w:val="bottom"/>
          </w:tcPr>
          <w:p>
            <w:pPr>
              <w:spacing w:after="0"/>
              <w:rPr>
                <w:sz w:val="21"/>
                <w:szCs w:val="21"/>
                <w:color w:val="auto"/>
              </w:rPr>
            </w:pPr>
          </w:p>
        </w:tc>
        <w:tc>
          <w:tcPr>
            <w:tcW w:w="1960" w:type="dxa"/>
            <w:vAlign w:val="bottom"/>
            <w:gridSpan w:val="4"/>
          </w:tcPr>
          <w:p>
            <w:pPr>
              <w:jc w:val="right"/>
              <w:ind w:right="232"/>
              <w:spacing w:after="0"/>
              <w:rPr>
                <w:sz w:val="20"/>
                <w:szCs w:val="20"/>
                <w:color w:val="auto"/>
              </w:rPr>
            </w:pPr>
            <w:r>
              <w:rPr>
                <w:rFonts w:ascii="Arial" w:cs="Arial" w:eastAsia="Arial" w:hAnsi="Arial"/>
                <w:sz w:val="22"/>
                <w:szCs w:val="22"/>
                <w:b w:val="1"/>
                <w:bCs w:val="1"/>
                <w:color w:val="auto"/>
              </w:rPr>
              <w:t>Nine Months</w:t>
            </w:r>
          </w:p>
        </w:tc>
        <w:tc>
          <w:tcPr>
            <w:tcW w:w="1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2060" w:type="dxa"/>
            <w:vAlign w:val="bottom"/>
            <w:gridSpan w:val="5"/>
          </w:tcPr>
          <w:p>
            <w:pPr>
              <w:jc w:val="right"/>
              <w:ind w:right="180"/>
              <w:spacing w:after="0"/>
              <w:rPr>
                <w:sz w:val="20"/>
                <w:szCs w:val="20"/>
                <w:color w:val="auto"/>
              </w:rPr>
            </w:pPr>
            <w:r>
              <w:rPr>
                <w:rFonts w:ascii="Arial" w:cs="Arial" w:eastAsia="Arial" w:hAnsi="Arial"/>
                <w:sz w:val="22"/>
                <w:szCs w:val="22"/>
                <w:b w:val="1"/>
                <w:bCs w:val="1"/>
                <w:color w:val="auto"/>
                <w:w w:val="95"/>
              </w:rPr>
              <w:t>Ended October 31,</w:t>
            </w:r>
          </w:p>
        </w:tc>
        <w:tc>
          <w:tcPr>
            <w:tcW w:w="660" w:type="dxa"/>
            <w:vAlign w:val="bottom"/>
          </w:tcPr>
          <w:p>
            <w:pPr>
              <w:spacing w:after="0"/>
              <w:rPr>
                <w:sz w:val="22"/>
                <w:szCs w:val="22"/>
                <w:color w:val="auto"/>
              </w:rPr>
            </w:pPr>
          </w:p>
        </w:tc>
        <w:tc>
          <w:tcPr>
            <w:tcW w:w="1960" w:type="dxa"/>
            <w:vAlign w:val="bottom"/>
            <w:gridSpan w:val="4"/>
          </w:tcPr>
          <w:p>
            <w:pPr>
              <w:jc w:val="right"/>
              <w:spacing w:after="0"/>
              <w:rPr>
                <w:sz w:val="20"/>
                <w:szCs w:val="20"/>
                <w:color w:val="auto"/>
              </w:rPr>
            </w:pPr>
            <w:r>
              <w:rPr>
                <w:rFonts w:ascii="Arial" w:cs="Arial" w:eastAsia="Arial" w:hAnsi="Arial"/>
                <w:sz w:val="22"/>
                <w:szCs w:val="22"/>
                <w:b w:val="1"/>
                <w:bCs w:val="1"/>
                <w:color w:val="auto"/>
                <w:w w:val="96"/>
              </w:rPr>
              <w:t>Ended October 31,</w:t>
            </w:r>
          </w:p>
        </w:tc>
        <w:tc>
          <w:tcPr>
            <w:tcW w:w="10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8"/>
              </w:rPr>
              <w:t>2020</w:t>
            </w:r>
          </w:p>
        </w:tc>
        <w:tc>
          <w:tcPr>
            <w:tcW w:w="10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8"/>
              </w:rPr>
              <w:t>2019</w:t>
            </w:r>
          </w:p>
        </w:tc>
        <w:tc>
          <w:tcPr>
            <w:tcW w:w="12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8"/>
              </w:rPr>
              <w:t>2020</w:t>
            </w:r>
          </w:p>
        </w:tc>
        <w:tc>
          <w:tcPr>
            <w:tcW w:w="12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bottom w:val="single" w:sz="8" w:color="auto"/>
            </w:tcBorders>
          </w:tcPr>
          <w:p>
            <w:pPr>
              <w:spacing w:after="0"/>
              <w:rPr>
                <w:sz w:val="23"/>
                <w:szCs w:val="23"/>
                <w:color w:val="auto"/>
              </w:rPr>
            </w:pPr>
          </w:p>
        </w:tc>
      </w:tr>
      <w:tr>
        <w:trPr>
          <w:trHeight w:val="472"/>
        </w:trPr>
        <w:tc>
          <w:tcPr>
            <w:tcW w:w="600" w:type="dxa"/>
            <w:vAlign w:val="bottom"/>
            <w:gridSpan w:val="2"/>
          </w:tcPr>
          <w:p>
            <w:pPr>
              <w:jc w:val="right"/>
              <w:spacing w:after="0"/>
              <w:rPr>
                <w:sz w:val="20"/>
                <w:szCs w:val="20"/>
                <w:color w:val="auto"/>
              </w:rPr>
            </w:pPr>
            <w:r>
              <w:rPr>
                <w:rFonts w:ascii="Arial" w:cs="Arial" w:eastAsia="Arial" w:hAnsi="Arial"/>
                <w:sz w:val="22"/>
                <w:szCs w:val="22"/>
                <w:color w:val="auto"/>
                <w:w w:val="86"/>
              </w:rPr>
              <w:t>$1,545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22"/>
                <w:szCs w:val="22"/>
                <w:color w:val="auto"/>
                <w:w w:val="83"/>
              </w:rPr>
              <w:t>$1,557</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$4,779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w w:val="86"/>
              </w:rPr>
              <w:t>$4,867</w:t>
            </w:r>
          </w:p>
        </w:tc>
        <w:tc>
          <w:tcPr>
            <w:tcW w:w="100" w:type="dxa"/>
            <w:vAlign w:val="bottom"/>
          </w:tcPr>
          <w:p>
            <w:pPr>
              <w:spacing w:after="0"/>
              <w:rPr>
                <w:sz w:val="24"/>
                <w:szCs w:val="24"/>
                <w:color w:val="auto"/>
              </w:rPr>
            </w:pPr>
          </w:p>
        </w:tc>
      </w:tr>
      <w:tr>
        <w:trPr>
          <w:trHeight w:val="264"/>
        </w:trPr>
        <w:tc>
          <w:tcPr>
            <w:tcW w:w="600" w:type="dxa"/>
            <w:vAlign w:val="bottom"/>
            <w:gridSpan w:val="2"/>
          </w:tcPr>
          <w:p>
            <w:pPr>
              <w:jc w:val="right"/>
              <w:spacing w:after="0"/>
              <w:rPr>
                <w:sz w:val="20"/>
                <w:szCs w:val="20"/>
                <w:color w:val="auto"/>
              </w:rPr>
            </w:pPr>
            <w:r>
              <w:rPr>
                <w:rFonts w:ascii="Arial" w:cs="Arial" w:eastAsia="Arial" w:hAnsi="Arial"/>
                <w:sz w:val="22"/>
                <w:szCs w:val="22"/>
                <w:color w:val="auto"/>
              </w:rPr>
              <w:t>79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22"/>
                <w:szCs w:val="22"/>
                <w:color w:val="auto"/>
              </w:rPr>
              <w:t>139</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417</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491</w:t>
            </w:r>
          </w:p>
        </w:tc>
        <w:tc>
          <w:tcPr>
            <w:tcW w:w="10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3"/>
              </w:rPr>
              <w:t>$</w:t>
            </w:r>
            <w:r>
              <w:rPr>
                <w:rFonts w:ascii="Arial" w:cs="Arial" w:eastAsia="Arial" w:hAnsi="Arial"/>
                <w:sz w:val="22"/>
                <w:szCs w:val="22"/>
                <w:color w:val="auto"/>
                <w:w w:val="83"/>
              </w:rPr>
              <w:t>1,624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3"/>
              </w:rPr>
              <w:t>$</w:t>
            </w:r>
            <w:r>
              <w:rPr>
                <w:rFonts w:ascii="Arial" w:cs="Arial" w:eastAsia="Arial" w:hAnsi="Arial"/>
                <w:sz w:val="22"/>
                <w:szCs w:val="22"/>
                <w:color w:val="auto"/>
                <w:w w:val="83"/>
              </w:rPr>
              <w:t>1,696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3"/>
              </w:rPr>
              <w:t>$</w:t>
            </w:r>
            <w:r>
              <w:rPr>
                <w:rFonts w:ascii="Arial" w:cs="Arial" w:eastAsia="Arial" w:hAnsi="Arial"/>
                <w:sz w:val="22"/>
                <w:szCs w:val="22"/>
                <w:color w:val="auto"/>
                <w:w w:val="83"/>
              </w:rPr>
              <w:t>5,196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5,358</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-513715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-196850</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396" w:right="3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October 31, 2020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gridSpan w:val="3"/>
          </w:tcPr>
          <w:p>
            <w:pPr>
              <w:spacing w:after="0"/>
              <w:rPr>
                <w:sz w:val="20"/>
                <w:szCs w:val="20"/>
                <w:color w:val="auto"/>
              </w:rPr>
            </w:pPr>
            <w:r>
              <w:rPr>
                <w:rFonts w:ascii="Arial" w:cs="Arial" w:eastAsia="Arial" w:hAnsi="Arial"/>
                <w:sz w:val="22"/>
                <w:szCs w:val="22"/>
                <w:b w:val="1"/>
                <w:bCs w:val="1"/>
                <w:color w:val="auto"/>
                <w:w w:val="99"/>
              </w:rPr>
              <w:t>Minimum</w:t>
            </w:r>
          </w:p>
        </w:tc>
      </w:tr>
      <w:tr>
        <w:trPr>
          <w:trHeight w:val="270"/>
        </w:trPr>
        <w:tc>
          <w:tcPr>
            <w:tcW w:w="4080" w:type="dxa"/>
            <w:vAlign w:val="bottom"/>
            <w:gridSpan w:val="2"/>
          </w:tcPr>
          <w:p>
            <w:pPr>
              <w:spacing w:after="0"/>
              <w:rPr>
                <w:sz w:val="20"/>
                <w:szCs w:val="20"/>
                <w:color w:val="auto"/>
              </w:rPr>
            </w:pPr>
            <w:r>
              <w:rPr>
                <w:rFonts w:ascii="Arial" w:cs="Arial" w:eastAsia="Arial" w:hAnsi="Arial"/>
                <w:sz w:val="22"/>
                <w:szCs w:val="22"/>
                <w:b w:val="1"/>
                <w:bCs w:val="1"/>
                <w:color w:val="auto"/>
              </w:rPr>
              <w:t>Years Ended January 31,</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2"/>
                <w:szCs w:val="22"/>
                <w:b w:val="1"/>
                <w:bCs w:val="1"/>
                <w:color w:val="auto"/>
                <w:w w:val="90"/>
              </w:rPr>
              <w:t>Rentals</w:t>
            </w:r>
          </w:p>
        </w:tc>
      </w:tr>
      <w:tr>
        <w:trPr>
          <w:trHeight w:val="237"/>
        </w:trPr>
        <w:tc>
          <w:tcPr>
            <w:tcW w:w="278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r>
      <w:tr>
        <w:trPr>
          <w:trHeight w:val="243"/>
        </w:trPr>
        <w:tc>
          <w:tcPr>
            <w:tcW w:w="40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2021</w:t>
            </w:r>
          </w:p>
        </w:tc>
        <w:tc>
          <w:tcPr>
            <w:tcW w:w="1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1,516</w:t>
            </w:r>
          </w:p>
        </w:tc>
      </w:tr>
      <w:tr>
        <w:trPr>
          <w:trHeight w:val="243"/>
        </w:trPr>
        <w:tc>
          <w:tcPr>
            <w:tcW w:w="2780" w:type="dxa"/>
            <w:vAlign w:val="bottom"/>
          </w:tcPr>
          <w:p>
            <w:pPr>
              <w:spacing w:after="0" w:line="243" w:lineRule="exact"/>
              <w:rPr>
                <w:sz w:val="20"/>
                <w:szCs w:val="20"/>
                <w:color w:val="auto"/>
              </w:rPr>
            </w:pPr>
            <w:r>
              <w:rPr>
                <w:rFonts w:ascii="Arial" w:cs="Arial" w:eastAsia="Arial" w:hAnsi="Arial"/>
                <w:sz w:val="22"/>
                <w:szCs w:val="22"/>
                <w:color w:val="auto"/>
              </w:rPr>
              <w:t>2022</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5,397</w:t>
            </w:r>
          </w:p>
        </w:tc>
      </w:tr>
      <w:tr>
        <w:trPr>
          <w:trHeight w:val="243"/>
        </w:trPr>
        <w:tc>
          <w:tcPr>
            <w:tcW w:w="27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2023</w:t>
            </w:r>
          </w:p>
        </w:tc>
        <w:tc>
          <w:tcPr>
            <w:tcW w:w="1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3,690</w:t>
            </w:r>
          </w:p>
        </w:tc>
      </w:tr>
      <w:tr>
        <w:trPr>
          <w:trHeight w:val="243"/>
        </w:trPr>
        <w:tc>
          <w:tcPr>
            <w:tcW w:w="2780" w:type="dxa"/>
            <w:vAlign w:val="bottom"/>
          </w:tcPr>
          <w:p>
            <w:pPr>
              <w:spacing w:after="0" w:line="243" w:lineRule="exact"/>
              <w:rPr>
                <w:sz w:val="20"/>
                <w:szCs w:val="20"/>
                <w:color w:val="auto"/>
              </w:rPr>
            </w:pPr>
            <w:r>
              <w:rPr>
                <w:rFonts w:ascii="Arial" w:cs="Arial" w:eastAsia="Arial" w:hAnsi="Arial"/>
                <w:sz w:val="22"/>
                <w:szCs w:val="22"/>
                <w:color w:val="auto"/>
              </w:rPr>
              <w:t>2024</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2,524</w:t>
            </w:r>
          </w:p>
        </w:tc>
      </w:tr>
      <w:tr>
        <w:trPr>
          <w:trHeight w:val="243"/>
        </w:trPr>
        <w:tc>
          <w:tcPr>
            <w:tcW w:w="27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2025</w:t>
            </w:r>
          </w:p>
        </w:tc>
        <w:tc>
          <w:tcPr>
            <w:tcW w:w="1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1,648</w:t>
            </w:r>
          </w:p>
        </w:tc>
      </w:tr>
      <w:tr>
        <w:trPr>
          <w:trHeight w:val="257"/>
        </w:trPr>
        <w:tc>
          <w:tcPr>
            <w:tcW w:w="4080" w:type="dxa"/>
            <w:vAlign w:val="bottom"/>
            <w:gridSpan w:val="2"/>
          </w:tcPr>
          <w:p>
            <w:pPr>
              <w:spacing w:after="0"/>
              <w:rPr>
                <w:sz w:val="20"/>
                <w:szCs w:val="20"/>
                <w:color w:val="auto"/>
              </w:rPr>
            </w:pPr>
            <w:r>
              <w:rPr>
                <w:rFonts w:ascii="Arial" w:cs="Arial" w:eastAsia="Arial" w:hAnsi="Arial"/>
                <w:sz w:val="22"/>
                <w:szCs w:val="22"/>
                <w:color w:val="auto"/>
              </w:rPr>
              <w:t>Thereafter</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49</w:t>
            </w:r>
          </w:p>
        </w:tc>
      </w:tr>
      <w:tr>
        <w:trPr>
          <w:trHeight w:val="236"/>
        </w:trPr>
        <w:tc>
          <w:tcPr>
            <w:tcW w:w="4080" w:type="dxa"/>
            <w:vAlign w:val="bottom"/>
            <w:tcBorders>
              <w:top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80" w:type="dxa"/>
            <w:vAlign w:val="bottom"/>
            <w:tcBorders>
              <w:top w:val="single" w:sz="8" w:color="auto"/>
            </w:tcBorders>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14,824</w:t>
            </w:r>
          </w:p>
        </w:tc>
        <w:tc>
          <w:tcPr>
            <w:tcW w:w="60" w:type="dxa"/>
            <w:vAlign w:val="bottom"/>
            <w:tcBorders>
              <w:top w:val="single" w:sz="8" w:color="E5FFFF"/>
            </w:tcBorders>
            <w:shd w:val="clear" w:color="auto" w:fill="E5FFFF"/>
          </w:tcPr>
          <w:p>
            <w:pPr>
              <w:spacing w:after="0"/>
              <w:rPr>
                <w:sz w:val="20"/>
                <w:szCs w:val="20"/>
                <w:color w:val="auto"/>
              </w:rPr>
            </w:pPr>
          </w:p>
        </w:tc>
      </w:tr>
      <w:tr>
        <w:trPr>
          <w:trHeight w:val="243"/>
        </w:trPr>
        <w:tc>
          <w:tcPr>
            <w:tcW w:w="4080" w:type="dxa"/>
            <w:vAlign w:val="bottom"/>
            <w:gridSpan w:val="2"/>
          </w:tcPr>
          <w:p>
            <w:pPr>
              <w:spacing w:after="0" w:line="243" w:lineRule="exact"/>
              <w:rPr>
                <w:sz w:val="20"/>
                <w:szCs w:val="20"/>
                <w:color w:val="auto"/>
              </w:rPr>
            </w:pPr>
            <w:r>
              <w:rPr>
                <w:rFonts w:ascii="Arial" w:cs="Arial" w:eastAsia="Arial" w:hAnsi="Arial"/>
                <w:sz w:val="22"/>
                <w:szCs w:val="22"/>
                <w:color w:val="auto"/>
              </w:rPr>
              <w:t>Less: present value discount</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1,171</w:t>
            </w:r>
          </w:p>
        </w:tc>
      </w:tr>
      <w:tr>
        <w:trPr>
          <w:trHeight w:val="250"/>
        </w:trPr>
        <w:tc>
          <w:tcPr>
            <w:tcW w:w="408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Arial" w:cs="Arial" w:eastAsia="Arial" w:hAnsi="Arial"/>
                <w:sz w:val="22"/>
                <w:szCs w:val="22"/>
                <w:color w:val="auto"/>
              </w:rPr>
              <w:t>Operating lease liabilities</w:t>
            </w:r>
          </w:p>
        </w:tc>
        <w:tc>
          <w:tcPr>
            <w:tcW w:w="1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13,653</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2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At October 31, 2020, the weighted average remaining lease term is 3.1 years and the weighted average discount rate is 5.27% for the above leases.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13" w:name="page14"/>
    <w:bookmarkEnd w:id="13"/>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January 31, 2020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gridSpan w:val="3"/>
          </w:tcPr>
          <w:p>
            <w:pPr>
              <w:spacing w:after="0"/>
              <w:rPr>
                <w:sz w:val="20"/>
                <w:szCs w:val="20"/>
                <w:color w:val="auto"/>
              </w:rPr>
            </w:pPr>
            <w:r>
              <w:rPr>
                <w:rFonts w:ascii="Arial" w:cs="Arial" w:eastAsia="Arial" w:hAnsi="Arial"/>
                <w:sz w:val="22"/>
                <w:szCs w:val="22"/>
                <w:b w:val="1"/>
                <w:bCs w:val="1"/>
                <w:color w:val="auto"/>
                <w:w w:val="99"/>
              </w:rPr>
              <w:t>Minimum</w:t>
            </w:r>
          </w:p>
        </w:tc>
      </w:tr>
      <w:tr>
        <w:trPr>
          <w:trHeight w:val="270"/>
        </w:trPr>
        <w:tc>
          <w:tcPr>
            <w:tcW w:w="4080" w:type="dxa"/>
            <w:vAlign w:val="bottom"/>
            <w:gridSpan w:val="2"/>
          </w:tcPr>
          <w:p>
            <w:pPr>
              <w:spacing w:after="0"/>
              <w:rPr>
                <w:sz w:val="20"/>
                <w:szCs w:val="20"/>
                <w:color w:val="auto"/>
              </w:rPr>
            </w:pPr>
            <w:r>
              <w:rPr>
                <w:rFonts w:ascii="Arial" w:cs="Arial" w:eastAsia="Arial" w:hAnsi="Arial"/>
                <w:sz w:val="22"/>
                <w:szCs w:val="22"/>
                <w:b w:val="1"/>
                <w:bCs w:val="1"/>
                <w:color w:val="auto"/>
              </w:rPr>
              <w:t>Years Ended January 31,</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2"/>
                <w:szCs w:val="22"/>
                <w:b w:val="1"/>
                <w:bCs w:val="1"/>
                <w:color w:val="auto"/>
                <w:w w:val="90"/>
              </w:rPr>
              <w:t>Rentals</w:t>
            </w:r>
          </w:p>
        </w:tc>
      </w:tr>
      <w:tr>
        <w:trPr>
          <w:trHeight w:val="237"/>
        </w:trPr>
        <w:tc>
          <w:tcPr>
            <w:tcW w:w="278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r>
      <w:tr>
        <w:trPr>
          <w:trHeight w:val="243"/>
        </w:trPr>
        <w:tc>
          <w:tcPr>
            <w:tcW w:w="27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2021</w:t>
            </w:r>
          </w:p>
        </w:tc>
        <w:tc>
          <w:tcPr>
            <w:tcW w:w="1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5,668</w:t>
            </w:r>
          </w:p>
        </w:tc>
      </w:tr>
      <w:tr>
        <w:trPr>
          <w:trHeight w:val="243"/>
        </w:trPr>
        <w:tc>
          <w:tcPr>
            <w:tcW w:w="2780" w:type="dxa"/>
            <w:vAlign w:val="bottom"/>
          </w:tcPr>
          <w:p>
            <w:pPr>
              <w:spacing w:after="0" w:line="243" w:lineRule="exact"/>
              <w:rPr>
                <w:sz w:val="20"/>
                <w:szCs w:val="20"/>
                <w:color w:val="auto"/>
              </w:rPr>
            </w:pPr>
            <w:r>
              <w:rPr>
                <w:rFonts w:ascii="Arial" w:cs="Arial" w:eastAsia="Arial" w:hAnsi="Arial"/>
                <w:sz w:val="22"/>
                <w:szCs w:val="22"/>
                <w:color w:val="auto"/>
              </w:rPr>
              <w:t>2022</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4,958</w:t>
            </w:r>
          </w:p>
        </w:tc>
      </w:tr>
      <w:tr>
        <w:trPr>
          <w:trHeight w:val="243"/>
        </w:trPr>
        <w:tc>
          <w:tcPr>
            <w:tcW w:w="27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2023</w:t>
            </w:r>
          </w:p>
        </w:tc>
        <w:tc>
          <w:tcPr>
            <w:tcW w:w="1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3,251</w:t>
            </w:r>
          </w:p>
        </w:tc>
      </w:tr>
      <w:tr>
        <w:trPr>
          <w:trHeight w:val="243"/>
        </w:trPr>
        <w:tc>
          <w:tcPr>
            <w:tcW w:w="2780" w:type="dxa"/>
            <w:vAlign w:val="bottom"/>
          </w:tcPr>
          <w:p>
            <w:pPr>
              <w:spacing w:after="0" w:line="243" w:lineRule="exact"/>
              <w:rPr>
                <w:sz w:val="20"/>
                <w:szCs w:val="20"/>
                <w:color w:val="auto"/>
              </w:rPr>
            </w:pPr>
            <w:r>
              <w:rPr>
                <w:rFonts w:ascii="Arial" w:cs="Arial" w:eastAsia="Arial" w:hAnsi="Arial"/>
                <w:sz w:val="22"/>
                <w:szCs w:val="22"/>
                <w:color w:val="auto"/>
              </w:rPr>
              <w:t>2024</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2,085</w:t>
            </w:r>
          </w:p>
        </w:tc>
      </w:tr>
      <w:tr>
        <w:trPr>
          <w:trHeight w:val="243"/>
        </w:trPr>
        <w:tc>
          <w:tcPr>
            <w:tcW w:w="27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2025</w:t>
            </w:r>
          </w:p>
        </w:tc>
        <w:tc>
          <w:tcPr>
            <w:tcW w:w="1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1,228</w:t>
            </w:r>
          </w:p>
        </w:tc>
      </w:tr>
      <w:tr>
        <w:trPr>
          <w:trHeight w:val="256"/>
        </w:trPr>
        <w:tc>
          <w:tcPr>
            <w:tcW w:w="4080" w:type="dxa"/>
            <w:vAlign w:val="bottom"/>
            <w:gridSpan w:val="2"/>
          </w:tcPr>
          <w:p>
            <w:pPr>
              <w:spacing w:after="0"/>
              <w:rPr>
                <w:sz w:val="20"/>
                <w:szCs w:val="20"/>
                <w:color w:val="auto"/>
              </w:rPr>
            </w:pPr>
            <w:r>
              <w:rPr>
                <w:rFonts w:ascii="Arial" w:cs="Arial" w:eastAsia="Arial" w:hAnsi="Arial"/>
                <w:sz w:val="22"/>
                <w:szCs w:val="22"/>
                <w:color w:val="auto"/>
              </w:rPr>
              <w:t>Thereafter</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29</w:t>
            </w:r>
          </w:p>
        </w:tc>
      </w:tr>
      <w:tr>
        <w:trPr>
          <w:trHeight w:val="237"/>
        </w:trPr>
        <w:tc>
          <w:tcPr>
            <w:tcW w:w="4080" w:type="dxa"/>
            <w:vAlign w:val="bottom"/>
            <w:tcBorders>
              <w:top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80" w:type="dxa"/>
            <w:vAlign w:val="bottom"/>
            <w:tcBorders>
              <w:top w:val="single" w:sz="8" w:color="auto"/>
            </w:tcBorders>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17,219</w:t>
            </w:r>
          </w:p>
        </w:tc>
        <w:tc>
          <w:tcPr>
            <w:tcW w:w="60" w:type="dxa"/>
            <w:vAlign w:val="bottom"/>
            <w:tcBorders>
              <w:top w:val="single" w:sz="8" w:color="E5FFFF"/>
            </w:tcBorders>
            <w:shd w:val="clear" w:color="auto" w:fill="E5FFFF"/>
          </w:tcPr>
          <w:p>
            <w:pPr>
              <w:spacing w:after="0"/>
              <w:rPr>
                <w:sz w:val="20"/>
                <w:szCs w:val="20"/>
                <w:color w:val="auto"/>
              </w:rPr>
            </w:pPr>
          </w:p>
        </w:tc>
      </w:tr>
      <w:tr>
        <w:trPr>
          <w:trHeight w:val="243"/>
        </w:trPr>
        <w:tc>
          <w:tcPr>
            <w:tcW w:w="4080" w:type="dxa"/>
            <w:vAlign w:val="bottom"/>
            <w:gridSpan w:val="2"/>
          </w:tcPr>
          <w:p>
            <w:pPr>
              <w:spacing w:after="0" w:line="243" w:lineRule="exact"/>
              <w:rPr>
                <w:sz w:val="20"/>
                <w:szCs w:val="20"/>
                <w:color w:val="auto"/>
              </w:rPr>
            </w:pPr>
            <w:r>
              <w:rPr>
                <w:rFonts w:ascii="Arial" w:cs="Arial" w:eastAsia="Arial" w:hAnsi="Arial"/>
                <w:sz w:val="22"/>
                <w:szCs w:val="22"/>
                <w:color w:val="auto"/>
              </w:rPr>
              <w:t>Less: present value discount</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1,596</w:t>
            </w:r>
          </w:p>
        </w:tc>
      </w:tr>
      <w:tr>
        <w:trPr>
          <w:trHeight w:val="250"/>
        </w:trPr>
        <w:tc>
          <w:tcPr>
            <w:tcW w:w="408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Arial" w:cs="Arial" w:eastAsia="Arial" w:hAnsi="Arial"/>
                <w:sz w:val="22"/>
                <w:szCs w:val="22"/>
                <w:color w:val="auto"/>
              </w:rPr>
              <w:t>Operating lease liabilities</w:t>
            </w:r>
          </w:p>
        </w:tc>
        <w:tc>
          <w:tcPr>
            <w:tcW w:w="1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15,623</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2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At January 31, 2020, the weighted average remaining lease term was 3.5 years and the weighted average discount rate was 5.46% for the above leases.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4"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4" w:name="page15"/>
    <w:bookmarkEnd w:id="14"/>
    <w:p>
      <w:pPr>
        <w:ind w:right="100" w:firstLine="648"/>
        <w:spacing w:after="0" w:line="27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420" w:firstLine="8"/>
        <w:spacing w:after="0" w:line="233" w:lineRule="auto"/>
        <w:tabs>
          <w:tab w:leader="none" w:pos="258" w:val="left"/>
        </w:tabs>
        <w:numPr>
          <w:ilvl w:val="0"/>
          <w:numId w:val="3"/>
        </w:numPr>
        <w:rPr>
          <w:rFonts w:ascii="Arial" w:cs="Arial" w:eastAsia="Arial" w:hAnsi="Arial"/>
          <w:sz w:val="22"/>
          <w:szCs w:val="22"/>
          <w:color w:val="auto"/>
        </w:rPr>
      </w:pPr>
      <w:r>
        <w:rPr>
          <w:rFonts w:ascii="Arial" w:cs="Arial" w:eastAsia="Arial" w:hAnsi="Arial"/>
          <w:sz w:val="22"/>
          <w:szCs w:val="22"/>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October 31, 2020 are summarized below (amounts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60" w:type="dxa"/>
            <w:vAlign w:val="bottom"/>
          </w:tcPr>
          <w:p>
            <w:pPr>
              <w:spacing w:after="0"/>
              <w:rPr>
                <w:sz w:val="23"/>
                <w:szCs w:val="23"/>
                <w:color w:val="auto"/>
              </w:rPr>
            </w:pPr>
          </w:p>
        </w:tc>
        <w:tc>
          <w:tcPr>
            <w:tcW w:w="1060" w:type="dxa"/>
            <w:vAlign w:val="bottom"/>
            <w:gridSpan w:val="3"/>
          </w:tcPr>
          <w:p>
            <w:pPr>
              <w:ind w:left="20"/>
              <w:spacing w:after="0"/>
              <w:rPr>
                <w:sz w:val="20"/>
                <w:szCs w:val="20"/>
                <w:color w:val="auto"/>
              </w:rPr>
            </w:pPr>
            <w:r>
              <w:rPr>
                <w:rFonts w:ascii="Arial" w:cs="Arial" w:eastAsia="Arial" w:hAnsi="Arial"/>
                <w:sz w:val="22"/>
                <w:szCs w:val="22"/>
                <w:b w:val="1"/>
                <w:bCs w:val="1"/>
                <w:color w:val="auto"/>
              </w:rPr>
              <w:t>Level 1</w:t>
            </w:r>
          </w:p>
        </w:tc>
        <w:tc>
          <w:tcPr>
            <w:tcW w:w="1240" w:type="dxa"/>
            <w:vAlign w:val="bottom"/>
            <w:gridSpan w:val="3"/>
          </w:tcPr>
          <w:p>
            <w:pPr>
              <w:jc w:val="right"/>
              <w:ind w:right="480"/>
              <w:spacing w:after="0"/>
              <w:rPr>
                <w:sz w:val="20"/>
                <w:szCs w:val="20"/>
                <w:color w:val="auto"/>
              </w:rPr>
            </w:pPr>
            <w:r>
              <w:rPr>
                <w:rFonts w:ascii="Arial" w:cs="Arial" w:eastAsia="Arial" w:hAnsi="Arial"/>
                <w:sz w:val="22"/>
                <w:szCs w:val="22"/>
                <w:b w:val="1"/>
                <w:bCs w:val="1"/>
                <w:color w:val="auto"/>
                <w:w w:val="99"/>
              </w:rPr>
              <w:t>Level 2</w:t>
            </w:r>
          </w:p>
        </w:tc>
        <w:tc>
          <w:tcPr>
            <w:tcW w:w="1240" w:type="dxa"/>
            <w:vAlign w:val="bottom"/>
            <w:gridSpan w:val="3"/>
          </w:tcPr>
          <w:p>
            <w:pPr>
              <w:jc w:val="right"/>
              <w:ind w:right="480"/>
              <w:spacing w:after="0"/>
              <w:rPr>
                <w:sz w:val="20"/>
                <w:szCs w:val="20"/>
                <w:color w:val="auto"/>
              </w:rPr>
            </w:pPr>
            <w:r>
              <w:rPr>
                <w:rFonts w:ascii="Arial" w:cs="Arial" w:eastAsia="Arial" w:hAnsi="Arial"/>
                <w:sz w:val="22"/>
                <w:szCs w:val="22"/>
                <w:b w:val="1"/>
                <w:bCs w:val="1"/>
                <w:color w:val="auto"/>
                <w:w w:val="99"/>
              </w:rPr>
              <w:t>Level 3</w:t>
            </w:r>
          </w:p>
        </w:tc>
        <w:tc>
          <w:tcPr>
            <w:tcW w:w="1160" w:type="dxa"/>
            <w:vAlign w:val="bottom"/>
            <w:gridSpan w:val="4"/>
          </w:tcPr>
          <w:p>
            <w:pPr>
              <w:ind w:left="60"/>
              <w:spacing w:after="0"/>
              <w:rPr>
                <w:sz w:val="20"/>
                <w:szCs w:val="20"/>
                <w:color w:val="auto"/>
              </w:rPr>
            </w:pPr>
            <w:r>
              <w:rPr>
                <w:rFonts w:ascii="Arial" w:cs="Arial" w:eastAsia="Arial" w:hAnsi="Arial"/>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3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70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jc w:val="right"/>
              <w:ind w:right="120"/>
              <w:spacing w:after="0"/>
              <w:rPr>
                <w:sz w:val="20"/>
                <w:szCs w:val="20"/>
                <w:color w:val="auto"/>
              </w:rPr>
            </w:pPr>
            <w:r>
              <w:rPr>
                <w:rFonts w:ascii="Arial" w:cs="Arial" w:eastAsia="Arial" w:hAnsi="Arial"/>
                <w:sz w:val="19"/>
                <w:szCs w:val="19"/>
                <w:color w:val="auto"/>
                <w:w w:val="75"/>
              </w:rPr>
              <w:t>$</w:t>
            </w:r>
          </w:p>
        </w:tc>
        <w:tc>
          <w:tcPr>
            <w:tcW w:w="92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w w:val="81"/>
              </w:rPr>
              <w:t>$</w:t>
            </w:r>
          </w:p>
        </w:tc>
        <w:tc>
          <w:tcPr>
            <w:tcW w:w="92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354</w:t>
            </w:r>
          </w:p>
        </w:tc>
        <w:tc>
          <w:tcPr>
            <w:tcW w:w="420" w:type="dxa"/>
            <w:vAlign w:val="bottom"/>
            <w:shd w:val="clear" w:color="auto" w:fill="E5FFFF"/>
          </w:tcPr>
          <w:p>
            <w:pPr>
              <w:jc w:val="right"/>
              <w:ind w:right="192"/>
              <w:spacing w:after="0" w:line="243" w:lineRule="exact"/>
              <w:rPr>
                <w:sz w:val="20"/>
                <w:szCs w:val="20"/>
                <w:color w:val="auto"/>
              </w:rPr>
            </w:pPr>
            <w:r>
              <w:rPr>
                <w:rFonts w:ascii="Arial" w:cs="Arial" w:eastAsia="Arial" w:hAnsi="Arial"/>
                <w:sz w:val="22"/>
                <w:szCs w:val="22"/>
                <w:color w:val="auto"/>
                <w:w w:val="81"/>
              </w:rPr>
              <w:t>$</w:t>
            </w:r>
          </w:p>
        </w:tc>
        <w:tc>
          <w:tcPr>
            <w:tcW w:w="6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354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0"/>
                <w:szCs w:val="20"/>
                <w:color w:val="auto"/>
              </w:rPr>
            </w:pPr>
            <w:r>
              <w:rPr>
                <w:rFonts w:ascii="Arial" w:cs="Arial" w:eastAsia="Arial" w:hAnsi="Arial"/>
                <w:sz w:val="22"/>
                <w:szCs w:val="22"/>
                <w:color w:val="auto"/>
              </w:rPr>
              <w:t>Forward purchase contracts (2)</w:t>
            </w:r>
          </w:p>
        </w:tc>
        <w:tc>
          <w:tcPr>
            <w:tcW w:w="360" w:type="dxa"/>
            <w:vAlign w:val="bottom"/>
          </w:tcPr>
          <w:p>
            <w:pPr>
              <w:spacing w:after="0"/>
              <w:rPr>
                <w:sz w:val="22"/>
                <w:szCs w:val="22"/>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22"/>
                <w:szCs w:val="22"/>
                <w:color w:val="auto"/>
              </w:rPr>
              <w:t>351</w:t>
            </w:r>
          </w:p>
        </w:tc>
        <w:tc>
          <w:tcPr>
            <w:tcW w:w="32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2"/>
                <w:szCs w:val="22"/>
                <w:color w:val="auto"/>
              </w:rPr>
              <w:t>351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assets</w:t>
            </w:r>
          </w:p>
        </w:tc>
        <w:tc>
          <w:tcPr>
            <w:tcW w:w="36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120"/>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351</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92"/>
              <w:spacing w:after="0" w:line="250" w:lineRule="exact"/>
              <w:rPr>
                <w:sz w:val="20"/>
                <w:szCs w:val="20"/>
                <w:color w:val="auto"/>
              </w:rPr>
            </w:pPr>
            <w:r>
              <w:rPr>
                <w:rFonts w:ascii="Arial" w:cs="Arial" w:eastAsia="Arial" w:hAnsi="Arial"/>
                <w:sz w:val="22"/>
                <w:szCs w:val="22"/>
                <w:color w:val="auto"/>
                <w:w w:val="81"/>
              </w:rPr>
              <w:t>$</w:t>
            </w:r>
          </w:p>
        </w:tc>
        <w:tc>
          <w:tcPr>
            <w:tcW w:w="5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354</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420" w:type="dxa"/>
            <w:vAlign w:val="bottom"/>
            <w:tcBorders>
              <w:top w:val="single" w:sz="8" w:color="auto"/>
              <w:bottom w:val="single" w:sz="8" w:color="auto"/>
            </w:tcBorders>
            <w:shd w:val="clear" w:color="auto" w:fill="E5FFFF"/>
          </w:tcPr>
          <w:p>
            <w:pPr>
              <w:jc w:val="right"/>
              <w:ind w:right="192"/>
              <w:spacing w:after="0" w:line="250" w:lineRule="exact"/>
              <w:rPr>
                <w:sz w:val="20"/>
                <w:szCs w:val="20"/>
                <w:color w:val="auto"/>
              </w:rPr>
            </w:pPr>
            <w:r>
              <w:rPr>
                <w:rFonts w:ascii="Arial" w:cs="Arial" w:eastAsia="Arial" w:hAnsi="Arial"/>
                <w:sz w:val="22"/>
                <w:szCs w:val="22"/>
                <w:color w:val="auto"/>
                <w:w w:val="81"/>
              </w:rPr>
              <w:t>$</w:t>
            </w:r>
          </w:p>
        </w:tc>
        <w:tc>
          <w:tcPr>
            <w:tcW w:w="6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705</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22"/>
                <w:szCs w:val="22"/>
                <w:color w:val="auto"/>
              </w:rPr>
              <w:t>Commodity futures and swaps liability (3)</w:t>
            </w: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vMerge w:val="continue"/>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22"/>
                <w:szCs w:val="22"/>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320" w:type="dxa"/>
            <w:vAlign w:val="bottom"/>
          </w:tcPr>
          <w:p>
            <w:pPr>
              <w:jc w:val="right"/>
              <w:ind w:right="120"/>
              <w:spacing w:after="0"/>
              <w:rPr>
                <w:sz w:val="20"/>
                <w:szCs w:val="20"/>
                <w:color w:val="auto"/>
              </w:rPr>
            </w:pPr>
            <w:r>
              <w:rPr>
                <w:rFonts w:ascii="Arial" w:cs="Arial" w:eastAsia="Arial" w:hAnsi="Arial"/>
                <w:sz w:val="19"/>
                <w:szCs w:val="19"/>
                <w:color w:val="auto"/>
                <w:w w:val="75"/>
              </w:rPr>
              <w:t>$</w:t>
            </w:r>
          </w:p>
        </w:tc>
        <w:tc>
          <w:tcPr>
            <w:tcW w:w="920" w:type="dxa"/>
            <w:vAlign w:val="bottom"/>
            <w:gridSpan w:val="2"/>
          </w:tcPr>
          <w:p>
            <w:pPr>
              <w:jc w:val="right"/>
              <w:ind w:right="380"/>
              <w:spacing w:after="0"/>
              <w:rPr>
                <w:sz w:val="20"/>
                <w:szCs w:val="20"/>
                <w:color w:val="auto"/>
              </w:rPr>
            </w:pPr>
            <w:r>
              <w:rPr>
                <w:rFonts w:ascii="Arial" w:cs="Arial" w:eastAsia="Arial" w:hAnsi="Arial"/>
                <w:sz w:val="22"/>
                <w:szCs w:val="22"/>
                <w:color w:val="auto"/>
              </w:rPr>
              <w:t>378</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92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420" w:type="dxa"/>
            <w:vAlign w:val="bottom"/>
          </w:tcPr>
          <w:p>
            <w:pPr>
              <w:jc w:val="right"/>
              <w:ind w:right="192"/>
              <w:spacing w:after="0"/>
              <w:rPr>
                <w:sz w:val="20"/>
                <w:szCs w:val="20"/>
                <w:color w:val="auto"/>
              </w:rPr>
            </w:pPr>
            <w:r>
              <w:rPr>
                <w:rFonts w:ascii="Arial" w:cs="Arial" w:eastAsia="Arial" w:hAnsi="Arial"/>
                <w:sz w:val="22"/>
                <w:szCs w:val="22"/>
                <w:color w:val="auto"/>
                <w:w w:val="81"/>
              </w:rPr>
              <w:t>$</w:t>
            </w:r>
          </w:p>
        </w:tc>
        <w:tc>
          <w:tcPr>
            <w:tcW w:w="660" w:type="dxa"/>
            <w:vAlign w:val="bottom"/>
            <w:gridSpan w:val="2"/>
          </w:tcPr>
          <w:p>
            <w:pPr>
              <w:jc w:val="right"/>
              <w:ind w:right="20"/>
              <w:spacing w:after="0"/>
              <w:rPr>
                <w:sz w:val="20"/>
                <w:szCs w:val="20"/>
                <w:color w:val="auto"/>
              </w:rPr>
            </w:pPr>
            <w:r>
              <w:rPr>
                <w:rFonts w:ascii="Arial" w:cs="Arial" w:eastAsia="Arial" w:hAnsi="Arial"/>
                <w:sz w:val="22"/>
                <w:szCs w:val="22"/>
                <w:color w:val="auto"/>
              </w:rPr>
              <w:t>378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220" w:firstLine="648"/>
        <w:spacing w:after="0" w:line="250" w:lineRule="auto"/>
        <w:rPr>
          <w:sz w:val="20"/>
          <w:szCs w:val="20"/>
          <w:color w:val="auto"/>
        </w:rPr>
      </w:pPr>
      <w:r>
        <w:rPr>
          <w:rFonts w:ascii="Arial" w:cs="Arial" w:eastAsia="Arial" w:hAnsi="Arial"/>
          <w:sz w:val="22"/>
          <w:szCs w:val="22"/>
          <w:color w:val="auto"/>
        </w:rPr>
        <w:t>Financial assets and liabilities measured at fair value on a recurring basis at January 31, 2020 are summarized below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60" w:type="dxa"/>
            <w:vAlign w:val="bottom"/>
          </w:tcPr>
          <w:p>
            <w:pPr>
              <w:spacing w:after="0"/>
              <w:rPr>
                <w:sz w:val="23"/>
                <w:szCs w:val="23"/>
                <w:color w:val="auto"/>
              </w:rPr>
            </w:pPr>
          </w:p>
        </w:tc>
        <w:tc>
          <w:tcPr>
            <w:tcW w:w="1060" w:type="dxa"/>
            <w:vAlign w:val="bottom"/>
            <w:gridSpan w:val="3"/>
          </w:tcPr>
          <w:p>
            <w:pPr>
              <w:ind w:left="20"/>
              <w:spacing w:after="0"/>
              <w:rPr>
                <w:sz w:val="20"/>
                <w:szCs w:val="20"/>
                <w:color w:val="auto"/>
              </w:rPr>
            </w:pPr>
            <w:r>
              <w:rPr>
                <w:rFonts w:ascii="Arial" w:cs="Arial" w:eastAsia="Arial" w:hAnsi="Arial"/>
                <w:sz w:val="22"/>
                <w:szCs w:val="22"/>
                <w:b w:val="1"/>
                <w:bCs w:val="1"/>
                <w:color w:val="auto"/>
              </w:rPr>
              <w:t>Level 1</w:t>
            </w:r>
          </w:p>
        </w:tc>
        <w:tc>
          <w:tcPr>
            <w:tcW w:w="1240" w:type="dxa"/>
            <w:vAlign w:val="bottom"/>
            <w:gridSpan w:val="3"/>
          </w:tcPr>
          <w:p>
            <w:pPr>
              <w:jc w:val="right"/>
              <w:ind w:right="480"/>
              <w:spacing w:after="0"/>
              <w:rPr>
                <w:sz w:val="20"/>
                <w:szCs w:val="20"/>
                <w:color w:val="auto"/>
              </w:rPr>
            </w:pPr>
            <w:r>
              <w:rPr>
                <w:rFonts w:ascii="Arial" w:cs="Arial" w:eastAsia="Arial" w:hAnsi="Arial"/>
                <w:sz w:val="22"/>
                <w:szCs w:val="22"/>
                <w:b w:val="1"/>
                <w:bCs w:val="1"/>
                <w:color w:val="auto"/>
                <w:w w:val="99"/>
              </w:rPr>
              <w:t>Level 2</w:t>
            </w:r>
          </w:p>
        </w:tc>
        <w:tc>
          <w:tcPr>
            <w:tcW w:w="1240" w:type="dxa"/>
            <w:vAlign w:val="bottom"/>
            <w:gridSpan w:val="3"/>
          </w:tcPr>
          <w:p>
            <w:pPr>
              <w:jc w:val="right"/>
              <w:ind w:right="480"/>
              <w:spacing w:after="0"/>
              <w:rPr>
                <w:sz w:val="20"/>
                <w:szCs w:val="20"/>
                <w:color w:val="auto"/>
              </w:rPr>
            </w:pPr>
            <w:r>
              <w:rPr>
                <w:rFonts w:ascii="Arial" w:cs="Arial" w:eastAsia="Arial" w:hAnsi="Arial"/>
                <w:sz w:val="22"/>
                <w:szCs w:val="22"/>
                <w:b w:val="1"/>
                <w:bCs w:val="1"/>
                <w:color w:val="auto"/>
                <w:w w:val="99"/>
              </w:rPr>
              <w:t>Level 3</w:t>
            </w:r>
          </w:p>
        </w:tc>
        <w:tc>
          <w:tcPr>
            <w:tcW w:w="1160" w:type="dxa"/>
            <w:vAlign w:val="bottom"/>
            <w:gridSpan w:val="4"/>
          </w:tcPr>
          <w:p>
            <w:pPr>
              <w:ind w:left="60"/>
              <w:spacing w:after="0"/>
              <w:rPr>
                <w:sz w:val="20"/>
                <w:szCs w:val="20"/>
                <w:color w:val="auto"/>
              </w:rPr>
            </w:pPr>
            <w:r>
              <w:rPr>
                <w:rFonts w:ascii="Arial" w:cs="Arial" w:eastAsia="Arial" w:hAnsi="Arial"/>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3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70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jc w:val="right"/>
              <w:ind w:right="120"/>
              <w:spacing w:after="0"/>
              <w:rPr>
                <w:sz w:val="20"/>
                <w:szCs w:val="20"/>
                <w:color w:val="auto"/>
              </w:rPr>
            </w:pPr>
            <w:r>
              <w:rPr>
                <w:rFonts w:ascii="Arial" w:cs="Arial" w:eastAsia="Arial" w:hAnsi="Arial"/>
                <w:sz w:val="19"/>
                <w:szCs w:val="19"/>
                <w:color w:val="auto"/>
                <w:w w:val="75"/>
              </w:rPr>
              <w:t>$</w:t>
            </w:r>
          </w:p>
        </w:tc>
        <w:tc>
          <w:tcPr>
            <w:tcW w:w="92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w w:val="81"/>
              </w:rPr>
              <w:t>$</w:t>
            </w:r>
          </w:p>
        </w:tc>
        <w:tc>
          <w:tcPr>
            <w:tcW w:w="92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341</w:t>
            </w:r>
          </w:p>
        </w:tc>
        <w:tc>
          <w:tcPr>
            <w:tcW w:w="420" w:type="dxa"/>
            <w:vAlign w:val="bottom"/>
            <w:shd w:val="clear" w:color="auto" w:fill="E5FFFF"/>
          </w:tcPr>
          <w:p>
            <w:pPr>
              <w:jc w:val="right"/>
              <w:ind w:right="192"/>
              <w:spacing w:after="0" w:line="243" w:lineRule="exact"/>
              <w:rPr>
                <w:sz w:val="20"/>
                <w:szCs w:val="20"/>
                <w:color w:val="auto"/>
              </w:rPr>
            </w:pPr>
            <w:r>
              <w:rPr>
                <w:rFonts w:ascii="Arial" w:cs="Arial" w:eastAsia="Arial" w:hAnsi="Arial"/>
                <w:sz w:val="22"/>
                <w:szCs w:val="22"/>
                <w:color w:val="auto"/>
                <w:w w:val="81"/>
              </w:rPr>
              <w:t>$</w:t>
            </w:r>
          </w:p>
        </w:tc>
        <w:tc>
          <w:tcPr>
            <w:tcW w:w="6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341</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0"/>
                <w:szCs w:val="20"/>
                <w:color w:val="auto"/>
              </w:rPr>
            </w:pPr>
            <w:r>
              <w:rPr>
                <w:rFonts w:ascii="Arial" w:cs="Arial" w:eastAsia="Arial" w:hAnsi="Arial"/>
                <w:sz w:val="22"/>
                <w:szCs w:val="22"/>
                <w:color w:val="auto"/>
              </w:rPr>
              <w:t>Commodity futures and swaps (2)</w:t>
            </w:r>
          </w:p>
        </w:tc>
        <w:tc>
          <w:tcPr>
            <w:tcW w:w="360" w:type="dxa"/>
            <w:vAlign w:val="bottom"/>
          </w:tcPr>
          <w:p>
            <w:pPr>
              <w:spacing w:after="0"/>
              <w:rPr>
                <w:sz w:val="22"/>
                <w:szCs w:val="22"/>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22"/>
                <w:szCs w:val="22"/>
                <w:color w:val="auto"/>
              </w:rPr>
              <w:t>352</w:t>
            </w:r>
          </w:p>
        </w:tc>
        <w:tc>
          <w:tcPr>
            <w:tcW w:w="32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2"/>
                <w:szCs w:val="22"/>
                <w:color w:val="auto"/>
              </w:rPr>
              <w:t>352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assets</w:t>
            </w:r>
          </w:p>
        </w:tc>
        <w:tc>
          <w:tcPr>
            <w:tcW w:w="36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120"/>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352</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92"/>
              <w:spacing w:after="0" w:line="250" w:lineRule="exact"/>
              <w:rPr>
                <w:sz w:val="20"/>
                <w:szCs w:val="20"/>
                <w:color w:val="auto"/>
              </w:rPr>
            </w:pPr>
            <w:r>
              <w:rPr>
                <w:rFonts w:ascii="Arial" w:cs="Arial" w:eastAsia="Arial" w:hAnsi="Arial"/>
                <w:sz w:val="22"/>
                <w:szCs w:val="22"/>
                <w:color w:val="auto"/>
                <w:w w:val="81"/>
              </w:rPr>
              <w:t>$</w:t>
            </w:r>
          </w:p>
        </w:tc>
        <w:tc>
          <w:tcPr>
            <w:tcW w:w="5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341</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420" w:type="dxa"/>
            <w:vAlign w:val="bottom"/>
            <w:tcBorders>
              <w:top w:val="single" w:sz="8" w:color="auto"/>
              <w:bottom w:val="single" w:sz="8" w:color="auto"/>
            </w:tcBorders>
            <w:shd w:val="clear" w:color="auto" w:fill="E5FFFF"/>
          </w:tcPr>
          <w:p>
            <w:pPr>
              <w:jc w:val="right"/>
              <w:ind w:right="192"/>
              <w:spacing w:after="0" w:line="250" w:lineRule="exact"/>
              <w:rPr>
                <w:sz w:val="20"/>
                <w:szCs w:val="20"/>
                <w:color w:val="auto"/>
              </w:rPr>
            </w:pPr>
            <w:r>
              <w:rPr>
                <w:rFonts w:ascii="Arial" w:cs="Arial" w:eastAsia="Arial" w:hAnsi="Arial"/>
                <w:sz w:val="22"/>
                <w:szCs w:val="22"/>
                <w:color w:val="auto"/>
                <w:w w:val="81"/>
              </w:rPr>
              <w:t>$</w:t>
            </w:r>
          </w:p>
        </w:tc>
        <w:tc>
          <w:tcPr>
            <w:tcW w:w="6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693</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22"/>
                <w:szCs w:val="22"/>
                <w:color w:val="auto"/>
              </w:rPr>
              <w:t>Forward purchase contract liability (3)</w:t>
            </w: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vMerge w:val="continue"/>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22"/>
                <w:szCs w:val="22"/>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320" w:type="dxa"/>
            <w:vAlign w:val="bottom"/>
          </w:tcPr>
          <w:p>
            <w:pPr>
              <w:jc w:val="right"/>
              <w:ind w:right="120"/>
              <w:spacing w:after="0"/>
              <w:rPr>
                <w:sz w:val="20"/>
                <w:szCs w:val="20"/>
                <w:color w:val="auto"/>
              </w:rPr>
            </w:pPr>
            <w:r>
              <w:rPr>
                <w:rFonts w:ascii="Arial" w:cs="Arial" w:eastAsia="Arial" w:hAnsi="Arial"/>
                <w:sz w:val="19"/>
                <w:szCs w:val="19"/>
                <w:color w:val="auto"/>
                <w:w w:val="75"/>
              </w:rPr>
              <w:t>$</w:t>
            </w:r>
          </w:p>
        </w:tc>
        <w:tc>
          <w:tcPr>
            <w:tcW w:w="920" w:type="dxa"/>
            <w:vAlign w:val="bottom"/>
            <w:gridSpan w:val="2"/>
          </w:tcPr>
          <w:p>
            <w:pPr>
              <w:jc w:val="right"/>
              <w:ind w:right="380"/>
              <w:spacing w:after="0"/>
              <w:rPr>
                <w:sz w:val="20"/>
                <w:szCs w:val="20"/>
                <w:color w:val="auto"/>
              </w:rPr>
            </w:pPr>
            <w:r>
              <w:rPr>
                <w:rFonts w:ascii="Arial" w:cs="Arial" w:eastAsia="Arial" w:hAnsi="Arial"/>
                <w:sz w:val="22"/>
                <w:szCs w:val="22"/>
                <w:color w:val="auto"/>
              </w:rPr>
              <w:t>230</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92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420" w:type="dxa"/>
            <w:vAlign w:val="bottom"/>
          </w:tcPr>
          <w:p>
            <w:pPr>
              <w:jc w:val="right"/>
              <w:ind w:right="192"/>
              <w:spacing w:after="0"/>
              <w:rPr>
                <w:sz w:val="20"/>
                <w:szCs w:val="20"/>
                <w:color w:val="auto"/>
              </w:rPr>
            </w:pPr>
            <w:r>
              <w:rPr>
                <w:rFonts w:ascii="Arial" w:cs="Arial" w:eastAsia="Arial" w:hAnsi="Arial"/>
                <w:sz w:val="22"/>
                <w:szCs w:val="22"/>
                <w:color w:val="auto"/>
                <w:w w:val="81"/>
              </w:rPr>
              <w:t>$</w:t>
            </w:r>
          </w:p>
        </w:tc>
        <w:tc>
          <w:tcPr>
            <w:tcW w:w="660" w:type="dxa"/>
            <w:vAlign w:val="bottom"/>
            <w:gridSpan w:val="2"/>
          </w:tcPr>
          <w:p>
            <w:pPr>
              <w:jc w:val="right"/>
              <w:ind w:right="20"/>
              <w:spacing w:after="0"/>
              <w:rPr>
                <w:sz w:val="20"/>
                <w:szCs w:val="20"/>
                <w:color w:val="auto"/>
              </w:rPr>
            </w:pPr>
            <w:r>
              <w:rPr>
                <w:rFonts w:ascii="Arial" w:cs="Arial" w:eastAsia="Arial" w:hAnsi="Arial"/>
                <w:sz w:val="22"/>
                <w:szCs w:val="22"/>
                <w:color w:val="auto"/>
              </w:rPr>
              <w:t>230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investment in cooperative is included in “Other assets” on the accompanying Consolidated Condensed Balance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Sheets.</w:t>
      </w:r>
    </w:p>
    <w:p>
      <w:pPr>
        <w:ind w:right="20" w:firstLine="656"/>
        <w:spacing w:after="0" w:line="230"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forward purchase contract asset and the commodity futures and swaps asset are included in “Prepaid expenses and other current assets” on the accompanying Consolidated Condensed Balance Sheets.</w:t>
      </w:r>
    </w:p>
    <w:p>
      <w:pPr>
        <w:spacing w:after="0" w:line="1" w:lineRule="exact"/>
        <w:rPr>
          <w:rFonts w:ascii="Arial" w:cs="Arial" w:eastAsia="Arial" w:hAnsi="Arial"/>
          <w:sz w:val="22"/>
          <w:szCs w:val="22"/>
          <w:color w:val="auto"/>
        </w:rPr>
      </w:pPr>
    </w:p>
    <w:p>
      <w:pPr>
        <w:ind w:right="640" w:firstLine="656"/>
        <w:spacing w:after="0" w:line="256" w:lineRule="auto"/>
        <w:tabs>
          <w:tab w:leader="none" w:pos="954"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forward purchase contract liability and the commodity futures and swaps liability are included in “Accrued expenses and other current liabilities” on the accompanying Consolidated Condensed Balance Sheets.</w:t>
      </w:r>
    </w:p>
    <w:p>
      <w:pPr>
        <w:spacing w:after="0" w:line="196"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5" w:lineRule="exact"/>
        <w:rPr>
          <w:sz w:val="20"/>
          <w:szCs w:val="20"/>
          <w:color w:val="auto"/>
        </w:rPr>
      </w:pPr>
    </w:p>
    <w:p>
      <w:pPr>
        <w:jc w:val="center"/>
        <w:ind w:right="420"/>
        <w:spacing w:after="0" w:line="430" w:lineRule="auto"/>
        <w:rPr>
          <w:sz w:val="20"/>
          <w:szCs w:val="20"/>
          <w:color w:val="auto"/>
        </w:rPr>
      </w:pPr>
      <w:r>
        <w:rPr>
          <w:rFonts w:ascii="Arial" w:cs="Arial" w:eastAsia="Arial" w:hAnsi="Arial"/>
          <w:sz w:val="22"/>
          <w:szCs w:val="22"/>
          <w:color w:val="auto"/>
        </w:rPr>
        <w:t>There were no assets measured at fair value on a non-recurring basis at October 31, 2020 or January 31, 2020.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components of property and equipment are as follows for the periods presented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20" w:type="dxa"/>
            <w:vAlign w:val="bottom"/>
            <w:gridSpan w:val="4"/>
          </w:tcPr>
          <w:p>
            <w:pPr>
              <w:ind w:left="60"/>
              <w:spacing w:after="0"/>
              <w:rPr>
                <w:sz w:val="20"/>
                <w:szCs w:val="20"/>
                <w:color w:val="auto"/>
              </w:rPr>
            </w:pPr>
            <w:r>
              <w:rPr>
                <w:rFonts w:ascii="Arial" w:cs="Arial" w:eastAsia="Arial" w:hAnsi="Arial"/>
                <w:sz w:val="22"/>
                <w:szCs w:val="22"/>
                <w:b w:val="1"/>
                <w:bCs w:val="1"/>
                <w:color w:val="auto"/>
              </w:rPr>
              <w:t>October 31,</w:t>
            </w:r>
          </w:p>
        </w:tc>
        <w:tc>
          <w:tcPr>
            <w:tcW w:w="1260" w:type="dxa"/>
            <w:vAlign w:val="bottom"/>
            <w:gridSpan w:val="3"/>
          </w:tcPr>
          <w:p>
            <w:pPr>
              <w:ind w:left="60"/>
              <w:spacing w:after="0"/>
              <w:rPr>
                <w:sz w:val="20"/>
                <w:szCs w:val="20"/>
                <w:color w:val="auto"/>
              </w:rPr>
            </w:pPr>
            <w:r>
              <w:rPr>
                <w:rFonts w:ascii="Arial" w:cs="Arial" w:eastAsia="Arial" w:hAnsi="Arial"/>
                <w:sz w:val="22"/>
                <w:szCs w:val="22"/>
                <w:b w:val="1"/>
                <w:bCs w:val="1"/>
                <w:color w:val="auto"/>
                <w:w w:val="97"/>
              </w:rPr>
              <w:t>January 31,</w:t>
            </w:r>
          </w:p>
        </w:tc>
      </w:tr>
      <w:tr>
        <w:trPr>
          <w:trHeight w:val="270"/>
        </w:trPr>
        <w:tc>
          <w:tcPr>
            <w:tcW w:w="46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2020</w:t>
            </w:r>
          </w:p>
        </w:tc>
        <w:tc>
          <w:tcPr>
            <w:tcW w:w="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2020</w:t>
            </w:r>
          </w:p>
        </w:tc>
        <w:tc>
          <w:tcPr>
            <w:tcW w:w="80" w:type="dxa"/>
            <w:vAlign w:val="bottom"/>
            <w:tcBorders>
              <w:bottom w:val="single" w:sz="8" w:color="auto"/>
            </w:tcBorders>
          </w:tcPr>
          <w:p>
            <w:pPr>
              <w:spacing w:after="0"/>
              <w:rPr>
                <w:sz w:val="23"/>
                <w:szCs w:val="23"/>
                <w:color w:val="auto"/>
              </w:rPr>
            </w:pPr>
          </w:p>
        </w:tc>
      </w:tr>
      <w:tr>
        <w:trPr>
          <w:trHeight w:val="237"/>
        </w:trPr>
        <w:tc>
          <w:tcPr>
            <w:tcW w:w="4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6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Land and improvements</w:t>
            </w:r>
          </w:p>
        </w:tc>
        <w:tc>
          <w:tcPr>
            <w:tcW w:w="1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26,244</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21,957</w:t>
            </w:r>
          </w:p>
        </w:tc>
        <w:tc>
          <w:tcPr>
            <w:tcW w:w="80" w:type="dxa"/>
            <w:vAlign w:val="bottom"/>
            <w:shd w:val="clear" w:color="auto" w:fill="E5FFFF"/>
          </w:tcPr>
          <w:p>
            <w:pPr>
              <w:spacing w:after="0"/>
              <w:rPr>
                <w:sz w:val="21"/>
                <w:szCs w:val="21"/>
                <w:color w:val="auto"/>
              </w:rPr>
            </w:pPr>
          </w:p>
        </w:tc>
      </w:tr>
      <w:tr>
        <w:trPr>
          <w:trHeight w:val="243"/>
        </w:trPr>
        <w:tc>
          <w:tcPr>
            <w:tcW w:w="4620" w:type="dxa"/>
            <w:vAlign w:val="bottom"/>
          </w:tcPr>
          <w:p>
            <w:pPr>
              <w:spacing w:after="0" w:line="243" w:lineRule="exact"/>
              <w:rPr>
                <w:sz w:val="20"/>
                <w:szCs w:val="20"/>
                <w:color w:val="auto"/>
              </w:rPr>
            </w:pPr>
            <w:r>
              <w:rPr>
                <w:rFonts w:ascii="Arial" w:cs="Arial" w:eastAsia="Arial" w:hAnsi="Arial"/>
                <w:sz w:val="22"/>
                <w:szCs w:val="22"/>
                <w:color w:val="auto"/>
              </w:rPr>
              <w:t>Buildings and improvements</w:t>
            </w: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23,643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23,643</w:t>
            </w:r>
          </w:p>
        </w:tc>
        <w:tc>
          <w:tcPr>
            <w:tcW w:w="80" w:type="dxa"/>
            <w:vAlign w:val="bottom"/>
          </w:tcPr>
          <w:p>
            <w:pPr>
              <w:spacing w:after="0"/>
              <w:rPr>
                <w:sz w:val="21"/>
                <w:szCs w:val="21"/>
                <w:color w:val="auto"/>
              </w:rPr>
            </w:pPr>
          </w:p>
        </w:tc>
      </w:tr>
      <w:tr>
        <w:trPr>
          <w:trHeight w:val="243"/>
        </w:trPr>
        <w:tc>
          <w:tcPr>
            <w:tcW w:w="46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Machinery, equipment and fixtures</w:t>
            </w:r>
          </w:p>
        </w:tc>
        <w:tc>
          <w:tcPr>
            <w:tcW w:w="15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302,367</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300,972</w:t>
            </w:r>
          </w:p>
        </w:tc>
        <w:tc>
          <w:tcPr>
            <w:tcW w:w="80" w:type="dxa"/>
            <w:vAlign w:val="bottom"/>
            <w:shd w:val="clear" w:color="auto" w:fill="E5FFFF"/>
          </w:tcPr>
          <w:p>
            <w:pPr>
              <w:spacing w:after="0"/>
              <w:rPr>
                <w:sz w:val="21"/>
                <w:szCs w:val="21"/>
                <w:color w:val="auto"/>
              </w:rPr>
            </w:pPr>
          </w:p>
        </w:tc>
      </w:tr>
      <w:tr>
        <w:trPr>
          <w:trHeight w:val="256"/>
        </w:trPr>
        <w:tc>
          <w:tcPr>
            <w:tcW w:w="462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Construction in progress</w:t>
            </w:r>
          </w:p>
        </w:tc>
        <w:tc>
          <w:tcPr>
            <w:tcW w:w="1580" w:type="dxa"/>
            <w:vAlign w:val="bottom"/>
            <w:tcBorders>
              <w:bottom w:val="single" w:sz="8" w:color="E5FF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746</w:t>
            </w:r>
          </w:p>
        </w:tc>
        <w:tc>
          <w:tcPr>
            <w:tcW w:w="80" w:type="dxa"/>
            <w:vAlign w:val="bottom"/>
            <w:tcBorders>
              <w:bottom w:val="single" w:sz="8" w:color="E5FFFF"/>
            </w:tcBorders>
          </w:tcPr>
          <w:p>
            <w:pPr>
              <w:spacing w:after="0"/>
              <w:rPr>
                <w:sz w:val="22"/>
                <w:szCs w:val="22"/>
                <w:color w:val="auto"/>
              </w:rPr>
            </w:pPr>
          </w:p>
        </w:tc>
        <w:tc>
          <w:tcPr>
            <w:tcW w:w="240" w:type="dxa"/>
            <w:vAlign w:val="bottom"/>
            <w:tcBorders>
              <w:bottom w:val="single" w:sz="8" w:color="E5FF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193</w:t>
            </w:r>
          </w:p>
        </w:tc>
        <w:tc>
          <w:tcPr>
            <w:tcW w:w="80" w:type="dxa"/>
            <w:vAlign w:val="bottom"/>
            <w:tcBorders>
              <w:bottom w:val="single" w:sz="8" w:color="E5FFFF"/>
            </w:tcBorders>
          </w:tcPr>
          <w:p>
            <w:pPr>
              <w:spacing w:after="0"/>
              <w:rPr>
                <w:sz w:val="22"/>
                <w:szCs w:val="22"/>
                <w:color w:val="auto"/>
              </w:rPr>
            </w:pPr>
          </w:p>
        </w:tc>
      </w:tr>
      <w:tr>
        <w:trPr>
          <w:trHeight w:val="237"/>
        </w:trPr>
        <w:tc>
          <w:tcPr>
            <w:tcW w:w="4620" w:type="dxa"/>
            <w:vAlign w:val="bottom"/>
            <w:shd w:val="clear" w:color="auto" w:fill="E5FFFF"/>
          </w:tcPr>
          <w:p>
            <w:pPr>
              <w:spacing w:after="0"/>
              <w:rPr>
                <w:sz w:val="20"/>
                <w:szCs w:val="20"/>
                <w:color w:val="auto"/>
              </w:rPr>
            </w:pPr>
          </w:p>
        </w:tc>
        <w:tc>
          <w:tcPr>
            <w:tcW w:w="15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9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353,000</w:t>
            </w:r>
          </w:p>
        </w:tc>
        <w:tc>
          <w:tcPr>
            <w:tcW w:w="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9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346,765</w:t>
            </w:r>
          </w:p>
        </w:tc>
        <w:tc>
          <w:tcPr>
            <w:tcW w:w="80" w:type="dxa"/>
            <w:vAlign w:val="bottom"/>
            <w:shd w:val="clear" w:color="auto" w:fill="E5FFFF"/>
          </w:tcPr>
          <w:p>
            <w:pPr>
              <w:spacing w:after="0"/>
              <w:rPr>
                <w:sz w:val="20"/>
                <w:szCs w:val="20"/>
                <w:color w:val="auto"/>
              </w:rPr>
            </w:pPr>
          </w:p>
        </w:tc>
      </w:tr>
      <w:tr>
        <w:trPr>
          <w:trHeight w:val="257"/>
        </w:trPr>
        <w:tc>
          <w:tcPr>
            <w:tcW w:w="462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Less: accumulated depreciation</w:t>
            </w:r>
          </w:p>
        </w:tc>
        <w:tc>
          <w:tcPr>
            <w:tcW w:w="1580" w:type="dxa"/>
            <w:vAlign w:val="bottom"/>
            <w:tcBorders>
              <w:bottom w:val="single" w:sz="8" w:color="E5FF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(198,599)</w:t>
            </w:r>
          </w:p>
        </w:tc>
        <w:tc>
          <w:tcPr>
            <w:tcW w:w="80" w:type="dxa"/>
            <w:vAlign w:val="bottom"/>
            <w:tcBorders>
              <w:bottom w:val="single" w:sz="8" w:color="E5FFFF"/>
            </w:tcBorders>
          </w:tcPr>
          <w:p>
            <w:pPr>
              <w:spacing w:after="0"/>
              <w:rPr>
                <w:sz w:val="22"/>
                <w:szCs w:val="22"/>
                <w:color w:val="auto"/>
              </w:rPr>
            </w:pPr>
          </w:p>
        </w:tc>
        <w:tc>
          <w:tcPr>
            <w:tcW w:w="240" w:type="dxa"/>
            <w:vAlign w:val="bottom"/>
            <w:tcBorders>
              <w:bottom w:val="single" w:sz="8" w:color="E5FF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(183,438)</w:t>
            </w:r>
          </w:p>
        </w:tc>
        <w:tc>
          <w:tcPr>
            <w:tcW w:w="80" w:type="dxa"/>
            <w:vAlign w:val="bottom"/>
            <w:tcBorders>
              <w:bottom w:val="single" w:sz="8" w:color="E5FFFF"/>
            </w:tcBorders>
          </w:tcPr>
          <w:p>
            <w:pPr>
              <w:spacing w:after="0"/>
              <w:rPr>
                <w:sz w:val="22"/>
                <w:szCs w:val="22"/>
                <w:color w:val="auto"/>
              </w:rPr>
            </w:pPr>
          </w:p>
        </w:tc>
      </w:tr>
      <w:tr>
        <w:trPr>
          <w:trHeight w:val="250"/>
        </w:trPr>
        <w:tc>
          <w:tcPr>
            <w:tcW w:w="4620" w:type="dxa"/>
            <w:vAlign w:val="bottom"/>
            <w:tcBorders>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580" w:type="dxa"/>
            <w:vAlign w:val="bottom"/>
            <w:tcBorders>
              <w:bottom w:val="single" w:sz="8" w:color="E5FFFF"/>
            </w:tcBorders>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154,401</w:t>
            </w:r>
          </w:p>
        </w:tc>
        <w:tc>
          <w:tcPr>
            <w:tcW w:w="80" w:type="dxa"/>
            <w:vAlign w:val="bottom"/>
            <w:tcBorders>
              <w:bottom w:val="single" w:sz="8" w:color="E5FFFF"/>
            </w:tcBorders>
            <w:shd w:val="clear" w:color="auto" w:fill="E5FFFF"/>
          </w:tcPr>
          <w:p>
            <w:pPr>
              <w:spacing w:after="0"/>
              <w:rPr>
                <w:sz w:val="21"/>
                <w:szCs w:val="21"/>
                <w:color w:val="auto"/>
              </w:rPr>
            </w:pPr>
          </w:p>
        </w:tc>
        <w:tc>
          <w:tcPr>
            <w:tcW w:w="240" w:type="dxa"/>
            <w:vAlign w:val="bottom"/>
            <w:tcBorders>
              <w:bottom w:val="single" w:sz="8" w:color="E5FFFF"/>
            </w:tcBorders>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163,327</w:t>
            </w:r>
          </w:p>
        </w:tc>
        <w:tc>
          <w:tcPr>
            <w:tcW w:w="80" w:type="dxa"/>
            <w:vAlign w:val="bottom"/>
            <w:tcBorders>
              <w:bottom w:val="single" w:sz="8" w:color="E5FFFF"/>
            </w:tcBorders>
            <w:shd w:val="clear" w:color="auto" w:fill="E5FFFF"/>
          </w:tcPr>
          <w:p>
            <w:pPr>
              <w:spacing w:after="0"/>
              <w:rPr>
                <w:sz w:val="21"/>
                <w:szCs w:val="2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20" w:type="dxa"/>
            <w:vAlign w:val="bottom"/>
            <w:gridSpan w:val="4"/>
          </w:tcPr>
          <w:p>
            <w:pPr>
              <w:ind w:left="60"/>
              <w:spacing w:after="0"/>
              <w:rPr>
                <w:sz w:val="20"/>
                <w:szCs w:val="20"/>
                <w:color w:val="auto"/>
              </w:rPr>
            </w:pPr>
            <w:r>
              <w:rPr>
                <w:rFonts w:ascii="Arial" w:cs="Arial" w:eastAsia="Arial" w:hAnsi="Arial"/>
                <w:sz w:val="22"/>
                <w:szCs w:val="22"/>
                <w:b w:val="1"/>
                <w:bCs w:val="1"/>
                <w:color w:val="auto"/>
              </w:rPr>
              <w:t>October 31,</w:t>
            </w:r>
          </w:p>
        </w:tc>
        <w:tc>
          <w:tcPr>
            <w:tcW w:w="1260" w:type="dxa"/>
            <w:vAlign w:val="bottom"/>
            <w:gridSpan w:val="3"/>
          </w:tcPr>
          <w:p>
            <w:pPr>
              <w:ind w:left="60"/>
              <w:spacing w:after="0"/>
              <w:rPr>
                <w:sz w:val="20"/>
                <w:szCs w:val="20"/>
                <w:color w:val="auto"/>
              </w:rPr>
            </w:pPr>
            <w:r>
              <w:rPr>
                <w:rFonts w:ascii="Arial" w:cs="Arial" w:eastAsia="Arial" w:hAnsi="Arial"/>
                <w:sz w:val="22"/>
                <w:szCs w:val="22"/>
                <w:b w:val="1"/>
                <w:bCs w:val="1"/>
                <w:color w:val="auto"/>
                <w:w w:val="97"/>
              </w:rPr>
              <w:t>January 31,</w:t>
            </w:r>
          </w:p>
        </w:tc>
      </w:tr>
      <w:tr>
        <w:trPr>
          <w:trHeight w:val="270"/>
        </w:trPr>
        <w:tc>
          <w:tcPr>
            <w:tcW w:w="46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2020</w:t>
            </w:r>
          </w:p>
        </w:tc>
        <w:tc>
          <w:tcPr>
            <w:tcW w:w="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2020</w:t>
            </w:r>
          </w:p>
        </w:tc>
        <w:tc>
          <w:tcPr>
            <w:tcW w:w="80" w:type="dxa"/>
            <w:vAlign w:val="bottom"/>
            <w:tcBorders>
              <w:bottom w:val="single" w:sz="8" w:color="auto"/>
            </w:tcBorders>
          </w:tcPr>
          <w:p>
            <w:pPr>
              <w:spacing w:after="0"/>
              <w:rPr>
                <w:sz w:val="23"/>
                <w:szCs w:val="23"/>
                <w:color w:val="auto"/>
              </w:rPr>
            </w:pPr>
          </w:p>
        </w:tc>
      </w:tr>
      <w:tr>
        <w:trPr>
          <w:trHeight w:val="237"/>
        </w:trPr>
        <w:tc>
          <w:tcPr>
            <w:tcW w:w="4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payroll and related items</w:t>
            </w:r>
          </w:p>
        </w:tc>
        <w:tc>
          <w:tcPr>
            <w:tcW w:w="1760" w:type="dxa"/>
            <w:vAlign w:val="bottom"/>
            <w:gridSpan w:val="2"/>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555</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40" w:type="dxa"/>
            <w:vAlign w:val="bottom"/>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1,152</w:t>
            </w:r>
          </w:p>
        </w:tc>
        <w:tc>
          <w:tcPr>
            <w:tcW w:w="80" w:type="dxa"/>
            <w:vAlign w:val="bottom"/>
            <w:shd w:val="clear" w:color="auto" w:fill="E5FFFF"/>
          </w:tcPr>
          <w:p>
            <w:pPr>
              <w:spacing w:after="0"/>
              <w:rPr>
                <w:sz w:val="21"/>
                <w:szCs w:val="21"/>
                <w:color w:val="auto"/>
              </w:rPr>
            </w:pP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Accrued utility charges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1,650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2,398</w:t>
            </w:r>
          </w:p>
        </w:tc>
        <w:tc>
          <w:tcPr>
            <w:tcW w:w="80" w:type="dxa"/>
            <w:vAlign w:val="bottom"/>
          </w:tcPr>
          <w:p>
            <w:pPr>
              <w:spacing w:after="0"/>
              <w:rPr>
                <w:sz w:val="21"/>
                <w:szCs w:val="21"/>
                <w:color w:val="auto"/>
              </w:rPr>
            </w:pPr>
          </w:p>
        </w:tc>
      </w:tr>
      <w:tr>
        <w:trPr>
          <w:trHeight w:val="243"/>
        </w:trPr>
        <w:tc>
          <w:tcPr>
            <w:tcW w:w="4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transportation related items</w:t>
            </w:r>
          </w:p>
        </w:tc>
        <w:tc>
          <w:tcPr>
            <w:tcW w:w="15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1,560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1,500</w:t>
            </w:r>
          </w:p>
        </w:tc>
        <w:tc>
          <w:tcPr>
            <w:tcW w:w="80" w:type="dxa"/>
            <w:vAlign w:val="bottom"/>
            <w:shd w:val="clear" w:color="auto" w:fill="E5FFFF"/>
          </w:tcPr>
          <w:p>
            <w:pPr>
              <w:spacing w:after="0"/>
              <w:rPr>
                <w:sz w:val="21"/>
                <w:szCs w:val="21"/>
                <w:color w:val="auto"/>
              </w:rPr>
            </w:pP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Accrued real estate taxes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1,348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1,755</w:t>
            </w:r>
          </w:p>
        </w:tc>
        <w:tc>
          <w:tcPr>
            <w:tcW w:w="80" w:type="dxa"/>
            <w:vAlign w:val="bottom"/>
          </w:tcPr>
          <w:p>
            <w:pPr>
              <w:spacing w:after="0"/>
              <w:rPr>
                <w:sz w:val="21"/>
                <w:szCs w:val="21"/>
                <w:color w:val="auto"/>
              </w:rPr>
            </w:pPr>
          </w:p>
        </w:tc>
      </w:tr>
      <w:tr>
        <w:trPr>
          <w:trHeight w:val="243"/>
        </w:trPr>
        <w:tc>
          <w:tcPr>
            <w:tcW w:w="4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w:t>
            </w:r>
          </w:p>
        </w:tc>
        <w:tc>
          <w:tcPr>
            <w:tcW w:w="15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378</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E5FFFF"/>
          </w:tcPr>
          <w:p>
            <w:pPr>
              <w:spacing w:after="0"/>
              <w:rPr>
                <w:sz w:val="21"/>
                <w:szCs w:val="21"/>
                <w:color w:val="auto"/>
              </w:rPr>
            </w:pP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Forward purchase contracts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230</w:t>
            </w:r>
          </w:p>
        </w:tc>
        <w:tc>
          <w:tcPr>
            <w:tcW w:w="80" w:type="dxa"/>
            <w:vAlign w:val="bottom"/>
          </w:tcPr>
          <w:p>
            <w:pPr>
              <w:spacing w:after="0"/>
              <w:rPr>
                <w:sz w:val="21"/>
                <w:szCs w:val="21"/>
                <w:color w:val="auto"/>
              </w:rPr>
            </w:pPr>
          </w:p>
        </w:tc>
      </w:tr>
      <w:tr>
        <w:trPr>
          <w:trHeight w:val="243"/>
        </w:trPr>
        <w:tc>
          <w:tcPr>
            <w:tcW w:w="4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income taxes</w:t>
            </w:r>
          </w:p>
        </w:tc>
        <w:tc>
          <w:tcPr>
            <w:tcW w:w="15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43</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68</w:t>
            </w:r>
          </w:p>
        </w:tc>
        <w:tc>
          <w:tcPr>
            <w:tcW w:w="80" w:type="dxa"/>
            <w:vAlign w:val="bottom"/>
            <w:shd w:val="clear" w:color="auto" w:fill="E5FFFF"/>
          </w:tcPr>
          <w:p>
            <w:pPr>
              <w:spacing w:after="0"/>
              <w:rPr>
                <w:sz w:val="21"/>
                <w:szCs w:val="21"/>
                <w:color w:val="auto"/>
              </w:rPr>
            </w:pPr>
          </w:p>
        </w:tc>
      </w:tr>
      <w:tr>
        <w:trPr>
          <w:trHeight w:val="257"/>
        </w:trPr>
        <w:tc>
          <w:tcPr>
            <w:tcW w:w="468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Other</w:t>
            </w:r>
          </w:p>
        </w:tc>
        <w:tc>
          <w:tcPr>
            <w:tcW w:w="1520" w:type="dxa"/>
            <w:vAlign w:val="bottom"/>
            <w:tcBorders>
              <w:bottom w:val="single" w:sz="8" w:color="E5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515</w:t>
            </w:r>
          </w:p>
        </w:tc>
        <w:tc>
          <w:tcPr>
            <w:tcW w:w="80" w:type="dxa"/>
            <w:vAlign w:val="bottom"/>
            <w:tcBorders>
              <w:bottom w:val="single" w:sz="8" w:color="E5FFFF"/>
            </w:tcBorders>
          </w:tcPr>
          <w:p>
            <w:pPr>
              <w:spacing w:after="0"/>
              <w:rPr>
                <w:sz w:val="22"/>
                <w:szCs w:val="22"/>
                <w:color w:val="auto"/>
              </w:rPr>
            </w:pPr>
          </w:p>
        </w:tc>
        <w:tc>
          <w:tcPr>
            <w:tcW w:w="240" w:type="dxa"/>
            <w:vAlign w:val="bottom"/>
            <w:tcBorders>
              <w:bottom w:val="single" w:sz="8" w:color="E5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661</w:t>
            </w:r>
          </w:p>
        </w:tc>
        <w:tc>
          <w:tcPr>
            <w:tcW w:w="80" w:type="dxa"/>
            <w:vAlign w:val="bottom"/>
            <w:tcBorders>
              <w:bottom w:val="single" w:sz="8" w:color="E5FFFF"/>
            </w:tcBorders>
          </w:tcPr>
          <w:p>
            <w:pPr>
              <w:spacing w:after="0"/>
              <w:rPr>
                <w:sz w:val="22"/>
                <w:szCs w:val="22"/>
                <w:color w:val="auto"/>
              </w:rPr>
            </w:pPr>
          </w:p>
        </w:tc>
      </w:tr>
      <w:tr>
        <w:trPr>
          <w:trHeight w:val="250"/>
        </w:trPr>
        <w:tc>
          <w:tcPr>
            <w:tcW w:w="4680" w:type="dxa"/>
            <w:vAlign w:val="bottom"/>
            <w:tcBorders>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520" w:type="dxa"/>
            <w:vAlign w:val="bottom"/>
            <w:tcBorders>
              <w:bottom w:val="single" w:sz="8" w:color="E5FFFF"/>
            </w:tcBorders>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jc w:val="right"/>
              <w:ind w:right="12"/>
              <w:spacing w:after="0" w:line="250" w:lineRule="exact"/>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6,049</w:t>
            </w:r>
          </w:p>
        </w:tc>
        <w:tc>
          <w:tcPr>
            <w:tcW w:w="80" w:type="dxa"/>
            <w:vAlign w:val="bottom"/>
            <w:tcBorders>
              <w:bottom w:val="single" w:sz="8" w:color="E5FFFF"/>
            </w:tcBorders>
            <w:shd w:val="clear" w:color="auto" w:fill="E5FFFF"/>
          </w:tcPr>
          <w:p>
            <w:pPr>
              <w:spacing w:after="0"/>
              <w:rPr>
                <w:sz w:val="21"/>
                <w:szCs w:val="21"/>
                <w:color w:val="auto"/>
              </w:rPr>
            </w:pPr>
          </w:p>
        </w:tc>
        <w:tc>
          <w:tcPr>
            <w:tcW w:w="240" w:type="dxa"/>
            <w:vAlign w:val="bottom"/>
            <w:tcBorders>
              <w:bottom w:val="single" w:sz="8" w:color="E5FFFF"/>
            </w:tcBorders>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jc w:val="right"/>
              <w:ind w:right="12"/>
              <w:spacing w:after="0" w:line="250" w:lineRule="exact"/>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7,764</w:t>
            </w:r>
          </w:p>
        </w:tc>
        <w:tc>
          <w:tcPr>
            <w:tcW w:w="80" w:type="dxa"/>
            <w:vAlign w:val="bottom"/>
            <w:tcBorders>
              <w:bottom w:val="single" w:sz="8" w:color="E5FFFF"/>
            </w:tcBorders>
            <w:shd w:val="clear" w:color="auto" w:fill="E5FFFF"/>
          </w:tcPr>
          <w:p>
            <w:pPr>
              <w:spacing w:after="0"/>
              <w:rPr>
                <w:sz w:val="21"/>
                <w:szCs w:val="21"/>
                <w:color w:val="auto"/>
              </w:rPr>
            </w:pPr>
          </w:p>
        </w:tc>
      </w:tr>
      <w:tr>
        <w:trPr>
          <w:trHeight w:val="20"/>
        </w:trPr>
        <w:tc>
          <w:tcPr>
            <w:tcW w:w="4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 w:name="page17"/>
    <w:bookmarkEnd w:id="16"/>
    <w:p>
      <w:pPr>
        <w:ind w:right="60" w:firstLine="648"/>
        <w:spacing w:after="0" w:line="257" w:lineRule="auto"/>
        <w:rPr>
          <w:sz w:val="20"/>
          <w:szCs w:val="20"/>
          <w:color w:val="auto"/>
        </w:rPr>
      </w:pPr>
      <w:r>
        <w:rPr>
          <w:rFonts w:ascii="Arial" w:cs="Arial" w:eastAsia="Arial" w:hAnsi="Arial"/>
          <w:sz w:val="21"/>
          <w:szCs w:val="21"/>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180"/>
        <w:spacing w:after="0" w:line="247" w:lineRule="auto"/>
        <w:rPr>
          <w:sz w:val="20"/>
          <w:szCs w:val="20"/>
          <w:color w:val="auto"/>
        </w:rPr>
      </w:pPr>
      <w:r>
        <w:rPr>
          <w:rFonts w:ascii="Arial" w:cs="Arial" w:eastAsia="Arial" w:hAnsi="Arial"/>
          <w:sz w:val="22"/>
          <w:szCs w:val="22"/>
          <w:color w:val="auto"/>
        </w:rPr>
        <w:t>Commodity futures and swaps (1) Forward purchase contracts (2) 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60" w:type="dxa"/>
            <w:vAlign w:val="bottom"/>
          </w:tcPr>
          <w:p>
            <w:pPr>
              <w:spacing w:after="0"/>
              <w:rPr>
                <w:sz w:val="21"/>
                <w:szCs w:val="21"/>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22"/>
                <w:szCs w:val="22"/>
                <w:b w:val="1"/>
                <w:bCs w:val="1"/>
                <w:color w:val="auto"/>
              </w:rPr>
              <w:t>Asset Derivatives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gridSpan w:val="5"/>
          </w:tcPr>
          <w:p>
            <w:pPr>
              <w:jc w:val="right"/>
              <w:spacing w:after="0"/>
              <w:rPr>
                <w:sz w:val="20"/>
                <w:szCs w:val="20"/>
                <w:color w:val="auto"/>
              </w:rPr>
            </w:pPr>
            <w:r>
              <w:rPr>
                <w:rFonts w:ascii="Arial" w:cs="Arial" w:eastAsia="Arial" w:hAnsi="Arial"/>
                <w:sz w:val="22"/>
                <w:szCs w:val="22"/>
                <w:b w:val="1"/>
                <w:bCs w:val="1"/>
                <w:color w:val="auto"/>
              </w:rPr>
              <w:t>Liability Derivatives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60" w:type="dxa"/>
            <w:vAlign w:val="bottom"/>
          </w:tcPr>
          <w:p>
            <w:pPr>
              <w:spacing w:after="0"/>
              <w:rPr>
                <w:sz w:val="21"/>
                <w:szCs w:val="21"/>
                <w:color w:val="auto"/>
              </w:rPr>
            </w:pPr>
          </w:p>
        </w:tc>
        <w:tc>
          <w:tcPr>
            <w:tcW w:w="2340" w:type="dxa"/>
            <w:vAlign w:val="bottom"/>
            <w:gridSpan w:val="4"/>
          </w:tcPr>
          <w:p>
            <w:pPr>
              <w:jc w:val="right"/>
              <w:ind w:right="476"/>
              <w:spacing w:after="0" w:line="243" w:lineRule="exact"/>
              <w:rPr>
                <w:sz w:val="20"/>
                <w:szCs w:val="20"/>
                <w:color w:val="auto"/>
              </w:rPr>
            </w:pPr>
            <w:r>
              <w:rPr>
                <w:rFonts w:ascii="Arial" w:cs="Arial" w:eastAsia="Arial" w:hAnsi="Arial"/>
                <w:sz w:val="22"/>
                <w:szCs w:val="22"/>
                <w:b w:val="1"/>
                <w:bCs w:val="1"/>
                <w:color w:val="auto"/>
              </w:rPr>
              <w:t>Fair Value</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gridSpan w:val="5"/>
          </w:tcPr>
          <w:p>
            <w:pPr>
              <w:jc w:val="right"/>
              <w:ind w:right="456"/>
              <w:spacing w:after="0" w:line="243" w:lineRule="exact"/>
              <w:rPr>
                <w:sz w:val="20"/>
                <w:szCs w:val="20"/>
                <w:color w:val="auto"/>
              </w:rPr>
            </w:pPr>
            <w:r>
              <w:rPr>
                <w:rFonts w:ascii="Arial" w:cs="Arial" w:eastAsia="Arial" w:hAnsi="Arial"/>
                <w:sz w:val="22"/>
                <w:szCs w:val="22"/>
                <w:b w:val="1"/>
                <w:bCs w:val="1"/>
                <w:color w:val="auto"/>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260" w:type="dxa"/>
            <w:vAlign w:val="bottom"/>
            <w:gridSpan w:val="2"/>
          </w:tcPr>
          <w:p>
            <w:pPr>
              <w:jc w:val="right"/>
              <w:spacing w:after="0" w:line="243" w:lineRule="exact"/>
              <w:rPr>
                <w:sz w:val="20"/>
                <w:szCs w:val="20"/>
                <w:color w:val="auto"/>
              </w:rPr>
            </w:pPr>
            <w:r>
              <w:rPr>
                <w:rFonts w:ascii="Arial" w:cs="Arial" w:eastAsia="Arial" w:hAnsi="Arial"/>
                <w:sz w:val="22"/>
                <w:szCs w:val="22"/>
                <w:b w:val="1"/>
                <w:bCs w:val="1"/>
                <w:color w:val="auto"/>
                <w:w w:val="94"/>
              </w:rPr>
              <w:t>October 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4"/>
          </w:tcPr>
          <w:p>
            <w:pPr>
              <w:ind w:left="80"/>
              <w:spacing w:after="0" w:line="243" w:lineRule="exact"/>
              <w:rPr>
                <w:sz w:val="20"/>
                <w:szCs w:val="20"/>
                <w:color w:val="auto"/>
              </w:rPr>
            </w:pPr>
            <w:r>
              <w:rPr>
                <w:rFonts w:ascii="Arial" w:cs="Arial" w:eastAsia="Arial" w:hAnsi="Arial"/>
                <w:sz w:val="22"/>
                <w:szCs w:val="22"/>
                <w:b w:val="1"/>
                <w:bCs w:val="1"/>
                <w:color w:val="auto"/>
              </w:rPr>
              <w:t>January 31,</w:t>
            </w:r>
          </w:p>
        </w:tc>
        <w:tc>
          <w:tcPr>
            <w:tcW w:w="1660" w:type="dxa"/>
            <w:vAlign w:val="bottom"/>
            <w:gridSpan w:val="4"/>
          </w:tcPr>
          <w:p>
            <w:pPr>
              <w:ind w:left="80"/>
              <w:spacing w:after="0" w:line="243" w:lineRule="exact"/>
              <w:rPr>
                <w:sz w:val="20"/>
                <w:szCs w:val="20"/>
                <w:color w:val="auto"/>
              </w:rPr>
            </w:pPr>
            <w:r>
              <w:rPr>
                <w:rFonts w:ascii="Arial" w:cs="Arial" w:eastAsia="Arial" w:hAnsi="Arial"/>
                <w:sz w:val="22"/>
                <w:szCs w:val="22"/>
                <w:b w:val="1"/>
                <w:bCs w:val="1"/>
                <w:color w:val="auto"/>
              </w:rPr>
              <w:t>October 31,</w:t>
            </w:r>
          </w:p>
        </w:tc>
        <w:tc>
          <w:tcPr>
            <w:tcW w:w="20" w:type="dxa"/>
            <w:vAlign w:val="bottom"/>
          </w:tcPr>
          <w:p>
            <w:pPr>
              <w:spacing w:after="0"/>
              <w:rPr>
                <w:sz w:val="21"/>
                <w:szCs w:val="21"/>
                <w:color w:val="auto"/>
              </w:rPr>
            </w:pPr>
          </w:p>
        </w:tc>
        <w:tc>
          <w:tcPr>
            <w:tcW w:w="1220" w:type="dxa"/>
            <w:vAlign w:val="bottom"/>
            <w:gridSpan w:val="2"/>
          </w:tcPr>
          <w:p>
            <w:pPr>
              <w:jc w:val="right"/>
              <w:spacing w:after="0" w:line="243" w:lineRule="exact"/>
              <w:rPr>
                <w:sz w:val="20"/>
                <w:szCs w:val="20"/>
                <w:color w:val="auto"/>
              </w:rPr>
            </w:pPr>
            <w:r>
              <w:rPr>
                <w:rFonts w:ascii="Arial" w:cs="Arial" w:eastAsia="Arial" w:hAnsi="Arial"/>
                <w:sz w:val="22"/>
                <w:szCs w:val="22"/>
                <w:b w:val="1"/>
                <w:bCs w:val="1"/>
                <w:color w:val="auto"/>
                <w:w w:val="92"/>
              </w:rPr>
              <w:t>January 31,</w:t>
            </w:r>
          </w:p>
        </w:tc>
        <w:tc>
          <w:tcPr>
            <w:tcW w:w="100" w:type="dxa"/>
            <w:vAlign w:val="bottom"/>
          </w:tcPr>
          <w:p>
            <w:pPr>
              <w:spacing w:after="0"/>
              <w:rPr>
                <w:sz w:val="21"/>
                <w:szCs w:val="21"/>
                <w:color w:val="auto"/>
              </w:rPr>
            </w:pPr>
          </w:p>
        </w:tc>
      </w:tr>
      <w:tr>
        <w:trPr>
          <w:trHeight w:val="270"/>
        </w:trPr>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3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3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r>
      <w:tr>
        <w:trPr>
          <w:trHeight w:val="472"/>
        </w:trPr>
        <w:tc>
          <w:tcPr>
            <w:tcW w:w="260" w:type="dxa"/>
            <w:vAlign w:val="bottom"/>
          </w:tcPr>
          <w:p>
            <w:pPr>
              <w:jc w:val="right"/>
              <w:ind w:right="59"/>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gridSpan w:val="3"/>
          </w:tcPr>
          <w:p>
            <w:pPr>
              <w:jc w:val="right"/>
              <w:ind w:right="676"/>
              <w:spacing w:after="0"/>
              <w:rPr>
                <w:sz w:val="20"/>
                <w:szCs w:val="20"/>
                <w:color w:val="auto"/>
              </w:rPr>
            </w:pPr>
            <w:r>
              <w:rPr>
                <w:rFonts w:ascii="Arial" w:cs="Arial" w:eastAsia="Arial" w:hAnsi="Arial"/>
                <w:sz w:val="22"/>
                <w:szCs w:val="2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22"/>
                <w:szCs w:val="22"/>
                <w:color w:val="auto"/>
                <w:w w:val="97"/>
              </w:rPr>
              <w:t>352</w:t>
            </w:r>
          </w:p>
        </w:tc>
        <w:tc>
          <w:tcPr>
            <w:tcW w:w="3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378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56"/>
              <w:spacing w:after="0"/>
              <w:rPr>
                <w:sz w:val="20"/>
                <w:szCs w:val="20"/>
                <w:color w:val="auto"/>
              </w:rPr>
            </w:pPr>
            <w:r>
              <w:rPr>
                <w:rFonts w:ascii="Arial" w:cs="Arial" w:eastAsia="Arial" w:hAnsi="Arial"/>
                <w:sz w:val="22"/>
                <w:szCs w:val="22"/>
                <w:color w:val="auto"/>
                <w:w w:val="81"/>
              </w:rPr>
              <w:t>$</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r>
      <w:tr>
        <w:trPr>
          <w:trHeight w:val="264"/>
        </w:trPr>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w w:val="92"/>
              </w:rPr>
              <w:t>230</w:t>
            </w:r>
          </w:p>
        </w:tc>
        <w:tc>
          <w:tcPr>
            <w:tcW w:w="100" w:type="dxa"/>
            <w:vAlign w:val="bottom"/>
          </w:tcPr>
          <w:p>
            <w:pPr>
              <w:spacing w:after="0"/>
              <w:rPr>
                <w:sz w:val="22"/>
                <w:szCs w:val="22"/>
                <w:color w:val="auto"/>
              </w:rPr>
            </w:pPr>
          </w:p>
        </w:tc>
      </w:tr>
      <w:tr>
        <w:trPr>
          <w:trHeight w:val="250"/>
        </w:trPr>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7"/>
              </w:rPr>
              <w:t>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9"/>
                <w:szCs w:val="19"/>
                <w:color w:val="auto"/>
                <w:w w:val="75"/>
              </w:rPr>
              <w:t>$</w:t>
            </w:r>
          </w:p>
        </w:tc>
        <w:tc>
          <w:tcPr>
            <w:tcW w:w="3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2"/>
              </w:rPr>
              <w:t>230</w:t>
            </w:r>
          </w:p>
        </w:tc>
        <w:tc>
          <w:tcPr>
            <w:tcW w:w="100" w:type="dxa"/>
            <w:vAlign w:val="bottom"/>
          </w:tcPr>
          <w:p>
            <w:pPr>
              <w:spacing w:after="0"/>
              <w:rPr>
                <w:sz w:val="21"/>
                <w:szCs w:val="2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-513715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-196850</wp:posOffset>
            </wp:positionV>
            <wp:extent cx="71323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402" w:right="339" w:bottom="1440" w:gutter="0" w:footer="0" w:header="0"/>
          <w:type w:val="continuous"/>
        </w:sectPr>
      </w:pPr>
    </w:p>
    <w:p>
      <w:pPr>
        <w:spacing w:after="0" w:line="22" w:lineRule="exact"/>
        <w:rPr>
          <w:sz w:val="20"/>
          <w:szCs w:val="20"/>
          <w:color w:val="auto"/>
        </w:rPr>
      </w:pPr>
    </w:p>
    <w:p>
      <w:pPr>
        <w:jc w:val="both"/>
        <w:ind w:left="440" w:hanging="5"/>
        <w:spacing w:after="0" w:line="235" w:lineRule="auto"/>
        <w:tabs>
          <w:tab w:leader="none" w:pos="779" w:val="left"/>
        </w:tabs>
        <w:numPr>
          <w:ilvl w:val="0"/>
          <w:numId w:val="5"/>
        </w:numPr>
        <w:rPr>
          <w:rFonts w:ascii="Arial" w:cs="Arial" w:eastAsia="Arial" w:hAnsi="Arial"/>
          <w:sz w:val="22"/>
          <w:szCs w:val="22"/>
          <w:color w:val="auto"/>
        </w:rPr>
      </w:pPr>
      <w:r>
        <w:rPr>
          <w:rFonts w:ascii="Arial" w:cs="Arial" w:eastAsia="Arial" w:hAnsi="Arial"/>
          <w:sz w:val="22"/>
          <w:szCs w:val="22"/>
          <w:color w:val="auto"/>
        </w:rPr>
        <w:t>Commodity futures and swaps assets are included in prepaid expenses and other current assets. These contracts are short/sell positions for approximately 3.7 million bushels of corn and long/buy positions for approximately 2.2 million bushels of corn at January 31, 2020. Commodity futures and swaps liabilities are included in accrued expenses and other current liabilities. These contracts are short/sell positions for approximately 4.6 million bushels of corn, long/buy positions for approximately 4.8 million bushels of corn and short/sell positions for approximately 4.2 million gallons of ethanol at October 31, 2020.</w:t>
      </w:r>
    </w:p>
    <w:p>
      <w:pPr>
        <w:spacing w:after="0" w:line="214" w:lineRule="exact"/>
        <w:rPr>
          <w:rFonts w:ascii="Arial" w:cs="Arial" w:eastAsia="Arial" w:hAnsi="Arial"/>
          <w:sz w:val="22"/>
          <w:szCs w:val="22"/>
          <w:color w:val="auto"/>
        </w:rPr>
      </w:pPr>
    </w:p>
    <w:p>
      <w:pPr>
        <w:jc w:val="both"/>
        <w:ind w:left="440" w:hanging="5"/>
        <w:spacing w:after="0" w:line="238" w:lineRule="auto"/>
        <w:tabs>
          <w:tab w:leader="none" w:pos="775" w:val="left"/>
        </w:tabs>
        <w:numPr>
          <w:ilvl w:val="0"/>
          <w:numId w:val="5"/>
        </w:numPr>
        <w:rPr>
          <w:rFonts w:ascii="Arial" w:cs="Arial" w:eastAsia="Arial" w:hAnsi="Arial"/>
          <w:sz w:val="22"/>
          <w:szCs w:val="22"/>
          <w:color w:val="auto"/>
        </w:rPr>
      </w:pPr>
      <w:r>
        <w:rPr>
          <w:rFonts w:ascii="Arial" w:cs="Arial" w:eastAsia="Arial" w:hAnsi="Arial"/>
          <w:sz w:val="22"/>
          <w:szCs w:val="22"/>
          <w:color w:val="auto"/>
        </w:rPr>
        <w:t>Forward purchase contracts assets are included in prepaid expenses and other current assets. These contracts are for purchases of approximately 5.4 million bushels of corn at October 31, 2020. Forward purchase contracts liabilities are included in accrued expenses and other current liabilities. These contracts are for purchases of approximately 1.6 million bushels of corn at January 31, 2020.</w:t>
      </w:r>
    </w:p>
    <w:p>
      <w:pPr>
        <w:spacing w:after="0" w:line="21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As of October 31, 2020, and January 31, 2020, all the derivative financial instruments held by the Company were subject to enforceable master netting arrangements. The Company’s accounting policy is to offset positions and amounts owed or owing with the same counterparty. As of October 31, 2020, and January 31, 2020,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$884,000 and approximately $1,113,000 to secure the Company’s derivative position at October 31, 2020 and January 31, 2020, respectively.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33"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(Losses) gains on derivative financial instruments of approximately $(26,000) and approximately $248,000 for the third quarters of fiscal years 2020 and 2019, respectively, were included in cost of sales on the Consolidated Condensed Statements of Operations. (Losses) gains on derivative financial instruments of approximately $(1,785,000) and approximately $1,478,000 for the first nine months of fiscal years 2020 and 2019, respectively, were included in cost of sales on the Consolidated Condensed Statements of Operations.</w:t>
      </w:r>
    </w:p>
    <w:p>
      <w:pPr>
        <w:spacing w:after="0" w:line="214"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Losses on derivative financial instruments of approximately $777,000 and $1,076,000 for the third quarter and first nine months, respectively, of fiscal year 2020 were included in net sales and revenue on the Consolidated Condensed Statements of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Investments</w:t>
      </w:r>
    </w:p>
    <w:p>
      <w:pPr>
        <w:spacing w:after="0" w:line="239"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The following table summarizes the Company’s equity method investment at October 31, 2020 and January 31, 2020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Entity</w:t>
            </w:r>
          </w:p>
        </w:tc>
        <w:tc>
          <w:tcPr>
            <w:tcW w:w="1820" w:type="dxa"/>
            <w:vAlign w:val="bottom"/>
            <w:gridSpan w:val="2"/>
          </w:tcPr>
          <w:p>
            <w:pPr>
              <w:ind w:left="260"/>
              <w:spacing w:after="0"/>
              <w:rPr>
                <w:sz w:val="20"/>
                <w:szCs w:val="20"/>
                <w:color w:val="auto"/>
              </w:rPr>
            </w:pPr>
            <w:r>
              <w:rPr>
                <w:rFonts w:ascii="Arial" w:cs="Arial" w:eastAsia="Arial" w:hAnsi="Arial"/>
                <w:sz w:val="22"/>
                <w:szCs w:val="22"/>
                <w:b w:val="1"/>
                <w:bCs w:val="1"/>
                <w:color w:val="auto"/>
              </w:rPr>
              <w:t>Ownership</w:t>
            </w:r>
          </w:p>
        </w:tc>
        <w:tc>
          <w:tcPr>
            <w:tcW w:w="3380" w:type="dxa"/>
            <w:vAlign w:val="bottom"/>
            <w:gridSpan w:val="3"/>
          </w:tcPr>
          <w:p>
            <w:pPr>
              <w:jc w:val="right"/>
              <w:ind w:right="752"/>
              <w:spacing w:after="0"/>
              <w:rPr>
                <w:sz w:val="20"/>
                <w:szCs w:val="20"/>
                <w:color w:val="auto"/>
              </w:rPr>
            </w:pPr>
            <w:r>
              <w:rPr>
                <w:rFonts w:ascii="Arial" w:cs="Arial" w:eastAsia="Arial" w:hAnsi="Arial"/>
                <w:sz w:val="22"/>
                <w:szCs w:val="22"/>
                <w:b w:val="1"/>
                <w:bCs w:val="1"/>
                <w:color w:val="auto"/>
              </w:rPr>
              <w:t>Carrying Amount</w:t>
            </w:r>
          </w:p>
        </w:tc>
        <w:tc>
          <w:tcPr>
            <w:tcW w:w="0" w:type="dxa"/>
            <w:vAlign w:val="bottom"/>
          </w:tcPr>
          <w:p>
            <w:pPr>
              <w:spacing w:after="0"/>
              <w:rPr>
                <w:sz w:val="1"/>
                <w:szCs w:val="1"/>
                <w:color w:val="auto"/>
              </w:rPr>
            </w:pPr>
          </w:p>
        </w:tc>
      </w:tr>
      <w:tr>
        <w:trPr>
          <w:trHeight w:val="243"/>
        </w:trPr>
        <w:tc>
          <w:tcPr>
            <w:tcW w:w="2660" w:type="dxa"/>
            <w:vAlign w:val="bottom"/>
            <w:gridSpan w:val="2"/>
            <w:vMerge w:val="continue"/>
          </w:tcPr>
          <w:p>
            <w:pPr>
              <w:spacing w:after="0"/>
              <w:rPr>
                <w:sz w:val="21"/>
                <w:szCs w:val="21"/>
                <w:color w:val="auto"/>
              </w:rPr>
            </w:pPr>
          </w:p>
        </w:tc>
        <w:tc>
          <w:tcPr>
            <w:tcW w:w="1820" w:type="dxa"/>
            <w:vAlign w:val="bottom"/>
            <w:gridSpan w:val="2"/>
          </w:tcPr>
          <w:p>
            <w:pPr>
              <w:ind w:left="260"/>
              <w:spacing w:after="0" w:line="243" w:lineRule="exact"/>
              <w:rPr>
                <w:sz w:val="20"/>
                <w:szCs w:val="20"/>
                <w:color w:val="auto"/>
              </w:rPr>
            </w:pPr>
            <w:r>
              <w:rPr>
                <w:rFonts w:ascii="Arial" w:cs="Arial" w:eastAsia="Arial" w:hAnsi="Arial"/>
                <w:sz w:val="22"/>
                <w:szCs w:val="22"/>
                <w:b w:val="1"/>
                <w:bCs w:val="1"/>
                <w:color w:val="auto"/>
              </w:rPr>
              <w:t>Percentage</w:t>
            </w:r>
          </w:p>
        </w:tc>
        <w:tc>
          <w:tcPr>
            <w:tcW w:w="1800" w:type="dxa"/>
            <w:vAlign w:val="bottom"/>
            <w:gridSpan w:val="2"/>
          </w:tcPr>
          <w:p>
            <w:pPr>
              <w:ind w:left="20"/>
              <w:spacing w:after="0" w:line="243" w:lineRule="exact"/>
              <w:rPr>
                <w:sz w:val="20"/>
                <w:szCs w:val="20"/>
                <w:color w:val="auto"/>
              </w:rPr>
            </w:pPr>
            <w:r>
              <w:rPr>
                <w:rFonts w:ascii="Arial" w:cs="Arial" w:eastAsia="Arial" w:hAnsi="Arial"/>
                <w:sz w:val="22"/>
                <w:szCs w:val="22"/>
                <w:b w:val="1"/>
                <w:bCs w:val="1"/>
                <w:color w:val="auto"/>
                <w:w w:val="99"/>
              </w:rPr>
              <w:t>October 31, 2020</w:t>
            </w:r>
          </w:p>
        </w:tc>
        <w:tc>
          <w:tcPr>
            <w:tcW w:w="15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w w:val="88"/>
              </w:rPr>
              <w:t>January 31, 2020</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660" w:type="dxa"/>
            <w:vAlign w:val="bottom"/>
            <w:gridSpan w:val="2"/>
          </w:tcPr>
          <w:p>
            <w:pPr>
              <w:spacing w:after="0"/>
              <w:rPr>
                <w:sz w:val="20"/>
                <w:szCs w:val="20"/>
                <w:color w:val="auto"/>
              </w:rPr>
            </w:pPr>
            <w:r>
              <w:rPr>
                <w:rFonts w:ascii="Arial" w:cs="Arial" w:eastAsia="Arial" w:hAnsi="Arial"/>
                <w:sz w:val="22"/>
                <w:szCs w:val="22"/>
                <w:color w:val="auto"/>
              </w:rPr>
              <w:t>Big River</w:t>
            </w:r>
          </w:p>
        </w:tc>
        <w:tc>
          <w:tcPr>
            <w:tcW w:w="1560" w:type="dxa"/>
            <w:vAlign w:val="bottom"/>
          </w:tcPr>
          <w:p>
            <w:pPr>
              <w:jc w:val="right"/>
              <w:ind w:right="352"/>
              <w:spacing w:after="0"/>
              <w:rPr>
                <w:sz w:val="20"/>
                <w:szCs w:val="20"/>
                <w:color w:val="auto"/>
              </w:rPr>
            </w:pPr>
            <w:r>
              <w:rPr>
                <w:rFonts w:ascii="Arial" w:cs="Arial" w:eastAsia="Arial" w:hAnsi="Arial"/>
                <w:sz w:val="22"/>
                <w:szCs w:val="22"/>
                <w:color w:val="auto"/>
              </w:rPr>
              <w:t>10.3%</w:t>
            </w:r>
          </w:p>
        </w:tc>
        <w:tc>
          <w:tcPr>
            <w:tcW w:w="260" w:type="dxa"/>
            <w:vAlign w:val="bottom"/>
          </w:tcPr>
          <w:p>
            <w:pPr>
              <w:spacing w:after="0"/>
              <w:rPr>
                <w:sz w:val="24"/>
                <w:szCs w:val="24"/>
                <w:color w:val="auto"/>
              </w:rPr>
            </w:pPr>
          </w:p>
        </w:tc>
        <w:tc>
          <w:tcPr>
            <w:tcW w:w="1580" w:type="dxa"/>
            <w:vAlign w:val="bottom"/>
          </w:tcPr>
          <w:p>
            <w:pPr>
              <w:jc w:val="right"/>
              <w:ind w:right="272"/>
              <w:spacing w:after="0"/>
              <w:rPr>
                <w:sz w:val="20"/>
                <w:szCs w:val="20"/>
                <w:color w:val="auto"/>
              </w:rPr>
            </w:pPr>
            <w:r>
              <w:rPr>
                <w:rFonts w:ascii="Arial" w:cs="Arial" w:eastAsia="Arial" w:hAnsi="Arial"/>
                <w:sz w:val="22"/>
                <w:szCs w:val="22"/>
                <w:color w:val="auto"/>
              </w:rPr>
              <w:t>$30,126</w:t>
            </w:r>
          </w:p>
        </w:tc>
        <w:tc>
          <w:tcPr>
            <w:tcW w:w="220" w:type="dxa"/>
            <w:vAlign w:val="bottom"/>
          </w:tcPr>
          <w:p>
            <w:pPr>
              <w:spacing w:after="0"/>
              <w:rPr>
                <w:sz w:val="24"/>
                <w:szCs w:val="24"/>
                <w:color w:val="auto"/>
              </w:rPr>
            </w:pPr>
          </w:p>
        </w:tc>
        <w:tc>
          <w:tcPr>
            <w:tcW w:w="1580" w:type="dxa"/>
            <w:vAlign w:val="bottom"/>
          </w:tcPr>
          <w:p>
            <w:pPr>
              <w:jc w:val="right"/>
              <w:ind w:right="272"/>
              <w:spacing w:after="0"/>
              <w:rPr>
                <w:sz w:val="20"/>
                <w:szCs w:val="20"/>
                <w:color w:val="auto"/>
              </w:rPr>
            </w:pPr>
            <w:r>
              <w:rPr>
                <w:rFonts w:ascii="Arial" w:cs="Arial" w:eastAsia="Arial" w:hAnsi="Arial"/>
                <w:sz w:val="22"/>
                <w:szCs w:val="22"/>
                <w:color w:val="auto"/>
              </w:rPr>
              <w:t>$32,464</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Undistributed earnings of the Company’s equity method investee totaled approximately $10.1 million and approximately $12.4 million at October 31, 2020 and January 31, 2020, respectively. The Company received dividends from its equity method investee of approximately $2.5 million and approximately $1.0 million during the first nine months of fiscal years 2020 and 2019, respectively.</w:t>
      </w:r>
    </w:p>
    <w:p>
      <w:pPr>
        <w:spacing w:after="0" w:line="212"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80" w:type="dxa"/>
            <w:vAlign w:val="bottom"/>
            <w:gridSpan w:val="5"/>
          </w:tcPr>
          <w:p>
            <w:pPr>
              <w:jc w:val="right"/>
              <w:spacing w:after="0"/>
              <w:rPr>
                <w:sz w:val="20"/>
                <w:szCs w:val="20"/>
                <w:color w:val="auto"/>
              </w:rPr>
            </w:pPr>
            <w:r>
              <w:rPr>
                <w:rFonts w:ascii="Arial" w:cs="Arial" w:eastAsia="Arial" w:hAnsi="Arial"/>
                <w:sz w:val="22"/>
                <w:szCs w:val="22"/>
                <w:b w:val="1"/>
                <w:bCs w:val="1"/>
                <w:color w:val="auto"/>
                <w:w w:val="91"/>
              </w:rPr>
              <w:t>Three Months Ended</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5"/>
          </w:tcPr>
          <w:p>
            <w:pPr>
              <w:jc w:val="center"/>
              <w:ind w:right="200"/>
              <w:spacing w:after="0"/>
              <w:rPr>
                <w:sz w:val="20"/>
                <w:szCs w:val="20"/>
                <w:color w:val="auto"/>
              </w:rPr>
            </w:pPr>
            <w:r>
              <w:rPr>
                <w:rFonts w:ascii="Arial" w:cs="Arial" w:eastAsia="Arial" w:hAnsi="Arial"/>
                <w:sz w:val="22"/>
                <w:szCs w:val="22"/>
                <w:b w:val="1"/>
                <w:bCs w:val="1"/>
                <w:color w:val="auto"/>
                <w:w w:val="89"/>
              </w:rPr>
              <w:t>Nine Months Ended</w:t>
            </w:r>
          </w:p>
        </w:tc>
      </w:tr>
      <w:tr>
        <w:trPr>
          <w:trHeight w:val="257"/>
        </w:trPr>
        <w:tc>
          <w:tcPr>
            <w:tcW w:w="3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4"/>
          </w:tcPr>
          <w:p>
            <w:pPr>
              <w:jc w:val="right"/>
              <w:ind w:right="392"/>
              <w:spacing w:after="0"/>
              <w:rPr>
                <w:sz w:val="20"/>
                <w:szCs w:val="20"/>
                <w:color w:val="auto"/>
              </w:rPr>
            </w:pPr>
            <w:r>
              <w:rPr>
                <w:rFonts w:ascii="Arial" w:cs="Arial" w:eastAsia="Arial" w:hAnsi="Arial"/>
                <w:sz w:val="22"/>
                <w:szCs w:val="22"/>
                <w:b w:val="1"/>
                <w:bCs w:val="1"/>
                <w:color w:val="auto"/>
              </w:rPr>
              <w:t>October 31,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5"/>
          </w:tcPr>
          <w:p>
            <w:pPr>
              <w:jc w:val="center"/>
              <w:ind w:right="200"/>
              <w:spacing w:after="0"/>
              <w:rPr>
                <w:sz w:val="20"/>
                <w:szCs w:val="20"/>
                <w:color w:val="auto"/>
              </w:rPr>
            </w:pPr>
            <w:r>
              <w:rPr>
                <w:rFonts w:ascii="Arial" w:cs="Arial" w:eastAsia="Arial" w:hAnsi="Arial"/>
                <w:sz w:val="22"/>
                <w:szCs w:val="22"/>
                <w:b w:val="1"/>
                <w:bCs w:val="1"/>
                <w:color w:val="auto"/>
                <w:w w:val="89"/>
              </w:rPr>
              <w:t>October 31,</w:t>
            </w:r>
          </w:p>
        </w:tc>
      </w:tr>
      <w:tr>
        <w:trPr>
          <w:trHeight w:val="270"/>
        </w:trPr>
        <w:tc>
          <w:tcPr>
            <w:tcW w:w="3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b w:val="1"/>
                <w:bCs w:val="1"/>
                <w:color w:val="auto"/>
              </w:rPr>
              <w:t>2020</w:t>
            </w:r>
          </w:p>
        </w:tc>
        <w:tc>
          <w:tcPr>
            <w:tcW w:w="4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b w:val="1"/>
                <w:bCs w:val="1"/>
                <w:color w:val="auto"/>
              </w:rPr>
              <w:t>2019</w:t>
            </w:r>
          </w:p>
        </w:tc>
        <w:tc>
          <w:tcPr>
            <w:tcW w:w="4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rPr>
              <w:t>2020</w:t>
            </w:r>
          </w:p>
        </w:tc>
        <w:tc>
          <w:tcPr>
            <w:tcW w:w="4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b w:val="1"/>
                <w:bCs w:val="1"/>
                <w:color w:val="auto"/>
                <w:w w:val="98"/>
              </w:rPr>
              <w:t>2019</w:t>
            </w:r>
          </w:p>
        </w:tc>
        <w:tc>
          <w:tcPr>
            <w:tcW w:w="80" w:type="dxa"/>
            <w:vAlign w:val="bottom"/>
          </w:tcPr>
          <w:p>
            <w:pPr>
              <w:spacing w:after="0"/>
              <w:rPr>
                <w:sz w:val="23"/>
                <w:szCs w:val="23"/>
                <w:color w:val="auto"/>
              </w:rPr>
            </w:pPr>
          </w:p>
        </w:tc>
      </w:tr>
      <w:tr>
        <w:trPr>
          <w:trHeight w:val="237"/>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39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4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w w:val="87"/>
              </w:rPr>
              <w:t>209,397</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7"/>
              </w:rPr>
              <w:t>220,387</w:t>
            </w:r>
          </w:p>
        </w:tc>
        <w:tc>
          <w:tcPr>
            <w:tcW w:w="5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w w:val="85"/>
              </w:rPr>
              <w:t>537,155</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5"/>
              </w:rPr>
              <w:t>598,187</w:t>
            </w:r>
          </w:p>
        </w:tc>
        <w:tc>
          <w:tcPr>
            <w:tcW w:w="80" w:type="dxa"/>
            <w:vAlign w:val="bottom"/>
            <w:shd w:val="clear" w:color="auto" w:fill="E5FFFF"/>
          </w:tcPr>
          <w:p>
            <w:pPr>
              <w:spacing w:after="0"/>
              <w:rPr>
                <w:sz w:val="21"/>
                <w:szCs w:val="21"/>
                <w:color w:val="auto"/>
              </w:rPr>
            </w:pPr>
          </w:p>
        </w:tc>
      </w:tr>
      <w:tr>
        <w:trPr>
          <w:trHeight w:val="243"/>
        </w:trPr>
        <w:tc>
          <w:tcPr>
            <w:tcW w:w="3960" w:type="dxa"/>
            <w:vAlign w:val="bottom"/>
          </w:tcPr>
          <w:p>
            <w:pPr>
              <w:spacing w:after="0" w:line="243" w:lineRule="exact"/>
              <w:rPr>
                <w:sz w:val="20"/>
                <w:szCs w:val="20"/>
                <w:color w:val="auto"/>
              </w:rPr>
            </w:pPr>
            <w:r>
              <w:rPr>
                <w:rFonts w:ascii="Arial" w:cs="Arial" w:eastAsia="Arial" w:hAnsi="Arial"/>
                <w:sz w:val="22"/>
                <w:szCs w:val="22"/>
                <w:color w:val="auto"/>
              </w:rPr>
              <w:t>Gross profit</w:t>
            </w: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15,419</w:t>
            </w:r>
          </w:p>
        </w:tc>
        <w:tc>
          <w:tcPr>
            <w:tcW w:w="1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10,269</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13,041</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18,864</w:t>
            </w:r>
          </w:p>
        </w:tc>
        <w:tc>
          <w:tcPr>
            <w:tcW w:w="80" w:type="dxa"/>
            <w:vAlign w:val="bottom"/>
          </w:tcPr>
          <w:p>
            <w:pPr>
              <w:spacing w:after="0"/>
              <w:rPr>
                <w:sz w:val="21"/>
                <w:szCs w:val="21"/>
                <w:color w:val="auto"/>
              </w:rPr>
            </w:pPr>
          </w:p>
        </w:tc>
      </w:tr>
      <w:tr>
        <w:trPr>
          <w:trHeight w:val="243"/>
        </w:trPr>
        <w:tc>
          <w:tcPr>
            <w:tcW w:w="39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9"/>
              </w:rPr>
              <w:t>Income (loss) from continuing operations</w:t>
            </w:r>
          </w:p>
        </w:tc>
        <w:tc>
          <w:tcPr>
            <w:tcW w:w="4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11,167</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(149)</w:t>
            </w:r>
          </w:p>
        </w:tc>
        <w:tc>
          <w:tcPr>
            <w:tcW w:w="5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1,627</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3,397</w:t>
            </w:r>
          </w:p>
        </w:tc>
        <w:tc>
          <w:tcPr>
            <w:tcW w:w="80" w:type="dxa"/>
            <w:vAlign w:val="bottom"/>
            <w:shd w:val="clear" w:color="auto" w:fill="E5FFFF"/>
          </w:tcPr>
          <w:p>
            <w:pPr>
              <w:spacing w:after="0"/>
              <w:rPr>
                <w:sz w:val="21"/>
                <w:szCs w:val="21"/>
                <w:color w:val="auto"/>
              </w:rPr>
            </w:pPr>
          </w:p>
        </w:tc>
      </w:tr>
      <w:tr>
        <w:trPr>
          <w:trHeight w:val="274"/>
        </w:trPr>
        <w:tc>
          <w:tcPr>
            <w:tcW w:w="3960" w:type="dxa"/>
            <w:vAlign w:val="bottom"/>
          </w:tcPr>
          <w:p>
            <w:pPr>
              <w:spacing w:after="0"/>
              <w:rPr>
                <w:sz w:val="20"/>
                <w:szCs w:val="20"/>
                <w:color w:val="auto"/>
              </w:rPr>
            </w:pPr>
            <w:r>
              <w:rPr>
                <w:rFonts w:ascii="Arial" w:cs="Arial" w:eastAsia="Arial" w:hAnsi="Arial"/>
                <w:sz w:val="22"/>
                <w:szCs w:val="22"/>
                <w:color w:val="auto"/>
              </w:rPr>
              <w:t>Net income (loss)</w:t>
            </w:r>
          </w:p>
        </w:tc>
        <w:tc>
          <w:tcPr>
            <w:tcW w:w="4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22"/>
                <w:szCs w:val="22"/>
                <w:color w:val="auto"/>
              </w:rPr>
              <w:t>11,167</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20" w:type="dxa"/>
            <w:vAlign w:val="bottom"/>
          </w:tcPr>
          <w:p>
            <w:pPr>
              <w:jc w:val="right"/>
              <w:spacing w:after="0"/>
              <w:rPr>
                <w:sz w:val="20"/>
                <w:szCs w:val="20"/>
                <w:color w:val="auto"/>
              </w:rPr>
            </w:pPr>
            <w:r>
              <w:rPr>
                <w:rFonts w:ascii="Arial" w:cs="Arial" w:eastAsia="Arial" w:hAnsi="Arial"/>
                <w:sz w:val="22"/>
                <w:szCs w:val="22"/>
                <w:color w:val="auto"/>
              </w:rPr>
              <w:t>(149)</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22"/>
                <w:szCs w:val="22"/>
                <w:color w:val="auto"/>
              </w:rPr>
              <w:t>1,627</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3,397</w:t>
            </w:r>
          </w:p>
        </w:tc>
        <w:tc>
          <w:tcPr>
            <w:tcW w:w="80" w:type="dxa"/>
            <w:vAlign w:val="bottom"/>
          </w:tcPr>
          <w:p>
            <w:pPr>
              <w:spacing w:after="0"/>
              <w:rPr>
                <w:sz w:val="23"/>
                <w:szCs w:val="23"/>
                <w:color w:val="auto"/>
              </w:rPr>
            </w:pPr>
          </w:p>
        </w:tc>
      </w:tr>
    </w:tbl>
    <w:p>
      <w:pPr>
        <w:spacing w:after="0" w:line="190"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October 31, 2020, the Company owned certificates of deposit that had an amortized cost, or carrying value, of approximately $29,216,000. The contractual maturity of these investments was less than one year. The yield to maturity rate was approximately 0.2%. Unrealized gains or losses were insignificant.</w:t>
      </w:r>
    </w:p>
    <w:p>
      <w:pPr>
        <w:spacing w:after="0" w:line="21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January 31, 2020, the Company owned certificates of deposit that had an amortized cost, or carrying value, of approximately $26,073,000. The contractual maturity of these investments was less than one year. The yield to maturity rate was approximately 1.8%. Unrealized gains or losses were insignificant.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Employee Benefits</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with no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9"/>
          <w:szCs w:val="19"/>
          <w:color w:val="auto"/>
        </w:rPr>
        <w:t>adjustments for estimated forfeitures. The Company records noncash compensation expense related to liability and equity awards in its consolidated financial statements over the requisite service period on a straight-line basis. At October 31, 2020, 473,830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 stock on the</w:t>
      </w:r>
    </w:p>
    <w:p>
      <w:pPr>
        <w:jc w:val="both"/>
        <w:spacing w:after="0" w:line="224" w:lineRule="auto"/>
        <w:rPr>
          <w:sz w:val="20"/>
          <w:szCs w:val="20"/>
          <w:color w:val="auto"/>
        </w:rPr>
      </w:pPr>
      <w:r>
        <w:rPr>
          <w:rFonts w:ascii="Arial" w:cs="Arial" w:eastAsia="Arial" w:hAnsi="Arial"/>
          <w:sz w:val="22"/>
          <w:szCs w:val="22"/>
          <w:color w:val="auto"/>
        </w:rPr>
        <w:t>grant date. The Company’s 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2"/>
          <w:szCs w:val="22"/>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is not a business day, for all grants of restricted stock.</w:t>
      </w:r>
    </w:p>
    <w:p>
      <w:pPr>
        <w:spacing w:after="0" w:line="6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October 31, 2020 and January 31, 2020, unrecognized compensation cost related to nonvested restricted stock was approximately $272,000 and $220,000, respectively. The following tables summarize non-vested restricted stock award activity for the periods presented:</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0" w:type="dxa"/>
            <w:vAlign w:val="bottom"/>
            <w:gridSpan w:val="11"/>
          </w:tcPr>
          <w:p>
            <w:pPr>
              <w:ind w:left="880"/>
              <w:spacing w:after="0"/>
              <w:rPr>
                <w:sz w:val="20"/>
                <w:szCs w:val="20"/>
                <w:color w:val="auto"/>
              </w:rPr>
            </w:pPr>
            <w:r>
              <w:rPr>
                <w:rFonts w:ascii="Arial" w:cs="Arial" w:eastAsia="Arial" w:hAnsi="Arial"/>
                <w:sz w:val="22"/>
                <w:szCs w:val="22"/>
                <w:b w:val="1"/>
                <w:bCs w:val="1"/>
                <w:color w:val="auto"/>
              </w:rPr>
              <w:t>Nine Months Ended October 31, 2020</w:t>
            </w:r>
          </w:p>
        </w:tc>
        <w:tc>
          <w:tcPr>
            <w:tcW w:w="0" w:type="dxa"/>
            <w:vAlign w:val="bottom"/>
          </w:tcPr>
          <w:p>
            <w:pPr>
              <w:spacing w:after="0"/>
              <w:rPr>
                <w:sz w:val="1"/>
                <w:szCs w:val="1"/>
                <w:color w:val="auto"/>
              </w:rPr>
            </w:pPr>
          </w:p>
        </w:tc>
      </w:tr>
      <w:tr>
        <w:trPr>
          <w:trHeight w:val="449"/>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22"/>
                <w:szCs w:val="22"/>
                <w:b w:val="1"/>
                <w:bCs w:val="1"/>
                <w:color w:val="auto"/>
                <w:w w:val="88"/>
              </w:rPr>
              <w:t>Weighted</w:t>
            </w:r>
          </w:p>
        </w:tc>
        <w:tc>
          <w:tcPr>
            <w:tcW w:w="24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Weighted</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4"/>
          </w:tcPr>
          <w:p>
            <w:pPr>
              <w:jc w:val="center"/>
              <w:ind w:right="300"/>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2140" w:type="dxa"/>
            <w:vAlign w:val="bottom"/>
            <w:gridSpan w:val="3"/>
          </w:tcPr>
          <w:p>
            <w:pPr>
              <w:jc w:val="center"/>
              <w:ind w:left="52"/>
              <w:spacing w:after="0" w:line="243" w:lineRule="exact"/>
              <w:rPr>
                <w:sz w:val="20"/>
                <w:szCs w:val="20"/>
                <w:color w:val="auto"/>
              </w:rPr>
            </w:pPr>
            <w:r>
              <w:rPr>
                <w:rFonts w:ascii="Arial" w:cs="Arial" w:eastAsia="Arial" w:hAnsi="Arial"/>
                <w:sz w:val="22"/>
                <w:szCs w:val="22"/>
                <w:b w:val="1"/>
                <w:bCs w:val="1"/>
                <w:color w:val="auto"/>
                <w:w w:val="88"/>
              </w:rPr>
              <w:t>Average Remaining</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1540" w:type="dxa"/>
            <w:vAlign w:val="bottom"/>
            <w:gridSpan w:val="4"/>
          </w:tcPr>
          <w:p>
            <w:pPr>
              <w:jc w:val="center"/>
              <w:ind w:right="480"/>
              <w:spacing w:after="0"/>
              <w:rPr>
                <w:sz w:val="20"/>
                <w:szCs w:val="20"/>
                <w:color w:val="auto"/>
              </w:rPr>
            </w:pPr>
            <w:r>
              <w:rPr>
                <w:rFonts w:ascii="Arial" w:cs="Arial" w:eastAsia="Arial" w:hAnsi="Arial"/>
                <w:sz w:val="22"/>
                <w:szCs w:val="22"/>
                <w:b w:val="1"/>
                <w:bCs w:val="1"/>
                <w:color w:val="auto"/>
                <w:w w:val="86"/>
              </w:rPr>
              <w:t>Non-Vested</w:t>
            </w:r>
          </w:p>
        </w:tc>
        <w:tc>
          <w:tcPr>
            <w:tcW w:w="40" w:type="dxa"/>
            <w:vAlign w:val="bottom"/>
          </w:tcPr>
          <w:p>
            <w:pPr>
              <w:spacing w:after="0"/>
              <w:rPr>
                <w:sz w:val="22"/>
                <w:szCs w:val="22"/>
                <w:color w:val="auto"/>
              </w:rPr>
            </w:pPr>
          </w:p>
        </w:tc>
        <w:tc>
          <w:tcPr>
            <w:tcW w:w="1760" w:type="dxa"/>
            <w:vAlign w:val="bottom"/>
            <w:gridSpan w:val="4"/>
          </w:tcPr>
          <w:p>
            <w:pPr>
              <w:jc w:val="center"/>
              <w:ind w:right="280"/>
              <w:spacing w:after="0"/>
              <w:rPr>
                <w:sz w:val="20"/>
                <w:szCs w:val="20"/>
                <w:color w:val="auto"/>
              </w:rPr>
            </w:pPr>
            <w:r>
              <w:rPr>
                <w:rFonts w:ascii="Arial" w:cs="Arial" w:eastAsia="Arial" w:hAnsi="Arial"/>
                <w:sz w:val="22"/>
                <w:szCs w:val="22"/>
                <w:b w:val="1"/>
                <w:bCs w:val="1"/>
                <w:color w:val="auto"/>
                <w:w w:val="90"/>
              </w:rPr>
              <w:t>Date Fair Value</w:t>
            </w:r>
          </w:p>
        </w:tc>
        <w:tc>
          <w:tcPr>
            <w:tcW w:w="240" w:type="dxa"/>
            <w:vAlign w:val="bottom"/>
          </w:tcPr>
          <w:p>
            <w:pPr>
              <w:spacing w:after="0"/>
              <w:rPr>
                <w:sz w:val="22"/>
                <w:szCs w:val="22"/>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22"/>
                <w:szCs w:val="22"/>
                <w:b w:val="1"/>
                <w:bCs w:val="1"/>
                <w:color w:val="auto"/>
                <w:w w:val="87"/>
              </w:rPr>
              <w:t>Vesting Term</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22"/>
                <w:szCs w:val="22"/>
                <w:b w:val="1"/>
                <w:bCs w:val="1"/>
                <w:color w:val="auto"/>
                <w:w w:val="84"/>
              </w:rPr>
              <w:t>Shares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3"/>
          </w:tcPr>
          <w:p>
            <w:pPr>
              <w:jc w:val="center"/>
              <w:ind w:right="500"/>
              <w:spacing w:after="0"/>
              <w:rPr>
                <w:sz w:val="20"/>
                <w:szCs w:val="20"/>
                <w:color w:val="auto"/>
              </w:rPr>
            </w:pPr>
            <w:r>
              <w:rPr>
                <w:rFonts w:ascii="Arial" w:cs="Arial" w:eastAsia="Arial" w:hAnsi="Arial"/>
                <w:sz w:val="22"/>
                <w:szCs w:val="22"/>
                <w:b w:val="1"/>
                <w:bCs w:val="1"/>
                <w:color w:val="auto"/>
                <w:w w:val="88"/>
              </w:rPr>
              <w:t>(000’s)</w:t>
            </w:r>
          </w:p>
        </w:tc>
        <w:tc>
          <w:tcPr>
            <w:tcW w:w="240" w:type="dxa"/>
            <w:vAlign w:val="bottom"/>
          </w:tcPr>
          <w:p>
            <w:pPr>
              <w:spacing w:after="0"/>
              <w:rPr>
                <w:sz w:val="23"/>
                <w:szCs w:val="23"/>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22"/>
                <w:szCs w:val="22"/>
                <w:b w:val="1"/>
                <w:bCs w:val="1"/>
                <w:color w:val="auto"/>
                <w:w w:val="87"/>
              </w:rPr>
              <w:t>(in years)</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2020</w:t>
            </w:r>
          </w:p>
        </w:tc>
        <w:tc>
          <w:tcPr>
            <w:tcW w:w="110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28,576</w:t>
            </w:r>
          </w:p>
        </w:tc>
        <w:tc>
          <w:tcPr>
            <w:tcW w:w="440" w:type="dxa"/>
            <w:vAlign w:val="bottom"/>
            <w:shd w:val="clear" w:color="auto" w:fill="E5FFFF"/>
          </w:tcPr>
          <w:p>
            <w:pPr>
              <w:spacing w:after="0"/>
              <w:rPr>
                <w:sz w:val="21"/>
                <w:szCs w:val="21"/>
                <w:color w:val="auto"/>
              </w:rPr>
            </w:pPr>
          </w:p>
        </w:tc>
        <w:tc>
          <w:tcPr>
            <w:tcW w:w="240" w:type="dxa"/>
            <w:vAlign w:val="bottom"/>
            <w:gridSpan w:val="2"/>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2,193</w:t>
            </w:r>
          </w:p>
        </w:tc>
        <w:tc>
          <w:tcPr>
            <w:tcW w:w="220" w:type="dxa"/>
            <w:vAlign w:val="bottom"/>
            <w:shd w:val="clear" w:color="auto" w:fill="E5FFFF"/>
          </w:tcPr>
          <w:p>
            <w:pPr>
              <w:spacing w:after="0"/>
              <w:rPr>
                <w:sz w:val="21"/>
                <w:szCs w:val="21"/>
                <w:color w:val="auto"/>
              </w:rPr>
            </w:pPr>
          </w:p>
        </w:tc>
        <w:tc>
          <w:tcPr>
            <w:tcW w:w="20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10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6,158</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416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10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8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22"/>
                <w:szCs w:val="22"/>
                <w:color w:val="auto"/>
              </w:rPr>
              <w:t>Vested</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15,029</w:t>
            </w: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22"/>
                <w:szCs w:val="22"/>
                <w:color w:val="auto"/>
              </w:rPr>
              <w:t>1,211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E5FFFF"/>
            </w:tcBorders>
            <w:shd w:val="clear" w:color="auto" w:fill="E5FFFF"/>
          </w:tcPr>
          <w:p>
            <w:pPr>
              <w:spacing w:after="0" w:line="243" w:lineRule="exact"/>
              <w:rPr>
                <w:sz w:val="20"/>
                <w:szCs w:val="20"/>
                <w:color w:val="auto"/>
              </w:rPr>
            </w:pPr>
            <w:r>
              <w:rPr>
                <w:rFonts w:ascii="Arial" w:cs="Arial" w:eastAsia="Arial" w:hAnsi="Arial"/>
                <w:sz w:val="22"/>
                <w:szCs w:val="22"/>
                <w:color w:val="auto"/>
              </w:rPr>
              <w:t>Non-Vested at October 31, 2020</w:t>
            </w:r>
          </w:p>
        </w:tc>
        <w:tc>
          <w:tcPr>
            <w:tcW w:w="1100" w:type="dxa"/>
            <w:vAlign w:val="bottom"/>
            <w:tcBorders>
              <w:bottom w:val="single" w:sz="8" w:color="auto"/>
            </w:tcBorders>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19,705</w:t>
            </w:r>
          </w:p>
        </w:tc>
        <w:tc>
          <w:tcPr>
            <w:tcW w:w="440" w:type="dxa"/>
            <w:vAlign w:val="bottom"/>
            <w:tcBorders>
              <w:bottom w:val="single" w:sz="8" w:color="auto"/>
            </w:tcBorders>
            <w:shd w:val="clear" w:color="auto" w:fill="E5FFFF"/>
          </w:tcPr>
          <w:p>
            <w:pPr>
              <w:spacing w:after="0"/>
              <w:rPr>
                <w:sz w:val="21"/>
                <w:szCs w:val="21"/>
                <w:color w:val="auto"/>
              </w:rPr>
            </w:pPr>
          </w:p>
        </w:tc>
        <w:tc>
          <w:tcPr>
            <w:tcW w:w="240" w:type="dxa"/>
            <w:vAlign w:val="bottom"/>
            <w:tcBorders>
              <w:bottom w:val="single" w:sz="8" w:color="auto"/>
            </w:tcBorders>
            <w:gridSpan w:val="2"/>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1,398</w:t>
            </w:r>
          </w:p>
        </w:tc>
        <w:tc>
          <w:tcPr>
            <w:tcW w:w="220" w:type="dxa"/>
            <w:vAlign w:val="bottom"/>
            <w:tcBorders>
              <w:bottom w:val="single" w:sz="8" w:color="auto"/>
            </w:tcBorders>
            <w:shd w:val="clear" w:color="auto" w:fill="E5FFFF"/>
          </w:tcPr>
          <w:p>
            <w:pPr>
              <w:spacing w:after="0"/>
              <w:rPr>
                <w:sz w:val="21"/>
                <w:szCs w:val="21"/>
                <w:color w:val="auto"/>
              </w:rPr>
            </w:pPr>
          </w:p>
        </w:tc>
        <w:tc>
          <w:tcPr>
            <w:tcW w:w="2060" w:type="dxa"/>
            <w:vAlign w:val="bottom"/>
            <w:tcBorders>
              <w:bottom w:val="single" w:sz="8" w:color="auto"/>
            </w:tcBorders>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80" w:type="dxa"/>
            <w:vAlign w:val="bottom"/>
            <w:tcBorders>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0" w:type="dxa"/>
            <w:vAlign w:val="bottom"/>
            <w:gridSpan w:val="11"/>
          </w:tcPr>
          <w:p>
            <w:pPr>
              <w:ind w:left="920"/>
              <w:spacing w:after="0"/>
              <w:rPr>
                <w:sz w:val="20"/>
                <w:szCs w:val="20"/>
                <w:color w:val="auto"/>
              </w:rPr>
            </w:pPr>
            <w:r>
              <w:rPr>
                <w:rFonts w:ascii="Arial" w:cs="Arial" w:eastAsia="Arial" w:hAnsi="Arial"/>
                <w:sz w:val="22"/>
                <w:szCs w:val="22"/>
                <w:b w:val="1"/>
                <w:bCs w:val="1"/>
                <w:color w:val="auto"/>
              </w:rPr>
              <w:t>Nine Months Ended October 31, 2019</w:t>
            </w:r>
          </w:p>
        </w:tc>
        <w:tc>
          <w:tcPr>
            <w:tcW w:w="0" w:type="dxa"/>
            <w:vAlign w:val="bottom"/>
          </w:tcPr>
          <w:p>
            <w:pPr>
              <w:spacing w:after="0"/>
              <w:rPr>
                <w:sz w:val="1"/>
                <w:szCs w:val="1"/>
                <w:color w:val="auto"/>
              </w:rPr>
            </w:pPr>
          </w:p>
        </w:tc>
      </w:tr>
      <w:tr>
        <w:trPr>
          <w:trHeight w:val="449"/>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22"/>
                <w:szCs w:val="22"/>
                <w:b w:val="1"/>
                <w:bCs w:val="1"/>
                <w:color w:val="auto"/>
                <w:w w:val="88"/>
              </w:rPr>
              <w:t>Weighted</w:t>
            </w:r>
          </w:p>
        </w:tc>
        <w:tc>
          <w:tcPr>
            <w:tcW w:w="24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Weighted</w:t>
            </w:r>
          </w:p>
        </w:tc>
        <w:tc>
          <w:tcPr>
            <w:tcW w:w="0" w:type="dxa"/>
            <w:vAlign w:val="bottom"/>
          </w:tcPr>
          <w:p>
            <w:pPr>
              <w:spacing w:after="0"/>
              <w:rPr>
                <w:sz w:val="1"/>
                <w:szCs w:val="1"/>
                <w:color w:val="auto"/>
              </w:rPr>
            </w:pPr>
          </w:p>
        </w:tc>
      </w:tr>
      <w:tr>
        <w:trPr>
          <w:trHeight w:val="280"/>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vMerge w:val="restart"/>
          </w:tcPr>
          <w:p>
            <w:pPr>
              <w:jc w:val="center"/>
              <w:ind w:right="440"/>
              <w:spacing w:after="0"/>
              <w:rPr>
                <w:sz w:val="20"/>
                <w:szCs w:val="20"/>
                <w:color w:val="auto"/>
              </w:rPr>
            </w:pPr>
            <w:r>
              <w:rPr>
                <w:rFonts w:ascii="Arial" w:cs="Arial" w:eastAsia="Arial" w:hAnsi="Arial"/>
                <w:sz w:val="22"/>
                <w:szCs w:val="22"/>
                <w:b w:val="1"/>
                <w:bCs w:val="1"/>
                <w:color w:val="auto"/>
                <w:w w:val="91"/>
              </w:rPr>
              <w:t>Non-</w:t>
            </w:r>
          </w:p>
        </w:tc>
        <w:tc>
          <w:tcPr>
            <w:tcW w:w="40" w:type="dxa"/>
            <w:vAlign w:val="bottom"/>
          </w:tcPr>
          <w:p>
            <w:pPr>
              <w:spacing w:after="0"/>
              <w:rPr>
                <w:sz w:val="24"/>
                <w:szCs w:val="24"/>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22"/>
                <w:szCs w:val="22"/>
                <w:b w:val="1"/>
                <w:bCs w:val="1"/>
                <w:color w:val="auto"/>
                <w:w w:val="89"/>
              </w:rPr>
              <w:t>Average Grant</w:t>
            </w:r>
          </w:p>
        </w:tc>
        <w:tc>
          <w:tcPr>
            <w:tcW w:w="2140" w:type="dxa"/>
            <w:vAlign w:val="bottom"/>
            <w:gridSpan w:val="3"/>
          </w:tcPr>
          <w:p>
            <w:pPr>
              <w:jc w:val="center"/>
              <w:ind w:left="52"/>
              <w:spacing w:after="0"/>
              <w:rPr>
                <w:sz w:val="20"/>
                <w:szCs w:val="20"/>
                <w:color w:val="auto"/>
              </w:rPr>
            </w:pPr>
            <w:r>
              <w:rPr>
                <w:rFonts w:ascii="Arial" w:cs="Arial" w:eastAsia="Arial" w:hAnsi="Arial"/>
                <w:sz w:val="22"/>
                <w:szCs w:val="22"/>
                <w:b w:val="1"/>
                <w:bCs w:val="1"/>
                <w:color w:val="auto"/>
                <w:w w:val="88"/>
              </w:rPr>
              <w:t>Average Remaining</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22"/>
                <w:szCs w:val="22"/>
                <w:b w:val="1"/>
                <w:bCs w:val="1"/>
                <w:color w:val="auto"/>
                <w:w w:val="83"/>
              </w:rPr>
              <w:t>Vested</w:t>
            </w:r>
          </w:p>
        </w:tc>
        <w:tc>
          <w:tcPr>
            <w:tcW w:w="40" w:type="dxa"/>
            <w:vAlign w:val="bottom"/>
          </w:tcPr>
          <w:p>
            <w:pPr>
              <w:spacing w:after="0"/>
              <w:rPr>
                <w:sz w:val="22"/>
                <w:szCs w:val="22"/>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22"/>
                <w:szCs w:val="22"/>
                <w:b w:val="1"/>
                <w:bCs w:val="1"/>
                <w:color w:val="auto"/>
                <w:w w:val="90"/>
              </w:rPr>
              <w:t>Date Fair Value</w:t>
            </w:r>
          </w:p>
        </w:tc>
        <w:tc>
          <w:tcPr>
            <w:tcW w:w="240" w:type="dxa"/>
            <w:vAlign w:val="bottom"/>
          </w:tcPr>
          <w:p>
            <w:pPr>
              <w:spacing w:after="0"/>
              <w:rPr>
                <w:sz w:val="22"/>
                <w:szCs w:val="22"/>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22"/>
                <w:szCs w:val="22"/>
                <w:b w:val="1"/>
                <w:bCs w:val="1"/>
                <w:color w:val="auto"/>
                <w:w w:val="87"/>
              </w:rPr>
              <w:t>Vesting Term</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22"/>
                <w:szCs w:val="22"/>
                <w:b w:val="1"/>
                <w:bCs w:val="1"/>
                <w:color w:val="auto"/>
                <w:w w:val="84"/>
              </w:rPr>
              <w:t>Shares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22"/>
                <w:szCs w:val="22"/>
                <w:b w:val="1"/>
                <w:bCs w:val="1"/>
                <w:color w:val="auto"/>
                <w:w w:val="86"/>
              </w:rPr>
              <w:t>(000’s)</w:t>
            </w:r>
          </w:p>
        </w:tc>
        <w:tc>
          <w:tcPr>
            <w:tcW w:w="240" w:type="dxa"/>
            <w:vAlign w:val="bottom"/>
          </w:tcPr>
          <w:p>
            <w:pPr>
              <w:spacing w:after="0"/>
              <w:rPr>
                <w:sz w:val="23"/>
                <w:szCs w:val="23"/>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22"/>
                <w:szCs w:val="22"/>
                <w:b w:val="1"/>
                <w:bCs w:val="1"/>
                <w:color w:val="auto"/>
                <w:w w:val="87"/>
              </w:rPr>
              <w:t>(in years)</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2019</w:t>
            </w:r>
          </w:p>
        </w:tc>
        <w:tc>
          <w:tcPr>
            <w:tcW w:w="11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38,036</w:t>
            </w:r>
          </w:p>
        </w:tc>
        <w:tc>
          <w:tcPr>
            <w:tcW w:w="440" w:type="dxa"/>
            <w:vAlign w:val="bottom"/>
            <w:shd w:val="clear" w:color="auto" w:fill="E5FFFF"/>
          </w:tcPr>
          <w:p>
            <w:pPr>
              <w:spacing w:after="0"/>
              <w:rPr>
                <w:sz w:val="21"/>
                <w:szCs w:val="21"/>
                <w:color w:val="auto"/>
              </w:rPr>
            </w:pPr>
          </w:p>
        </w:tc>
        <w:tc>
          <w:tcPr>
            <w:tcW w:w="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w:t>
            </w:r>
          </w:p>
        </w:tc>
        <w:tc>
          <w:tcPr>
            <w:tcW w:w="156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2,935</w:t>
            </w:r>
          </w:p>
        </w:tc>
        <w:tc>
          <w:tcPr>
            <w:tcW w:w="20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9,442</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662</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1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56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18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22"/>
                <w:szCs w:val="22"/>
                <w:color w:val="auto"/>
              </w:rPr>
              <w:t>Vested</w:t>
            </w:r>
          </w:p>
        </w:tc>
        <w:tc>
          <w:tcPr>
            <w:tcW w:w="1100" w:type="dxa"/>
            <w:vAlign w:val="bottom"/>
            <w:gridSpan w:val="3"/>
          </w:tcPr>
          <w:p>
            <w:pPr>
              <w:jc w:val="right"/>
              <w:spacing w:after="0"/>
              <w:rPr>
                <w:sz w:val="20"/>
                <w:szCs w:val="20"/>
                <w:color w:val="auto"/>
              </w:rPr>
            </w:pPr>
            <w:r>
              <w:rPr>
                <w:rFonts w:ascii="Arial" w:cs="Arial" w:eastAsia="Arial" w:hAnsi="Arial"/>
                <w:sz w:val="22"/>
                <w:szCs w:val="22"/>
                <w:color w:val="auto"/>
              </w:rPr>
              <w:t>18,902</w:t>
            </w: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22"/>
                <w:szCs w:val="22"/>
                <w:color w:val="auto"/>
              </w:rPr>
              <w:t>1,404</w:t>
            </w: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October 31, 2019</w:t>
            </w:r>
          </w:p>
        </w:tc>
        <w:tc>
          <w:tcPr>
            <w:tcW w:w="11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28,576</w:t>
            </w:r>
          </w:p>
        </w:tc>
        <w:tc>
          <w:tcPr>
            <w:tcW w:w="440" w:type="dxa"/>
            <w:vAlign w:val="bottom"/>
            <w:shd w:val="clear" w:color="auto" w:fill="E5FFFF"/>
          </w:tcPr>
          <w:p>
            <w:pPr>
              <w:spacing w:after="0"/>
              <w:rPr>
                <w:sz w:val="21"/>
                <w:szCs w:val="21"/>
                <w:color w:val="auto"/>
              </w:rPr>
            </w:pPr>
          </w:p>
        </w:tc>
        <w:tc>
          <w:tcPr>
            <w:tcW w:w="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w:t>
            </w:r>
          </w:p>
        </w:tc>
        <w:tc>
          <w:tcPr>
            <w:tcW w:w="156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2,193</w:t>
            </w:r>
          </w:p>
        </w:tc>
        <w:tc>
          <w:tcPr>
            <w:tcW w:w="20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8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above tables include 14,777 and 24,219 non-vested shares at October 31, 2020 and 2019,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recipients who were retirement eligible at the time of grant.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Note 11</w:t>
      </w:r>
      <w:r>
        <w:rPr>
          <w:rFonts w:ascii="Arial" w:cs="Arial" w:eastAsia="Arial" w:hAnsi="Arial"/>
          <w:sz w:val="22"/>
          <w:szCs w:val="22"/>
          <w:b w:val="1"/>
          <w:bCs w:val="1"/>
          <w:i w:val="1"/>
          <w:iCs w:val="1"/>
          <w:color w:val="auto"/>
        </w:rPr>
        <w:t>. Income Taxes</w:t>
      </w:r>
    </w:p>
    <w:p>
      <w:pPr>
        <w:spacing w:after="0" w:line="239" w:lineRule="exact"/>
        <w:rPr>
          <w:sz w:val="20"/>
          <w:szCs w:val="20"/>
          <w:color w:val="auto"/>
        </w:rPr>
      </w:pPr>
    </w:p>
    <w:p>
      <w:pPr>
        <w:ind w:right="260" w:firstLine="648"/>
        <w:spacing w:after="0" w:line="257" w:lineRule="auto"/>
        <w:rPr>
          <w:sz w:val="20"/>
          <w:szCs w:val="20"/>
          <w:color w:val="auto"/>
        </w:rPr>
      </w:pPr>
      <w:r>
        <w:rPr>
          <w:rFonts w:ascii="Arial" w:cs="Arial" w:eastAsia="Arial" w:hAnsi="Arial"/>
          <w:sz w:val="21"/>
          <w:szCs w:val="21"/>
          <w:color w:val="auto"/>
        </w:rPr>
        <w:t>The Company determined that small changes in estimated “ordinary” income would result in significant changes in the estimated annual effective tax rate. Thus, the Company used a discrete effective tax rate method to calculate the provision or benefit for income taxes for the three and nine months ended October 31, 2020 and 2019.</w:t>
      </w:r>
    </w:p>
    <w:p>
      <w:pPr>
        <w:spacing w:after="0" w:line="196"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The Company’s income tax provision was approximately 26.8% and was a benefit of approximately 65.9% for the three months ended October 31, 2020 and 2019, respectively. The Company’s income tax benefit was approximately 112.7% and approximately 234.7% for the nine months ended October 31, 2020 and 2019, respectively. The fluctuation in the rate results primarily from the production tax credits the Company expects to receive associated with its refined coal segment relative to consolidated pre-tax income or loss. Through its refined coal operation, the Company earns production tax credits pursuant to IRC Section 45. The credits can be used to reduce future income tax liabilities for up to 20 years. The Company’s income tax provision for the third quarter of fiscal year 2020 includes approximately $1.8 million related to reversing previously recognized tax benefits associated with the lengthening of a net operating loss carryback allowed by the CARES Act as the Company no longer has a year to date estimated taxable loss.</w:t>
      </w:r>
    </w:p>
    <w:p>
      <w:pPr>
        <w:spacing w:after="0" w:line="185"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A reconciliation of the beginning and ending amount of unrecognized tax benefits, including interest and penalties, is as follows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6"/>
          </w:tcPr>
          <w:p>
            <w:pPr>
              <w:ind w:left="40"/>
              <w:spacing w:after="0"/>
              <w:rPr>
                <w:sz w:val="20"/>
                <w:szCs w:val="20"/>
                <w:color w:val="auto"/>
              </w:rPr>
            </w:pPr>
            <w:r>
              <w:rPr>
                <w:rFonts w:ascii="Arial" w:cs="Arial" w:eastAsia="Arial" w:hAnsi="Arial"/>
                <w:sz w:val="22"/>
                <w:szCs w:val="22"/>
                <w:b w:val="1"/>
                <w:bCs w:val="1"/>
                <w:color w:val="auto"/>
              </w:rPr>
              <w:t>Nine Months Ended</w:t>
            </w:r>
          </w:p>
        </w:tc>
      </w:tr>
      <w:tr>
        <w:trPr>
          <w:trHeight w:val="257"/>
        </w:trPr>
        <w:tc>
          <w:tcPr>
            <w:tcW w:w="6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40" w:type="dxa"/>
            <w:vAlign w:val="bottom"/>
            <w:gridSpan w:val="6"/>
          </w:tcPr>
          <w:p>
            <w:pPr>
              <w:ind w:left="460"/>
              <w:spacing w:after="0"/>
              <w:rPr>
                <w:sz w:val="20"/>
                <w:szCs w:val="20"/>
                <w:color w:val="auto"/>
              </w:rPr>
            </w:pPr>
            <w:r>
              <w:rPr>
                <w:rFonts w:ascii="Arial" w:cs="Arial" w:eastAsia="Arial" w:hAnsi="Arial"/>
                <w:sz w:val="22"/>
                <w:szCs w:val="22"/>
                <w:b w:val="1"/>
                <w:bCs w:val="1"/>
                <w:color w:val="auto"/>
              </w:rPr>
              <w:t>October 31,</w:t>
            </w:r>
          </w:p>
        </w:tc>
      </w:tr>
      <w:tr>
        <w:trPr>
          <w:trHeight w:val="270"/>
        </w:trPr>
        <w:tc>
          <w:tcPr>
            <w:tcW w:w="65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2020</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r>
      <w:tr>
        <w:trPr>
          <w:trHeight w:val="237"/>
        </w:trPr>
        <w:tc>
          <w:tcPr>
            <w:tcW w:w="6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Unrecognized tax benefits, beginning of period</w:t>
            </w: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7,370</w:t>
            </w:r>
          </w:p>
        </w:tc>
        <w:tc>
          <w:tcPr>
            <w:tcW w:w="2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9,232</w:t>
            </w:r>
          </w:p>
        </w:tc>
        <w:tc>
          <w:tcPr>
            <w:tcW w:w="80" w:type="dxa"/>
            <w:vAlign w:val="bottom"/>
            <w:shd w:val="clear" w:color="auto" w:fill="E5FFFF"/>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Changes for prior years’ tax positions</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(57)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c>
          <w:tcPr>
            <w:tcW w:w="80" w:type="dxa"/>
            <w:vAlign w:val="bottom"/>
          </w:tcPr>
          <w:p>
            <w:pPr>
              <w:spacing w:after="0"/>
              <w:rPr>
                <w:sz w:val="21"/>
                <w:szCs w:val="21"/>
                <w:color w:val="auto"/>
              </w:rPr>
            </w:pPr>
          </w:p>
        </w:tc>
      </w:tr>
      <w:tr>
        <w:trPr>
          <w:trHeight w:val="256"/>
        </w:trPr>
        <w:tc>
          <w:tcPr>
            <w:tcW w:w="6560" w:type="dxa"/>
            <w:vAlign w:val="bottom"/>
            <w:shd w:val="clear" w:color="auto" w:fill="E5FFFF"/>
          </w:tcPr>
          <w:p>
            <w:pPr>
              <w:spacing w:after="0"/>
              <w:rPr>
                <w:sz w:val="20"/>
                <w:szCs w:val="20"/>
                <w:color w:val="auto"/>
              </w:rPr>
            </w:pPr>
            <w:r>
              <w:rPr>
                <w:rFonts w:ascii="Arial" w:cs="Arial" w:eastAsia="Arial" w:hAnsi="Arial"/>
                <w:sz w:val="22"/>
                <w:szCs w:val="22"/>
                <w:color w:val="auto"/>
              </w:rPr>
              <w:t>Changes for current year tax positions</w:t>
            </w:r>
          </w:p>
        </w:tc>
        <w:tc>
          <w:tcPr>
            <w:tcW w:w="180" w:type="dxa"/>
            <w:vAlign w:val="bottom"/>
            <w:shd w:val="clear" w:color="auto" w:fill="E5FFFF"/>
          </w:tcPr>
          <w:p>
            <w:pPr>
              <w:spacing w:after="0"/>
              <w:rPr>
                <w:sz w:val="22"/>
                <w:szCs w:val="22"/>
                <w:color w:val="auto"/>
              </w:rPr>
            </w:pPr>
          </w:p>
        </w:tc>
        <w:tc>
          <w:tcPr>
            <w:tcW w:w="1160" w:type="dxa"/>
            <w:vAlign w:val="bottom"/>
            <w:gridSpan w:val="2"/>
            <w:shd w:val="clear" w:color="auto" w:fill="E5FFFF"/>
          </w:tcPr>
          <w:p>
            <w:pPr>
              <w:jc w:val="right"/>
              <w:ind w:right="340"/>
              <w:spacing w:after="0"/>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0" w:type="dxa"/>
            <w:vAlign w:val="bottom"/>
            <w:shd w:val="clear" w:color="auto" w:fill="E5FFFF"/>
          </w:tcPr>
          <w:p>
            <w:pPr>
              <w:spacing w:after="0"/>
              <w:rPr>
                <w:sz w:val="22"/>
                <w:szCs w:val="22"/>
                <w:color w:val="auto"/>
              </w:rPr>
            </w:pPr>
          </w:p>
        </w:tc>
      </w:tr>
      <w:tr>
        <w:trPr>
          <w:trHeight w:val="250"/>
        </w:trPr>
        <w:tc>
          <w:tcPr>
            <w:tcW w:w="6560" w:type="dxa"/>
            <w:vAlign w:val="bottom"/>
          </w:tcPr>
          <w:p>
            <w:pPr>
              <w:spacing w:after="0" w:line="250" w:lineRule="exact"/>
              <w:rPr>
                <w:sz w:val="20"/>
                <w:szCs w:val="20"/>
                <w:color w:val="auto"/>
              </w:rPr>
            </w:pPr>
            <w:r>
              <w:rPr>
                <w:rFonts w:ascii="Arial" w:cs="Arial" w:eastAsia="Arial" w:hAnsi="Arial"/>
                <w:sz w:val="22"/>
                <w:szCs w:val="22"/>
                <w:color w:val="auto"/>
              </w:rPr>
              <w:t>Unrecognized tax benefits, end of period</w:t>
            </w: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7,313</w:t>
            </w: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9,155</w:t>
            </w:r>
          </w:p>
        </w:tc>
        <w:tc>
          <w:tcPr>
            <w:tcW w:w="80" w:type="dxa"/>
            <w:vAlign w:val="bottom"/>
          </w:tcPr>
          <w:p>
            <w:pPr>
              <w:spacing w:after="0"/>
              <w:rPr>
                <w:sz w:val="21"/>
                <w:szCs w:val="2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Company is involved in various legal actions arising in the normal course of business. After taking into consideration legal counsels’ evaluations of such actions, management is of the opinion that their outcome will not have a material adverse effect on the Company’s Consolidated Condensed Financial Statements.</w:t>
      </w:r>
    </w:p>
    <w:p>
      <w:pPr>
        <w:spacing w:after="0" w:line="213" w:lineRule="exact"/>
        <w:rPr>
          <w:sz w:val="20"/>
          <w:szCs w:val="20"/>
          <w:color w:val="auto"/>
        </w:rPr>
      </w:pPr>
    </w:p>
    <w:p>
      <w:pPr>
        <w:ind w:right="100" w:firstLine="648"/>
        <w:spacing w:after="0" w:line="257" w:lineRule="auto"/>
        <w:rPr>
          <w:sz w:val="20"/>
          <w:szCs w:val="20"/>
          <w:color w:val="auto"/>
        </w:rPr>
      </w:pPr>
      <w:r>
        <w:rPr>
          <w:rFonts w:ascii="Arial" w:cs="Arial" w:eastAsia="Arial" w:hAnsi="Arial"/>
          <w:sz w:val="21"/>
          <w:szCs w:val="21"/>
          <w:color w:val="auto"/>
        </w:rPr>
        <w:t>As of October 31, 2020, One Earth and NuGen have combined forward purchase contracts for approximately 6.2 million bushels of corn, the principal raw material for their ethanol plants, and they have combined forward purchase contracts for approximately 1,391,000 MmBtu (Million British Thermal Units) of natural gas.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20" w:name="page21"/>
    <w:bookmarkEnd w:id="20"/>
    <w:p>
      <w:pPr>
        <w:ind w:right="40" w:firstLine="648"/>
        <w:spacing w:after="0" w:line="328" w:lineRule="auto"/>
        <w:rPr>
          <w:sz w:val="20"/>
          <w:szCs w:val="20"/>
          <w:color w:val="auto"/>
        </w:rPr>
      </w:pPr>
      <w:r>
        <w:rPr>
          <w:rFonts w:ascii="Arial" w:cs="Arial" w:eastAsia="Arial" w:hAnsi="Arial"/>
          <w:sz w:val="19"/>
          <w:szCs w:val="19"/>
          <w:color w:val="auto"/>
        </w:rPr>
        <w:t>As of October 31, 2020, One Earth and NuGen have combined sales commitments for approximately 37.6 million gallons of ethanol, approximately 109,000 tons of distillers grains and approximately 32.6 million pounds of non-food grade corn oil.</w:t>
      </w:r>
    </w:p>
    <w:p>
      <w:pPr>
        <w:spacing w:after="0" w:line="132"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As of October 31, 2020, the refined coal entity has various agreements (site license, operating agreements, etc.) containing payment terms based upon production of refined coal under which the Company is required to pay various fees. These fees totaled approximately $0.5 million and approximately $0.9 million in the third quarter of fiscal years 2020 and 2019, respectively. Such fees totaled approximately $1.9 million and approximately $3.6 million for the nine months ended October 31, 2020 and 2019,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i w:val="1"/>
          <w:iCs w:val="1"/>
          <w:color w:val="auto"/>
        </w:rPr>
        <w:t>Related-Party Transactions</w:t>
      </w:r>
    </w:p>
    <w:p>
      <w:pPr>
        <w:spacing w:after="0" w:line="239" w:lineRule="exact"/>
        <w:rPr>
          <w:sz w:val="20"/>
          <w:szCs w:val="20"/>
          <w:color w:val="auto"/>
        </w:rPr>
      </w:pPr>
    </w:p>
    <w:p>
      <w:pPr>
        <w:ind w:right="180" w:firstLine="648"/>
        <w:spacing w:after="0" w:line="282" w:lineRule="auto"/>
        <w:rPr>
          <w:sz w:val="20"/>
          <w:szCs w:val="20"/>
          <w:color w:val="auto"/>
        </w:rPr>
      </w:pPr>
      <w:r>
        <w:rPr>
          <w:rFonts w:ascii="Arial" w:cs="Arial" w:eastAsia="Arial" w:hAnsi="Arial"/>
          <w:sz w:val="19"/>
          <w:szCs w:val="19"/>
          <w:color w:val="auto"/>
        </w:rPr>
        <w:t>During the third quarters of fiscal years 2020 and 2019, the Company purchased approximately $16.9 million and approximately $58.5 million, respectively, of corn and other supplies from minority equity investors and board members of One Earth and NuGen. Such purchases totaled approximately $34.0 million and approximately $148.7 million for the nine months ended October 31, 2020 and 2019, respectively. The Company had amounts payable to related parties of approximately $0.8 million and approximately $0.7 million at October 31, 2020 and January 31, 2020, respectively.</w:t>
      </w:r>
    </w:p>
    <w:p>
      <w:pPr>
        <w:spacing w:after="0" w:line="174"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During the third quarters of fiscal years 2020 and 2019, the Company reduced commission expense by approximately $15,000 and approximately $242,000, respectively, payable to the minority investor in the refined coal entity. During the first nine months of fiscal years 2020 and 2019, the Company reduced commission expense by approximately $160,000 and approximately $577,000, respectively. The commission expense is associated with the refined coal acquisition. The Company had accrued liabilities related to the commission expense of approximately $0.2 million and approximately $0.5 million at October 31, 2020 and January 31, 2020, respectively.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Note 14. Segment Reporting</w:t>
      </w:r>
    </w:p>
    <w:p>
      <w:pPr>
        <w:spacing w:after="0" w:line="239" w:lineRule="exact"/>
        <w:rPr>
          <w:sz w:val="20"/>
          <w:szCs w:val="20"/>
          <w:color w:val="auto"/>
        </w:rPr>
      </w:pPr>
    </w:p>
    <w:p>
      <w:pPr>
        <w:jc w:val="both"/>
        <w:ind w:right="120" w:firstLine="648"/>
        <w:spacing w:after="0"/>
        <w:rPr>
          <w:sz w:val="20"/>
          <w:szCs w:val="20"/>
          <w:color w:val="auto"/>
        </w:rPr>
      </w:pPr>
      <w:r>
        <w:rPr>
          <w:rFonts w:ascii="Arial" w:cs="Arial" w:eastAsia="Arial" w:hAnsi="Arial"/>
          <w:sz w:val="22"/>
          <w:szCs w:val="22"/>
          <w:color w:val="auto"/>
        </w:rPr>
        <w:t>The Company has two reportable segments: i) ethanol and by-products; and ii) refined coal. The Company evaluates the performance of each reportable segment based on segment profit. The following tables summarize segment and other results and assets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5"/>
          </w:tcPr>
          <w:p>
            <w:pPr>
              <w:jc w:val="right"/>
              <w:ind w:right="492"/>
              <w:spacing w:after="0"/>
              <w:rPr>
                <w:sz w:val="20"/>
                <w:szCs w:val="20"/>
                <w:color w:val="auto"/>
              </w:rPr>
            </w:pPr>
            <w:r>
              <w:rPr>
                <w:rFonts w:ascii="Arial" w:cs="Arial" w:eastAsia="Arial" w:hAnsi="Arial"/>
                <w:sz w:val="22"/>
                <w:szCs w:val="22"/>
                <w:b w:val="1"/>
                <w:bCs w:val="1"/>
                <w:color w:val="auto"/>
              </w:rPr>
              <w:t>Three Months Ended</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60" w:type="dxa"/>
            <w:vAlign w:val="bottom"/>
            <w:gridSpan w:val="6"/>
          </w:tcPr>
          <w:p>
            <w:pPr>
              <w:ind w:left="360"/>
              <w:spacing w:after="0"/>
              <w:rPr>
                <w:sz w:val="20"/>
                <w:szCs w:val="20"/>
                <w:color w:val="auto"/>
              </w:rPr>
            </w:pPr>
            <w:r>
              <w:rPr>
                <w:rFonts w:ascii="Arial" w:cs="Arial" w:eastAsia="Arial" w:hAnsi="Arial"/>
                <w:sz w:val="22"/>
                <w:szCs w:val="22"/>
                <w:b w:val="1"/>
                <w:bCs w:val="1"/>
                <w:color w:val="auto"/>
              </w:rPr>
              <w:t>Nine Months Ended</w:t>
            </w:r>
          </w:p>
        </w:tc>
      </w:tr>
      <w:tr>
        <w:trPr>
          <w:trHeight w:val="257"/>
        </w:trPr>
        <w:tc>
          <w:tcPr>
            <w:tcW w:w="3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gridSpan w:val="4"/>
          </w:tcPr>
          <w:p>
            <w:pPr>
              <w:jc w:val="right"/>
              <w:spacing w:after="0"/>
              <w:rPr>
                <w:sz w:val="20"/>
                <w:szCs w:val="20"/>
                <w:color w:val="auto"/>
              </w:rPr>
            </w:pPr>
            <w:r>
              <w:rPr>
                <w:rFonts w:ascii="Arial" w:cs="Arial" w:eastAsia="Arial" w:hAnsi="Arial"/>
                <w:sz w:val="22"/>
                <w:szCs w:val="22"/>
                <w:b w:val="1"/>
                <w:bCs w:val="1"/>
                <w:color w:val="auto"/>
              </w:rPr>
              <w:t>October 31,</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gridSpan w:val="4"/>
          </w:tcPr>
          <w:p>
            <w:pPr>
              <w:jc w:val="right"/>
              <w:ind w:right="4"/>
              <w:spacing w:after="0"/>
              <w:rPr>
                <w:sz w:val="20"/>
                <w:szCs w:val="20"/>
                <w:color w:val="auto"/>
              </w:rPr>
            </w:pPr>
            <w:r>
              <w:rPr>
                <w:rFonts w:ascii="Arial" w:cs="Arial" w:eastAsia="Arial" w:hAnsi="Arial"/>
                <w:sz w:val="22"/>
                <w:szCs w:val="22"/>
                <w:b w:val="1"/>
                <w:bCs w:val="1"/>
                <w:color w:val="auto"/>
              </w:rPr>
              <w:t>October 31,</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3940" w:type="dxa"/>
            <w:vAlign w:val="bottom"/>
            <w:tcBorders>
              <w:bottom w:val="single" w:sz="8" w:color="E5FF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2020</w:t>
            </w:r>
          </w:p>
        </w:tc>
        <w:tc>
          <w:tcPr>
            <w:tcW w:w="260" w:type="dxa"/>
            <w:vAlign w:val="bottom"/>
            <w:tcBorders>
              <w:bottom w:val="single" w:sz="8" w:color="E5FFFF"/>
            </w:tcBorders>
          </w:tcPr>
          <w:p>
            <w:pPr>
              <w:spacing w:after="0"/>
              <w:rPr>
                <w:sz w:val="23"/>
                <w:szCs w:val="23"/>
                <w:color w:val="auto"/>
              </w:rPr>
            </w:pPr>
          </w:p>
        </w:tc>
        <w:tc>
          <w:tcPr>
            <w:tcW w:w="280" w:type="dxa"/>
            <w:vAlign w:val="bottom"/>
            <w:tcBorders>
              <w:bottom w:val="single" w:sz="8" w:color="E5FF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540" w:type="dxa"/>
            <w:vAlign w:val="bottom"/>
            <w:tcBorders>
              <w:bottom w:val="single" w:sz="8" w:color="E5FF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2020</w:t>
            </w:r>
          </w:p>
        </w:tc>
        <w:tc>
          <w:tcPr>
            <w:tcW w:w="540" w:type="dxa"/>
            <w:vAlign w:val="bottom"/>
            <w:tcBorders>
              <w:bottom w:val="single" w:sz="8" w:color="E5FFFF"/>
            </w:tcBorders>
          </w:tcPr>
          <w:p>
            <w:pPr>
              <w:spacing w:after="0"/>
              <w:rPr>
                <w:sz w:val="23"/>
                <w:szCs w:val="23"/>
                <w:color w:val="auto"/>
              </w:rPr>
            </w:pPr>
          </w:p>
        </w:tc>
        <w:tc>
          <w:tcPr>
            <w:tcW w:w="20" w:type="dxa"/>
            <w:vAlign w:val="bottom"/>
            <w:tcBorders>
              <w:bottom w:val="single" w:sz="8" w:color="E5FF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bottom w:val="single" w:sz="8" w:color="E5FFFF"/>
            </w:tcBorders>
          </w:tcPr>
          <w:p>
            <w:pPr>
              <w:spacing w:after="0"/>
              <w:rPr>
                <w:sz w:val="23"/>
                <w:szCs w:val="23"/>
                <w:color w:val="auto"/>
              </w:rPr>
            </w:pPr>
          </w:p>
        </w:tc>
      </w:tr>
      <w:tr>
        <w:trPr>
          <w:trHeight w:val="237"/>
        </w:trPr>
        <w:tc>
          <w:tcPr>
            <w:tcW w:w="3940" w:type="dxa"/>
            <w:vAlign w:val="bottom"/>
            <w:shd w:val="clear" w:color="auto" w:fill="E5FFFF"/>
          </w:tcPr>
          <w:p>
            <w:pPr>
              <w:ind w:left="100"/>
              <w:spacing w:after="0" w:line="237" w:lineRule="exact"/>
              <w:rPr>
                <w:sz w:val="20"/>
                <w:szCs w:val="20"/>
                <w:color w:val="auto"/>
              </w:rPr>
            </w:pPr>
            <w:r>
              <w:rPr>
                <w:rFonts w:ascii="Arial" w:cs="Arial" w:eastAsia="Arial" w:hAnsi="Arial"/>
                <w:sz w:val="22"/>
                <w:szCs w:val="22"/>
                <w:color w:val="auto"/>
              </w:rPr>
              <w:t>Net sales and revenue:</w:t>
            </w:r>
          </w:p>
        </w:tc>
        <w:tc>
          <w:tcPr>
            <w:tcW w:w="280" w:type="dxa"/>
            <w:vAlign w:val="bottom"/>
            <w:shd w:val="clear" w:color="auto" w:fill="E5FFFF"/>
          </w:tcPr>
          <w:p>
            <w:pPr>
              <w:spacing w:after="0"/>
              <w:rPr>
                <w:sz w:val="20"/>
                <w:szCs w:val="20"/>
                <w:color w:val="auto"/>
              </w:rPr>
            </w:pPr>
          </w:p>
        </w:tc>
        <w:tc>
          <w:tcPr>
            <w:tcW w:w="106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r>
      <w:tr>
        <w:trPr>
          <w:trHeight w:val="243"/>
        </w:trPr>
        <w:tc>
          <w:tcPr>
            <w:tcW w:w="3940" w:type="dxa"/>
            <w:vAlign w:val="bottom"/>
          </w:tcPr>
          <w:p>
            <w:pPr>
              <w:ind w:left="100"/>
              <w:spacing w:after="0" w:line="243" w:lineRule="exact"/>
              <w:rPr>
                <w:sz w:val="20"/>
                <w:szCs w:val="20"/>
                <w:color w:val="auto"/>
              </w:rPr>
            </w:pPr>
            <w:r>
              <w:rPr>
                <w:rFonts w:ascii="Arial" w:cs="Arial" w:eastAsia="Arial" w:hAnsi="Arial"/>
                <w:sz w:val="22"/>
                <w:szCs w:val="22"/>
                <w:color w:val="auto"/>
              </w:rPr>
              <w:t>Ethanol and by-products</w:t>
            </w:r>
          </w:p>
        </w:tc>
        <w:tc>
          <w:tcPr>
            <w:tcW w:w="280" w:type="dxa"/>
            <w:vAlign w:val="bottom"/>
          </w:tcPr>
          <w:p>
            <w:pPr>
              <w:jc w:val="right"/>
              <w:ind w:right="52"/>
              <w:spacing w:after="0" w:line="243" w:lineRule="exact"/>
              <w:rPr>
                <w:sz w:val="20"/>
                <w:szCs w:val="20"/>
                <w:color w:val="auto"/>
              </w:rPr>
            </w:pPr>
            <w:r>
              <w:rPr>
                <w:rFonts w:ascii="Arial" w:cs="Arial" w:eastAsia="Arial" w:hAnsi="Arial"/>
                <w:sz w:val="22"/>
                <w:szCs w:val="22"/>
                <w:color w:val="auto"/>
                <w:w w:val="81"/>
              </w:rPr>
              <w:t>$</w:t>
            </w:r>
          </w:p>
        </w:tc>
        <w:tc>
          <w:tcPr>
            <w:tcW w:w="132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124,217</w:t>
            </w:r>
          </w:p>
        </w:tc>
        <w:tc>
          <w:tcPr>
            <w:tcW w:w="620" w:type="dxa"/>
            <w:vAlign w:val="bottom"/>
            <w:gridSpan w:val="2"/>
          </w:tcPr>
          <w:p>
            <w:pPr>
              <w:jc w:val="right"/>
              <w:ind w:right="112"/>
              <w:spacing w:after="0" w:line="243" w:lineRule="exact"/>
              <w:rPr>
                <w:sz w:val="20"/>
                <w:szCs w:val="20"/>
                <w:color w:val="auto"/>
              </w:rPr>
            </w:pPr>
            <w:r>
              <w:rPr>
                <w:rFonts w:ascii="Arial" w:cs="Arial" w:eastAsia="Arial" w:hAnsi="Arial"/>
                <w:sz w:val="22"/>
                <w:szCs w:val="22"/>
                <w:color w:val="auto"/>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86,603</w:t>
            </w:r>
          </w:p>
        </w:tc>
        <w:tc>
          <w:tcPr>
            <w:tcW w:w="82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246,694</w:t>
            </w:r>
          </w:p>
        </w:tc>
        <w:tc>
          <w:tcPr>
            <w:tcW w:w="540" w:type="dxa"/>
            <w:vAlign w:val="bottom"/>
          </w:tcPr>
          <w:p>
            <w:pPr>
              <w:spacing w:after="0"/>
              <w:rPr>
                <w:sz w:val="21"/>
                <w:szCs w:val="21"/>
                <w:color w:val="auto"/>
              </w:rPr>
            </w:pPr>
          </w:p>
        </w:tc>
        <w:tc>
          <w:tcPr>
            <w:tcW w:w="340" w:type="dxa"/>
            <w:vAlign w:val="bottom"/>
            <w:gridSpan w:val="2"/>
          </w:tcPr>
          <w:p>
            <w:pPr>
              <w:jc w:val="right"/>
              <w:ind w:right="164"/>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296,826</w:t>
            </w:r>
          </w:p>
        </w:tc>
        <w:tc>
          <w:tcPr>
            <w:tcW w:w="100" w:type="dxa"/>
            <w:vAlign w:val="bottom"/>
          </w:tcPr>
          <w:p>
            <w:pPr>
              <w:spacing w:after="0"/>
              <w:rPr>
                <w:sz w:val="21"/>
                <w:szCs w:val="21"/>
                <w:color w:val="auto"/>
              </w:rPr>
            </w:pPr>
          </w:p>
        </w:tc>
      </w:tr>
      <w:tr>
        <w:trPr>
          <w:trHeight w:val="310"/>
        </w:trPr>
        <w:tc>
          <w:tcPr>
            <w:tcW w:w="3940" w:type="dxa"/>
            <w:vAlign w:val="bottom"/>
            <w:shd w:val="clear" w:color="auto" w:fill="E5FFFF"/>
          </w:tcPr>
          <w:p>
            <w:pPr>
              <w:ind w:left="100"/>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280" w:type="dxa"/>
            <w:vAlign w:val="bottom"/>
            <w:shd w:val="clear" w:color="auto" w:fill="E5FFFF"/>
          </w:tcPr>
          <w:p>
            <w:pPr>
              <w:spacing w:after="0"/>
              <w:rPr>
                <w:sz w:val="24"/>
                <w:szCs w:val="24"/>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22"/>
                <w:szCs w:val="22"/>
                <w:color w:val="auto"/>
              </w:rPr>
              <w:t>34</w:t>
            </w:r>
          </w:p>
        </w:tc>
        <w:tc>
          <w:tcPr>
            <w:tcW w:w="280" w:type="dxa"/>
            <w:vAlign w:val="bottom"/>
            <w:shd w:val="clear" w:color="auto" w:fill="E5FFFF"/>
          </w:tcPr>
          <w:p>
            <w:pPr>
              <w:spacing w:after="0"/>
              <w:rPr>
                <w:sz w:val="24"/>
                <w:szCs w:val="24"/>
                <w:color w:val="auto"/>
              </w:rPr>
            </w:pPr>
          </w:p>
        </w:tc>
        <w:tc>
          <w:tcPr>
            <w:tcW w:w="340" w:type="dxa"/>
            <w:vAlign w:val="bottom"/>
            <w:shd w:val="clear" w:color="auto" w:fill="E5FFFF"/>
          </w:tcPr>
          <w:p>
            <w:pPr>
              <w:spacing w:after="0"/>
              <w:rPr>
                <w:sz w:val="24"/>
                <w:szCs w:val="24"/>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68</w:t>
            </w:r>
          </w:p>
        </w:tc>
        <w:tc>
          <w:tcPr>
            <w:tcW w:w="5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134</w:t>
            </w:r>
          </w:p>
        </w:tc>
        <w:tc>
          <w:tcPr>
            <w:tcW w:w="5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288</w:t>
            </w:r>
          </w:p>
        </w:tc>
        <w:tc>
          <w:tcPr>
            <w:tcW w:w="100" w:type="dxa"/>
            <w:vAlign w:val="bottom"/>
            <w:shd w:val="clear" w:color="auto" w:fill="E5FFFF"/>
          </w:tcPr>
          <w:p>
            <w:pPr>
              <w:spacing w:after="0"/>
              <w:rPr>
                <w:sz w:val="24"/>
                <w:szCs w:val="24"/>
                <w:color w:val="auto"/>
              </w:rPr>
            </w:pPr>
          </w:p>
        </w:tc>
      </w:tr>
      <w:tr>
        <w:trPr>
          <w:trHeight w:val="250"/>
        </w:trPr>
        <w:tc>
          <w:tcPr>
            <w:tcW w:w="3940" w:type="dxa"/>
            <w:vAlign w:val="bottom"/>
          </w:tcPr>
          <w:p>
            <w:pPr>
              <w:ind w:left="100"/>
              <w:spacing w:after="0" w:line="250" w:lineRule="exact"/>
              <w:rPr>
                <w:sz w:val="20"/>
                <w:szCs w:val="20"/>
                <w:color w:val="auto"/>
              </w:rPr>
            </w:pPr>
            <w:r>
              <w:rPr>
                <w:rFonts w:ascii="Arial" w:cs="Arial" w:eastAsia="Arial" w:hAnsi="Arial"/>
                <w:sz w:val="22"/>
                <w:szCs w:val="22"/>
                <w:color w:val="auto"/>
              </w:rPr>
              <w:t>Total net sales and revenue</w:t>
            </w:r>
          </w:p>
        </w:tc>
        <w:tc>
          <w:tcPr>
            <w:tcW w:w="280" w:type="dxa"/>
            <w:vAlign w:val="bottom"/>
            <w:tcBorders>
              <w:top w:val="single" w:sz="8" w:color="auto"/>
              <w:bottom w:val="single" w:sz="8" w:color="auto"/>
            </w:tcBorders>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10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124,251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12"/>
              <w:spacing w:after="0" w:line="250" w:lineRule="exact"/>
              <w:rPr>
                <w:sz w:val="20"/>
                <w:szCs w:val="20"/>
                <w:color w:val="auto"/>
              </w:rPr>
            </w:pPr>
            <w:r>
              <w:rPr>
                <w:rFonts w:ascii="Arial" w:cs="Arial" w:eastAsia="Arial" w:hAnsi="Arial"/>
                <w:sz w:val="22"/>
                <w:szCs w:val="22"/>
                <w:color w:val="auto"/>
                <w:w w:val="81"/>
              </w:rPr>
              <w:t>$</w:t>
            </w:r>
          </w:p>
        </w:tc>
        <w:tc>
          <w:tcPr>
            <w:tcW w:w="9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86,671</w:t>
            </w:r>
          </w:p>
        </w:tc>
        <w:tc>
          <w:tcPr>
            <w:tcW w:w="54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10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246,828</w:t>
            </w:r>
          </w:p>
        </w:tc>
        <w:tc>
          <w:tcPr>
            <w:tcW w:w="5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297,114</w:t>
            </w:r>
          </w:p>
        </w:tc>
        <w:tc>
          <w:tcPr>
            <w:tcW w:w="10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6" w:lineRule="exact"/>
        <w:rPr>
          <w:sz w:val="20"/>
          <w:szCs w:val="20"/>
          <w:color w:val="auto"/>
        </w:rPr>
      </w:pPr>
    </w:p>
    <w:p>
      <w:pPr>
        <w:ind w:right="660" w:firstLine="656"/>
        <w:spacing w:after="0" w:line="196" w:lineRule="auto"/>
        <w:tabs>
          <w:tab w:leader="none" w:pos="783" w:val="left"/>
        </w:tabs>
        <w:numPr>
          <w:ilvl w:val="0"/>
          <w:numId w:val="6"/>
        </w:numPr>
        <w:rPr>
          <w:rFonts w:ascii="Arial" w:cs="Arial" w:eastAsia="Arial" w:hAnsi="Arial"/>
          <w:sz w:val="34"/>
          <w:szCs w:val="34"/>
          <w:color w:val="auto"/>
          <w:vertAlign w:val="superscript"/>
        </w:rPr>
      </w:pPr>
      <w:r>
        <w:rPr>
          <w:rFonts w:ascii="Arial" w:cs="Arial" w:eastAsia="Arial" w:hAnsi="Arial"/>
          <w:sz w:val="21"/>
          <w:szCs w:val="21"/>
          <w:color w:val="auto"/>
        </w:rPr>
        <w:t>The Company records sales in the refined coal segment net of the cost of coal as the Company purchases the coal feedstock from the customer to which refined coal is sold.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shd w:val="clear" w:color="auto" w:fill="E5FFFF"/>
          </w:tcPr>
          <w:p>
            <w:pPr>
              <w:spacing w:after="0"/>
              <w:rPr>
                <w:sz w:val="20"/>
                <w:szCs w:val="20"/>
                <w:color w:val="auto"/>
              </w:rPr>
            </w:pPr>
            <w:r>
              <w:rPr>
                <w:rFonts w:ascii="Arial" w:cs="Arial" w:eastAsia="Arial" w:hAnsi="Arial"/>
                <w:sz w:val="22"/>
                <w:szCs w:val="22"/>
                <w:color w:val="auto"/>
              </w:rPr>
              <w:t>Segment gross profit (loss):</w:t>
            </w:r>
          </w:p>
        </w:tc>
        <w:tc>
          <w:tcPr>
            <w:tcW w:w="120" w:type="dxa"/>
            <w:vAlign w:val="bottom"/>
            <w:shd w:val="clear" w:color="auto" w:fill="E5FFFF"/>
          </w:tcPr>
          <w:p>
            <w:pPr>
              <w:spacing w:after="0"/>
              <w:rPr>
                <w:sz w:val="21"/>
                <w:szCs w:val="21"/>
                <w:color w:val="auto"/>
              </w:rPr>
            </w:pPr>
          </w:p>
        </w:tc>
        <w:tc>
          <w:tcPr>
            <w:tcW w:w="1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18,929</w:t>
            </w:r>
          </w:p>
        </w:tc>
        <w:tc>
          <w:tcPr>
            <w:tcW w:w="70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c>
          <w:tcPr>
            <w:tcW w:w="920" w:type="dxa"/>
            <w:vAlign w:val="bottom"/>
            <w:gridSpan w:val="2"/>
          </w:tcPr>
          <w:p>
            <w:pPr>
              <w:jc w:val="right"/>
              <w:ind w:right="15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11,259</w:t>
            </w:r>
          </w:p>
        </w:tc>
        <w:tc>
          <w:tcPr>
            <w:tcW w:w="920" w:type="dxa"/>
            <w:vAlign w:val="bottom"/>
            <w:gridSpan w:val="2"/>
          </w:tcPr>
          <w:p>
            <w:pPr>
              <w:jc w:val="right"/>
              <w:ind w:right="183"/>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12,312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120" w:type="dxa"/>
            <w:vAlign w:val="bottom"/>
            <w:shd w:val="clear" w:color="auto" w:fill="E5FFFF"/>
          </w:tcPr>
          <w:p>
            <w:pPr>
              <w:spacing w:after="0"/>
              <w:rPr>
                <w:sz w:val="22"/>
                <w:szCs w:val="22"/>
                <w:color w:val="auto"/>
              </w:rPr>
            </w:pP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22"/>
                <w:szCs w:val="22"/>
                <w:color w:val="auto"/>
              </w:rPr>
              <w:t>(1,250)</w:t>
            </w:r>
          </w:p>
        </w:tc>
        <w:tc>
          <w:tcPr>
            <w:tcW w:w="4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(1,786)</w:t>
            </w:r>
          </w:p>
        </w:tc>
        <w:tc>
          <w:tcPr>
            <w:tcW w:w="54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(4,241)</w:t>
            </w:r>
          </w:p>
        </w:tc>
        <w:tc>
          <w:tcPr>
            <w:tcW w:w="54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(6,420)</w:t>
            </w:r>
          </w:p>
        </w:tc>
        <w:tc>
          <w:tcPr>
            <w:tcW w:w="100" w:type="dxa"/>
            <w:vAlign w:val="bottom"/>
            <w:shd w:val="clear" w:color="auto" w:fill="E5FFFF"/>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line="250" w:lineRule="exact"/>
              <w:rPr>
                <w:sz w:val="20"/>
                <w:szCs w:val="20"/>
                <w:color w:val="auto"/>
              </w:rPr>
            </w:pPr>
            <w:r>
              <w:rPr>
                <w:rFonts w:ascii="Arial" w:cs="Arial" w:eastAsia="Arial" w:hAnsi="Arial"/>
                <w:sz w:val="22"/>
                <w:szCs w:val="22"/>
                <w:color w:val="auto"/>
              </w:rPr>
              <w:t>Total gross profit (loss)</w:t>
            </w:r>
          </w:p>
        </w:tc>
        <w:tc>
          <w:tcPr>
            <w:tcW w:w="1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12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17,679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10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(1,758)</w:t>
            </w:r>
          </w:p>
        </w:tc>
        <w:tc>
          <w:tcPr>
            <w:tcW w:w="5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52"/>
              <w:spacing w:after="0" w:line="250" w:lineRule="exact"/>
              <w:rPr>
                <w:sz w:val="20"/>
                <w:szCs w:val="20"/>
                <w:color w:val="auto"/>
              </w:rPr>
            </w:pPr>
            <w:r>
              <w:rPr>
                <w:rFonts w:ascii="Arial" w:cs="Arial" w:eastAsia="Arial" w:hAnsi="Arial"/>
                <w:sz w:val="22"/>
                <w:szCs w:val="22"/>
                <w:color w:val="auto"/>
                <w:w w:val="81"/>
              </w:rPr>
              <w:t>$</w:t>
            </w:r>
          </w:p>
        </w:tc>
        <w:tc>
          <w:tcPr>
            <w:tcW w:w="9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7,018</w:t>
            </w:r>
          </w:p>
        </w:tc>
        <w:tc>
          <w:tcPr>
            <w:tcW w:w="5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5,892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before income taxes:</w:t>
            </w:r>
          </w:p>
        </w:tc>
        <w:tc>
          <w:tcPr>
            <w:tcW w:w="120" w:type="dxa"/>
            <w:vAlign w:val="bottom"/>
            <w:shd w:val="clear" w:color="auto" w:fill="E5FFFF"/>
          </w:tcPr>
          <w:p>
            <w:pPr>
              <w:spacing w:after="0"/>
              <w:rPr>
                <w:sz w:val="21"/>
                <w:szCs w:val="21"/>
                <w:color w:val="auto"/>
              </w:rPr>
            </w:pPr>
          </w:p>
        </w:tc>
        <w:tc>
          <w:tcPr>
            <w:tcW w:w="1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17,007</w:t>
            </w:r>
          </w:p>
        </w:tc>
        <w:tc>
          <w:tcPr>
            <w:tcW w:w="70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(2,822)</w:t>
            </w:r>
          </w:p>
        </w:tc>
        <w:tc>
          <w:tcPr>
            <w:tcW w:w="920" w:type="dxa"/>
            <w:vAlign w:val="bottom"/>
            <w:gridSpan w:val="2"/>
          </w:tcPr>
          <w:p>
            <w:pPr>
              <w:jc w:val="right"/>
              <w:ind w:right="15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1,397</w:t>
            </w:r>
          </w:p>
        </w:tc>
        <w:tc>
          <w:tcPr>
            <w:tcW w:w="920" w:type="dxa"/>
            <w:vAlign w:val="bottom"/>
            <w:gridSpan w:val="2"/>
          </w:tcPr>
          <w:p>
            <w:pPr>
              <w:jc w:val="right"/>
              <w:ind w:right="183"/>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2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(1,270)</w:t>
            </w:r>
          </w:p>
        </w:tc>
        <w:tc>
          <w:tcPr>
            <w:tcW w:w="4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(1,648)</w:t>
            </w: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(4,235)</w:t>
            </w: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(6,351)</w:t>
            </w:r>
          </w:p>
        </w:tc>
        <w:tc>
          <w:tcPr>
            <w:tcW w:w="100" w:type="dxa"/>
            <w:vAlign w:val="bottom"/>
            <w:shd w:val="clear" w:color="auto" w:fill="E5FFFF"/>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0"/>
                <w:szCs w:val="20"/>
                <w:color w:val="auto"/>
              </w:rPr>
            </w:pPr>
            <w:r>
              <w:rPr>
                <w:rFonts w:ascii="Arial" w:cs="Arial" w:eastAsia="Arial" w:hAnsi="Arial"/>
                <w:sz w:val="22"/>
                <w:szCs w:val="22"/>
                <w:color w:val="auto"/>
              </w:rPr>
              <w:t>Corporate and other</w:t>
            </w:r>
          </w:p>
        </w:tc>
        <w:tc>
          <w:tcPr>
            <w:tcW w:w="1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22"/>
                <w:szCs w:val="22"/>
                <w:color w:val="auto"/>
              </w:rPr>
              <w:t>(626)</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(434)</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(1,873)</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(1,146)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income (loss) before income taxes</w:t>
            </w: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2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15,111</w:t>
            </w:r>
          </w:p>
        </w:tc>
        <w:tc>
          <w:tcPr>
            <w:tcW w:w="120" w:type="dxa"/>
            <w:vAlign w:val="bottom"/>
            <w:tcBorders>
              <w:top w:val="single" w:sz="8" w:color="E5FFFF"/>
              <w:bottom w:val="single" w:sz="8" w:color="E5FFFF"/>
            </w:tcBorders>
            <w:shd w:val="clear" w:color="auto" w:fill="E5FFFF"/>
          </w:tcPr>
          <w:p>
            <w:pPr>
              <w:spacing w:after="0"/>
              <w:rPr>
                <w:sz w:val="21"/>
                <w:szCs w:val="21"/>
                <w:color w:val="auto"/>
              </w:rPr>
            </w:pP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10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(4,904)</w:t>
            </w:r>
          </w:p>
        </w:tc>
        <w:tc>
          <w:tcPr>
            <w:tcW w:w="54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auto"/>
              <w:bottom w:val="single" w:sz="8" w:color="auto"/>
            </w:tcBorders>
            <w:shd w:val="clear" w:color="auto" w:fill="E5FFFF"/>
          </w:tcPr>
          <w:p>
            <w:pPr>
              <w:jc w:val="right"/>
              <w:ind w:right="152"/>
              <w:spacing w:after="0" w:line="250" w:lineRule="exact"/>
              <w:rPr>
                <w:sz w:val="20"/>
                <w:szCs w:val="20"/>
                <w:color w:val="auto"/>
              </w:rPr>
            </w:pPr>
            <w:r>
              <w:rPr>
                <w:rFonts w:ascii="Arial" w:cs="Arial" w:eastAsia="Arial" w:hAnsi="Arial"/>
                <w:sz w:val="22"/>
                <w:szCs w:val="22"/>
                <w:color w:val="auto"/>
                <w:w w:val="81"/>
              </w:rPr>
              <w:t>$</w:t>
            </w:r>
          </w:p>
        </w:tc>
        <w:tc>
          <w:tcPr>
            <w:tcW w:w="9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(4,711)</w:t>
            </w:r>
          </w:p>
        </w:tc>
        <w:tc>
          <w:tcPr>
            <w:tcW w:w="54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auto"/>
              <w:bottom w:val="single" w:sz="8" w:color="auto"/>
            </w:tcBorders>
            <w:shd w:val="clear" w:color="auto" w:fill="E5FFFF"/>
          </w:tcPr>
          <w:p>
            <w:pPr>
              <w:jc w:val="right"/>
              <w:ind w:right="183"/>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(4,006)</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22"/>
                <w:szCs w:val="22"/>
                <w:color w:val="auto"/>
              </w:rPr>
              <w:t>(Provision) benefit for income taxes:</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(5,071)</w:t>
            </w:r>
          </w:p>
        </w:tc>
        <w:tc>
          <w:tcPr>
            <w:tcW w:w="700" w:type="dxa"/>
            <w:vAlign w:val="bottom"/>
            <w:gridSpan w:val="2"/>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945</w:t>
            </w:r>
          </w:p>
        </w:tc>
        <w:tc>
          <w:tcPr>
            <w:tcW w:w="920" w:type="dxa"/>
            <w:vAlign w:val="bottom"/>
            <w:gridSpan w:val="2"/>
            <w:shd w:val="clear" w:color="auto" w:fill="E5FFFF"/>
          </w:tcPr>
          <w:p>
            <w:pPr>
              <w:jc w:val="right"/>
              <w:ind w:right="152"/>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w:t>
            </w:r>
          </w:p>
        </w:tc>
        <w:tc>
          <w:tcPr>
            <w:tcW w:w="920" w:type="dxa"/>
            <w:vAlign w:val="bottom"/>
            <w:gridSpan w:val="2"/>
            <w:shd w:val="clear" w:color="auto" w:fill="E5FFFF"/>
          </w:tcPr>
          <w:p>
            <w:pPr>
              <w:jc w:val="right"/>
              <w:ind w:right="183"/>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(160)</w:t>
            </w:r>
          </w:p>
        </w:tc>
        <w:tc>
          <w:tcPr>
            <w:tcW w:w="100" w:type="dxa"/>
            <w:vAlign w:val="bottom"/>
            <w:shd w:val="clear" w:color="auto" w:fill="E5FFFF"/>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20" w:type="dxa"/>
            <w:vAlign w:val="bottom"/>
          </w:tcPr>
          <w:p>
            <w:pPr>
              <w:spacing w:after="0"/>
              <w:rPr>
                <w:sz w:val="21"/>
                <w:szCs w:val="21"/>
                <w:color w:val="auto"/>
              </w:rPr>
            </w:pPr>
          </w:p>
        </w:tc>
        <w:tc>
          <w:tcPr>
            <w:tcW w:w="13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985</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2,181</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4,863</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4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120" w:type="dxa"/>
            <w:vAlign w:val="bottom"/>
            <w:shd w:val="clear" w:color="auto" w:fill="E5FFFF"/>
          </w:tcPr>
          <w:p>
            <w:pPr>
              <w:spacing w:after="0"/>
              <w:rPr>
                <w:sz w:val="22"/>
                <w:szCs w:val="22"/>
                <w:color w:val="auto"/>
              </w:rPr>
            </w:pP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22"/>
                <w:szCs w:val="22"/>
                <w:color w:val="auto"/>
              </w:rPr>
              <w:t>34</w:t>
            </w:r>
          </w:p>
        </w:tc>
        <w:tc>
          <w:tcPr>
            <w:tcW w:w="4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105</w:t>
            </w:r>
          </w:p>
        </w:tc>
        <w:tc>
          <w:tcPr>
            <w:tcW w:w="54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461</w:t>
            </w:r>
          </w:p>
        </w:tc>
        <w:tc>
          <w:tcPr>
            <w:tcW w:w="54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279</w:t>
            </w:r>
          </w:p>
        </w:tc>
        <w:tc>
          <w:tcPr>
            <w:tcW w:w="100" w:type="dxa"/>
            <w:vAlign w:val="bottom"/>
            <w:shd w:val="clear" w:color="auto" w:fill="E5FFFF"/>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line="250" w:lineRule="exact"/>
              <w:rPr>
                <w:sz w:val="20"/>
                <w:szCs w:val="20"/>
                <w:color w:val="auto"/>
              </w:rPr>
            </w:pPr>
            <w:r>
              <w:rPr>
                <w:rFonts w:ascii="Arial" w:cs="Arial" w:eastAsia="Arial" w:hAnsi="Arial"/>
                <w:sz w:val="22"/>
                <w:szCs w:val="22"/>
                <w:color w:val="auto"/>
                <w:w w:val="98"/>
              </w:rPr>
              <w:t>Total (provision) benefit for income taxes</w:t>
            </w:r>
          </w:p>
        </w:tc>
        <w:tc>
          <w:tcPr>
            <w:tcW w:w="1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12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(4,052)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10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3,231</w:t>
            </w:r>
          </w:p>
        </w:tc>
        <w:tc>
          <w:tcPr>
            <w:tcW w:w="5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52"/>
              <w:spacing w:after="0" w:line="250" w:lineRule="exact"/>
              <w:rPr>
                <w:sz w:val="20"/>
                <w:szCs w:val="20"/>
                <w:color w:val="auto"/>
              </w:rPr>
            </w:pPr>
            <w:r>
              <w:rPr>
                <w:rFonts w:ascii="Arial" w:cs="Arial" w:eastAsia="Arial" w:hAnsi="Arial"/>
                <w:sz w:val="22"/>
                <w:szCs w:val="22"/>
                <w:color w:val="auto"/>
                <w:w w:val="81"/>
              </w:rPr>
              <w:t>$</w:t>
            </w:r>
          </w:p>
        </w:tc>
        <w:tc>
          <w:tcPr>
            <w:tcW w:w="9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5,307</w:t>
            </w:r>
          </w:p>
        </w:tc>
        <w:tc>
          <w:tcPr>
            <w:tcW w:w="5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40" w:type="dxa"/>
            <w:vAlign w:val="bottom"/>
            <w:shd w:val="clear" w:color="auto" w:fill="E5FFFF"/>
          </w:tcPr>
          <w:p>
            <w:pPr>
              <w:spacing w:after="0" w:line="222" w:lineRule="exact"/>
              <w:rPr>
                <w:sz w:val="20"/>
                <w:szCs w:val="20"/>
                <w:color w:val="auto"/>
              </w:rPr>
            </w:pPr>
            <w:r>
              <w:rPr>
                <w:rFonts w:ascii="Arial" w:cs="Arial" w:eastAsia="Arial" w:hAnsi="Arial"/>
                <w:sz w:val="22"/>
                <w:szCs w:val="22"/>
                <w:color w:val="auto"/>
              </w:rPr>
              <w:t>Segment profit (loss) (net of</w:t>
            </w:r>
          </w:p>
        </w:tc>
        <w:tc>
          <w:tcPr>
            <w:tcW w:w="120" w:type="dxa"/>
            <w:vAlign w:val="bottom"/>
            <w:shd w:val="clear" w:color="auto" w:fill="E5FFFF"/>
          </w:tcPr>
          <w:p>
            <w:pPr>
              <w:spacing w:after="0"/>
              <w:rPr>
                <w:sz w:val="19"/>
                <w:szCs w:val="19"/>
                <w:color w:val="auto"/>
              </w:rPr>
            </w:pPr>
          </w:p>
        </w:tc>
        <w:tc>
          <w:tcPr>
            <w:tcW w:w="1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2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940" w:type="dxa"/>
            <w:vAlign w:val="bottom"/>
            <w:shd w:val="clear" w:color="auto" w:fill="E5FFFF"/>
          </w:tcPr>
          <w:p>
            <w:pPr>
              <w:spacing w:after="0"/>
              <w:rPr>
                <w:sz w:val="20"/>
                <w:szCs w:val="20"/>
                <w:color w:val="auto"/>
              </w:rPr>
            </w:pPr>
            <w:r>
              <w:rPr>
                <w:rFonts w:ascii="Arial" w:cs="Arial" w:eastAsia="Arial" w:hAnsi="Arial"/>
                <w:sz w:val="22"/>
                <w:szCs w:val="22"/>
                <w:color w:val="auto"/>
              </w:rPr>
              <w:t>noncontrolling interests):</w:t>
            </w:r>
          </w:p>
        </w:tc>
        <w:tc>
          <w:tcPr>
            <w:tcW w:w="12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9,660</w:t>
            </w:r>
          </w:p>
        </w:tc>
        <w:tc>
          <w:tcPr>
            <w:tcW w:w="70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(2,330)</w:t>
            </w:r>
          </w:p>
        </w:tc>
        <w:tc>
          <w:tcPr>
            <w:tcW w:w="920" w:type="dxa"/>
            <w:vAlign w:val="bottom"/>
            <w:gridSpan w:val="2"/>
          </w:tcPr>
          <w:p>
            <w:pPr>
              <w:jc w:val="right"/>
              <w:ind w:right="15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c>
          <w:tcPr>
            <w:tcW w:w="920" w:type="dxa"/>
            <w:vAlign w:val="bottom"/>
            <w:gridSpan w:val="2"/>
          </w:tcPr>
          <w:p>
            <w:pPr>
              <w:jc w:val="right"/>
              <w:ind w:right="183"/>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2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(227)</w:t>
            </w:r>
          </w:p>
        </w:tc>
        <w:tc>
          <w:tcPr>
            <w:tcW w:w="4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607</w:t>
            </w: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821</w:t>
            </w: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3,209</w:t>
            </w:r>
          </w:p>
        </w:tc>
        <w:tc>
          <w:tcPr>
            <w:tcW w:w="100" w:type="dxa"/>
            <w:vAlign w:val="bottom"/>
            <w:shd w:val="clear" w:color="auto" w:fill="E5FFFF"/>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0"/>
                <w:szCs w:val="20"/>
                <w:color w:val="auto"/>
              </w:rPr>
            </w:pPr>
            <w:r>
              <w:rPr>
                <w:rFonts w:ascii="Arial" w:cs="Arial" w:eastAsia="Arial" w:hAnsi="Arial"/>
                <w:sz w:val="22"/>
                <w:szCs w:val="22"/>
                <w:color w:val="auto"/>
              </w:rPr>
              <w:t>Corporate and other</w:t>
            </w:r>
          </w:p>
        </w:tc>
        <w:tc>
          <w:tcPr>
            <w:tcW w:w="1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22"/>
                <w:szCs w:val="22"/>
                <w:color w:val="auto"/>
              </w:rPr>
              <w:t>(592)</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(329)</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(1,412)</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(868)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940" w:type="dxa"/>
            <w:vAlign w:val="bottom"/>
            <w:tcBorders>
              <w:top w:val="single" w:sz="8" w:color="E5FFFF"/>
            </w:tcBorders>
            <w:shd w:val="clear" w:color="auto" w:fill="E5FFFF"/>
          </w:tcPr>
          <w:p>
            <w:pPr>
              <w:spacing w:after="0" w:line="202" w:lineRule="exact"/>
              <w:rPr>
                <w:sz w:val="20"/>
                <w:szCs w:val="20"/>
                <w:color w:val="auto"/>
              </w:rPr>
            </w:pPr>
            <w:r>
              <w:rPr>
                <w:rFonts w:ascii="Arial" w:cs="Arial" w:eastAsia="Arial" w:hAnsi="Arial"/>
                <w:sz w:val="22"/>
                <w:szCs w:val="22"/>
                <w:color w:val="auto"/>
              </w:rPr>
              <w:t>Net income (loss) attributable to REX</w:t>
            </w:r>
          </w:p>
        </w:tc>
        <w:tc>
          <w:tcPr>
            <w:tcW w:w="120" w:type="dxa"/>
            <w:vAlign w:val="bottom"/>
            <w:tcBorders>
              <w:top w:val="single" w:sz="8" w:color="auto"/>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54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auto"/>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spacing w:after="0"/>
              <w:rPr>
                <w:sz w:val="17"/>
                <w:szCs w:val="17"/>
                <w:color w:val="auto"/>
              </w:rPr>
            </w:pPr>
          </w:p>
        </w:tc>
        <w:tc>
          <w:tcPr>
            <w:tcW w:w="54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auto"/>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940" w:type="dxa"/>
            <w:vAlign w:val="bottom"/>
            <w:shd w:val="clear" w:color="auto" w:fill="E5FFFF"/>
          </w:tcPr>
          <w:p>
            <w:pPr>
              <w:spacing w:after="0"/>
              <w:rPr>
                <w:sz w:val="20"/>
                <w:szCs w:val="20"/>
                <w:color w:val="auto"/>
              </w:rPr>
            </w:pPr>
            <w:r>
              <w:rPr>
                <w:rFonts w:ascii="Arial" w:cs="Arial" w:eastAsia="Arial" w:hAnsi="Arial"/>
                <w:sz w:val="22"/>
                <w:szCs w:val="22"/>
                <w:color w:val="auto"/>
              </w:rPr>
              <w:t>common shareholders</w:t>
            </w:r>
          </w:p>
        </w:tc>
        <w:tc>
          <w:tcPr>
            <w:tcW w:w="120" w:type="dxa"/>
            <w:vAlign w:val="bottom"/>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22"/>
                <w:szCs w:val="22"/>
                <w:color w:val="auto"/>
              </w:rPr>
              <w:t>8,841</w:t>
            </w:r>
          </w:p>
        </w:tc>
        <w:tc>
          <w:tcPr>
            <w:tcW w:w="700" w:type="dxa"/>
            <w:vAlign w:val="bottom"/>
            <w:gridSpan w:val="2"/>
            <w:shd w:val="clear" w:color="auto" w:fill="E5FFFF"/>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(2,052)</w:t>
            </w:r>
          </w:p>
        </w:tc>
        <w:tc>
          <w:tcPr>
            <w:tcW w:w="920" w:type="dxa"/>
            <w:vAlign w:val="bottom"/>
            <w:gridSpan w:val="2"/>
            <w:shd w:val="clear" w:color="auto" w:fill="E5FFFF"/>
          </w:tcPr>
          <w:p>
            <w:pPr>
              <w:jc w:val="right"/>
              <w:ind w:right="152"/>
              <w:spacing w:after="0"/>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(542)</w:t>
            </w:r>
          </w:p>
        </w:tc>
        <w:tc>
          <w:tcPr>
            <w:tcW w:w="920" w:type="dxa"/>
            <w:vAlign w:val="bottom"/>
            <w:gridSpan w:val="2"/>
            <w:shd w:val="clear" w:color="auto" w:fill="E5FFFF"/>
          </w:tcPr>
          <w:p>
            <w:pPr>
              <w:jc w:val="right"/>
              <w:ind w:right="183"/>
              <w:spacing w:after="0"/>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3,025</w:t>
            </w:r>
          </w:p>
        </w:tc>
        <w:tc>
          <w:tcPr>
            <w:tcW w:w="100" w:type="dxa"/>
            <w:vAlign w:val="bottom"/>
            <w:shd w:val="clear" w:color="auto" w:fill="E5FFFF"/>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22"/>
                <w:szCs w:val="22"/>
                <w:b w:val="1"/>
                <w:bCs w:val="1"/>
                <w:color w:val="auto"/>
              </w:rPr>
              <w:t>October 31,</w:t>
            </w:r>
          </w:p>
        </w:tc>
        <w:tc>
          <w:tcPr>
            <w:tcW w:w="42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w w:val="95"/>
              </w:rPr>
              <w:t>January 31,</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22"/>
                <w:szCs w:val="22"/>
                <w:color w:val="auto"/>
              </w:rPr>
              <w:t>Assets:</w:t>
            </w: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2020</w:t>
            </w: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400,180</w:t>
            </w:r>
          </w:p>
        </w:tc>
        <w:tc>
          <w:tcPr>
            <w:tcW w:w="700" w:type="dxa"/>
            <w:vAlign w:val="bottom"/>
            <w:gridSpan w:val="2"/>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408,746</w:t>
            </w: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20" w:type="dxa"/>
            <w:vAlign w:val="bottom"/>
          </w:tcPr>
          <w:p>
            <w:pPr>
              <w:spacing w:after="0"/>
              <w:rPr>
                <w:sz w:val="21"/>
                <w:szCs w:val="21"/>
                <w:color w:val="auto"/>
              </w:rPr>
            </w:pPr>
          </w:p>
        </w:tc>
        <w:tc>
          <w:tcPr>
            <w:tcW w:w="13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3,605</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6,101</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4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120" w:type="dxa"/>
            <w:vAlign w:val="bottom"/>
            <w:shd w:val="clear" w:color="auto" w:fill="E5FFFF"/>
          </w:tcPr>
          <w:p>
            <w:pPr>
              <w:spacing w:after="0"/>
              <w:rPr>
                <w:sz w:val="22"/>
                <w:szCs w:val="22"/>
                <w:color w:val="auto"/>
              </w:rPr>
            </w:pP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22"/>
                <w:szCs w:val="22"/>
                <w:color w:val="auto"/>
              </w:rPr>
              <w:t>71,376</w:t>
            </w:r>
          </w:p>
        </w:tc>
        <w:tc>
          <w:tcPr>
            <w:tcW w:w="4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85,655</w:t>
            </w:r>
          </w:p>
        </w:tc>
        <w:tc>
          <w:tcPr>
            <w:tcW w:w="54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line="250" w:lineRule="exact"/>
              <w:rPr>
                <w:sz w:val="20"/>
                <w:szCs w:val="20"/>
                <w:color w:val="auto"/>
              </w:rPr>
            </w:pPr>
            <w:r>
              <w:rPr>
                <w:rFonts w:ascii="Arial" w:cs="Arial" w:eastAsia="Arial" w:hAnsi="Arial"/>
                <w:sz w:val="22"/>
                <w:szCs w:val="22"/>
                <w:color w:val="auto"/>
              </w:rPr>
              <w:t>Total assets</w:t>
            </w:r>
          </w:p>
        </w:tc>
        <w:tc>
          <w:tcPr>
            <w:tcW w:w="1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12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475,161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10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500,502</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22</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9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-1113790</wp:posOffset>
            </wp:positionV>
            <wp:extent cx="23317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1720" cy="15430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-805180</wp:posOffset>
            </wp:positionV>
            <wp:extent cx="23317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31720" cy="16256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3"/>
        </w:trPr>
        <w:tc>
          <w:tcPr>
            <w:tcW w:w="4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gridSpan w:val="4"/>
          </w:tcPr>
          <w:p>
            <w:pPr>
              <w:jc w:val="right"/>
              <w:ind w:right="172"/>
              <w:spacing w:after="0"/>
              <w:rPr>
                <w:sz w:val="20"/>
                <w:szCs w:val="20"/>
                <w:color w:val="auto"/>
              </w:rPr>
            </w:pPr>
            <w:r>
              <w:rPr>
                <w:rFonts w:ascii="Arial" w:cs="Arial" w:eastAsia="Arial" w:hAnsi="Arial"/>
                <w:sz w:val="22"/>
                <w:szCs w:val="22"/>
                <w:b w:val="1"/>
                <w:bCs w:val="1"/>
                <w:color w:val="auto"/>
                <w:w w:val="92"/>
              </w:rPr>
              <w:t>Three Months Ended</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5"/>
          </w:tcPr>
          <w:p>
            <w:pPr>
              <w:ind w:left="120"/>
              <w:spacing w:after="0"/>
              <w:rPr>
                <w:sz w:val="20"/>
                <w:szCs w:val="20"/>
                <w:color w:val="auto"/>
              </w:rPr>
            </w:pPr>
            <w:r>
              <w:rPr>
                <w:rFonts w:ascii="Arial" w:cs="Arial" w:eastAsia="Arial" w:hAnsi="Arial"/>
                <w:sz w:val="22"/>
                <w:szCs w:val="22"/>
                <w:b w:val="1"/>
                <w:bCs w:val="1"/>
                <w:color w:val="auto"/>
              </w:rPr>
              <w:t>Nine Months Ended</w:t>
            </w:r>
          </w:p>
        </w:tc>
        <w:tc>
          <w:tcPr>
            <w:tcW w:w="0" w:type="dxa"/>
            <w:vAlign w:val="bottom"/>
          </w:tcPr>
          <w:p>
            <w:pPr>
              <w:spacing w:after="0"/>
              <w:rPr>
                <w:sz w:val="1"/>
                <w:szCs w:val="1"/>
                <w:color w:val="auto"/>
              </w:rPr>
            </w:pPr>
          </w:p>
        </w:tc>
      </w:tr>
      <w:tr>
        <w:trPr>
          <w:trHeight w:val="257"/>
        </w:trPr>
        <w:tc>
          <w:tcPr>
            <w:tcW w:w="4900" w:type="dxa"/>
            <w:vAlign w:val="bottom"/>
            <w:vMerge w:val="restart"/>
          </w:tcPr>
          <w:p>
            <w:pPr>
              <w:spacing w:after="0"/>
              <w:rPr>
                <w:sz w:val="20"/>
                <w:szCs w:val="20"/>
                <w:color w:val="auto"/>
              </w:rPr>
            </w:pPr>
            <w:r>
              <w:rPr>
                <w:rFonts w:ascii="Arial" w:cs="Arial" w:eastAsia="Arial" w:hAnsi="Arial"/>
                <w:sz w:val="22"/>
                <w:szCs w:val="22"/>
                <w:color w:val="auto"/>
                <w:w w:val="94"/>
              </w:rPr>
              <w:t>Sales of products, ethanol and by-products segment:</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3"/>
          </w:tcPr>
          <w:p>
            <w:pPr>
              <w:jc w:val="right"/>
              <w:spacing w:after="0"/>
              <w:rPr>
                <w:sz w:val="20"/>
                <w:szCs w:val="20"/>
                <w:color w:val="auto"/>
              </w:rPr>
            </w:pPr>
            <w:r>
              <w:rPr>
                <w:rFonts w:ascii="Arial" w:cs="Arial" w:eastAsia="Arial" w:hAnsi="Arial"/>
                <w:sz w:val="22"/>
                <w:szCs w:val="22"/>
                <w:b w:val="1"/>
                <w:bCs w:val="1"/>
                <w:color w:val="auto"/>
              </w:rPr>
              <w:t>October 31,</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3"/>
          </w:tcPr>
          <w:p>
            <w:pPr>
              <w:jc w:val="right"/>
              <w:spacing w:after="0"/>
              <w:rPr>
                <w:sz w:val="20"/>
                <w:szCs w:val="20"/>
                <w:color w:val="auto"/>
              </w:rPr>
            </w:pPr>
            <w:r>
              <w:rPr>
                <w:rFonts w:ascii="Arial" w:cs="Arial" w:eastAsia="Arial" w:hAnsi="Arial"/>
                <w:sz w:val="22"/>
                <w:szCs w:val="22"/>
                <w:b w:val="1"/>
                <w:bCs w:val="1"/>
                <w:color w:val="auto"/>
              </w:rPr>
              <w:t>October 31,</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00" w:type="dxa"/>
            <w:vAlign w:val="bottom"/>
            <w:tcBorders>
              <w:bottom w:val="single" w:sz="8" w:color="E5FFFF"/>
            </w:tcBorders>
            <w:vMerge w:val="continue"/>
          </w:tcPr>
          <w:p>
            <w:pPr>
              <w:spacing w:after="0"/>
              <w:rPr>
                <w:sz w:val="23"/>
                <w:szCs w:val="23"/>
                <w:color w:val="auto"/>
              </w:rPr>
            </w:pPr>
          </w:p>
        </w:tc>
        <w:tc>
          <w:tcPr>
            <w:tcW w:w="3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2020</w:t>
            </w:r>
          </w:p>
        </w:tc>
        <w:tc>
          <w:tcPr>
            <w:tcW w:w="540" w:type="dxa"/>
            <w:vAlign w:val="bottom"/>
            <w:tcBorders>
              <w:bottom w:val="single" w:sz="8" w:color="E5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85"/>
              </w:rPr>
              <w:t>2019</w:t>
            </w:r>
          </w:p>
        </w:tc>
        <w:tc>
          <w:tcPr>
            <w:tcW w:w="540" w:type="dxa"/>
            <w:vAlign w:val="bottom"/>
            <w:tcBorders>
              <w:bottom w:val="single" w:sz="8" w:color="E5FF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b w:val="1"/>
                <w:bCs w:val="1"/>
                <w:color w:val="auto"/>
              </w:rPr>
              <w:t>2020</w:t>
            </w:r>
          </w:p>
        </w:tc>
        <w:tc>
          <w:tcPr>
            <w:tcW w:w="540" w:type="dxa"/>
            <w:vAlign w:val="bottom"/>
            <w:tcBorders>
              <w:bottom w:val="single" w:sz="8" w:color="E5FF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81"/>
              </w:rPr>
              <w:t>2019</w:t>
            </w:r>
          </w:p>
        </w:tc>
        <w:tc>
          <w:tcPr>
            <w:tcW w:w="10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Ethanol</w:t>
            </w:r>
          </w:p>
        </w:tc>
        <w:tc>
          <w:tcPr>
            <w:tcW w:w="360" w:type="dxa"/>
            <w:vAlign w:val="bottom"/>
            <w:shd w:val="clear" w:color="auto" w:fill="E5FFFF"/>
          </w:tcPr>
          <w:p>
            <w:pPr>
              <w:spacing w:after="0"/>
              <w:rPr>
                <w:sz w:val="20"/>
                <w:szCs w:val="20"/>
                <w:color w:val="auto"/>
              </w:rPr>
            </w:pP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98,850</w:t>
            </w:r>
          </w:p>
        </w:tc>
        <w:tc>
          <w:tcPr>
            <w:tcW w:w="540" w:type="dxa"/>
            <w:vAlign w:val="bottom"/>
            <w:shd w:val="clear" w:color="auto" w:fill="E5FFFF"/>
          </w:tcPr>
          <w:p>
            <w:pPr>
              <w:spacing w:after="0"/>
              <w:rPr>
                <w:sz w:val="20"/>
                <w:szCs w:val="20"/>
                <w:color w:val="auto"/>
              </w:rPr>
            </w:pPr>
          </w:p>
        </w:tc>
        <w:tc>
          <w:tcPr>
            <w:tcW w:w="2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66,149</w:t>
            </w:r>
          </w:p>
        </w:tc>
        <w:tc>
          <w:tcPr>
            <w:tcW w:w="540" w:type="dxa"/>
            <w:vAlign w:val="bottom"/>
            <w:shd w:val="clear" w:color="auto" w:fill="E5FFFF"/>
          </w:tcPr>
          <w:p>
            <w:pPr>
              <w:spacing w:after="0"/>
              <w:rPr>
                <w:sz w:val="20"/>
                <w:szCs w:val="20"/>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95"/>
              </w:rPr>
              <w:t>191,971</w:t>
            </w:r>
          </w:p>
        </w:tc>
        <w:tc>
          <w:tcPr>
            <w:tcW w:w="540" w:type="dxa"/>
            <w:vAlign w:val="bottom"/>
            <w:shd w:val="clear" w:color="auto" w:fill="E5FFFF"/>
          </w:tcPr>
          <w:p>
            <w:pPr>
              <w:spacing w:after="0"/>
              <w:rPr>
                <w:sz w:val="20"/>
                <w:szCs w:val="20"/>
                <w:color w:val="auto"/>
              </w:rPr>
            </w:pPr>
          </w:p>
        </w:tc>
        <w:tc>
          <w:tcPr>
            <w:tcW w:w="280" w:type="dxa"/>
            <w:vAlign w:val="bottom"/>
            <w:shd w:val="clear" w:color="auto" w:fill="E5FFFF"/>
          </w:tcPr>
          <w:p>
            <w:pPr>
              <w:jc w:val="right"/>
              <w:ind w:right="52"/>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5"/>
              </w:rPr>
              <w:t>226,986</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20,916</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16,627</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45,314</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51,188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4,661</w:t>
            </w:r>
          </w:p>
        </w:tc>
        <w:tc>
          <w:tcPr>
            <w:tcW w:w="5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3,099</w:t>
            </w:r>
          </w:p>
        </w:tc>
        <w:tc>
          <w:tcPr>
            <w:tcW w:w="5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9,162</w:t>
            </w:r>
          </w:p>
        </w:tc>
        <w:tc>
          <w:tcPr>
            <w:tcW w:w="5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12,681</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562</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702</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1,228</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5,846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losses</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(777)</w:t>
            </w:r>
          </w:p>
        </w:tc>
        <w:tc>
          <w:tcPr>
            <w:tcW w:w="5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(1,075)</w:t>
            </w:r>
          </w:p>
        </w:tc>
        <w:tc>
          <w:tcPr>
            <w:tcW w:w="5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Other</w:t>
            </w:r>
          </w:p>
        </w:tc>
        <w:tc>
          <w:tcPr>
            <w:tcW w:w="360" w:type="dxa"/>
            <w:vAlign w:val="bottom"/>
            <w:tcBorders>
              <w:bottom w:val="single" w:sz="8" w:color="E5FF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540" w:type="dxa"/>
            <w:vAlign w:val="bottom"/>
            <w:tcBorders>
              <w:bottom w:val="single" w:sz="8" w:color="E5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w:t>
            </w:r>
          </w:p>
        </w:tc>
        <w:tc>
          <w:tcPr>
            <w:tcW w:w="54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94</w:t>
            </w:r>
          </w:p>
        </w:tc>
        <w:tc>
          <w:tcPr>
            <w:tcW w:w="540" w:type="dxa"/>
            <w:vAlign w:val="bottom"/>
            <w:tcBorders>
              <w:bottom w:val="single" w:sz="8" w:color="E5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360" w:type="dxa"/>
            <w:vAlign w:val="bottom"/>
            <w:tcBorders>
              <w:bottom w:val="single" w:sz="8" w:color="E5FFFF"/>
            </w:tcBorders>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8"/>
              </w:rPr>
              <w:t>124,217</w:t>
            </w:r>
          </w:p>
        </w:tc>
        <w:tc>
          <w:tcPr>
            <w:tcW w:w="540" w:type="dxa"/>
            <w:vAlign w:val="bottom"/>
            <w:tcBorders>
              <w:bottom w:val="single" w:sz="8" w:color="E5FFFF"/>
            </w:tcBorders>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86,603</w:t>
            </w:r>
          </w:p>
        </w:tc>
        <w:tc>
          <w:tcPr>
            <w:tcW w:w="540" w:type="dxa"/>
            <w:vAlign w:val="bottom"/>
            <w:tcBorders>
              <w:bottom w:val="single" w:sz="8" w:color="E5FFFF"/>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5"/>
              </w:rPr>
              <w:t>246,694</w:t>
            </w:r>
          </w:p>
        </w:tc>
        <w:tc>
          <w:tcPr>
            <w:tcW w:w="540" w:type="dxa"/>
            <w:vAlign w:val="bottom"/>
            <w:tcBorders>
              <w:bottom w:val="single" w:sz="8" w:color="E5FFFF"/>
            </w:tcBorders>
            <w:shd w:val="clear" w:color="auto" w:fill="E5FFFF"/>
          </w:tcPr>
          <w:p>
            <w:pPr>
              <w:spacing w:after="0"/>
              <w:rPr>
                <w:sz w:val="21"/>
                <w:szCs w:val="21"/>
                <w:color w:val="auto"/>
              </w:rPr>
            </w:pPr>
          </w:p>
        </w:tc>
        <w:tc>
          <w:tcPr>
            <w:tcW w:w="280" w:type="dxa"/>
            <w:vAlign w:val="bottom"/>
            <w:tcBorders>
              <w:bottom w:val="single" w:sz="8" w:color="auto"/>
            </w:tcBorders>
            <w:shd w:val="clear" w:color="auto" w:fill="E5FFFF"/>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70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5"/>
              </w:rPr>
              <w:t>296,826</w:t>
            </w:r>
          </w:p>
        </w:tc>
        <w:tc>
          <w:tcPr>
            <w:tcW w:w="100" w:type="dxa"/>
            <w:vAlign w:val="bottom"/>
            <w:tcBorders>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22"/>
                <w:szCs w:val="22"/>
                <w:color w:val="auto"/>
              </w:rPr>
              <w:t>Sales of products, refined coal segment:</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560" w:type="dxa"/>
            <w:vAlign w:val="bottom"/>
            <w:gridSpan w:val="2"/>
            <w:shd w:val="clear" w:color="auto" w:fill="E5FFFF"/>
          </w:tcPr>
          <w:p>
            <w:pPr>
              <w:jc w:val="right"/>
              <w:ind w:right="3"/>
              <w:spacing w:after="0"/>
              <w:rPr>
                <w:sz w:val="20"/>
                <w:szCs w:val="20"/>
                <w:color w:val="auto"/>
              </w:rPr>
            </w:pPr>
            <w:r>
              <w:rPr>
                <w:rFonts w:ascii="Arial" w:cs="Arial" w:eastAsia="Arial" w:hAnsi="Arial"/>
                <w:sz w:val="22"/>
                <w:szCs w:val="22"/>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34</w:t>
            </w:r>
          </w:p>
        </w:tc>
        <w:tc>
          <w:tcPr>
            <w:tcW w:w="800" w:type="dxa"/>
            <w:vAlign w:val="bottom"/>
            <w:gridSpan w:val="2"/>
            <w:shd w:val="clear" w:color="auto" w:fill="E5FFFF"/>
          </w:tcPr>
          <w:p>
            <w:pPr>
              <w:jc w:val="right"/>
              <w:ind w:right="63"/>
              <w:spacing w:after="0"/>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68</w:t>
            </w:r>
          </w:p>
        </w:tc>
        <w:tc>
          <w:tcPr>
            <w:tcW w:w="72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134</w:t>
            </w:r>
          </w:p>
        </w:tc>
        <w:tc>
          <w:tcPr>
            <w:tcW w:w="820" w:type="dxa"/>
            <w:vAlign w:val="bottom"/>
            <w:gridSpan w:val="2"/>
            <w:shd w:val="clear" w:color="auto" w:fill="E5FFFF"/>
          </w:tcPr>
          <w:p>
            <w:pPr>
              <w:jc w:val="right"/>
              <w:ind w:right="52"/>
              <w:spacing w:after="0"/>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288</w:t>
            </w:r>
          </w:p>
        </w:tc>
        <w:tc>
          <w:tcPr>
            <w:tcW w:w="10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At October 31, 2020, investments in our ethanol business include equity investments in three ethanol limited liability companies, in two of which we have a majority ownership interest. The following table is a summary of ethanol gallons shipped at our plants: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300" w:type="dxa"/>
            <w:vAlign w:val="bottom"/>
            <w:tcBorders>
              <w:top w:val="single" w:sz="8" w:color="auto"/>
              <w:left w:val="single" w:sz="8" w:color="auto"/>
              <w:right w:val="single" w:sz="8" w:color="auto"/>
            </w:tcBorders>
          </w:tcPr>
          <w:p>
            <w:pPr>
              <w:spacing w:after="0"/>
              <w:rPr>
                <w:sz w:val="22"/>
                <w:szCs w:val="22"/>
                <w:color w:val="auto"/>
              </w:rPr>
            </w:pPr>
          </w:p>
        </w:tc>
        <w:tc>
          <w:tcPr>
            <w:tcW w:w="1580" w:type="dxa"/>
            <w:vAlign w:val="bottom"/>
            <w:tcBorders>
              <w:top w:val="single" w:sz="8" w:color="auto"/>
            </w:tcBorders>
          </w:tcPr>
          <w:p>
            <w:pPr>
              <w:jc w:val="center"/>
              <w:ind w:left="172"/>
              <w:spacing w:after="0"/>
              <w:rPr>
                <w:sz w:val="20"/>
                <w:szCs w:val="20"/>
                <w:color w:val="auto"/>
              </w:rPr>
            </w:pPr>
            <w:r>
              <w:rPr>
                <w:rFonts w:ascii="Arial" w:cs="Arial" w:eastAsia="Arial" w:hAnsi="Arial"/>
                <w:sz w:val="22"/>
                <w:szCs w:val="22"/>
                <w:b w:val="1"/>
                <w:bCs w:val="1"/>
                <w:color w:val="auto"/>
                <w:w w:val="92"/>
              </w:rPr>
              <w:t>Trailing 12</w:t>
            </w:r>
          </w:p>
        </w:tc>
        <w:tc>
          <w:tcPr>
            <w:tcW w:w="340" w:type="dxa"/>
            <w:vAlign w:val="bottom"/>
            <w:tcBorders>
              <w:top w:val="single" w:sz="8" w:color="auto"/>
              <w:right w:val="single" w:sz="8" w:color="auto"/>
            </w:tcBorders>
          </w:tcPr>
          <w:p>
            <w:pPr>
              <w:spacing w:after="0"/>
              <w:rPr>
                <w:sz w:val="22"/>
                <w:szCs w:val="22"/>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REX’s</w:t>
            </w:r>
          </w:p>
        </w:tc>
        <w:tc>
          <w:tcPr>
            <w:tcW w:w="2120" w:type="dxa"/>
            <w:vAlign w:val="bottom"/>
            <w:tcBorders>
              <w:top w:val="single" w:sz="8" w:color="auto"/>
            </w:tcBorders>
          </w:tcPr>
          <w:p>
            <w:pPr>
              <w:jc w:val="center"/>
              <w:ind w:left="152"/>
              <w:spacing w:after="0"/>
              <w:rPr>
                <w:sz w:val="20"/>
                <w:szCs w:val="20"/>
                <w:color w:val="auto"/>
              </w:rPr>
            </w:pPr>
            <w:r>
              <w:rPr>
                <w:rFonts w:ascii="Arial" w:cs="Arial" w:eastAsia="Arial" w:hAnsi="Arial"/>
                <w:sz w:val="22"/>
                <w:szCs w:val="22"/>
                <w:b w:val="1"/>
                <w:bCs w:val="1"/>
                <w:color w:val="auto"/>
                <w:w w:val="91"/>
              </w:rPr>
              <w:t>Current Effective</w:t>
            </w:r>
          </w:p>
        </w:tc>
        <w:tc>
          <w:tcPr>
            <w:tcW w:w="340" w:type="dxa"/>
            <w:vAlign w:val="bottom"/>
            <w:tcBorders>
              <w:top w:val="single" w:sz="8" w:color="auto"/>
              <w:right w:val="single" w:sz="8" w:color="auto"/>
            </w:tcBorders>
          </w:tcPr>
          <w:p>
            <w:pPr>
              <w:spacing w:after="0"/>
              <w:rPr>
                <w:sz w:val="22"/>
                <w:szCs w:val="22"/>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580" w:type="dxa"/>
            <w:vAlign w:val="bottom"/>
          </w:tcPr>
          <w:p>
            <w:pPr>
              <w:jc w:val="center"/>
              <w:ind w:left="172"/>
              <w:spacing w:after="0" w:line="243" w:lineRule="exact"/>
              <w:rPr>
                <w:sz w:val="20"/>
                <w:szCs w:val="20"/>
                <w:color w:val="auto"/>
              </w:rPr>
            </w:pPr>
            <w:r>
              <w:rPr>
                <w:rFonts w:ascii="Arial" w:cs="Arial" w:eastAsia="Arial" w:hAnsi="Arial"/>
                <w:sz w:val="22"/>
                <w:szCs w:val="22"/>
                <w:b w:val="1"/>
                <w:bCs w:val="1"/>
                <w:color w:val="auto"/>
                <w:w w:val="89"/>
              </w:rPr>
              <w:t>Months</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3"/>
              </w:rPr>
              <w:t>Current</w:t>
            </w:r>
          </w:p>
        </w:tc>
        <w:tc>
          <w:tcPr>
            <w:tcW w:w="2120" w:type="dxa"/>
            <w:vAlign w:val="bottom"/>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Ownership of</w:t>
            </w:r>
          </w:p>
        </w:tc>
        <w:tc>
          <w:tcPr>
            <w:tcW w:w="340" w:type="dxa"/>
            <w:vAlign w:val="bottom"/>
            <w:tcBorders>
              <w:right w:val="single" w:sz="8" w:color="auto"/>
            </w:tcBorders>
          </w:tcPr>
          <w:p>
            <w:pPr>
              <w:spacing w:after="0"/>
              <w:rPr>
                <w:sz w:val="21"/>
                <w:szCs w:val="21"/>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580" w:type="dxa"/>
            <w:vAlign w:val="bottom"/>
          </w:tcPr>
          <w:p>
            <w:pPr>
              <w:jc w:val="center"/>
              <w:ind w:left="172"/>
              <w:spacing w:after="0" w:line="243" w:lineRule="exact"/>
              <w:rPr>
                <w:sz w:val="20"/>
                <w:szCs w:val="20"/>
                <w:color w:val="auto"/>
              </w:rPr>
            </w:pPr>
            <w:r>
              <w:rPr>
                <w:rFonts w:ascii="Arial" w:cs="Arial" w:eastAsia="Arial" w:hAnsi="Arial"/>
                <w:sz w:val="22"/>
                <w:szCs w:val="22"/>
                <w:b w:val="1"/>
                <w:bCs w:val="1"/>
                <w:color w:val="auto"/>
                <w:w w:val="91"/>
              </w:rPr>
              <w:t>Ethanol</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Effective</w:t>
            </w:r>
          </w:p>
        </w:tc>
        <w:tc>
          <w:tcPr>
            <w:tcW w:w="2120" w:type="dxa"/>
            <w:vAlign w:val="bottom"/>
          </w:tcPr>
          <w:p>
            <w:pPr>
              <w:jc w:val="center"/>
              <w:ind w:left="172"/>
              <w:spacing w:after="0" w:line="243" w:lineRule="exact"/>
              <w:rPr>
                <w:sz w:val="20"/>
                <w:szCs w:val="20"/>
                <w:color w:val="auto"/>
              </w:rPr>
            </w:pPr>
            <w:r>
              <w:rPr>
                <w:rFonts w:ascii="Arial" w:cs="Arial" w:eastAsia="Arial" w:hAnsi="Arial"/>
                <w:sz w:val="22"/>
                <w:szCs w:val="22"/>
                <w:b w:val="1"/>
                <w:bCs w:val="1"/>
                <w:color w:val="auto"/>
                <w:w w:val="90"/>
              </w:rPr>
              <w:t>Trailing 12</w:t>
            </w:r>
          </w:p>
        </w:tc>
        <w:tc>
          <w:tcPr>
            <w:tcW w:w="340" w:type="dxa"/>
            <w:vAlign w:val="bottom"/>
            <w:tcBorders>
              <w:right w:val="single" w:sz="8" w:color="auto"/>
            </w:tcBorders>
          </w:tcPr>
          <w:p>
            <w:pPr>
              <w:spacing w:after="0"/>
              <w:rPr>
                <w:sz w:val="21"/>
                <w:szCs w:val="21"/>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580" w:type="dxa"/>
            <w:vAlign w:val="bottom"/>
          </w:tcPr>
          <w:p>
            <w:pPr>
              <w:jc w:val="center"/>
              <w:ind w:left="172"/>
              <w:spacing w:after="0" w:line="243" w:lineRule="exact"/>
              <w:rPr>
                <w:sz w:val="20"/>
                <w:szCs w:val="20"/>
                <w:color w:val="auto"/>
              </w:rPr>
            </w:pPr>
            <w:r>
              <w:rPr>
                <w:rFonts w:ascii="Arial" w:cs="Arial" w:eastAsia="Arial" w:hAnsi="Arial"/>
                <w:sz w:val="22"/>
                <w:szCs w:val="22"/>
                <w:b w:val="1"/>
                <w:bCs w:val="1"/>
                <w:color w:val="auto"/>
                <w:w w:val="86"/>
              </w:rPr>
              <w:t>Gallons</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Ownership</w:t>
            </w:r>
          </w:p>
        </w:tc>
        <w:tc>
          <w:tcPr>
            <w:tcW w:w="2120" w:type="dxa"/>
            <w:vAlign w:val="bottom"/>
          </w:tcPr>
          <w:p>
            <w:pPr>
              <w:jc w:val="center"/>
              <w:ind w:left="172"/>
              <w:spacing w:after="0" w:line="243" w:lineRule="exact"/>
              <w:rPr>
                <w:sz w:val="20"/>
                <w:szCs w:val="20"/>
                <w:color w:val="auto"/>
              </w:rPr>
            </w:pPr>
            <w:r>
              <w:rPr>
                <w:rFonts w:ascii="Arial" w:cs="Arial" w:eastAsia="Arial" w:hAnsi="Arial"/>
                <w:sz w:val="22"/>
                <w:szCs w:val="22"/>
                <w:b w:val="1"/>
                <w:bCs w:val="1"/>
                <w:color w:val="auto"/>
                <w:w w:val="89"/>
              </w:rPr>
              <w:t>Months Ethanol</w:t>
            </w:r>
          </w:p>
        </w:tc>
        <w:tc>
          <w:tcPr>
            <w:tcW w:w="340" w:type="dxa"/>
            <w:vAlign w:val="bottom"/>
            <w:tcBorders>
              <w:right w:val="single" w:sz="8" w:color="auto"/>
            </w:tcBorders>
          </w:tcPr>
          <w:p>
            <w:pPr>
              <w:spacing w:after="0"/>
              <w:rPr>
                <w:sz w:val="21"/>
                <w:szCs w:val="21"/>
                <w:color w:val="auto"/>
              </w:rPr>
            </w:pPr>
          </w:p>
        </w:tc>
      </w:tr>
      <w:tr>
        <w:trPr>
          <w:trHeight w:val="291"/>
        </w:trPr>
        <w:tc>
          <w:tcPr>
            <w:tcW w:w="5300" w:type="dxa"/>
            <w:vAlign w:val="bottom"/>
            <w:tcBorders>
              <w:left w:val="single" w:sz="8" w:color="auto"/>
              <w:bottom w:val="single" w:sz="8" w:color="auto"/>
              <w:right w:val="single" w:sz="8" w:color="auto"/>
            </w:tcBorders>
          </w:tcPr>
          <w:p>
            <w:pPr>
              <w:ind w:left="2360"/>
              <w:spacing w:after="0"/>
              <w:rPr>
                <w:sz w:val="20"/>
                <w:szCs w:val="20"/>
                <w:color w:val="auto"/>
              </w:rPr>
            </w:pPr>
            <w:r>
              <w:rPr>
                <w:rFonts w:ascii="Arial" w:cs="Arial" w:eastAsia="Arial" w:hAnsi="Arial"/>
                <w:sz w:val="22"/>
                <w:szCs w:val="22"/>
                <w:b w:val="1"/>
                <w:bCs w:val="1"/>
                <w:color w:val="auto"/>
              </w:rPr>
              <w:t>Entity</w:t>
            </w:r>
          </w:p>
        </w:tc>
        <w:tc>
          <w:tcPr>
            <w:tcW w:w="1580" w:type="dxa"/>
            <w:vAlign w:val="bottom"/>
            <w:tcBorders>
              <w:bottom w:val="single" w:sz="8" w:color="auto"/>
            </w:tcBorders>
          </w:tcPr>
          <w:p>
            <w:pPr>
              <w:jc w:val="center"/>
              <w:ind w:left="232"/>
              <w:spacing w:after="0"/>
              <w:rPr>
                <w:sz w:val="20"/>
                <w:szCs w:val="20"/>
                <w:color w:val="auto"/>
              </w:rPr>
            </w:pPr>
            <w:r>
              <w:rPr>
                <w:rFonts w:ascii="Arial" w:cs="Arial" w:eastAsia="Arial" w:hAnsi="Arial"/>
                <w:sz w:val="22"/>
                <w:szCs w:val="22"/>
                <w:b w:val="1"/>
                <w:bCs w:val="1"/>
                <w:color w:val="auto"/>
                <w:w w:val="87"/>
              </w:rPr>
              <w:t>Shipped</w:t>
            </w:r>
          </w:p>
        </w:tc>
        <w:tc>
          <w:tcPr>
            <w:tcW w:w="3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Interest</w:t>
            </w:r>
          </w:p>
        </w:tc>
        <w:tc>
          <w:tcPr>
            <w:tcW w:w="2120" w:type="dxa"/>
            <w:vAlign w:val="bottom"/>
            <w:tcBorders>
              <w:bottom w:val="single" w:sz="8" w:color="auto"/>
            </w:tcBorders>
          </w:tcPr>
          <w:p>
            <w:pPr>
              <w:jc w:val="center"/>
              <w:ind w:left="212"/>
              <w:spacing w:after="0"/>
              <w:rPr>
                <w:sz w:val="20"/>
                <w:szCs w:val="20"/>
                <w:color w:val="auto"/>
              </w:rPr>
            </w:pPr>
            <w:r>
              <w:rPr>
                <w:rFonts w:ascii="Arial" w:cs="Arial" w:eastAsia="Arial" w:hAnsi="Arial"/>
                <w:sz w:val="22"/>
                <w:szCs w:val="22"/>
                <w:b w:val="1"/>
                <w:bCs w:val="1"/>
                <w:color w:val="auto"/>
                <w:w w:val="87"/>
              </w:rPr>
              <w:t>Gallons Shipped</w:t>
            </w:r>
          </w:p>
        </w:tc>
        <w:tc>
          <w:tcPr>
            <w:tcW w:w="340" w:type="dxa"/>
            <w:vAlign w:val="bottom"/>
            <w:tcBorders>
              <w:bottom w:val="single" w:sz="8" w:color="auto"/>
              <w:right w:val="single" w:sz="8" w:color="auto"/>
            </w:tcBorders>
          </w:tcPr>
          <w:p>
            <w:pPr>
              <w:spacing w:after="0"/>
              <w:rPr>
                <w:sz w:val="24"/>
                <w:szCs w:val="24"/>
                <w:color w:val="auto"/>
              </w:rPr>
            </w:pPr>
          </w:p>
        </w:tc>
      </w:tr>
      <w:tr>
        <w:trPr>
          <w:trHeight w:val="290"/>
        </w:trPr>
        <w:tc>
          <w:tcPr>
            <w:tcW w:w="5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One Earth Energy, LLC</w:t>
            </w:r>
          </w:p>
        </w:tc>
        <w:tc>
          <w:tcPr>
            <w:tcW w:w="1920" w:type="dxa"/>
            <w:vAlign w:val="bottom"/>
            <w:tcBorders>
              <w:bottom w:val="single" w:sz="8" w:color="auto"/>
              <w:right w:val="single" w:sz="8" w:color="auto"/>
            </w:tcBorders>
            <w:gridSpan w:val="2"/>
          </w:tcPr>
          <w:p>
            <w:pPr>
              <w:jc w:val="right"/>
              <w:ind w:right="12"/>
              <w:spacing w:after="0"/>
              <w:rPr>
                <w:sz w:val="20"/>
                <w:szCs w:val="20"/>
                <w:color w:val="auto"/>
              </w:rPr>
            </w:pPr>
            <w:r>
              <w:rPr>
                <w:rFonts w:ascii="Arial" w:cs="Arial" w:eastAsia="Arial" w:hAnsi="Arial"/>
                <w:sz w:val="22"/>
                <w:szCs w:val="22"/>
                <w:color w:val="auto"/>
              </w:rPr>
              <w:t>119.5 M</w:t>
            </w:r>
          </w:p>
        </w:tc>
        <w:tc>
          <w:tcPr>
            <w:tcW w:w="15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75.3%</w:t>
            </w:r>
          </w:p>
        </w:tc>
        <w:tc>
          <w:tcPr>
            <w:tcW w:w="2460" w:type="dxa"/>
            <w:vAlign w:val="bottom"/>
            <w:tcBorders>
              <w:bottom w:val="single" w:sz="8" w:color="auto"/>
              <w:right w:val="single" w:sz="8" w:color="auto"/>
            </w:tcBorders>
            <w:gridSpan w:val="2"/>
          </w:tcPr>
          <w:p>
            <w:pPr>
              <w:jc w:val="right"/>
              <w:ind w:right="12"/>
              <w:spacing w:after="0"/>
              <w:rPr>
                <w:sz w:val="20"/>
                <w:szCs w:val="20"/>
                <w:color w:val="auto"/>
              </w:rPr>
            </w:pPr>
            <w:r>
              <w:rPr>
                <w:rFonts w:ascii="Arial" w:cs="Arial" w:eastAsia="Arial" w:hAnsi="Arial"/>
                <w:sz w:val="22"/>
                <w:szCs w:val="22"/>
                <w:color w:val="auto"/>
              </w:rPr>
              <w:t>90.0 M</w:t>
            </w:r>
          </w:p>
        </w:tc>
      </w:tr>
      <w:tr>
        <w:trPr>
          <w:trHeight w:val="290"/>
        </w:trPr>
        <w:tc>
          <w:tcPr>
            <w:tcW w:w="5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NuGen Energy, LLC</w:t>
            </w:r>
          </w:p>
        </w:tc>
        <w:tc>
          <w:tcPr>
            <w:tcW w:w="1920" w:type="dxa"/>
            <w:vAlign w:val="bottom"/>
            <w:tcBorders>
              <w:bottom w:val="single" w:sz="8" w:color="auto"/>
              <w:right w:val="single" w:sz="8" w:color="auto"/>
            </w:tcBorders>
            <w:gridSpan w:val="2"/>
          </w:tcPr>
          <w:p>
            <w:pPr>
              <w:jc w:val="right"/>
              <w:ind w:right="12"/>
              <w:spacing w:after="0"/>
              <w:rPr>
                <w:sz w:val="20"/>
                <w:szCs w:val="20"/>
                <w:color w:val="auto"/>
              </w:rPr>
            </w:pPr>
            <w:r>
              <w:rPr>
                <w:rFonts w:ascii="Arial" w:cs="Arial" w:eastAsia="Arial" w:hAnsi="Arial"/>
                <w:sz w:val="22"/>
                <w:szCs w:val="22"/>
                <w:color w:val="auto"/>
              </w:rPr>
              <w:t>95.9 M</w:t>
            </w:r>
          </w:p>
        </w:tc>
        <w:tc>
          <w:tcPr>
            <w:tcW w:w="15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99.5%</w:t>
            </w:r>
          </w:p>
        </w:tc>
        <w:tc>
          <w:tcPr>
            <w:tcW w:w="2460" w:type="dxa"/>
            <w:vAlign w:val="bottom"/>
            <w:tcBorders>
              <w:bottom w:val="single" w:sz="8" w:color="auto"/>
              <w:right w:val="single" w:sz="8" w:color="auto"/>
            </w:tcBorders>
            <w:gridSpan w:val="2"/>
          </w:tcPr>
          <w:p>
            <w:pPr>
              <w:jc w:val="right"/>
              <w:ind w:right="12"/>
              <w:spacing w:after="0"/>
              <w:rPr>
                <w:sz w:val="20"/>
                <w:szCs w:val="20"/>
                <w:color w:val="auto"/>
              </w:rPr>
            </w:pPr>
            <w:r>
              <w:rPr>
                <w:rFonts w:ascii="Arial" w:cs="Arial" w:eastAsia="Arial" w:hAnsi="Arial"/>
                <w:sz w:val="22"/>
                <w:szCs w:val="22"/>
                <w:color w:val="auto"/>
              </w:rPr>
              <w:t>95.4 M</w:t>
            </w:r>
          </w:p>
        </w:tc>
      </w:tr>
      <w:tr>
        <w:trPr>
          <w:trHeight w:val="249"/>
        </w:trPr>
        <w:tc>
          <w:tcPr>
            <w:tcW w:w="5300" w:type="dxa"/>
            <w:vAlign w:val="bottom"/>
            <w:tcBorders>
              <w:left w:val="single" w:sz="8" w:color="auto"/>
              <w:right w:val="single" w:sz="8" w:color="auto"/>
            </w:tcBorders>
          </w:tcPr>
          <w:p>
            <w:pPr>
              <w:ind w:left="120"/>
              <w:spacing w:after="0" w:line="248" w:lineRule="exact"/>
              <w:rPr>
                <w:sz w:val="20"/>
                <w:szCs w:val="20"/>
                <w:color w:val="auto"/>
              </w:rPr>
            </w:pPr>
            <w:r>
              <w:rPr>
                <w:rFonts w:ascii="Arial" w:cs="Arial" w:eastAsia="Arial" w:hAnsi="Arial"/>
                <w:sz w:val="22"/>
                <w:szCs w:val="22"/>
                <w:color w:val="auto"/>
              </w:rPr>
              <w:t>Big River Resources, LLC:</w:t>
            </w:r>
          </w:p>
        </w:tc>
        <w:tc>
          <w:tcPr>
            <w:tcW w:w="158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1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r>
      <w:tr>
        <w:trPr>
          <w:trHeight w:val="243"/>
        </w:trPr>
        <w:tc>
          <w:tcPr>
            <w:tcW w:w="5300" w:type="dxa"/>
            <w:vAlign w:val="bottom"/>
            <w:tcBorders>
              <w:left w:val="single" w:sz="8" w:color="auto"/>
              <w:right w:val="single" w:sz="8" w:color="auto"/>
            </w:tcBorders>
          </w:tcPr>
          <w:p>
            <w:pPr>
              <w:ind w:left="260"/>
              <w:spacing w:after="0" w:line="243" w:lineRule="exact"/>
              <w:rPr>
                <w:sz w:val="20"/>
                <w:szCs w:val="20"/>
                <w:color w:val="auto"/>
              </w:rPr>
            </w:pPr>
            <w:r>
              <w:rPr>
                <w:rFonts w:ascii="Arial" w:cs="Arial" w:eastAsia="Arial" w:hAnsi="Arial"/>
                <w:sz w:val="22"/>
                <w:szCs w:val="22"/>
                <w:color w:val="auto"/>
              </w:rPr>
              <w:t>Big River Resources W Burlington, LLC</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103.1</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r>
      <w:tr>
        <w:trPr>
          <w:trHeight w:val="243"/>
        </w:trPr>
        <w:tc>
          <w:tcPr>
            <w:tcW w:w="5300" w:type="dxa"/>
            <w:vAlign w:val="bottom"/>
            <w:tcBorders>
              <w:left w:val="single" w:sz="8" w:color="auto"/>
              <w:right w:val="single" w:sz="8" w:color="auto"/>
            </w:tcBorders>
          </w:tcPr>
          <w:p>
            <w:pPr>
              <w:ind w:left="260"/>
              <w:spacing w:after="0" w:line="243" w:lineRule="exact"/>
              <w:rPr>
                <w:sz w:val="20"/>
                <w:szCs w:val="20"/>
                <w:color w:val="auto"/>
              </w:rPr>
            </w:pPr>
            <w:r>
              <w:rPr>
                <w:rFonts w:ascii="Arial" w:cs="Arial" w:eastAsia="Arial" w:hAnsi="Arial"/>
                <w:sz w:val="22"/>
                <w:szCs w:val="22"/>
                <w:color w:val="auto"/>
              </w:rPr>
              <w:t>Big River Resources Galva, LLC</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113.7</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11.7</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r>
      <w:tr>
        <w:trPr>
          <w:trHeight w:val="243"/>
        </w:trPr>
        <w:tc>
          <w:tcPr>
            <w:tcW w:w="5300" w:type="dxa"/>
            <w:vAlign w:val="bottom"/>
            <w:tcBorders>
              <w:left w:val="single" w:sz="8" w:color="auto"/>
              <w:right w:val="single" w:sz="8" w:color="auto"/>
            </w:tcBorders>
          </w:tcPr>
          <w:p>
            <w:pPr>
              <w:ind w:left="260"/>
              <w:spacing w:after="0" w:line="243" w:lineRule="exact"/>
              <w:rPr>
                <w:sz w:val="20"/>
                <w:szCs w:val="20"/>
                <w:color w:val="auto"/>
              </w:rPr>
            </w:pPr>
            <w:r>
              <w:rPr>
                <w:rFonts w:ascii="Arial" w:cs="Arial" w:eastAsia="Arial" w:hAnsi="Arial"/>
                <w:sz w:val="22"/>
                <w:szCs w:val="22"/>
                <w:color w:val="auto"/>
              </w:rPr>
              <w:t>Big River United Energy, LLC</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117.9</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5.7%</w:t>
            </w: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r>
      <w:tr>
        <w:trPr>
          <w:trHeight w:val="285"/>
        </w:trPr>
        <w:tc>
          <w:tcPr>
            <w:tcW w:w="53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Big River Resources Boyceville, LLC</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55.2</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c>
          <w:tcPr>
            <w:tcW w:w="15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10.3%</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r>
      <w:tr>
        <w:trPr>
          <w:trHeight w:val="290"/>
        </w:trPr>
        <w:tc>
          <w:tcPr>
            <w:tcW w:w="5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605.3</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c>
          <w:tcPr>
            <w:tcW w:w="156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220.1</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r>
    </w:tbl>
    <w:p>
      <w:pPr>
        <w:spacing w:after="0" w:line="22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due to several factors that affect commodity prices in general, including crop conditions, global health pandemics, the amount of corn stored on farms, weather, federal policy and foreign trade. Because the market prices of ethanol and distillers grains are not always directly related to corn prices (for example, demand for crude and other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23" w:name="page24"/>
    <w:bookmarkEnd w:id="23"/>
    <w:p>
      <w:pPr>
        <w:ind w:right="40"/>
        <w:spacing w:after="0" w:line="236" w:lineRule="auto"/>
        <w:rPr>
          <w:sz w:val="20"/>
          <w:szCs w:val="20"/>
          <w:color w:val="auto"/>
        </w:rPr>
      </w:pPr>
      <w:r>
        <w:rPr>
          <w:rFonts w:ascii="Arial" w:cs="Arial" w:eastAsia="Arial" w:hAnsi="Arial"/>
          <w:sz w:val="22"/>
          <w:szCs w:val="22"/>
          <w:color w:val="auto"/>
        </w:rPr>
        <w:t>energy and related prices, the export market demand for ethanol and distillers grains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We attempt to manage the risk related to the volatility of commodity prices by utilizing forward grain purchase, forward ethanol, distillers grains and corn oil sale contracts and commodity futures and swap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and swap contracts, in conjunction with certain of our grain procurement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On August 10, 2017, we purchased the entire ownership interest of an entity that owns a refined coal facility, through a 95.35% owned subsidiary, for approximately $12.0 million. We began operating the refined coal facility immediately after the acquisition. We expect that the revenues from the sale of refined coal produced in the facility will be subsidized by federal production tax credits through November 2021, subject to meeting qualified emissions reductions as governed by Section 45 of the Internal Revenue Code. In order to maintain compliance with Section 45 of the Internal Revenue Code, we are required to test the effectiveness of our process with respect to emissions reductions every six months through an independent laboratory. Annually, the IRS publishes the amount of federal income tax credit earned per ton of refined coal produced and sold. We expect to earn credits at the rate of approximately $7.30 per ton of refined coal produced and sold during calendar year 2020. The tax credits can be earned for refined coal produced and sold by our facility through November 2021.</w:t>
      </w:r>
    </w:p>
    <w:p>
      <w:pPr>
        <w:spacing w:after="0" w:line="185"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The refined coal facility is located at the site of a utility-owned electrical generating power station, which is our refined coal operation’s sole customer. Refined coal production and sales vary depending on fluctuations in demand from the site host utility, which generally changes based upon weather conditions in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4" w:name="page25"/>
    <w:bookmarkEnd w:id="24"/>
    <w:p>
      <w:pPr>
        <w:ind w:right="280"/>
        <w:spacing w:after="0" w:line="297" w:lineRule="auto"/>
        <w:rPr>
          <w:sz w:val="20"/>
          <w:szCs w:val="20"/>
          <w:color w:val="auto"/>
        </w:rPr>
      </w:pPr>
      <w:r>
        <w:rPr>
          <w:rFonts w:ascii="Arial" w:cs="Arial" w:eastAsia="Arial" w:hAnsi="Arial"/>
          <w:sz w:val="19"/>
          <w:szCs w:val="19"/>
          <w:color w:val="auto"/>
        </w:rPr>
        <w:t>the geographic markets the utility serves and competing energy prices and supplies and the state of the economy. We have contracted with an experienced third party to operate and maintain the refined coal facility and to provide us with management reporting and operating data as required. We do not have any employees on site at the refined coal facility.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Energy</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During fiscal year 2013, we entered into a joint venture with Hytken HPGP, LLC (“Hytken”) to file and defend patents for eSteam technology relating to heavy oil and oil sands production methods, and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(“Future Energy”).</w:t>
      </w:r>
    </w:p>
    <w:p>
      <w:pPr>
        <w:spacing w:after="0" w:line="214"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We have agreed to fund direct patent expenses relating to patent applications and defense, annual annuity fees and maintenance on a country by country basis, with the right to terminate funding and transfer related patent rights to Hytken. We have funded all costs relating to new intellectual property, consultants, research and development, pilot field tests and equipment purchases with respect to the proposed commercialization stage of the technology. To date, we have paid and expensed approximately $2.5 million cumulatively primarily for patents, purchases of certain equipment and other expenses. We have not yet tested or proven the commercial feasibility of the technology.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During the three months ended October 31, 2020, we did not change any of our critical accounting policies as disclosed in our 2019 Annual Report on Form 10-K as filed with the Securities and Exchange Commission on April 1, 2020.</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All references in this report to a particular fiscal year are to REX’s fiscal year ended January 31. For example, “fiscal year 2020” means the period February 1, 2020 to January 31,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39"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During fiscal years 2020 and 2019, operating results in our ethanol and by-products segment have been, at times adversely affected by a weak margin environment highlighted by higher costs for corn, lower availability of local corn, lower oil prices resulting from an oversupply of oil, the EPA granting small refiner waivers, and in the first quarter of fiscal year 2020, the outbreak of a new strain of the coronavirus “COVID-19”.</w:t>
      </w:r>
    </w:p>
    <w:p>
      <w:pPr>
        <w:spacing w:after="0" w:line="212"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Weather conditions delayed, and in some cases prevented the planting of corn in much of the United States during 2019. Weather also contributed to intermittent logistical delays during fiscal year 2019. Throughout most of fiscal year 2019 and the first six months of fiscal year 2020, we struggled 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5" w:name="page26"/>
    <w:bookmarkEnd w:id="25"/>
    <w:p>
      <w:pPr>
        <w:ind w:right="280"/>
        <w:spacing w:after="0" w:line="328" w:lineRule="auto"/>
        <w:rPr>
          <w:sz w:val="20"/>
          <w:szCs w:val="20"/>
          <w:color w:val="auto"/>
        </w:rPr>
      </w:pPr>
      <w:r>
        <w:rPr>
          <w:rFonts w:ascii="Arial" w:cs="Arial" w:eastAsia="Arial" w:hAnsi="Arial"/>
          <w:sz w:val="19"/>
          <w:szCs w:val="19"/>
          <w:color w:val="auto"/>
        </w:rPr>
        <w:t>obtain adequate supplies of corn at our NuGen facility, on a consistent basis, at acceptable price levels. Consequently, we were not able to profitably operate our NuGen ethanol plant at production levels near our historical averages.</w:t>
      </w:r>
    </w:p>
    <w:p>
      <w:pPr>
        <w:spacing w:after="0" w:line="132"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During the early months of 2020, COVID-19 spread into the United States and other countries. In an effort to contain the spread of this virus, there have been various government mandated restrictions, in addition to voluntary privately implemented restrictions, including limiting public gatherings, retail store closures, restrictions on employees working, travel restrictions and the quarantining of people who may have been exposed to the virus. This led to reduced demand for gasoline and ethanol, and consequently, historically low ethanol pricing. As a result, we idled our NuGen and One Earth ethanol plants in late March of 2020. In May of 2020, businesses and other activities slowly began to reopen, which led to an increase in demand for gasoline and ethanol, and in related prices. As a result, we resumed production operations at the One Earth ethanol plant in late May of 2020 and at NuGen in late June of 2020. In addition, actions by the Federal Reserve, related to the COVID-19 outbreak, have reduced interest rates. Given the amount of cash and short-term investments we have, this will significantly reduce our interest income in future periods, depending on the length of time interest rates remain at these levels. The impacts of the COVID-19 outbreak on our business operations, including the duration and impact on ethanol demand, cannot be reasonably estimated at this time, although a future prolonged production stoppage at our plants would have a further material adverse impact on our results of operations, financial condition and cash flows in fiscal year 2020.</w:t>
      </w:r>
    </w:p>
    <w:p>
      <w:pPr>
        <w:spacing w:after="0" w:line="183"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Congress passed the CARES Act in March 2020, which provided the United States department of Agriculture (“USDA”) with additional funding for the “Commodity Credit Corporation (“CCC”). The USDA is using this additional funding to provide direct payments to farmers, including corn farmers that we purchase corn from. Such direct payments to farmers could cause them to delay marketing decisions. Consequently, this could reduce the supply of corn and result in a price increase for what we pay for corn. In addition, China has been purchasing large quantities of corn, which could lead to sustained higher prices for corn.</w:t>
      </w:r>
    </w:p>
    <w:p>
      <w:pPr>
        <w:spacing w:after="0" w:line="174"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Renewable Fuel Standard II (“RFS II”), established in October 2010, has been an important factor in the growth of ethanol usage in the United States. When it was originally established, RFS II required the volume of “conventional” or corn derived ethanol to be blended with gasoline to increase each year until it reached 15.0 billion gallons in 2015 and was to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On December 19, 2019, the EPA announced the final 2020 renewable volume obligation for conventional ethanol, which met the 15.0 billion gallons congressional target. The EPA has missed its deadline and has not yet released a draft renewable volume obligation rule for the 2021 volumes. On April 15, 2020, five Governors sent a letter to the EPA requesting a general waiver from RFS II due to the drop in demand caused by COVID-19 travel restrictions. On October 21, 2020, 15 Senators sent a letter to the EPA requesting a general waiver from RFS II to reduce the 2021 renewable volume obligation, citing the reduced demand for fuels due to COVID-19. It is unclear when the renewable volume obligation for 2021 will be released.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6" w:name="page27"/>
    <w:bookmarkEnd w:id="26"/>
    <w:p>
      <w:pPr>
        <w:ind w:firstLine="648"/>
        <w:spacing w:after="0" w:line="274" w:lineRule="auto"/>
        <w:rPr>
          <w:sz w:val="20"/>
          <w:szCs w:val="20"/>
          <w:color w:val="auto"/>
        </w:rPr>
      </w:pPr>
      <w:r>
        <w:rPr>
          <w:rFonts w:ascii="Arial" w:cs="Arial" w:eastAsia="Arial" w:hAnsi="Arial"/>
          <w:sz w:val="19"/>
          <w:szCs w:val="19"/>
          <w:color w:val="auto"/>
        </w:rPr>
        <w:t>Under the Renewable Fuel Standard “RFS”, the EPA assigns individual refiners, blenders and importers the volume of renewable fuels they are obligated to use based on their percentage of total domestic transportation fuel sales. The EPA can waive the obligation for individual small refineries that are experiencing “disproportionate economic hardship” due to compliance with the RFS. Until recent years, the EPA approved relatively few such waivers. The EPA approved 31 small refiner waivers related to their 2018 Renewable Fuel Standard compliance obligations, which was estimated to effectively reduce the obligation for ethanol in 2018 by 1.4 billion gallons. The EPA previously granted waivers for 2016 and 2017 totaling approximately 2.6 billion gallons. These actions affect current year demand as obligated parties such as refiners can use the waivers granted by the EPA to help them meet their obligations in different years. There continues to be uncertainty regarding how the EPA will administer the small refiner waivers. We believe the waivers have resulted in reduced domestic ethanol demand.</w:t>
      </w:r>
    </w:p>
    <w:p>
      <w:pPr>
        <w:spacing w:after="0" w:line="185" w:lineRule="exact"/>
        <w:rPr>
          <w:sz w:val="20"/>
          <w:szCs w:val="20"/>
          <w:color w:val="auto"/>
        </w:rPr>
      </w:pPr>
    </w:p>
    <w:p>
      <w:pPr>
        <w:ind w:right="140" w:firstLine="648"/>
        <w:spacing w:after="0" w:line="249" w:lineRule="auto"/>
        <w:rPr>
          <w:sz w:val="20"/>
          <w:szCs w:val="20"/>
          <w:color w:val="auto"/>
        </w:rPr>
      </w:pPr>
      <w:r>
        <w:rPr>
          <w:rFonts w:ascii="Arial" w:cs="Arial" w:eastAsia="Arial" w:hAnsi="Arial"/>
          <w:sz w:val="21"/>
          <w:szCs w:val="21"/>
          <w:color w:val="auto"/>
        </w:rPr>
        <w:t>Throughout fiscal year 2019 and during the first nine months of fiscal year 2020, operating results in our refined coal segment have been adversely affected by lower utility plant demand from our only customer. Projections, provided by the utility plant, for the next twelve months indicate this trend may continue and may be further impacted by the COVID-19 pandemic. While this leads to lower pre-tax losses from this segment, it also leads to lower tax benefits from Section 45 credits being recognized. Ultimately, this results in lower amounts of segment profit.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Should these trends and uncertainties continue, our future operating results are likely to be negatively impacted.</w:t>
      </w:r>
    </w:p>
    <w:p>
      <w:pPr>
        <w:spacing w:after="0" w:line="24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For a detailed analysis of period to period changes, see the segment discussion that follows this section as that discussion reflects how management views and monitors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Three and Nine Months Ended October 31, 2020 and 2019</w:t>
      </w:r>
    </w:p>
    <w:p>
      <w:pPr>
        <w:spacing w:after="0" w:line="239"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Net sales and revenue in the quarter ended October 31, 2020 were approximately $124.3 million compared to approximately $86.7 million in the prior year’s third quarter, representing an increase of approximately $37.6 million, which was primarily caused by higher sales in our ethanol and by-products segment. A poor 2019 harvest caused by weather conditions in that area, prevented us from profitably operating our NuGen ethanol plant at or near historical production levels during the third quarter of fiscal year 2019. Net sales and revenue in the first nine months of fiscal year 2020 were approximately $246.8 million compared to approximately $297.1 million in the first nine months of fiscal year 2019, representing a decrease of approximately $50.3 million, which was primarily caused by lower sales in our ethanol and by-products segment of approximately $50.1 million during fiscal year 2020. The decline in ethanol and by-products segment net sales and revenue reflects significantly lower production volumes during the first half of fiscal year 2020. This relates primarily to diminished local availability of corn, the effects of the COVID-19 outbreak on ethanol demand and lower ethanol pricing which resulted in the idling of the NuGen and One Earth ethanol plants in March of 2020. We resumed production operations at One Earth in late May of 2020 and at NuGen in late June of 2020.</w:t>
      </w:r>
    </w:p>
    <w:p>
      <w:pPr>
        <w:spacing w:after="0" w:line="21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Gross profit for the third quarter of fiscal year 2020 was approximately $17.7 million, compared to gross loss of approximately $1.8 million for the third quarter of fiscal year 2019. Gross profit for the third quarter of fiscal year 2020 increased by approximately $19.4 million compared to the prior year third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7" w:name="page28"/>
    <w:bookmarkEnd w:id="27"/>
    <w:p>
      <w:pPr>
        <w:spacing w:after="0" w:line="279" w:lineRule="auto"/>
        <w:rPr>
          <w:sz w:val="20"/>
          <w:szCs w:val="20"/>
          <w:color w:val="auto"/>
        </w:rPr>
      </w:pPr>
      <w:r>
        <w:rPr>
          <w:rFonts w:ascii="Arial" w:cs="Arial" w:eastAsia="Arial" w:hAnsi="Arial"/>
          <w:sz w:val="19"/>
          <w:szCs w:val="19"/>
          <w:color w:val="auto"/>
        </w:rPr>
        <w:t>quarter as a result of operations in the ethanol and by-products segment. Gross loss in the refined coal segment was $1.3 million in the third quarter of fiscal year 2020 compared to a $1.8 million gross loss in the third quarter of fiscal year 2019. Gross profit for the first nine months of fiscal year 2020 was approximately $7.0 million compared to approximately $5.9 million for the first nine months of fiscal year 2019. Gross profit for the first nine months of fiscal year 2020 decreased by approximately $1.1 million compared to the first nine months of fiscal year 2019 as a result of operations in the ethanol and by-products segment and increased by approximately $2.2 million as a result of operations in the refined coal segment.</w:t>
      </w:r>
    </w:p>
    <w:p>
      <w:pPr>
        <w:spacing w:after="0" w:line="177"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9"/>
          <w:szCs w:val="19"/>
          <w:color w:val="auto"/>
        </w:rPr>
        <w:t>SG&amp;A expenses were approximately $4.3 million for the third quarter of fiscal year 2020, consistent with approximately $4.1 million of expenses for the third quarter of fiscal year 2019. SG&amp;A expenses were approximately $13.3 million for the first nine months of fiscal year 2020, consistent with approximately $13.6 million for the first nine months of fiscal year 2019.</w:t>
      </w:r>
    </w:p>
    <w:p>
      <w:pPr>
        <w:spacing w:after="0" w:line="161"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During the third quarter of fiscal year 2020, we recognized income of approximately $1,152,000 compared to a loss of approximately $15,000 for the third quarter of fiscal year 2019, from our equity investment in Big River, which is included in our ethanol and by-products segment results. We recognized income of approximately $168,000 for the first nine months of fiscal year 2020 compared to approximately $350,000 for the first nine months of fiscal year 2019. Big River has interests in four ethanol production plants that shipped approximately 390 million gallons in the trailing twelve months ended October 31, 2020 and has an effective ownership of ethanol gallons shipped for the same period of approximately 337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Interest and other income was approximately $0.5 million for the third quarter of fiscal year 2020 compared to approximately $1.0 million for the third quarter of fiscal year 2019. Interest and other income was approximately $1.4 million for the first nine months of fiscal year 2020 compared to approximately $3.4 million for the first nine months of fiscal year 2019. Interest income has decreased as yields on our excess cash decreased compared to fiscal year 2019 and our excess cash investment balances decreased compared to fiscal year 2019.</w:t>
      </w:r>
    </w:p>
    <w:p>
      <w:pPr>
        <w:spacing w:after="0" w:line="214"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As a result of the foregoing, income before income taxes was approximately $15.1 million for the third quarter of fiscal year 2020 compared to a loss of approximately $4.9 million for the third quarter of fiscal year 2019. Loss before income taxes was approximately $4.7 million for the first nine months of fiscal year 2020 compared to a loss of approximately $4.0 million for the first nine months of fiscal year 2019.</w:t>
      </w:r>
    </w:p>
    <w:p>
      <w:pPr>
        <w:spacing w:after="0" w:line="21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9"/>
          <w:szCs w:val="19"/>
          <w:color w:val="auto"/>
        </w:rPr>
        <w:t>We determined that small changes in estimated “ordinary” income would result in significant changes in the estimated annual effective tax rate. Thus, the Company used a discrete effective tax rate method to calculate the provision or benefit for income taxes for the three and nine months ended October 31, 2020 and 2019. Our tax provision was approximately 26.8% for the three months ended October 31, 2020 and our tax benefit was approximately 65.9% for the three months ended October 31, 2019. Our tax benefit was approximately 112.7% and approximately 234.7% for the first nine months of fiscal years 2020 and 2019, respectively. The fluctuation in the rate results primarily from the production tax credits we expect to receive associated with our refined coal segment relative to pre-tax income or loss. Our income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8" w:name="page29"/>
    <w:bookmarkEnd w:id="28"/>
    <w:p>
      <w:pPr>
        <w:ind w:right="300"/>
        <w:spacing w:after="0"/>
        <w:rPr>
          <w:sz w:val="20"/>
          <w:szCs w:val="20"/>
          <w:color w:val="auto"/>
        </w:rPr>
      </w:pPr>
      <w:r>
        <w:rPr>
          <w:rFonts w:ascii="Arial" w:cs="Arial" w:eastAsia="Arial" w:hAnsi="Arial"/>
          <w:sz w:val="22"/>
          <w:szCs w:val="22"/>
          <w:color w:val="auto"/>
        </w:rPr>
        <w:t>tax provision for the third quarter of fiscal year 2020 includes approximately $1.8 million related to reversing previously recognized tax benefits associated with the lengthening of a net operating loss carryback allowed by the CARES Act as we no longer have a year to date estimated taxable loss.</w:t>
      </w:r>
    </w:p>
    <w:p>
      <w:pPr>
        <w:spacing w:after="0" w:line="213"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As a result of the foregoing, net income was approximately $11.1 million for the third quarter of fiscal year 2020 compared to net loss of approximately $1.7 million for the third quarter of fiscal year 2019. Net income was approximately $0.6 million for the first nine months of fiscal year 2020 compared to approximately $5.4 million for the first nine months of fiscal year 2019.</w:t>
      </w:r>
    </w:p>
    <w:p>
      <w:pPr>
        <w:spacing w:after="0" w:line="212" w:lineRule="exact"/>
        <w:rPr>
          <w:sz w:val="20"/>
          <w:szCs w:val="20"/>
          <w:color w:val="auto"/>
        </w:rPr>
      </w:pPr>
    </w:p>
    <w:p>
      <w:pPr>
        <w:ind w:right="160" w:firstLine="648"/>
        <w:spacing w:after="0" w:line="252" w:lineRule="auto"/>
        <w:rPr>
          <w:sz w:val="20"/>
          <w:szCs w:val="20"/>
          <w:color w:val="auto"/>
        </w:rPr>
      </w:pPr>
      <w:r>
        <w:rPr>
          <w:rFonts w:ascii="Arial" w:cs="Arial" w:eastAsia="Arial" w:hAnsi="Arial"/>
          <w:sz w:val="21"/>
          <w:szCs w:val="21"/>
          <w:color w:val="auto"/>
        </w:rPr>
        <w:t>Income related to noncontrolling interests was approximately $2.2 million and approximately $0.4 million during the third quarters of fiscal years 2020 and 2019, respectively, and was approximately $1.1 million and approximately $2.4 million during the first nine months of fiscal years 2020 and 2019, respectively. These amounts represent the other owners’ share of the income or loss of NuGen, One Earth and the refined coal entity.</w:t>
      </w:r>
    </w:p>
    <w:p>
      <w:pPr>
        <w:spacing w:after="0" w:line="201"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As a result of the foregoing, net income attributable to REX common shareholders for the third quarter of fiscal year 2020 was approximately $8.8 million, an increase of approximately $10.9 million from net loss attributable to REX common shareholders of approximately $2.1 million for the third quarter of fiscal year 2019. Net loss attributable to REX common shareholders for the first nine months of fiscal year 2020 was approximately $0.5 million, a decrease of approximately $3.6 million from net income attributable to REX common shareholders of approximately $3.0 million for the first nine months of fiscal year 2019.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 Results</w:t>
      </w:r>
    </w:p>
    <w:p>
      <w:pPr>
        <w:spacing w:after="0" w:line="239"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We have two reportable segments: i) ethanol and by-products; and ii) refined coal. We evaluate the performance of each reportable segment based on segment profit. Segment profit excludes indirect interest income and certain other items that are included in net income determined in accordance with accounting principles generally accepted in the United States of America. Segment profit includes realized and unrealized gains and losses on derivative financial instruments and the provision/benefit for income taxes.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9" w:name="page30"/>
    <w:bookmarkEnd w:id="29"/>
    <w:p>
      <w:pPr>
        <w:ind w:right="500" w:firstLine="648"/>
        <w:spacing w:after="0" w:line="257" w:lineRule="auto"/>
        <w:rPr>
          <w:sz w:val="20"/>
          <w:szCs w:val="20"/>
          <w:color w:val="auto"/>
        </w:rPr>
      </w:pPr>
      <w:r>
        <w:rPr>
          <w:rFonts w:ascii="Arial" w:cs="Arial" w:eastAsia="Arial" w:hAnsi="Arial"/>
          <w:sz w:val="21"/>
          <w:szCs w:val="21"/>
          <w:color w:val="auto"/>
        </w:rPr>
        <w:t>The following sections discuss the results of operations for each of our business segments and corporate and other. Amounts in the corporate and other category include activities that are not separately reportable or related to a segment. The following tables summarizes segment and other results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jc w:val="right"/>
              <w:ind w:right="480"/>
              <w:spacing w:after="0"/>
              <w:rPr>
                <w:sz w:val="20"/>
                <w:szCs w:val="20"/>
                <w:color w:val="auto"/>
              </w:rPr>
            </w:pPr>
            <w:r>
              <w:rPr>
                <w:rFonts w:ascii="Arial" w:cs="Arial" w:eastAsia="Arial" w:hAnsi="Arial"/>
                <w:sz w:val="22"/>
                <w:szCs w:val="22"/>
                <w:b w:val="1"/>
                <w:bCs w:val="1"/>
                <w:color w:val="auto"/>
                <w:w w:val="91"/>
              </w:rPr>
              <w:t>Three Months Ended</w:t>
            </w:r>
          </w:p>
        </w:tc>
        <w:tc>
          <w:tcPr>
            <w:tcW w:w="280" w:type="dxa"/>
            <w:vAlign w:val="bottom"/>
          </w:tcPr>
          <w:p>
            <w:pPr>
              <w:spacing w:after="0"/>
              <w:rPr>
                <w:sz w:val="21"/>
                <w:szCs w:val="21"/>
                <w:color w:val="auto"/>
              </w:rPr>
            </w:pPr>
          </w:p>
        </w:tc>
        <w:tc>
          <w:tcPr>
            <w:tcW w:w="2440" w:type="dxa"/>
            <w:vAlign w:val="bottom"/>
            <w:gridSpan w:val="5"/>
          </w:tcPr>
          <w:p>
            <w:pPr>
              <w:jc w:val="center"/>
              <w:ind w:right="120"/>
              <w:spacing w:after="0"/>
              <w:rPr>
                <w:sz w:val="20"/>
                <w:szCs w:val="20"/>
                <w:color w:val="auto"/>
              </w:rPr>
            </w:pPr>
            <w:r>
              <w:rPr>
                <w:rFonts w:ascii="Arial" w:cs="Arial" w:eastAsia="Arial" w:hAnsi="Arial"/>
                <w:sz w:val="22"/>
                <w:szCs w:val="22"/>
                <w:b w:val="1"/>
                <w:bCs w:val="1"/>
                <w:color w:val="auto"/>
                <w:w w:val="89"/>
              </w:rPr>
              <w:t>Nine Months Ended</w:t>
            </w:r>
          </w:p>
        </w:tc>
      </w:tr>
      <w:tr>
        <w:trPr>
          <w:trHeight w:val="257"/>
        </w:trPr>
        <w:tc>
          <w:tcPr>
            <w:tcW w:w="5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22"/>
                <w:szCs w:val="22"/>
                <w:b w:val="1"/>
                <w:bCs w:val="1"/>
                <w:color w:val="auto"/>
              </w:rPr>
              <w:t>October 31,</w:t>
            </w:r>
          </w:p>
        </w:tc>
        <w:tc>
          <w:tcPr>
            <w:tcW w:w="280" w:type="dxa"/>
            <w:vAlign w:val="bottom"/>
          </w:tcPr>
          <w:p>
            <w:pPr>
              <w:spacing w:after="0"/>
              <w:rPr>
                <w:sz w:val="22"/>
                <w:szCs w:val="22"/>
                <w:color w:val="auto"/>
              </w:rPr>
            </w:pPr>
          </w:p>
        </w:tc>
        <w:tc>
          <w:tcPr>
            <w:tcW w:w="2440" w:type="dxa"/>
            <w:vAlign w:val="bottom"/>
            <w:gridSpan w:val="5"/>
          </w:tcPr>
          <w:p>
            <w:pPr>
              <w:jc w:val="center"/>
              <w:ind w:right="120"/>
              <w:spacing w:after="0"/>
              <w:rPr>
                <w:sz w:val="20"/>
                <w:szCs w:val="20"/>
                <w:color w:val="auto"/>
              </w:rPr>
            </w:pPr>
            <w:r>
              <w:rPr>
                <w:rFonts w:ascii="Arial" w:cs="Arial" w:eastAsia="Arial" w:hAnsi="Arial"/>
                <w:sz w:val="22"/>
                <w:szCs w:val="22"/>
                <w:b w:val="1"/>
                <w:bCs w:val="1"/>
                <w:color w:val="auto"/>
                <w:w w:val="89"/>
              </w:rPr>
              <w:t>October 31,</w:t>
            </w:r>
          </w:p>
        </w:tc>
      </w:tr>
      <w:tr>
        <w:trPr>
          <w:trHeight w:val="270"/>
        </w:trPr>
        <w:tc>
          <w:tcPr>
            <w:tcW w:w="5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32"/>
              <w:spacing w:after="0"/>
              <w:rPr>
                <w:sz w:val="20"/>
                <w:szCs w:val="20"/>
                <w:color w:val="auto"/>
              </w:rPr>
            </w:pPr>
            <w:r>
              <w:rPr>
                <w:rFonts w:ascii="Arial" w:cs="Arial" w:eastAsia="Arial" w:hAnsi="Arial"/>
                <w:sz w:val="22"/>
                <w:szCs w:val="22"/>
                <w:b w:val="1"/>
                <w:bCs w:val="1"/>
                <w:color w:val="auto"/>
              </w:rPr>
              <w:t>2020</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112"/>
              <w:spacing w:after="0"/>
              <w:rPr>
                <w:sz w:val="20"/>
                <w:szCs w:val="20"/>
                <w:color w:val="auto"/>
              </w:rPr>
            </w:pPr>
            <w:r>
              <w:rPr>
                <w:rFonts w:ascii="Arial" w:cs="Arial" w:eastAsia="Arial" w:hAnsi="Arial"/>
                <w:sz w:val="22"/>
                <w:szCs w:val="22"/>
                <w:b w:val="1"/>
                <w:bCs w:val="1"/>
                <w:color w:val="auto"/>
                <w:w w:val="98"/>
              </w:rPr>
              <w:t>2019</w:t>
            </w:r>
          </w:p>
        </w:tc>
        <w:tc>
          <w:tcPr>
            <w:tcW w:w="280" w:type="dxa"/>
            <w:vAlign w:val="bottom"/>
          </w:tcPr>
          <w:p>
            <w:pPr>
              <w:spacing w:after="0"/>
              <w:rPr>
                <w:sz w:val="23"/>
                <w:szCs w:val="23"/>
                <w:color w:val="auto"/>
              </w:rPr>
            </w:pPr>
          </w:p>
        </w:tc>
        <w:tc>
          <w:tcPr>
            <w:tcW w:w="1160" w:type="dxa"/>
            <w:vAlign w:val="bottom"/>
            <w:gridSpan w:val="2"/>
          </w:tcPr>
          <w:p>
            <w:pPr>
              <w:jc w:val="right"/>
              <w:ind w:right="112"/>
              <w:spacing w:after="0"/>
              <w:rPr>
                <w:sz w:val="20"/>
                <w:szCs w:val="20"/>
                <w:color w:val="auto"/>
              </w:rPr>
            </w:pPr>
            <w:r>
              <w:rPr>
                <w:rFonts w:ascii="Arial" w:cs="Arial" w:eastAsia="Arial" w:hAnsi="Arial"/>
                <w:sz w:val="22"/>
                <w:szCs w:val="22"/>
                <w:b w:val="1"/>
                <w:bCs w:val="1"/>
                <w:color w:val="auto"/>
              </w:rPr>
              <w:t>2020</w:t>
            </w:r>
          </w:p>
        </w:tc>
        <w:tc>
          <w:tcPr>
            <w:tcW w:w="56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b w:val="1"/>
                <w:bCs w:val="1"/>
                <w:color w:val="auto"/>
              </w:rPr>
              <w:t>2019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7"/>
        </w:trPr>
        <w:tc>
          <w:tcPr>
            <w:tcW w:w="586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160" w:type="dxa"/>
            <w:vAlign w:val="bottom"/>
            <w:tcBorders>
              <w:top w:val="single" w:sz="8" w:color="auto"/>
            </w:tcBorders>
            <w:shd w:val="clear" w:color="auto" w:fill="E5FFFF"/>
          </w:tcPr>
          <w:p>
            <w:pPr>
              <w:spacing w:after="0"/>
              <w:rPr>
                <w:sz w:val="20"/>
                <w:szCs w:val="20"/>
                <w:color w:val="auto"/>
              </w:rPr>
            </w:pPr>
          </w:p>
        </w:tc>
        <w:tc>
          <w:tcPr>
            <w:tcW w:w="760" w:type="dxa"/>
            <w:vAlign w:val="bottom"/>
            <w:tcBorders>
              <w:top w:val="single" w:sz="8" w:color="auto"/>
            </w:tcBorders>
            <w:shd w:val="clear" w:color="auto" w:fill="E5FFFF"/>
          </w:tcPr>
          <w:p>
            <w:pPr>
              <w:spacing w:after="0"/>
              <w:rPr>
                <w:sz w:val="20"/>
                <w:szCs w:val="20"/>
                <w:color w:val="auto"/>
              </w:rPr>
            </w:pPr>
          </w:p>
        </w:tc>
        <w:tc>
          <w:tcPr>
            <w:tcW w:w="58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20" w:type="dxa"/>
            <w:vAlign w:val="bottom"/>
            <w:tcBorders>
              <w:top w:val="single" w:sz="8" w:color="auto"/>
            </w:tcBorders>
            <w:shd w:val="clear" w:color="auto" w:fill="E5FFFF"/>
          </w:tcPr>
          <w:p>
            <w:pPr>
              <w:spacing w:after="0"/>
              <w:rPr>
                <w:sz w:val="20"/>
                <w:szCs w:val="20"/>
                <w:color w:val="auto"/>
              </w:rPr>
            </w:pPr>
          </w:p>
        </w:tc>
        <w:tc>
          <w:tcPr>
            <w:tcW w:w="280" w:type="dxa"/>
            <w:vAlign w:val="bottom"/>
            <w:tcBorders>
              <w:top w:val="single" w:sz="8" w:color="E5FFFF"/>
            </w:tcBorders>
            <w:shd w:val="clear" w:color="auto" w:fill="E5FFFF"/>
          </w:tcPr>
          <w:p>
            <w:pPr>
              <w:spacing w:after="0"/>
              <w:rPr>
                <w:sz w:val="20"/>
                <w:szCs w:val="20"/>
                <w:color w:val="auto"/>
              </w:rPr>
            </w:pPr>
          </w:p>
        </w:tc>
        <w:tc>
          <w:tcPr>
            <w:tcW w:w="280" w:type="dxa"/>
            <w:vAlign w:val="bottom"/>
            <w:tcBorders>
              <w:top w:val="single" w:sz="8" w:color="E5FFFF"/>
            </w:tcBorders>
            <w:shd w:val="clear" w:color="auto" w:fill="E5FFFF"/>
          </w:tcPr>
          <w:p>
            <w:pPr>
              <w:spacing w:after="0"/>
              <w:rPr>
                <w:sz w:val="20"/>
                <w:szCs w:val="20"/>
                <w:color w:val="auto"/>
              </w:rPr>
            </w:pPr>
          </w:p>
        </w:tc>
        <w:tc>
          <w:tcPr>
            <w:tcW w:w="880" w:type="dxa"/>
            <w:vAlign w:val="bottom"/>
            <w:tcBorders>
              <w:top w:val="single" w:sz="8" w:color="auto"/>
            </w:tcBorders>
            <w:shd w:val="clear" w:color="auto" w:fill="E5FFFF"/>
          </w:tcPr>
          <w:p>
            <w:pPr>
              <w:spacing w:after="0"/>
              <w:rPr>
                <w:sz w:val="20"/>
                <w:szCs w:val="20"/>
                <w:color w:val="auto"/>
              </w:rPr>
            </w:pPr>
          </w:p>
        </w:tc>
        <w:tc>
          <w:tcPr>
            <w:tcW w:w="560" w:type="dxa"/>
            <w:vAlign w:val="bottom"/>
            <w:tcBorders>
              <w:top w:val="single" w:sz="8" w:color="E5FFFF"/>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E5FFFF"/>
            </w:tcBorders>
            <w:shd w:val="clear" w:color="auto" w:fill="E5FFFF"/>
          </w:tcPr>
          <w:p>
            <w:pPr>
              <w:spacing w:after="0"/>
              <w:rPr>
                <w:sz w:val="20"/>
                <w:szCs w:val="20"/>
                <w:color w:val="auto"/>
              </w:rPr>
            </w:pPr>
          </w:p>
        </w:tc>
      </w:tr>
      <w:tr>
        <w:trPr>
          <w:trHeight w:val="243"/>
        </w:trPr>
        <w:tc>
          <w:tcPr>
            <w:tcW w:w="586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w w:val="93"/>
              </w:rPr>
              <w:t>124,217</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86,603</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$ 246,694</w:t>
            </w:r>
          </w:p>
        </w:tc>
        <w:tc>
          <w:tcPr>
            <w:tcW w:w="560" w:type="dxa"/>
            <w:vAlign w:val="bottom"/>
          </w:tcPr>
          <w:p>
            <w:pPr>
              <w:spacing w:after="0"/>
              <w:rPr>
                <w:sz w:val="21"/>
                <w:szCs w:val="21"/>
                <w:color w:val="auto"/>
              </w:rPr>
            </w:pPr>
          </w:p>
        </w:tc>
        <w:tc>
          <w:tcPr>
            <w:tcW w:w="9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9"/>
              </w:rPr>
              <w:t>$ 296,826</w:t>
            </w:r>
          </w:p>
        </w:tc>
        <w:tc>
          <w:tcPr>
            <w:tcW w:w="80" w:type="dxa"/>
            <w:vAlign w:val="bottom"/>
          </w:tcPr>
          <w:p>
            <w:pPr>
              <w:spacing w:after="0"/>
              <w:rPr>
                <w:sz w:val="21"/>
                <w:szCs w:val="21"/>
                <w:color w:val="auto"/>
              </w:rPr>
            </w:pPr>
          </w:p>
        </w:tc>
      </w:tr>
      <w:tr>
        <w:trPr>
          <w:trHeight w:val="310"/>
        </w:trPr>
        <w:tc>
          <w:tcPr>
            <w:tcW w:w="586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60" w:type="dxa"/>
            <w:vAlign w:val="bottom"/>
            <w:shd w:val="clear" w:color="auto" w:fill="E5FFFF"/>
          </w:tcPr>
          <w:p>
            <w:pPr>
              <w:spacing w:after="0"/>
              <w:rPr>
                <w:sz w:val="24"/>
                <w:szCs w:val="24"/>
                <w:color w:val="auto"/>
              </w:rPr>
            </w:pPr>
          </w:p>
        </w:tc>
        <w:tc>
          <w:tcPr>
            <w:tcW w:w="1340" w:type="dxa"/>
            <w:vAlign w:val="bottom"/>
            <w:gridSpan w:val="2"/>
            <w:shd w:val="clear" w:color="auto" w:fill="E5FFFF"/>
          </w:tcPr>
          <w:p>
            <w:pPr>
              <w:jc w:val="right"/>
              <w:ind w:right="580"/>
              <w:spacing w:after="0"/>
              <w:rPr>
                <w:sz w:val="20"/>
                <w:szCs w:val="20"/>
                <w:color w:val="auto"/>
              </w:rPr>
            </w:pPr>
            <w:r>
              <w:rPr>
                <w:rFonts w:ascii="Arial" w:cs="Arial" w:eastAsia="Arial" w:hAnsi="Arial"/>
                <w:sz w:val="22"/>
                <w:szCs w:val="22"/>
                <w:color w:val="auto"/>
              </w:rPr>
              <w:t>34</w:t>
            </w:r>
          </w:p>
        </w:tc>
        <w:tc>
          <w:tcPr>
            <w:tcW w:w="160" w:type="dxa"/>
            <w:vAlign w:val="bottom"/>
            <w:shd w:val="clear" w:color="auto" w:fill="E5FFFF"/>
          </w:tcPr>
          <w:p>
            <w:pPr>
              <w:spacing w:after="0"/>
              <w:rPr>
                <w:sz w:val="24"/>
                <w:szCs w:val="24"/>
                <w:color w:val="auto"/>
              </w:rPr>
            </w:pPr>
          </w:p>
        </w:tc>
        <w:tc>
          <w:tcPr>
            <w:tcW w:w="1000" w:type="dxa"/>
            <w:vAlign w:val="bottom"/>
            <w:gridSpan w:val="2"/>
            <w:shd w:val="clear" w:color="auto" w:fill="E5FFFF"/>
          </w:tcPr>
          <w:p>
            <w:pPr>
              <w:jc w:val="right"/>
              <w:ind w:right="280"/>
              <w:spacing w:after="0"/>
              <w:rPr>
                <w:sz w:val="20"/>
                <w:szCs w:val="20"/>
                <w:color w:val="auto"/>
              </w:rPr>
            </w:pPr>
            <w:r>
              <w:rPr>
                <w:rFonts w:ascii="Arial" w:cs="Arial" w:eastAsia="Arial" w:hAnsi="Arial"/>
                <w:sz w:val="22"/>
                <w:szCs w:val="22"/>
                <w:color w:val="auto"/>
              </w:rPr>
              <w:t>68</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134</w:t>
            </w:r>
          </w:p>
        </w:tc>
        <w:tc>
          <w:tcPr>
            <w:tcW w:w="560" w:type="dxa"/>
            <w:vAlign w:val="bottom"/>
            <w:shd w:val="clear" w:color="auto" w:fill="E5FFFF"/>
          </w:tcPr>
          <w:p>
            <w:pPr>
              <w:spacing w:after="0"/>
              <w:rPr>
                <w:sz w:val="24"/>
                <w:szCs w:val="24"/>
                <w:color w:val="auto"/>
              </w:rPr>
            </w:pPr>
          </w:p>
        </w:tc>
        <w:tc>
          <w:tcPr>
            <w:tcW w:w="92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288</w:t>
            </w:r>
          </w:p>
        </w:tc>
        <w:tc>
          <w:tcPr>
            <w:tcW w:w="80" w:type="dxa"/>
            <w:vAlign w:val="bottom"/>
            <w:shd w:val="clear" w:color="auto" w:fill="E5FFFF"/>
          </w:tcPr>
          <w:p>
            <w:pPr>
              <w:spacing w:after="0"/>
              <w:rPr>
                <w:sz w:val="24"/>
                <w:szCs w:val="24"/>
                <w:color w:val="auto"/>
              </w:rPr>
            </w:pPr>
          </w:p>
        </w:tc>
      </w:tr>
      <w:tr>
        <w:trPr>
          <w:trHeight w:val="250"/>
        </w:trPr>
        <w:tc>
          <w:tcPr>
            <w:tcW w:w="586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3"/>
              </w:rPr>
              <w:t>124,251</w:t>
            </w:r>
          </w:p>
        </w:tc>
        <w:tc>
          <w:tcPr>
            <w:tcW w:w="5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86,671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7"/>
              </w:rPr>
              <w:t>$ 246,828</w:t>
            </w:r>
          </w:p>
        </w:tc>
        <w:tc>
          <w:tcPr>
            <w:tcW w:w="5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9"/>
              </w:rPr>
              <w:t>$ 297,114</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right="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80" w:type="dxa"/>
            <w:vAlign w:val="bottom"/>
            <w:shd w:val="clear" w:color="auto" w:fill="E5FFFF"/>
          </w:tcPr>
          <w:p>
            <w:pPr>
              <w:spacing w:after="0"/>
              <w:rPr>
                <w:sz w:val="20"/>
                <w:szCs w:val="20"/>
                <w:color w:val="auto"/>
              </w:rPr>
            </w:pPr>
            <w:r>
              <w:rPr>
                <w:rFonts w:ascii="Arial" w:cs="Arial" w:eastAsia="Arial" w:hAnsi="Arial"/>
                <w:sz w:val="22"/>
                <w:szCs w:val="22"/>
                <w:color w:val="auto"/>
              </w:rPr>
              <w:t>Segment gross profit (loss):</w:t>
            </w:r>
          </w:p>
        </w:tc>
        <w:tc>
          <w:tcPr>
            <w:tcW w:w="4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0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18,929</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28</w:t>
            </w: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11,259</w:t>
            </w:r>
          </w:p>
        </w:tc>
        <w:tc>
          <w:tcPr>
            <w:tcW w:w="5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12,312</w:t>
            </w:r>
          </w:p>
        </w:tc>
        <w:tc>
          <w:tcPr>
            <w:tcW w:w="0" w:type="dxa"/>
            <w:vAlign w:val="bottom"/>
          </w:tcPr>
          <w:p>
            <w:pPr>
              <w:spacing w:after="0"/>
              <w:rPr>
                <w:sz w:val="1"/>
                <w:szCs w:val="1"/>
                <w:color w:val="auto"/>
              </w:rPr>
            </w:pPr>
          </w:p>
        </w:tc>
      </w:tr>
      <w:tr>
        <w:trPr>
          <w:trHeight w:val="257"/>
        </w:trPr>
        <w:tc>
          <w:tcPr>
            <w:tcW w:w="538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4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300" w:type="dxa"/>
            <w:vAlign w:val="bottom"/>
            <w:gridSpan w:val="2"/>
            <w:shd w:val="clear" w:color="auto" w:fill="E5FFFF"/>
          </w:tcPr>
          <w:p>
            <w:pPr>
              <w:jc w:val="right"/>
              <w:ind w:right="580"/>
              <w:spacing w:after="0"/>
              <w:rPr>
                <w:sz w:val="20"/>
                <w:szCs w:val="20"/>
                <w:color w:val="auto"/>
              </w:rPr>
            </w:pPr>
            <w:r>
              <w:rPr>
                <w:rFonts w:ascii="Arial" w:cs="Arial" w:eastAsia="Arial" w:hAnsi="Arial"/>
                <w:sz w:val="22"/>
                <w:szCs w:val="22"/>
                <w:color w:val="auto"/>
              </w:rPr>
              <w:t>(1,250)</w:t>
            </w:r>
          </w:p>
        </w:tc>
        <w:tc>
          <w:tcPr>
            <w:tcW w:w="180" w:type="dxa"/>
            <w:vAlign w:val="bottom"/>
            <w:shd w:val="clear" w:color="auto" w:fill="E5FFFF"/>
          </w:tcPr>
          <w:p>
            <w:pPr>
              <w:spacing w:after="0"/>
              <w:rPr>
                <w:sz w:val="22"/>
                <w:szCs w:val="22"/>
                <w:color w:val="auto"/>
              </w:rPr>
            </w:pPr>
          </w:p>
        </w:tc>
        <w:tc>
          <w:tcPr>
            <w:tcW w:w="980" w:type="dxa"/>
            <w:vAlign w:val="bottom"/>
            <w:gridSpan w:val="2"/>
            <w:shd w:val="clear" w:color="auto" w:fill="E5FFFF"/>
          </w:tcPr>
          <w:p>
            <w:pPr>
              <w:jc w:val="right"/>
              <w:ind w:right="280"/>
              <w:spacing w:after="0"/>
              <w:rPr>
                <w:sz w:val="20"/>
                <w:szCs w:val="20"/>
                <w:color w:val="auto"/>
              </w:rPr>
            </w:pPr>
            <w:r>
              <w:rPr>
                <w:rFonts w:ascii="Arial" w:cs="Arial" w:eastAsia="Arial" w:hAnsi="Arial"/>
                <w:sz w:val="22"/>
                <w:szCs w:val="22"/>
                <w:color w:val="auto"/>
                <w:w w:val="97"/>
              </w:rPr>
              <w:t>(1,786)</w:t>
            </w: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2"/>
                <w:szCs w:val="22"/>
                <w:color w:val="auto"/>
                <w:w w:val="97"/>
              </w:rPr>
              <w:t>(4,241)</w:t>
            </w:r>
          </w:p>
        </w:tc>
        <w:tc>
          <w:tcPr>
            <w:tcW w:w="56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(6,420)</w:t>
            </w:r>
          </w:p>
        </w:tc>
        <w:tc>
          <w:tcPr>
            <w:tcW w:w="0" w:type="dxa"/>
            <w:vAlign w:val="bottom"/>
          </w:tcPr>
          <w:p>
            <w:pPr>
              <w:spacing w:after="0"/>
              <w:rPr>
                <w:sz w:val="1"/>
                <w:szCs w:val="1"/>
                <w:color w:val="auto"/>
              </w:rPr>
            </w:pPr>
          </w:p>
        </w:tc>
      </w:tr>
      <w:tr>
        <w:trPr>
          <w:trHeight w:val="250"/>
        </w:trPr>
        <w:tc>
          <w:tcPr>
            <w:tcW w:w="5380" w:type="dxa"/>
            <w:vAlign w:val="bottom"/>
          </w:tcPr>
          <w:p>
            <w:pPr>
              <w:spacing w:after="0" w:line="250" w:lineRule="exact"/>
              <w:rPr>
                <w:sz w:val="20"/>
                <w:szCs w:val="20"/>
                <w:color w:val="auto"/>
              </w:rPr>
            </w:pPr>
            <w:r>
              <w:rPr>
                <w:rFonts w:ascii="Arial" w:cs="Arial" w:eastAsia="Arial" w:hAnsi="Arial"/>
                <w:sz w:val="22"/>
                <w:szCs w:val="22"/>
                <w:color w:val="auto"/>
              </w:rPr>
              <w:t>Total gross profit (loss)</w:t>
            </w:r>
          </w:p>
        </w:tc>
        <w:tc>
          <w:tcPr>
            <w:tcW w:w="4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17,679</w:t>
            </w:r>
          </w:p>
        </w:tc>
        <w:tc>
          <w:tcPr>
            <w:tcW w:w="5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7"/>
              </w:rPr>
              <w:t>(1,758)</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7,018</w:t>
            </w:r>
          </w:p>
        </w:tc>
        <w:tc>
          <w:tcPr>
            <w:tcW w:w="5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5,892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before income taxes:</w:t>
            </w:r>
          </w:p>
        </w:tc>
        <w:tc>
          <w:tcPr>
            <w:tcW w:w="4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0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17,007</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w w:val="97"/>
              </w:rPr>
              <w:t>(2,822)</w:t>
            </w: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1,397</w:t>
            </w:r>
          </w:p>
        </w:tc>
        <w:tc>
          <w:tcPr>
            <w:tcW w:w="5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3,491</w:t>
            </w:r>
          </w:p>
        </w:tc>
        <w:tc>
          <w:tcPr>
            <w:tcW w:w="0" w:type="dxa"/>
            <w:vAlign w:val="bottom"/>
          </w:tcPr>
          <w:p>
            <w:pPr>
              <w:spacing w:after="0"/>
              <w:rPr>
                <w:sz w:val="1"/>
                <w:szCs w:val="1"/>
                <w:color w:val="auto"/>
              </w:rPr>
            </w:pPr>
          </w:p>
        </w:tc>
      </w:tr>
      <w:tr>
        <w:trPr>
          <w:trHeight w:val="243"/>
        </w:trPr>
        <w:tc>
          <w:tcPr>
            <w:tcW w:w="5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4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30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(1,270)</w:t>
            </w:r>
          </w:p>
        </w:tc>
        <w:tc>
          <w:tcPr>
            <w:tcW w:w="18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w w:val="97"/>
              </w:rPr>
              <w:t>(1,648)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(4,235)</w:t>
            </w:r>
          </w:p>
        </w:tc>
        <w:tc>
          <w:tcPr>
            <w:tcW w:w="5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(6,351)</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22"/>
                <w:szCs w:val="22"/>
                <w:color w:val="auto"/>
              </w:rPr>
              <w:t>Corporate and other</w:t>
            </w: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22"/>
                <w:szCs w:val="22"/>
                <w:color w:val="auto"/>
              </w:rPr>
              <w:t>(626)</w:t>
            </w:r>
          </w:p>
        </w:tc>
        <w:tc>
          <w:tcPr>
            <w:tcW w:w="18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22"/>
                <w:szCs w:val="22"/>
                <w:color w:val="auto"/>
              </w:rPr>
              <w:t>(434)</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w w:val="97"/>
              </w:rPr>
              <w:t>(1,873)</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2"/>
                <w:szCs w:val="22"/>
                <w:color w:val="auto"/>
              </w:rPr>
              <w:t>(1,146)</w:t>
            </w:r>
          </w:p>
        </w:tc>
        <w:tc>
          <w:tcPr>
            <w:tcW w:w="0" w:type="dxa"/>
            <w:vAlign w:val="bottom"/>
          </w:tcPr>
          <w:p>
            <w:pPr>
              <w:spacing w:after="0"/>
              <w:rPr>
                <w:sz w:val="1"/>
                <w:szCs w:val="1"/>
                <w:color w:val="auto"/>
              </w:rPr>
            </w:pPr>
          </w:p>
        </w:tc>
      </w:tr>
      <w:tr>
        <w:trPr>
          <w:trHeight w:val="250"/>
        </w:trPr>
        <w:tc>
          <w:tcPr>
            <w:tcW w:w="53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income (loss) before income taxes</w:t>
            </w:r>
          </w:p>
        </w:tc>
        <w:tc>
          <w:tcPr>
            <w:tcW w:w="4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15,111</w:t>
            </w:r>
          </w:p>
        </w:tc>
        <w:tc>
          <w:tcPr>
            <w:tcW w:w="5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7"/>
              </w:rPr>
              <w:t>(4,904)</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7"/>
              </w:rPr>
              <w:t>(4,711)</w:t>
            </w:r>
          </w:p>
        </w:tc>
        <w:tc>
          <w:tcPr>
            <w:tcW w:w="5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(4,006)</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22"/>
                <w:szCs w:val="22"/>
                <w:color w:val="auto"/>
              </w:rPr>
              <w:t>(Provision) benefit for income taxes:</w:t>
            </w: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6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30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(5,071)</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945</w:t>
            </w:r>
          </w:p>
        </w:tc>
        <w:tc>
          <w:tcPr>
            <w:tcW w:w="4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w:t>
            </w:r>
          </w:p>
        </w:tc>
        <w:tc>
          <w:tcPr>
            <w:tcW w:w="56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(160)</w:t>
            </w:r>
          </w:p>
        </w:tc>
        <w:tc>
          <w:tcPr>
            <w:tcW w:w="0" w:type="dxa"/>
            <w:vAlign w:val="bottom"/>
          </w:tcPr>
          <w:p>
            <w:pPr>
              <w:spacing w:after="0"/>
              <w:rPr>
                <w:sz w:val="1"/>
                <w:szCs w:val="1"/>
                <w:color w:val="auto"/>
              </w:rPr>
            </w:pPr>
          </w:p>
        </w:tc>
      </w:tr>
      <w:tr>
        <w:trPr>
          <w:trHeight w:val="243"/>
        </w:trPr>
        <w:tc>
          <w:tcPr>
            <w:tcW w:w="538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985</w:t>
            </w:r>
          </w:p>
        </w:tc>
        <w:tc>
          <w:tcPr>
            <w:tcW w:w="180" w:type="dxa"/>
            <w:vAlign w:val="bottom"/>
          </w:tcPr>
          <w:p>
            <w:pPr>
              <w:spacing w:after="0"/>
              <w:rPr>
                <w:sz w:val="21"/>
                <w:szCs w:val="21"/>
                <w:color w:val="auto"/>
              </w:rPr>
            </w:pPr>
          </w:p>
        </w:tc>
        <w:tc>
          <w:tcPr>
            <w:tcW w:w="98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2,181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4,863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9,282</w:t>
            </w:r>
          </w:p>
        </w:tc>
        <w:tc>
          <w:tcPr>
            <w:tcW w:w="0" w:type="dxa"/>
            <w:vAlign w:val="bottom"/>
          </w:tcPr>
          <w:p>
            <w:pPr>
              <w:spacing w:after="0"/>
              <w:rPr>
                <w:sz w:val="1"/>
                <w:szCs w:val="1"/>
                <w:color w:val="auto"/>
              </w:rPr>
            </w:pPr>
          </w:p>
        </w:tc>
      </w:tr>
      <w:tr>
        <w:trPr>
          <w:trHeight w:val="257"/>
        </w:trPr>
        <w:tc>
          <w:tcPr>
            <w:tcW w:w="538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4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300" w:type="dxa"/>
            <w:vAlign w:val="bottom"/>
            <w:gridSpan w:val="2"/>
            <w:shd w:val="clear" w:color="auto" w:fill="E5FFFF"/>
          </w:tcPr>
          <w:p>
            <w:pPr>
              <w:jc w:val="right"/>
              <w:ind w:right="580"/>
              <w:spacing w:after="0"/>
              <w:rPr>
                <w:sz w:val="20"/>
                <w:szCs w:val="20"/>
                <w:color w:val="auto"/>
              </w:rPr>
            </w:pPr>
            <w:r>
              <w:rPr>
                <w:rFonts w:ascii="Arial" w:cs="Arial" w:eastAsia="Arial" w:hAnsi="Arial"/>
                <w:sz w:val="22"/>
                <w:szCs w:val="22"/>
                <w:color w:val="auto"/>
              </w:rPr>
              <w:t>34</w:t>
            </w:r>
          </w:p>
        </w:tc>
        <w:tc>
          <w:tcPr>
            <w:tcW w:w="180" w:type="dxa"/>
            <w:vAlign w:val="bottom"/>
            <w:shd w:val="clear" w:color="auto" w:fill="E5FFFF"/>
          </w:tcPr>
          <w:p>
            <w:pPr>
              <w:spacing w:after="0"/>
              <w:rPr>
                <w:sz w:val="22"/>
                <w:szCs w:val="22"/>
                <w:color w:val="auto"/>
              </w:rPr>
            </w:pPr>
          </w:p>
        </w:tc>
        <w:tc>
          <w:tcPr>
            <w:tcW w:w="980" w:type="dxa"/>
            <w:vAlign w:val="bottom"/>
            <w:gridSpan w:val="2"/>
            <w:shd w:val="clear" w:color="auto" w:fill="E5FFFF"/>
          </w:tcPr>
          <w:p>
            <w:pPr>
              <w:jc w:val="right"/>
              <w:ind w:right="280"/>
              <w:spacing w:after="0"/>
              <w:rPr>
                <w:sz w:val="20"/>
                <w:szCs w:val="20"/>
                <w:color w:val="auto"/>
              </w:rPr>
            </w:pPr>
            <w:r>
              <w:rPr>
                <w:rFonts w:ascii="Arial" w:cs="Arial" w:eastAsia="Arial" w:hAnsi="Arial"/>
                <w:sz w:val="22"/>
                <w:szCs w:val="22"/>
                <w:color w:val="auto"/>
              </w:rPr>
              <w:t>105</w:t>
            </w: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461</w:t>
            </w:r>
          </w:p>
        </w:tc>
        <w:tc>
          <w:tcPr>
            <w:tcW w:w="56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279</w:t>
            </w:r>
          </w:p>
        </w:tc>
        <w:tc>
          <w:tcPr>
            <w:tcW w:w="0" w:type="dxa"/>
            <w:vAlign w:val="bottom"/>
          </w:tcPr>
          <w:p>
            <w:pPr>
              <w:spacing w:after="0"/>
              <w:rPr>
                <w:sz w:val="1"/>
                <w:szCs w:val="1"/>
                <w:color w:val="auto"/>
              </w:rPr>
            </w:pPr>
          </w:p>
        </w:tc>
      </w:tr>
      <w:tr>
        <w:trPr>
          <w:trHeight w:val="250"/>
        </w:trPr>
        <w:tc>
          <w:tcPr>
            <w:tcW w:w="5380" w:type="dxa"/>
            <w:vAlign w:val="bottom"/>
          </w:tcPr>
          <w:p>
            <w:pPr>
              <w:spacing w:after="0" w:line="250" w:lineRule="exact"/>
              <w:rPr>
                <w:sz w:val="20"/>
                <w:szCs w:val="20"/>
                <w:color w:val="auto"/>
              </w:rPr>
            </w:pPr>
            <w:r>
              <w:rPr>
                <w:rFonts w:ascii="Arial" w:cs="Arial" w:eastAsia="Arial" w:hAnsi="Arial"/>
                <w:sz w:val="22"/>
                <w:szCs w:val="22"/>
                <w:color w:val="auto"/>
              </w:rPr>
              <w:t>Total (provision) benefit for income taxes</w:t>
            </w:r>
          </w:p>
        </w:tc>
        <w:tc>
          <w:tcPr>
            <w:tcW w:w="4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(4,052)</w:t>
            </w:r>
          </w:p>
        </w:tc>
        <w:tc>
          <w:tcPr>
            <w:tcW w:w="5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3,231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5,307</w:t>
            </w:r>
          </w:p>
        </w:tc>
        <w:tc>
          <w:tcPr>
            <w:tcW w:w="5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9,401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Segment profit (loss) (net of noncontrolling interests):</w:t>
            </w:r>
          </w:p>
        </w:tc>
        <w:tc>
          <w:tcPr>
            <w:tcW w:w="4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0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9,660</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w w:val="97"/>
              </w:rPr>
              <w:t>(2,330)</w:t>
            </w: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c>
          <w:tcPr>
            <w:tcW w:w="5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684</w:t>
            </w:r>
          </w:p>
        </w:tc>
        <w:tc>
          <w:tcPr>
            <w:tcW w:w="0" w:type="dxa"/>
            <w:vAlign w:val="bottom"/>
          </w:tcPr>
          <w:p>
            <w:pPr>
              <w:spacing w:after="0"/>
              <w:rPr>
                <w:sz w:val="1"/>
                <w:szCs w:val="1"/>
                <w:color w:val="auto"/>
              </w:rPr>
            </w:pPr>
          </w:p>
        </w:tc>
      </w:tr>
      <w:tr>
        <w:trPr>
          <w:trHeight w:val="243"/>
        </w:trPr>
        <w:tc>
          <w:tcPr>
            <w:tcW w:w="5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4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30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(227)</w:t>
            </w:r>
          </w:p>
        </w:tc>
        <w:tc>
          <w:tcPr>
            <w:tcW w:w="18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607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821</w:t>
            </w:r>
          </w:p>
        </w:tc>
        <w:tc>
          <w:tcPr>
            <w:tcW w:w="5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3,209</w:t>
            </w:r>
          </w:p>
        </w:tc>
        <w:tc>
          <w:tcPr>
            <w:tcW w:w="0" w:type="dxa"/>
            <w:vAlign w:val="bottom"/>
          </w:tcPr>
          <w:p>
            <w:pPr>
              <w:spacing w:after="0"/>
              <w:rPr>
                <w:sz w:val="1"/>
                <w:szCs w:val="1"/>
                <w:color w:val="auto"/>
              </w:rPr>
            </w:pPr>
          </w:p>
        </w:tc>
      </w:tr>
      <w:tr>
        <w:trPr>
          <w:trHeight w:val="256"/>
        </w:trPr>
        <w:tc>
          <w:tcPr>
            <w:tcW w:w="5380" w:type="dxa"/>
            <w:vAlign w:val="bottom"/>
          </w:tcPr>
          <w:p>
            <w:pPr>
              <w:spacing w:after="0"/>
              <w:rPr>
                <w:sz w:val="20"/>
                <w:szCs w:val="20"/>
                <w:color w:val="auto"/>
              </w:rPr>
            </w:pPr>
            <w:r>
              <w:rPr>
                <w:rFonts w:ascii="Arial" w:cs="Arial" w:eastAsia="Arial" w:hAnsi="Arial"/>
                <w:sz w:val="22"/>
                <w:szCs w:val="22"/>
                <w:color w:val="auto"/>
              </w:rPr>
              <w:t>Corporate and other</w:t>
            </w: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22"/>
                <w:szCs w:val="22"/>
                <w:color w:val="auto"/>
              </w:rPr>
              <w:t>(592)</w:t>
            </w:r>
          </w:p>
        </w:tc>
        <w:tc>
          <w:tcPr>
            <w:tcW w:w="18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22"/>
                <w:szCs w:val="22"/>
                <w:color w:val="auto"/>
              </w:rPr>
              <w:t>(329)</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w w:val="97"/>
              </w:rPr>
              <w:t>(1,412)</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2"/>
                <w:szCs w:val="22"/>
                <w:color w:val="auto"/>
              </w:rPr>
              <w:t>(868)</w:t>
            </w:r>
          </w:p>
        </w:tc>
        <w:tc>
          <w:tcPr>
            <w:tcW w:w="0" w:type="dxa"/>
            <w:vAlign w:val="bottom"/>
          </w:tcPr>
          <w:p>
            <w:pPr>
              <w:spacing w:after="0"/>
              <w:rPr>
                <w:sz w:val="1"/>
                <w:szCs w:val="1"/>
                <w:color w:val="auto"/>
              </w:rPr>
            </w:pPr>
          </w:p>
        </w:tc>
      </w:tr>
      <w:tr>
        <w:trPr>
          <w:trHeight w:val="250"/>
        </w:trPr>
        <w:tc>
          <w:tcPr>
            <w:tcW w:w="53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w w:val="91"/>
              </w:rPr>
              <w:t>Net income (loss) attributable to REX common shareholders</w:t>
            </w:r>
          </w:p>
        </w:tc>
        <w:tc>
          <w:tcPr>
            <w:tcW w:w="4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8,841</w:t>
            </w:r>
          </w:p>
        </w:tc>
        <w:tc>
          <w:tcPr>
            <w:tcW w:w="5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7"/>
              </w:rPr>
              <w:t>(2,052)</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(542)</w:t>
            </w:r>
          </w:p>
        </w:tc>
        <w:tc>
          <w:tcPr>
            <w:tcW w:w="5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3,025</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vMerge w:val="restart"/>
          </w:tcPr>
          <w:p>
            <w:pPr>
              <w:jc w:val="right"/>
              <w:ind w:right="12"/>
              <w:spacing w:after="0"/>
              <w:rPr>
                <w:sz w:val="20"/>
                <w:szCs w:val="20"/>
                <w:color w:val="auto"/>
              </w:rPr>
            </w:pPr>
            <w:r>
              <w:rPr>
                <w:rFonts w:ascii="Arial" w:cs="Arial" w:eastAsia="Arial" w:hAnsi="Arial"/>
                <w:sz w:val="22"/>
                <w:szCs w:val="22"/>
                <w:color w:val="auto"/>
              </w:rPr>
              <w:t>30</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3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38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jc w:val="both"/>
        <w:ind w:right="360" w:firstLine="648"/>
        <w:spacing w:after="0"/>
        <w:rPr>
          <w:sz w:val="20"/>
          <w:szCs w:val="20"/>
          <w:color w:val="auto"/>
        </w:rPr>
      </w:pPr>
      <w:r>
        <w:rPr>
          <w:rFonts w:ascii="Arial" w:cs="Arial" w:eastAsia="Arial" w:hAnsi="Arial"/>
          <w:sz w:val="22"/>
          <w:szCs w:val="22"/>
          <w:color w:val="auto"/>
        </w:rPr>
        <w:t>The ethanol and by-products segment includes the consolidated financial results of One Earth and NuGen, our equity investment in Big River and certain administrative expenses. The following table summarizes net sales and revenue from One Earth and NuGen by product group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jc w:val="right"/>
              <w:ind w:right="480"/>
              <w:spacing w:after="0"/>
              <w:rPr>
                <w:sz w:val="20"/>
                <w:szCs w:val="20"/>
                <w:color w:val="auto"/>
              </w:rPr>
            </w:pPr>
            <w:r>
              <w:rPr>
                <w:rFonts w:ascii="Arial" w:cs="Arial" w:eastAsia="Arial" w:hAnsi="Arial"/>
                <w:sz w:val="22"/>
                <w:szCs w:val="22"/>
                <w:b w:val="1"/>
                <w:bCs w:val="1"/>
                <w:color w:val="auto"/>
                <w:w w:val="91"/>
              </w:rPr>
              <w:t>Three Months Ended</w:t>
            </w:r>
          </w:p>
        </w:tc>
        <w:tc>
          <w:tcPr>
            <w:tcW w:w="280" w:type="dxa"/>
            <w:vAlign w:val="bottom"/>
          </w:tcPr>
          <w:p>
            <w:pPr>
              <w:spacing w:after="0"/>
              <w:rPr>
                <w:sz w:val="21"/>
                <w:szCs w:val="21"/>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257"/>
        </w:trPr>
        <w:tc>
          <w:tcPr>
            <w:tcW w:w="5860" w:type="dxa"/>
            <w:vAlign w:val="bottom"/>
            <w:vMerge w:val="restart"/>
          </w:tcPr>
          <w:p>
            <w:pPr>
              <w:spacing w:after="0"/>
              <w:rPr>
                <w:sz w:val="20"/>
                <w:szCs w:val="20"/>
                <w:color w:val="auto"/>
              </w:rPr>
            </w:pPr>
            <w:r>
              <w:rPr>
                <w:rFonts w:ascii="Arial" w:cs="Arial" w:eastAsia="Arial" w:hAnsi="Arial"/>
                <w:sz w:val="22"/>
                <w:szCs w:val="22"/>
                <w:color w:val="auto"/>
              </w:rPr>
              <w:t>Sales of products, ethanol and by-products segment:</w:t>
            </w:r>
          </w:p>
        </w:tc>
        <w:tc>
          <w:tcPr>
            <w:tcW w:w="160" w:type="dxa"/>
            <w:vAlign w:val="bottom"/>
          </w:tcPr>
          <w:p>
            <w:pPr>
              <w:spacing w:after="0"/>
              <w:rPr>
                <w:sz w:val="22"/>
                <w:szCs w:val="22"/>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22"/>
                <w:szCs w:val="22"/>
                <w:b w:val="1"/>
                <w:bCs w:val="1"/>
                <w:color w:val="auto"/>
              </w:rPr>
              <w:t>October 31,</w:t>
            </w:r>
          </w:p>
        </w:tc>
        <w:tc>
          <w:tcPr>
            <w:tcW w:w="280" w:type="dxa"/>
            <w:vAlign w:val="bottom"/>
          </w:tcPr>
          <w:p>
            <w:pPr>
              <w:spacing w:after="0"/>
              <w:rPr>
                <w:sz w:val="22"/>
                <w:szCs w:val="22"/>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22"/>
                <w:szCs w:val="22"/>
                <w:b w:val="1"/>
                <w:bCs w:val="1"/>
                <w:color w:val="auto"/>
                <w:w w:val="89"/>
              </w:rPr>
              <w:t>October 31,</w:t>
            </w:r>
          </w:p>
        </w:tc>
        <w:tc>
          <w:tcPr>
            <w:tcW w:w="0" w:type="dxa"/>
            <w:vAlign w:val="bottom"/>
          </w:tcPr>
          <w:p>
            <w:pPr>
              <w:spacing w:after="0"/>
              <w:rPr>
                <w:sz w:val="1"/>
                <w:szCs w:val="1"/>
                <w:color w:val="auto"/>
              </w:rPr>
            </w:pPr>
          </w:p>
        </w:tc>
      </w:tr>
      <w:tr>
        <w:trPr>
          <w:trHeight w:val="270"/>
        </w:trPr>
        <w:tc>
          <w:tcPr>
            <w:tcW w:w="586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32"/>
              <w:spacing w:after="0"/>
              <w:rPr>
                <w:sz w:val="20"/>
                <w:szCs w:val="20"/>
                <w:color w:val="auto"/>
              </w:rPr>
            </w:pPr>
            <w:r>
              <w:rPr>
                <w:rFonts w:ascii="Arial" w:cs="Arial" w:eastAsia="Arial" w:hAnsi="Arial"/>
                <w:sz w:val="22"/>
                <w:szCs w:val="22"/>
                <w:b w:val="1"/>
                <w:bCs w:val="1"/>
                <w:color w:val="auto"/>
              </w:rPr>
              <w:t>2020</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112"/>
              <w:spacing w:after="0"/>
              <w:rPr>
                <w:sz w:val="20"/>
                <w:szCs w:val="20"/>
                <w:color w:val="auto"/>
              </w:rPr>
            </w:pPr>
            <w:r>
              <w:rPr>
                <w:rFonts w:ascii="Arial" w:cs="Arial" w:eastAsia="Arial" w:hAnsi="Arial"/>
                <w:sz w:val="22"/>
                <w:szCs w:val="22"/>
                <w:b w:val="1"/>
                <w:bCs w:val="1"/>
                <w:color w:val="auto"/>
                <w:w w:val="98"/>
              </w:rPr>
              <w:t>2019</w:t>
            </w:r>
          </w:p>
        </w:tc>
        <w:tc>
          <w:tcPr>
            <w:tcW w:w="280" w:type="dxa"/>
            <w:vAlign w:val="bottom"/>
          </w:tcPr>
          <w:p>
            <w:pPr>
              <w:spacing w:after="0"/>
              <w:rPr>
                <w:sz w:val="23"/>
                <w:szCs w:val="23"/>
                <w:color w:val="auto"/>
              </w:rPr>
            </w:pPr>
          </w:p>
        </w:tc>
        <w:tc>
          <w:tcPr>
            <w:tcW w:w="1160" w:type="dxa"/>
            <w:vAlign w:val="bottom"/>
            <w:gridSpan w:val="2"/>
          </w:tcPr>
          <w:p>
            <w:pPr>
              <w:jc w:val="right"/>
              <w:ind w:right="112"/>
              <w:spacing w:after="0"/>
              <w:rPr>
                <w:sz w:val="20"/>
                <w:szCs w:val="20"/>
                <w:color w:val="auto"/>
              </w:rPr>
            </w:pPr>
            <w:r>
              <w:rPr>
                <w:rFonts w:ascii="Arial" w:cs="Arial" w:eastAsia="Arial" w:hAnsi="Arial"/>
                <w:sz w:val="22"/>
                <w:szCs w:val="22"/>
                <w:b w:val="1"/>
                <w:bCs w:val="1"/>
                <w:color w:val="auto"/>
              </w:rPr>
              <w:t>2020</w:t>
            </w:r>
          </w:p>
        </w:tc>
        <w:tc>
          <w:tcPr>
            <w:tcW w:w="56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86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Ethanol</w:t>
            </w:r>
          </w:p>
        </w:tc>
        <w:tc>
          <w:tcPr>
            <w:tcW w:w="1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98,850</w:t>
            </w:r>
          </w:p>
        </w:tc>
        <w:tc>
          <w:tcPr>
            <w:tcW w:w="58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66,149</w:t>
            </w:r>
          </w:p>
        </w:tc>
        <w:tc>
          <w:tcPr>
            <w:tcW w:w="280" w:type="dxa"/>
            <w:vAlign w:val="bottom"/>
            <w:tcBorders>
              <w:top w:val="single" w:sz="8" w:color="E5FFFF"/>
            </w:tcBorders>
            <w:shd w:val="clear" w:color="auto" w:fill="E5FFFF"/>
          </w:tcPr>
          <w:p>
            <w:pPr>
              <w:spacing w:after="0"/>
              <w:rPr>
                <w:sz w:val="20"/>
                <w:szCs w:val="20"/>
                <w:color w:val="auto"/>
              </w:rPr>
            </w:pPr>
          </w:p>
        </w:tc>
        <w:tc>
          <w:tcPr>
            <w:tcW w:w="280" w:type="dxa"/>
            <w:vAlign w:val="bottom"/>
            <w:tcBorders>
              <w:top w:val="single" w:sz="8" w:color="E5FFFF"/>
            </w:tcBorders>
            <w:shd w:val="clear" w:color="auto" w:fill="E5FFFF"/>
          </w:tcPr>
          <w:p>
            <w:pPr>
              <w:spacing w:after="0"/>
              <w:rPr>
                <w:sz w:val="20"/>
                <w:szCs w:val="20"/>
                <w:color w:val="auto"/>
              </w:rPr>
            </w:pPr>
          </w:p>
        </w:tc>
        <w:tc>
          <w:tcPr>
            <w:tcW w:w="88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7"/>
              </w:rPr>
              <w:t>$ 191,971</w:t>
            </w:r>
          </w:p>
        </w:tc>
        <w:tc>
          <w:tcPr>
            <w:tcW w:w="560" w:type="dxa"/>
            <w:vAlign w:val="bottom"/>
            <w:tcBorders>
              <w:top w:val="single" w:sz="8" w:color="E5FFFF"/>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9"/>
              </w:rPr>
              <w:t>$ 226,986</w:t>
            </w:r>
          </w:p>
        </w:tc>
        <w:tc>
          <w:tcPr>
            <w:tcW w:w="10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6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160" w:type="dxa"/>
            <w:vAlign w:val="bottom"/>
          </w:tcPr>
          <w:p>
            <w:pPr>
              <w:spacing w:after="0"/>
              <w:rPr>
                <w:sz w:val="21"/>
                <w:szCs w:val="21"/>
                <w:color w:val="auto"/>
              </w:rPr>
            </w:pPr>
          </w:p>
        </w:tc>
        <w:tc>
          <w:tcPr>
            <w:tcW w:w="134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20,916</w:t>
            </w:r>
          </w:p>
        </w:tc>
        <w:tc>
          <w:tcPr>
            <w:tcW w:w="160" w:type="dxa"/>
            <w:vAlign w:val="bottom"/>
          </w:tcPr>
          <w:p>
            <w:pPr>
              <w:spacing w:after="0"/>
              <w:rPr>
                <w:sz w:val="21"/>
                <w:szCs w:val="21"/>
                <w:color w:val="auto"/>
              </w:rPr>
            </w:pPr>
          </w:p>
        </w:tc>
        <w:tc>
          <w:tcPr>
            <w:tcW w:w="100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16,627</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45,314</w:t>
            </w:r>
          </w:p>
        </w:tc>
        <w:tc>
          <w:tcPr>
            <w:tcW w:w="56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51,188</w:t>
            </w:r>
          </w:p>
        </w:tc>
        <w:tc>
          <w:tcPr>
            <w:tcW w:w="0" w:type="dxa"/>
            <w:vAlign w:val="bottom"/>
          </w:tcPr>
          <w:p>
            <w:pPr>
              <w:spacing w:after="0"/>
              <w:rPr>
                <w:sz w:val="1"/>
                <w:szCs w:val="1"/>
                <w:color w:val="auto"/>
              </w:rPr>
            </w:pPr>
          </w:p>
        </w:tc>
      </w:tr>
      <w:tr>
        <w:trPr>
          <w:trHeight w:val="243"/>
        </w:trPr>
        <w:tc>
          <w:tcPr>
            <w:tcW w:w="5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16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4,661</w:t>
            </w:r>
          </w:p>
        </w:tc>
        <w:tc>
          <w:tcPr>
            <w:tcW w:w="1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3,099</w:t>
            </w:r>
          </w:p>
        </w:tc>
        <w:tc>
          <w:tcPr>
            <w:tcW w:w="11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9,162</w:t>
            </w:r>
          </w:p>
        </w:tc>
        <w:tc>
          <w:tcPr>
            <w:tcW w:w="5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12,681</w:t>
            </w:r>
          </w:p>
        </w:tc>
        <w:tc>
          <w:tcPr>
            <w:tcW w:w="0" w:type="dxa"/>
            <w:vAlign w:val="bottom"/>
          </w:tcPr>
          <w:p>
            <w:pPr>
              <w:spacing w:after="0"/>
              <w:rPr>
                <w:sz w:val="1"/>
                <w:szCs w:val="1"/>
                <w:color w:val="auto"/>
              </w:rPr>
            </w:pPr>
          </w:p>
        </w:tc>
      </w:tr>
      <w:tr>
        <w:trPr>
          <w:trHeight w:val="243"/>
        </w:trPr>
        <w:tc>
          <w:tcPr>
            <w:tcW w:w="586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160" w:type="dxa"/>
            <w:vAlign w:val="bottom"/>
          </w:tcPr>
          <w:p>
            <w:pPr>
              <w:spacing w:after="0"/>
              <w:rPr>
                <w:sz w:val="21"/>
                <w:szCs w:val="21"/>
                <w:color w:val="auto"/>
              </w:rPr>
            </w:pPr>
          </w:p>
        </w:tc>
        <w:tc>
          <w:tcPr>
            <w:tcW w:w="134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562</w:t>
            </w:r>
          </w:p>
        </w:tc>
        <w:tc>
          <w:tcPr>
            <w:tcW w:w="160" w:type="dxa"/>
            <w:vAlign w:val="bottom"/>
          </w:tcPr>
          <w:p>
            <w:pPr>
              <w:spacing w:after="0"/>
              <w:rPr>
                <w:sz w:val="21"/>
                <w:szCs w:val="21"/>
                <w:color w:val="auto"/>
              </w:rPr>
            </w:pPr>
          </w:p>
        </w:tc>
        <w:tc>
          <w:tcPr>
            <w:tcW w:w="100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702</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1,228</w:t>
            </w:r>
          </w:p>
        </w:tc>
        <w:tc>
          <w:tcPr>
            <w:tcW w:w="56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5,846</w:t>
            </w:r>
          </w:p>
        </w:tc>
        <w:tc>
          <w:tcPr>
            <w:tcW w:w="0" w:type="dxa"/>
            <w:vAlign w:val="bottom"/>
          </w:tcPr>
          <w:p>
            <w:pPr>
              <w:spacing w:after="0"/>
              <w:rPr>
                <w:sz w:val="1"/>
                <w:szCs w:val="1"/>
                <w:color w:val="auto"/>
              </w:rPr>
            </w:pPr>
          </w:p>
        </w:tc>
      </w:tr>
      <w:tr>
        <w:trPr>
          <w:trHeight w:val="243"/>
        </w:trPr>
        <w:tc>
          <w:tcPr>
            <w:tcW w:w="5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losses</w:t>
            </w:r>
          </w:p>
        </w:tc>
        <w:tc>
          <w:tcPr>
            <w:tcW w:w="16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(777)</w:t>
            </w:r>
          </w:p>
        </w:tc>
        <w:tc>
          <w:tcPr>
            <w:tcW w:w="1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(1,075)</w:t>
            </w:r>
          </w:p>
        </w:tc>
        <w:tc>
          <w:tcPr>
            <w:tcW w:w="5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22"/>
                <w:szCs w:val="22"/>
                <w:color w:val="auto"/>
              </w:rPr>
              <w:t>Other</w:t>
            </w:r>
          </w:p>
        </w:tc>
        <w:tc>
          <w:tcPr>
            <w:tcW w:w="160" w:type="dxa"/>
            <w:vAlign w:val="bottom"/>
          </w:tcPr>
          <w:p>
            <w:pPr>
              <w:spacing w:after="0"/>
              <w:rPr>
                <w:sz w:val="22"/>
                <w:szCs w:val="22"/>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22"/>
                <w:szCs w:val="22"/>
                <w:color w:val="auto"/>
              </w:rPr>
              <w:t>5</w:t>
            </w:r>
          </w:p>
        </w:tc>
        <w:tc>
          <w:tcPr>
            <w:tcW w:w="16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22"/>
                <w:szCs w:val="22"/>
                <w:color w:val="auto"/>
              </w:rPr>
              <w:t>26</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94</w:t>
            </w:r>
          </w:p>
        </w:tc>
        <w:tc>
          <w:tcPr>
            <w:tcW w:w="5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50"/>
        </w:trPr>
        <w:tc>
          <w:tcPr>
            <w:tcW w:w="58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3"/>
              </w:rPr>
              <w:t>124,217</w:t>
            </w:r>
          </w:p>
        </w:tc>
        <w:tc>
          <w:tcPr>
            <w:tcW w:w="58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86,603</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7"/>
              </w:rPr>
              <w:t>$ 246,694</w:t>
            </w:r>
          </w:p>
        </w:tc>
        <w:tc>
          <w:tcPr>
            <w:tcW w:w="560" w:type="dxa"/>
            <w:vAlign w:val="bottom"/>
            <w:tcBorders>
              <w:top w:val="single" w:sz="8" w:color="E5FFFF"/>
              <w:bottom w:val="single" w:sz="8" w:color="E5FFFF"/>
            </w:tcBorders>
            <w:shd w:val="clear" w:color="auto" w:fill="E5FFFF"/>
          </w:tcPr>
          <w:p>
            <w:pPr>
              <w:spacing w:after="0"/>
              <w:rPr>
                <w:sz w:val="21"/>
                <w:szCs w:val="21"/>
                <w:color w:val="auto"/>
              </w:rPr>
            </w:pP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9"/>
              </w:rPr>
              <w:t>$ 296,826</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selected operating data from One Earth and NuGen: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jc w:val="right"/>
              <w:ind w:right="480"/>
              <w:spacing w:after="0"/>
              <w:rPr>
                <w:sz w:val="20"/>
                <w:szCs w:val="20"/>
                <w:color w:val="auto"/>
              </w:rPr>
            </w:pPr>
            <w:r>
              <w:rPr>
                <w:rFonts w:ascii="Arial" w:cs="Arial" w:eastAsia="Arial" w:hAnsi="Arial"/>
                <w:sz w:val="22"/>
                <w:szCs w:val="22"/>
                <w:b w:val="1"/>
                <w:bCs w:val="1"/>
                <w:color w:val="auto"/>
                <w:w w:val="91"/>
              </w:rPr>
              <w:t>Three Months Ended</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22"/>
                <w:szCs w:val="22"/>
                <w:b w:val="1"/>
                <w:bCs w:val="1"/>
                <w:color w:val="auto"/>
                <w:w w:val="89"/>
              </w:rPr>
              <w:t>Nine Months Ended</w:t>
            </w:r>
          </w:p>
        </w:tc>
      </w:tr>
      <w:tr>
        <w:trPr>
          <w:trHeight w:val="257"/>
        </w:trPr>
        <w:tc>
          <w:tcPr>
            <w:tcW w:w="5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22"/>
                <w:szCs w:val="22"/>
                <w:b w:val="1"/>
                <w:bCs w:val="1"/>
                <w:color w:val="auto"/>
              </w:rPr>
              <w:t>October 31,</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22"/>
                <w:szCs w:val="22"/>
                <w:b w:val="1"/>
                <w:bCs w:val="1"/>
                <w:color w:val="auto"/>
                <w:w w:val="89"/>
              </w:rPr>
              <w:t>October 31,</w:t>
            </w:r>
          </w:p>
        </w:tc>
      </w:tr>
      <w:tr>
        <w:trPr>
          <w:trHeight w:val="270"/>
        </w:trPr>
        <w:tc>
          <w:tcPr>
            <w:tcW w:w="58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2020</w:t>
            </w:r>
          </w:p>
        </w:tc>
        <w:tc>
          <w:tcPr>
            <w:tcW w:w="5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2019</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2020</w:t>
            </w:r>
          </w:p>
        </w:tc>
        <w:tc>
          <w:tcPr>
            <w:tcW w:w="5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r>
      <w:tr>
        <w:trPr>
          <w:trHeight w:val="236"/>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gallon of ethanol</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1.31</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1.39</w:t>
            </w:r>
          </w:p>
        </w:tc>
        <w:tc>
          <w:tcPr>
            <w:tcW w:w="42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1.28</w:t>
            </w:r>
          </w:p>
        </w:tc>
        <w:tc>
          <w:tcPr>
            <w:tcW w:w="56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1.34</w:t>
            </w:r>
          </w:p>
        </w:tc>
      </w:tr>
      <w:tr>
        <w:trPr>
          <w:trHeight w:val="243"/>
        </w:trPr>
        <w:tc>
          <w:tcPr>
            <w:tcW w:w="586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160" w:type="dxa"/>
            <w:vAlign w:val="bottom"/>
          </w:tcPr>
          <w:p>
            <w:pPr>
              <w:spacing w:after="0"/>
              <w:rPr>
                <w:sz w:val="21"/>
                <w:szCs w:val="21"/>
                <w:color w:val="auto"/>
              </w:rPr>
            </w:pPr>
          </w:p>
        </w:tc>
        <w:tc>
          <w:tcPr>
            <w:tcW w:w="134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74.6</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47.6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149.4</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169.4</w:t>
            </w:r>
          </w:p>
        </w:tc>
      </w:tr>
      <w:tr>
        <w:trPr>
          <w:trHeight w:val="243"/>
        </w:trPr>
        <w:tc>
          <w:tcPr>
            <w:tcW w:w="5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dried distillers grains</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129.38</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134.57</w:t>
            </w:r>
          </w:p>
        </w:tc>
        <w:tc>
          <w:tcPr>
            <w:tcW w:w="42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136.49</w:t>
            </w:r>
          </w:p>
        </w:tc>
        <w:tc>
          <w:tcPr>
            <w:tcW w:w="56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137.48</w:t>
            </w:r>
          </w:p>
        </w:tc>
      </w:tr>
      <w:tr>
        <w:trPr>
          <w:trHeight w:val="243"/>
        </w:trPr>
        <w:tc>
          <w:tcPr>
            <w:tcW w:w="586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160" w:type="dxa"/>
            <w:vAlign w:val="bottom"/>
          </w:tcPr>
          <w:p>
            <w:pPr>
              <w:spacing w:after="0"/>
              <w:rPr>
                <w:sz w:val="21"/>
                <w:szCs w:val="21"/>
                <w:color w:val="auto"/>
              </w:rPr>
            </w:pPr>
          </w:p>
        </w:tc>
        <w:tc>
          <w:tcPr>
            <w:tcW w:w="134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w w:val="93"/>
              </w:rPr>
              <w:t>161,666</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w w:val="90"/>
              </w:rPr>
              <w:t>123,557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w w:val="90"/>
              </w:rPr>
              <w:t>331,990</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w w:val="93"/>
              </w:rPr>
              <w:t>372,327</w:t>
            </w:r>
          </w:p>
        </w:tc>
      </w:tr>
      <w:tr>
        <w:trPr>
          <w:trHeight w:val="243"/>
        </w:trPr>
        <w:tc>
          <w:tcPr>
            <w:tcW w:w="5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pound of non-food grade corn oil</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0.24</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0.26</w:t>
            </w:r>
          </w:p>
        </w:tc>
        <w:tc>
          <w:tcPr>
            <w:tcW w:w="42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0.25</w:t>
            </w:r>
          </w:p>
        </w:tc>
        <w:tc>
          <w:tcPr>
            <w:tcW w:w="56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0.25</w:t>
            </w:r>
          </w:p>
        </w:tc>
      </w:tr>
      <w:tr>
        <w:trPr>
          <w:trHeight w:val="243"/>
        </w:trPr>
        <w:tc>
          <w:tcPr>
            <w:tcW w:w="5860" w:type="dxa"/>
            <w:vAlign w:val="bottom"/>
          </w:tcPr>
          <w:p>
            <w:pPr>
              <w:spacing w:after="0" w:line="243" w:lineRule="exact"/>
              <w:rPr>
                <w:sz w:val="20"/>
                <w:szCs w:val="20"/>
                <w:color w:val="auto"/>
              </w:rPr>
            </w:pPr>
            <w:r>
              <w:rPr>
                <w:rFonts w:ascii="Arial" w:cs="Arial" w:eastAsia="Arial" w:hAnsi="Arial"/>
                <w:sz w:val="22"/>
                <w:szCs w:val="22"/>
                <w:color w:val="auto"/>
              </w:rPr>
              <w:t>Pounds of non-food grade corn oil sold (in millions)</w:t>
            </w:r>
          </w:p>
        </w:tc>
        <w:tc>
          <w:tcPr>
            <w:tcW w:w="160" w:type="dxa"/>
            <w:vAlign w:val="bottom"/>
          </w:tcPr>
          <w:p>
            <w:pPr>
              <w:spacing w:after="0"/>
              <w:rPr>
                <w:sz w:val="21"/>
                <w:szCs w:val="21"/>
                <w:color w:val="auto"/>
              </w:rPr>
            </w:pPr>
          </w:p>
        </w:tc>
        <w:tc>
          <w:tcPr>
            <w:tcW w:w="134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19.0</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11.9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37.2</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49.8</w:t>
            </w:r>
          </w:p>
        </w:tc>
      </w:tr>
      <w:tr>
        <w:trPr>
          <w:trHeight w:val="243"/>
        </w:trPr>
        <w:tc>
          <w:tcPr>
            <w:tcW w:w="5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modified distillers grains</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56.68</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56.56</w:t>
            </w:r>
          </w:p>
        </w:tc>
        <w:tc>
          <w:tcPr>
            <w:tcW w:w="42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52.44</w:t>
            </w:r>
          </w:p>
        </w:tc>
        <w:tc>
          <w:tcPr>
            <w:tcW w:w="56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59.67</w:t>
            </w:r>
          </w:p>
        </w:tc>
      </w:tr>
      <w:tr>
        <w:trPr>
          <w:trHeight w:val="243"/>
        </w:trPr>
        <w:tc>
          <w:tcPr>
            <w:tcW w:w="5860" w:type="dxa"/>
            <w:vAlign w:val="bottom"/>
          </w:tcPr>
          <w:p>
            <w:pPr>
              <w:spacing w:after="0" w:line="243" w:lineRule="exact"/>
              <w:rPr>
                <w:sz w:val="20"/>
                <w:szCs w:val="20"/>
                <w:color w:val="auto"/>
              </w:rPr>
            </w:pPr>
            <w:r>
              <w:rPr>
                <w:rFonts w:ascii="Arial" w:cs="Arial" w:eastAsia="Arial" w:hAnsi="Arial"/>
                <w:sz w:val="22"/>
                <w:szCs w:val="22"/>
                <w:color w:val="auto"/>
              </w:rPr>
              <w:t>Tons of modified distillers grains sold</w:t>
            </w:r>
          </w:p>
        </w:tc>
        <w:tc>
          <w:tcPr>
            <w:tcW w:w="160" w:type="dxa"/>
            <w:vAlign w:val="bottom"/>
          </w:tcPr>
          <w:p>
            <w:pPr>
              <w:spacing w:after="0"/>
              <w:rPr>
                <w:sz w:val="21"/>
                <w:szCs w:val="21"/>
                <w:color w:val="auto"/>
              </w:rPr>
            </w:pPr>
          </w:p>
        </w:tc>
        <w:tc>
          <w:tcPr>
            <w:tcW w:w="134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9,924</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12,420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23,431</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97,975</w:t>
            </w:r>
          </w:p>
        </w:tc>
      </w:tr>
      <w:tr>
        <w:trPr>
          <w:trHeight w:val="243"/>
        </w:trPr>
        <w:tc>
          <w:tcPr>
            <w:tcW w:w="5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cost per bushel of grain</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3.28</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4.15</w:t>
            </w:r>
          </w:p>
        </w:tc>
        <w:tc>
          <w:tcPr>
            <w:tcW w:w="42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3.57</w:t>
            </w:r>
          </w:p>
        </w:tc>
        <w:tc>
          <w:tcPr>
            <w:tcW w:w="56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3.79</w:t>
            </w:r>
          </w:p>
        </w:tc>
      </w:tr>
      <w:tr>
        <w:trPr>
          <w:trHeight w:val="274"/>
        </w:trPr>
        <w:tc>
          <w:tcPr>
            <w:tcW w:w="5860" w:type="dxa"/>
            <w:vAlign w:val="bottom"/>
          </w:tcPr>
          <w:p>
            <w:pPr>
              <w:spacing w:after="0"/>
              <w:rPr>
                <w:sz w:val="20"/>
                <w:szCs w:val="20"/>
                <w:color w:val="auto"/>
              </w:rPr>
            </w:pPr>
            <w:r>
              <w:rPr>
                <w:rFonts w:ascii="Arial" w:cs="Arial" w:eastAsia="Arial" w:hAnsi="Arial"/>
                <w:sz w:val="22"/>
                <w:szCs w:val="22"/>
                <w:color w:val="auto"/>
              </w:rPr>
              <w:t>Average cost of natural gas (per MmBtu)</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gridSpan w:val="2"/>
          </w:tcPr>
          <w:p>
            <w:pPr>
              <w:jc w:val="right"/>
              <w:ind w:right="580"/>
              <w:spacing w:after="0"/>
              <w:rPr>
                <w:sz w:val="20"/>
                <w:szCs w:val="20"/>
                <w:color w:val="auto"/>
              </w:rPr>
            </w:pPr>
            <w:r>
              <w:rPr>
                <w:rFonts w:ascii="Arial" w:cs="Arial" w:eastAsia="Arial" w:hAnsi="Arial"/>
                <w:sz w:val="22"/>
                <w:szCs w:val="22"/>
                <w:color w:val="auto"/>
              </w:rPr>
              <w:t>2.09</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gridSpan w:val="2"/>
          </w:tcPr>
          <w:p>
            <w:pPr>
              <w:jc w:val="right"/>
              <w:ind w:right="280"/>
              <w:spacing w:after="0"/>
              <w:rPr>
                <w:sz w:val="20"/>
                <w:szCs w:val="20"/>
                <w:color w:val="auto"/>
              </w:rPr>
            </w:pPr>
            <w:r>
              <w:rPr>
                <w:rFonts w:ascii="Arial" w:cs="Arial" w:eastAsia="Arial" w:hAnsi="Arial"/>
                <w:sz w:val="22"/>
                <w:szCs w:val="22"/>
                <w:color w:val="auto"/>
              </w:rPr>
              <w:t>2.51</w:t>
            </w:r>
          </w:p>
        </w:tc>
        <w:tc>
          <w:tcPr>
            <w:tcW w:w="42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740" w:type="dxa"/>
            <w:vAlign w:val="bottom"/>
          </w:tcPr>
          <w:p>
            <w:pPr>
              <w:jc w:val="right"/>
              <w:spacing w:after="0"/>
              <w:rPr>
                <w:sz w:val="20"/>
                <w:szCs w:val="20"/>
                <w:color w:val="auto"/>
              </w:rPr>
            </w:pPr>
            <w:r>
              <w:rPr>
                <w:rFonts w:ascii="Arial" w:cs="Arial" w:eastAsia="Arial" w:hAnsi="Arial"/>
                <w:sz w:val="22"/>
                <w:szCs w:val="22"/>
                <w:color w:val="auto"/>
              </w:rPr>
              <w:t>2.87</w:t>
            </w:r>
          </w:p>
        </w:tc>
        <w:tc>
          <w:tcPr>
            <w:tcW w:w="5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gridSpan w:val="2"/>
          </w:tcPr>
          <w:p>
            <w:pPr>
              <w:jc w:val="right"/>
              <w:ind w:right="100"/>
              <w:spacing w:after="0"/>
              <w:rPr>
                <w:sz w:val="20"/>
                <w:szCs w:val="20"/>
                <w:color w:val="auto"/>
              </w:rPr>
            </w:pPr>
            <w:r>
              <w:rPr>
                <w:rFonts w:ascii="Arial" w:cs="Arial" w:eastAsia="Arial" w:hAnsi="Arial"/>
                <w:sz w:val="22"/>
                <w:szCs w:val="22"/>
                <w:color w:val="auto"/>
              </w:rPr>
              <w:t>2.98</w:t>
            </w:r>
          </w:p>
        </w:tc>
      </w:tr>
    </w:tbl>
    <w:p>
      <w:pPr>
        <w:spacing w:after="0" w:line="190"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Ethanol sales increased from approximately $66.1 million in the third quarter of fiscal year 2019 to approximately $98.9 million in the third quarter of fiscal year 2020, primarily as a result of a 57% increase in gallons sold compared to the third quarter of fiscal year 2019. Dried distillers grains sales increased from approximately $16.6 million in the third quarter of fiscal year 2019 to approximately $20.9 million in the third quarter of fiscal year 2020, primarily as a result of a 31% increase in tons sold compared to the third quarter of fiscal year 2019. Non-food grade corn oil sales increased from approximately $3.1 million in the third quarter of fiscal year 2019 to approximately $4.7 million in the third quarter of fiscal year 2020. The increase was primarily a result of a 60% increase in pounds sold compared to the third quarter of fiscal year 2019. Modified distillers grains sales were approximately $0.7 million in the third quarter of fiscal year 2019 compared to approximately $0.6 million in the third quarter of fiscal year 2020. The decrease was primarily a result of a 20% decrease in tons sold compared to the third quarter of fiscal year 2019.</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 w:name="page32"/>
    <w:bookmarkEnd w:id="31"/>
    <w:p>
      <w:pPr>
        <w:jc w:val="both"/>
        <w:ind w:right="20"/>
        <w:spacing w:after="0" w:line="287" w:lineRule="auto"/>
        <w:rPr>
          <w:sz w:val="20"/>
          <w:szCs w:val="20"/>
          <w:color w:val="auto"/>
        </w:rPr>
      </w:pPr>
      <w:r>
        <w:rPr>
          <w:rFonts w:ascii="Arial" w:cs="Arial" w:eastAsia="Arial" w:hAnsi="Arial"/>
          <w:sz w:val="19"/>
          <w:szCs w:val="19"/>
          <w:color w:val="auto"/>
        </w:rPr>
        <w:t>Losses on derivative financial instruments were approximately $0.8 million during the third quarter of fiscal year 2020 and were insignificant during the third quarter of fiscal year 2019. The above noted volume increases were primarily a result of diminished local supplies of corn from a poor 2019 harvest caused by weather conditions in that area, which prevented us from operating our NuGen ethanol plant at or near historical production levels during the third quarter of fiscal year 2019.</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Ethanol sales decreased from approximately $227.0 million in the first nine months of fiscal year 2019 to approximately $192.0 million in the first nine months of fiscal year 2020, primarily a result of a decrease of 20.0 million gallons sold. Dried distillers grains sales decreased from approximately $51.2 million in the first nine months of fiscal year 2019 to approximately $45.3 million in the first nine months of fiscal year 2020, primarily a result of a 11% decrease in tons sold compared to the first nine months of fiscal year 2019. Non-food grade corn oil sales decreased from approximately $12.7 million in the first nine months of fiscal year 2019 to approximately $9.2 million in the first nine months of fiscal year 2020, primarily a result of a 25% decrease in pounds sold. Modified distillers grains sales decreased from approximately $5.8 million in the first nine months of fiscal year 2019 to approximately $1.2 million in the first nine months of fiscal year 2020, primarily a result of an 76% decrease in tons sold compared to the first nine months of fiscal year 2019. Losses on derivative financial instruments were approximately $1.1 million during the first nine months of fiscal year 2020 and were insignificant during the first nine months of fiscal year 2019. The volume decreases for the nine months ended October 31, 2020 were primarily a result of the impact of the COVID-19 outbreak on ethanol demand, lower ethanol pricing, an oversupply of oil and diminished local supplies of corn from a poor 2019 harvest caused by localized weather conditions. These factors resulted in idling both of our consolidated ethanol plants in March of 2020. In May of 2020, businesses and other activities slowly began to reopen, which led to an increase in demand for gasoline and ethanol, and in related prices. As a result, we resumed production operations at the One Earth ethanol plant in May of 2020 and at the NuGen ethanol plant in June of 2020.</w:t>
      </w:r>
    </w:p>
    <w:p>
      <w:pPr>
        <w:spacing w:after="0" w:line="200" w:lineRule="exact"/>
        <w:rPr>
          <w:sz w:val="20"/>
          <w:szCs w:val="20"/>
          <w:color w:val="auto"/>
        </w:rPr>
      </w:pPr>
    </w:p>
    <w:p>
      <w:pPr>
        <w:spacing w:after="0" w:line="230"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Gross profit for the third quarter of fiscal year 2020 was approximately $18.9 million compared to approximately $28,000 of gross profit for the third quarter of fiscal year 2019. The crush spread for the third quarter of fiscal year 2020 was approximately $0.19 per gallon of ethanol sold compared to approximately $(0.04) per gallon of ethanol sold during the third quarter of fiscal year 2019. In addition, there were weather related logistical delays and diminished local availability of corn which negatively impacted production levels at NuGen during the third quarter of fiscal year 2019.</w:t>
      </w:r>
    </w:p>
    <w:p>
      <w:pPr>
        <w:spacing w:after="0" w:line="205"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Corn accounted for approximately 79% ($83.4 million) of our cost of sales during the third quarter of fiscal year 2020 compared to approximately 78% ($67.7 million) during the third quarter of fiscal year 2019. Natural gas accounted for approximately 4% ($4.0 million) of our cost of sales during the third quarter of fiscal year 2020 compared to approximately 4% ($3.2 million) during the third quarter of fiscal year 2019. Both the corn and natural gas dollar increases were primarily attributable to the higher production levels incurred in the third quarter of fiscal year 2020 compared to the third quarter of fiscal year 2019 levels.</w:t>
      </w:r>
    </w:p>
    <w:p>
      <w:pPr>
        <w:spacing w:after="0" w:line="215"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Gross profit for the first nine months of fiscal year 2020 was approximately $11.3 million, which was approximately $1.1 million lower compared to approximately $12.3 million of gross profit for the first nine months of fiscal year 2019. The crush spread for the first nine months of fiscal year 2020 was approximately $0.05 per gallon of ethanol sold compared to the first nine months of fiscal year 2019 which was approximately $0.03 per gallon of ethanol sold. Both of our consolidated ethanol plants were idled for portions of the first nine months of fiscal year 2020. Consequently, lower production and resulting sales volumes reduced gross profit for the first nine months of fiscal year 2020.</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32" w:name="page33"/>
    <w:bookmarkEnd w:id="32"/>
    <w:p>
      <w:pPr>
        <w:ind w:firstLine="648"/>
        <w:spacing w:after="0" w:line="235" w:lineRule="auto"/>
        <w:rPr>
          <w:sz w:val="20"/>
          <w:szCs w:val="20"/>
          <w:color w:val="auto"/>
        </w:rPr>
      </w:pPr>
      <w:r>
        <w:rPr>
          <w:rFonts w:ascii="Arial" w:cs="Arial" w:eastAsia="Arial" w:hAnsi="Arial"/>
          <w:sz w:val="22"/>
          <w:szCs w:val="22"/>
          <w:color w:val="auto"/>
        </w:rPr>
        <w:t>Grain accounted for approximately 76% ($178.3 million) of our cost of sales during the first nine months of fiscal year 2020 compared to approximately 78% ($221.3 million) during the first nine months of fiscal year 2019. Natural gas accounted for approximately 5% ($11.3 million) of our cost of sales during the first nine months of fiscal year 2020 compared to approximately 5% ($13.5 million) during the first nine months of fiscal year 2019. Both the grain and natural gas dollar decreases were primarily attributable to the lower production levels incurred in the first nine months of fiscal year 2020 compared to the first nine months of fiscal year 2019 levels.</w:t>
      </w:r>
    </w:p>
    <w:p>
      <w:pPr>
        <w:spacing w:after="0" w:line="21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9"/>
          <w:szCs w:val="19"/>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79" w:lineRule="exact"/>
        <w:rPr>
          <w:sz w:val="20"/>
          <w:szCs w:val="20"/>
          <w:color w:val="auto"/>
        </w:rPr>
      </w:pPr>
    </w:p>
    <w:p>
      <w:pPr>
        <w:ind w:right="440" w:firstLine="648"/>
        <w:spacing w:after="0" w:line="297" w:lineRule="auto"/>
        <w:rPr>
          <w:sz w:val="20"/>
          <w:szCs w:val="20"/>
          <w:color w:val="auto"/>
        </w:rPr>
      </w:pPr>
      <w:r>
        <w:rPr>
          <w:rFonts w:ascii="Arial" w:cs="Arial" w:eastAsia="Arial" w:hAnsi="Arial"/>
          <w:sz w:val="19"/>
          <w:szCs w:val="19"/>
          <w:color w:val="auto"/>
        </w:rPr>
        <w:t>SG&amp;A expenses for the third quarter of fiscal year 2020 were approximately $3.5 million, consistent with the third quarter of fiscal year 2019 amount of approximately $3.6 million. SG&amp;A expenses were approximately $11.1 million for the first nine months of fiscal year 2020, consistent with the first nine months of fiscal year 2019 amount of $11.6 million.</w:t>
      </w:r>
    </w:p>
    <w:p>
      <w:pPr>
        <w:spacing w:after="0" w:line="161"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During the third quarter of fiscal year 2020 we recognized income of approximately $1,152,000 compared to a loss of approximately $15,000 for the third quarter of fiscal year 2019, from our equity investment in Big River. We recognized income of approximately $168,000 during the first nine months of fiscal year 2020 compared to approximately $350,000 during the first nine months of fiscal year 2019. Big River’s results for the nine months ended October 31, 2020 were negatively impacted by the COVID-19 outbreak. Big River has interests in four ethanol production plants that shipped approximately 390 million gallons in the trailing twelve months ended October 31, 2020 and has an effective ownership of ethanol gallons shipped for the same period of approximately 337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Interest and other income was approximately $0.5 million for the third quarter of fiscal year 2020 compared to approximately $0.7 million for the third quarter of fiscal year 2019. Interest and other income was approximately $1.1 million for the first nine months of fiscal year 2020 compared to approximately $2.4 million for the first nine months of fiscal year 2019. Interest income has decreased as yields on our excess cash decreased compared to fiscal year 2019 and our excess cash investment balances decreased compared to fiscal year 2019.</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3" w:name="page34"/>
    <w:bookmarkEnd w:id="33"/>
    <w:p>
      <w:pPr>
        <w:ind w:right="40" w:firstLine="648"/>
        <w:spacing w:after="0" w:line="287" w:lineRule="auto"/>
        <w:rPr>
          <w:sz w:val="20"/>
          <w:szCs w:val="20"/>
          <w:color w:val="auto"/>
        </w:rPr>
      </w:pPr>
      <w:r>
        <w:rPr>
          <w:rFonts w:ascii="Arial" w:cs="Arial" w:eastAsia="Arial" w:hAnsi="Arial"/>
          <w:sz w:val="19"/>
          <w:szCs w:val="19"/>
          <w:color w:val="auto"/>
        </w:rPr>
        <w:t>The provision for income taxes was approximately $5.1 million in the third quarter of fiscal year 2020 compared to a benefit of approximately $0.9 million in the third quarter of fiscal year 2019. The provision for income taxes was approximately $17,000 in the first nine months of fiscal year 2020 compared to approximately $160,000 in the first nine months of fiscal year 2019. The fluctuation in segment income tax benefit or provision is primarily related to the fluctuation in pre-tax income or loss.</w:t>
      </w:r>
    </w:p>
    <w:p>
      <w:pPr>
        <w:spacing w:after="0" w:line="170" w:lineRule="exact"/>
        <w:rPr>
          <w:sz w:val="20"/>
          <w:szCs w:val="20"/>
          <w:color w:val="auto"/>
        </w:rPr>
      </w:pPr>
    </w:p>
    <w:p>
      <w:pPr>
        <w:ind w:right="140" w:firstLine="648"/>
        <w:spacing w:after="0" w:line="252" w:lineRule="auto"/>
        <w:rPr>
          <w:sz w:val="20"/>
          <w:szCs w:val="20"/>
          <w:color w:val="auto"/>
        </w:rPr>
      </w:pPr>
      <w:r>
        <w:rPr>
          <w:rFonts w:ascii="Arial" w:cs="Arial" w:eastAsia="Arial" w:hAnsi="Arial"/>
          <w:sz w:val="21"/>
          <w:szCs w:val="21"/>
          <w:color w:val="auto"/>
        </w:rPr>
        <w:t>Income related to noncontrolling interests was approximately $2.3 million and approximately $0.5 million during the third quarters of fiscal years 2020 and 2019, respectively. Income related to noncontrolling interests was approximately $1.3 million and approximately $2.6 million during the first nine months of fiscal years 2020 and 2019, respectively. These amounts represent the other owners’ share of the income or loss of NuGen and One Earth.</w:t>
      </w:r>
    </w:p>
    <w:p>
      <w:pPr>
        <w:spacing w:after="0" w:line="201"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Segment profit for the third quarter of fiscal year 2020 was approximately $9.7 million, which was an increase of approximately $12.0 million compared to the prior year third quarter segment loss of approximately $2.3 million. Segment profit for the first nine months of fiscal year 2020 was approximately $49,000, which was approximately $635,000 lower compared to the first nine months of fiscal year 2019 segment profit of approximately $684,000.</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The refined coal segment includes the consolidated financial results of our refined coal entity and certain administrative expenses. We acquired the refined coal entity during the third quarter of fiscal year 2017. The following table summarizes sales from refined coal operations by product group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80" w:type="dxa"/>
            <w:vAlign w:val="bottom"/>
            <w:gridSpan w:val="4"/>
          </w:tcPr>
          <w:p>
            <w:pPr>
              <w:ind w:left="280"/>
              <w:spacing w:after="0"/>
              <w:rPr>
                <w:sz w:val="20"/>
                <w:szCs w:val="20"/>
                <w:color w:val="auto"/>
              </w:rPr>
            </w:pPr>
            <w:r>
              <w:rPr>
                <w:rFonts w:ascii="Arial" w:cs="Arial" w:eastAsia="Arial" w:hAnsi="Arial"/>
                <w:sz w:val="22"/>
                <w:szCs w:val="22"/>
                <w:b w:val="1"/>
                <w:bCs w:val="1"/>
                <w:color w:val="auto"/>
                <w:w w:val="90"/>
              </w:rPr>
              <w:t>Three Months Ended</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gridSpan w:val="4"/>
          </w:tcPr>
          <w:p>
            <w:pPr>
              <w:ind w:left="100"/>
              <w:spacing w:after="0"/>
              <w:rPr>
                <w:sz w:val="20"/>
                <w:szCs w:val="20"/>
                <w:color w:val="auto"/>
              </w:rPr>
            </w:pPr>
            <w:r>
              <w:rPr>
                <w:rFonts w:ascii="Arial" w:cs="Arial" w:eastAsia="Arial" w:hAnsi="Arial"/>
                <w:sz w:val="22"/>
                <w:szCs w:val="22"/>
                <w:b w:val="1"/>
                <w:bCs w:val="1"/>
                <w:color w:val="auto"/>
              </w:rPr>
              <w:t>Nine Months Ended</w:t>
            </w:r>
          </w:p>
        </w:tc>
        <w:tc>
          <w:tcPr>
            <w:tcW w:w="0" w:type="dxa"/>
            <w:vAlign w:val="bottom"/>
          </w:tcPr>
          <w:p>
            <w:pPr>
              <w:spacing w:after="0"/>
              <w:rPr>
                <w:sz w:val="1"/>
                <w:szCs w:val="1"/>
                <w:color w:val="auto"/>
              </w:rPr>
            </w:pPr>
          </w:p>
        </w:tc>
      </w:tr>
      <w:tr>
        <w:trPr>
          <w:trHeight w:val="257"/>
        </w:trPr>
        <w:tc>
          <w:tcPr>
            <w:tcW w:w="4600" w:type="dxa"/>
            <w:vAlign w:val="bottom"/>
            <w:vMerge w:val="restart"/>
          </w:tcPr>
          <w:p>
            <w:pPr>
              <w:spacing w:after="0"/>
              <w:rPr>
                <w:sz w:val="20"/>
                <w:szCs w:val="20"/>
                <w:color w:val="auto"/>
              </w:rPr>
            </w:pPr>
            <w:r>
              <w:rPr>
                <w:rFonts w:ascii="Arial" w:cs="Arial" w:eastAsia="Arial" w:hAnsi="Arial"/>
                <w:sz w:val="22"/>
                <w:szCs w:val="22"/>
                <w:color w:val="auto"/>
              </w:rPr>
              <w:t>Sales of products, refined coal segment:</w:t>
            </w:r>
          </w:p>
        </w:tc>
        <w:tc>
          <w:tcPr>
            <w:tcW w:w="1140" w:type="dxa"/>
            <w:vAlign w:val="bottom"/>
          </w:tcPr>
          <w:p>
            <w:pPr>
              <w:spacing w:after="0"/>
              <w:rPr>
                <w:sz w:val="22"/>
                <w:szCs w:val="22"/>
                <w:color w:val="auto"/>
              </w:rPr>
            </w:pPr>
          </w:p>
        </w:tc>
        <w:tc>
          <w:tcPr>
            <w:tcW w:w="2280" w:type="dxa"/>
            <w:vAlign w:val="bottom"/>
            <w:gridSpan w:val="4"/>
          </w:tcPr>
          <w:p>
            <w:pPr>
              <w:ind w:left="720"/>
              <w:spacing w:after="0"/>
              <w:rPr>
                <w:sz w:val="20"/>
                <w:szCs w:val="20"/>
                <w:color w:val="auto"/>
              </w:rPr>
            </w:pPr>
            <w:r>
              <w:rPr>
                <w:rFonts w:ascii="Arial" w:cs="Arial" w:eastAsia="Arial" w:hAnsi="Arial"/>
                <w:sz w:val="22"/>
                <w:szCs w:val="22"/>
                <w:b w:val="1"/>
                <w:bCs w:val="1"/>
                <w:color w:val="auto"/>
              </w:rPr>
              <w:t>October 31,</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40" w:type="dxa"/>
            <w:vAlign w:val="bottom"/>
            <w:gridSpan w:val="4"/>
          </w:tcPr>
          <w:p>
            <w:pPr>
              <w:ind w:left="480"/>
              <w:spacing w:after="0"/>
              <w:rPr>
                <w:sz w:val="20"/>
                <w:szCs w:val="20"/>
                <w:color w:val="auto"/>
              </w:rPr>
            </w:pPr>
            <w:r>
              <w:rPr>
                <w:rFonts w:ascii="Arial" w:cs="Arial" w:eastAsia="Arial" w:hAnsi="Arial"/>
                <w:sz w:val="22"/>
                <w:szCs w:val="22"/>
                <w:b w:val="1"/>
                <w:bCs w:val="1"/>
                <w:color w:val="auto"/>
              </w:rPr>
              <w:t>October 31,</w:t>
            </w:r>
          </w:p>
        </w:tc>
        <w:tc>
          <w:tcPr>
            <w:tcW w:w="0" w:type="dxa"/>
            <w:vAlign w:val="bottom"/>
          </w:tcPr>
          <w:p>
            <w:pPr>
              <w:spacing w:after="0"/>
              <w:rPr>
                <w:sz w:val="1"/>
                <w:szCs w:val="1"/>
                <w:color w:val="auto"/>
              </w:rPr>
            </w:pPr>
          </w:p>
        </w:tc>
      </w:tr>
      <w:tr>
        <w:trPr>
          <w:trHeight w:val="270"/>
        </w:trPr>
        <w:tc>
          <w:tcPr>
            <w:tcW w:w="4600" w:type="dxa"/>
            <w:vAlign w:val="bottom"/>
            <w:vMerge w:val="continue"/>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22"/>
                <w:szCs w:val="22"/>
                <w:b w:val="1"/>
                <w:bCs w:val="1"/>
                <w:color w:val="auto"/>
                <w:w w:val="93"/>
              </w:rPr>
              <w:t>2020</w:t>
            </w:r>
          </w:p>
        </w:tc>
        <w:tc>
          <w:tcPr>
            <w:tcW w:w="260" w:type="dxa"/>
            <w:vAlign w:val="bottom"/>
            <w:tcBorders>
              <w:bottom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2019</w:t>
            </w:r>
          </w:p>
        </w:tc>
        <w:tc>
          <w:tcPr>
            <w:tcW w:w="24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2020</w:t>
            </w:r>
          </w:p>
        </w:tc>
        <w:tc>
          <w:tcPr>
            <w:tcW w:w="4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561"/>
        </w:trPr>
        <w:tc>
          <w:tcPr>
            <w:tcW w:w="4600" w:type="dxa"/>
            <w:vAlign w:val="bottom"/>
          </w:tcPr>
          <w:p>
            <w:pPr>
              <w:spacing w:after="0"/>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920" w:type="dxa"/>
            <w:vAlign w:val="bottom"/>
            <w:gridSpan w:val="2"/>
          </w:tcPr>
          <w:p>
            <w:pPr>
              <w:jc w:val="right"/>
              <w:ind w:right="552"/>
              <w:spacing w:after="0"/>
              <w:rPr>
                <w:sz w:val="20"/>
                <w:szCs w:val="20"/>
                <w:color w:val="auto"/>
              </w:rPr>
            </w:pPr>
            <w:r>
              <w:rPr>
                <w:rFonts w:ascii="Arial" w:cs="Arial" w:eastAsia="Arial" w:hAnsi="Arial"/>
                <w:sz w:val="22"/>
                <w:szCs w:val="22"/>
                <w:color w:val="auto"/>
              </w:rPr>
              <w:t>$</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34</w:t>
            </w:r>
          </w:p>
        </w:tc>
        <w:tc>
          <w:tcPr>
            <w:tcW w:w="1240" w:type="dxa"/>
            <w:vAlign w:val="bottom"/>
            <w:gridSpan w:val="2"/>
          </w:tcPr>
          <w:p>
            <w:pPr>
              <w:jc w:val="right"/>
              <w:ind w:right="572"/>
              <w:spacing w:after="0"/>
              <w:rPr>
                <w:sz w:val="20"/>
                <w:szCs w:val="20"/>
                <w:color w:val="auto"/>
              </w:rPr>
            </w:pPr>
            <w:r>
              <w:rPr>
                <w:rFonts w:ascii="Arial" w:cs="Arial" w:eastAsia="Arial" w:hAnsi="Arial"/>
                <w:sz w:val="22"/>
                <w:szCs w:val="22"/>
                <w:color w:val="auto"/>
              </w:rPr>
              <w:t>$</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68</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2"/>
          </w:tcPr>
          <w:p>
            <w:pPr>
              <w:ind w:left="480"/>
              <w:spacing w:after="0"/>
              <w:rPr>
                <w:sz w:val="20"/>
                <w:szCs w:val="20"/>
                <w:color w:val="auto"/>
              </w:rPr>
            </w:pPr>
            <w:r>
              <w:rPr>
                <w:rFonts w:ascii="Arial" w:cs="Arial" w:eastAsia="Arial" w:hAnsi="Arial"/>
                <w:sz w:val="22"/>
                <w:szCs w:val="22"/>
                <w:color w:val="auto"/>
              </w:rPr>
              <w:t>134</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tcPr>
          <w:p>
            <w:pPr>
              <w:jc w:val="right"/>
              <w:spacing w:after="0"/>
              <w:rPr>
                <w:sz w:val="20"/>
                <w:szCs w:val="20"/>
                <w:color w:val="auto"/>
              </w:rPr>
            </w:pPr>
            <w:r>
              <w:rPr>
                <w:rFonts w:ascii="Arial" w:cs="Arial" w:eastAsia="Arial" w:hAnsi="Arial"/>
                <w:sz w:val="22"/>
                <w:szCs w:val="22"/>
                <w:color w:val="auto"/>
              </w:rPr>
              <w:t>288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80" w:firstLine="656"/>
        <w:spacing w:after="0" w:line="186" w:lineRule="auto"/>
        <w:tabs>
          <w:tab w:leader="none" w:pos="792" w:val="left"/>
        </w:tabs>
        <w:numPr>
          <w:ilvl w:val="0"/>
          <w:numId w:val="8"/>
        </w:numPr>
        <w:rPr>
          <w:rFonts w:ascii="Arial" w:cs="Arial" w:eastAsia="Arial" w:hAnsi="Arial"/>
          <w:sz w:val="36"/>
          <w:szCs w:val="36"/>
          <w:color w:val="auto"/>
          <w:vertAlign w:val="superscript"/>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212"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Refined coal sales were approximately $34,000 and approximately $68,000 in the third quarters of fiscal years 2020 and 2019, respectively. Refined coal sales were approximately $134,000 and approximately $288,000 in the first nine months of fiscal years 2020 and 2019, respectively. During fiscal year 2020, operating results have been adversely affected by lower utility plant demand (our only customer). Refined coal sales vary depending on fluctuations in demand from the site host utility, which generally changes based upon weather conditions in the geographic markets the utility serves and competing energy prices and supplies and the state of the economy. Based upon current year operations and projections from the site host utility, we expect varying and intermittent demand for refined coal in future periods compared to historical results.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2" w:right="419" w:bottom="1440" w:gutter="0" w:footer="0" w:header="0"/>
        </w:sectPr>
      </w:pPr>
    </w:p>
    <w:bookmarkStart w:id="34" w:name="page35"/>
    <w:bookmarkEnd w:id="34"/>
    <w:p>
      <w:pPr>
        <w:ind w:right="40" w:firstLine="648"/>
        <w:spacing w:after="0" w:line="235" w:lineRule="auto"/>
        <w:rPr>
          <w:sz w:val="20"/>
          <w:szCs w:val="20"/>
          <w:color w:val="auto"/>
        </w:rPr>
      </w:pPr>
      <w:r>
        <w:rPr>
          <w:rFonts w:ascii="Arial" w:cs="Arial" w:eastAsia="Arial" w:hAnsi="Arial"/>
          <w:sz w:val="22"/>
          <w:szCs w:val="22"/>
          <w:color w:val="auto"/>
        </w:rPr>
        <w:t>Gross loss was approximately $1.3 million and approximately $1.8 million in the third quarters of fiscal years 2020 and 2019, respectively. Gross loss was approximately $4.2 million and approximately $6.4 million in the first nine months of fiscal years 2020 and 2019, respectively. We expect future period gross losses to vary like the sales fluctuations described above. Based upon the agreements in place that govern the operation, sales and purchasing activities of the refined coal plant, we expect the refined coal operation to continue operating at a gross loss. We expect that the ongoing losses will be subsidized by federal production income tax credits.</w:t>
      </w:r>
    </w:p>
    <w:p>
      <w:pPr>
        <w:spacing w:after="0" w:line="215"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SG&amp;A expenses were insignificant during the third quarters and first nine months of fiscal years 2020 and 2019. We expect future period expenses to also be insignificant.</w:t>
      </w:r>
    </w:p>
    <w:p>
      <w:pPr>
        <w:spacing w:after="0" w:line="20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Loss related to noncontrolling interests was approximately $0.1 million for each of the third quarters of fiscal years 2020 and 2019. Loss related to noncontrolling interests was approximately $0.2 million and approximately $0.3 million in the first nine months of fiscal years 2020 and 2019, respectively. This amount represents the other owner’s share of the pre-tax loss of refined coal operations.</w:t>
      </w:r>
    </w:p>
    <w:p>
      <w:pPr>
        <w:spacing w:after="0" w:line="212"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benefit for income taxes was approximately $1.0 million and approximately $2.2 million in the third quarters of fiscal years 2020 and 2019, respectively. The benefit for income taxes was approximately $4.9 million and approximately $9.3 million in the first nine months of fiscal years 2020 and 2019, respectively. The refined coal segment tax benefit is comprised of an estimated statutory benefit of its pre-tax losses and an estimated benefit from the federal production tax credits we expect to earn from producing and selling refined coal. The amount of benefit we recognize during interim periods will fluctuate based on actual production and profitability levels.</w:t>
      </w:r>
    </w:p>
    <w:p>
      <w:pPr>
        <w:spacing w:after="0" w:line="215" w:lineRule="exact"/>
        <w:rPr>
          <w:sz w:val="20"/>
          <w:szCs w:val="20"/>
          <w:color w:val="auto"/>
        </w:rPr>
      </w:pPr>
    </w:p>
    <w:p>
      <w:pPr>
        <w:ind w:right="160" w:firstLine="648"/>
        <w:spacing w:after="0" w:line="252" w:lineRule="auto"/>
        <w:rPr>
          <w:sz w:val="20"/>
          <w:szCs w:val="20"/>
          <w:color w:val="auto"/>
        </w:rPr>
      </w:pPr>
      <w:r>
        <w:rPr>
          <w:rFonts w:ascii="Arial" w:cs="Arial" w:eastAsia="Arial" w:hAnsi="Arial"/>
          <w:sz w:val="21"/>
          <w:szCs w:val="21"/>
          <w:color w:val="auto"/>
        </w:rPr>
        <w:t>As a result of the foregoing, including the benefit of federal production tax credits attributable to refined coal production and sales, segment loss for the third quarter of fiscal year 2020 was approximately $0.2 million compared to segment profit of approximately $0.6 million for the third quarter of fiscal year 2019. Segment profit was approximately $0.8 million and approximately $3.2 million for the first nine months of fiscal years 2020 and 2019,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39"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SG&amp;A expenses were approximately $0.7 million for both the third quarter of fiscal years 2020 and 2019. These expenses were approximately $2.2 million and approximately $2.1 million for the first nine months of fiscal years 2020 and 2019, respectively.</w:t>
      </w:r>
    </w:p>
    <w:p>
      <w:pPr>
        <w:spacing w:after="0" w:line="21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Interest and other income was approximately $0.1 million and approximately $0.3 million for the third quarters of fiscal years 2020 and 2019, respectively. Interest and other income was approximately $0.3 million and approximately $0.9 million for the first nine months of fiscal years 2020 and 2019, respectively. Interest income has decreased as yields on our excess cash decreased compared to fiscal year 2019 and our excess cash investment balances decreased compared to fiscal year 2019.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Net cash provided by operating activities was approximately $21.5 million for the first nine months of fiscal year 2020, compared to cash used of approximately $2.3 million for the first nine months of fiscal year 2019. For the first nine months of fiscal year 2020, cash was provided by net income of approximately $0.6 million, adjusted for non-cash items of approximately $14.0 million, which consisted of depreciation, amortization of operating lease right-of-use assets, income from equity method investments, interest income from short-term investments, the deferred income tax provision and stock based compensation expense. We received dividends from Big River of approximately $2.5 million during the first nine months of fiscal year 2020. A decrease in the balance of accounts receivable provided cash of approximately $0.5 million, which was primarily a result of the timing of customer shipments and payments. Inventories decreased by approximately $14.0 million, which was primarily a result of the timing of receipt of raw materials, shipments of finished goods and lower commodity prices. A decrease in the balance of accounts payable used cash of approximately $4.3 million, which was primarily a result of the timing of inventory receipts and vendor payments. A decrease in the balance of other liabilities used cash of approximately $5.3 million, which was primarily a result of payments of operating leases and incentive compensation.</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Net cash used in operating activities was approximately $2.3 million for the first nine months of fiscal year 2019. For the first nine months of fiscal year 2019, cash was provided by net income of approximately $5.4 million, adjusted for non-cash items of approximately $12.3 million, which consisted of depreciation, amortization of operating lease right-of-use assets, income from equity method investments, interest income from short-term investments, the deferred income tax provision and stock based compensation expense. We received dividends from Big River of approximately $1.0 million during the first nine months of fiscal year 2019. An increase in the balance of accounts receivable used cash of approximately $5.0 million, which was primarily a result of amounts owed by One Earth’s sole corn provider until the end of the third quarter and the timing of customer payments and shipments. Beginning in the fourth quarter of fiscal year 2019, One Earth began sourcing its own corn and in conjunction with this change One Earth was owed approximately $6.7 million at the end of the third quarter from the previous corn originator. An increase in the balance of inventories used cash of approximately $12.6 million, which was primarily a result of the timing of receipt of raw materials, plant shutdowns and the shipment of finished goods. An increase in the balance of accounts payable provided cash of approximately $5.6 million, which was primarily a result of the timing of inventory receipts and vendor payments. A decrease in the balance of other liabilities used cash of approximately $9.0 million, which was primarily a result of payments of operating leases and incentive compensation as well as lower accruals for utilities.</w:t>
      </w:r>
    </w:p>
    <w:p>
      <w:pPr>
        <w:spacing w:after="0" w:line="191" w:lineRule="exact"/>
        <w:rPr>
          <w:sz w:val="20"/>
          <w:szCs w:val="20"/>
          <w:color w:val="auto"/>
        </w:rPr>
      </w:pPr>
    </w:p>
    <w:p>
      <w:pPr>
        <w:ind w:right="260" w:firstLine="648"/>
        <w:spacing w:after="0"/>
        <w:rPr>
          <w:sz w:val="20"/>
          <w:szCs w:val="20"/>
          <w:color w:val="auto"/>
        </w:rPr>
      </w:pPr>
      <w:r>
        <w:rPr>
          <w:rFonts w:ascii="Arial" w:cs="Arial" w:eastAsia="Arial" w:hAnsi="Arial"/>
          <w:sz w:val="22"/>
          <w:szCs w:val="22"/>
          <w:color w:val="auto"/>
        </w:rPr>
        <w:t>At October 31, 2020, working capital was approximately $226.3 million, compared to approximately $239.5 million at January 31, 2020. The ratio of current assets to current liabilities was 9.5 to 1 at October 31, 2020 and 8.6 to 1 at January 31, 2020.</w:t>
      </w:r>
    </w:p>
    <w:p>
      <w:pPr>
        <w:spacing w:after="0" w:line="213"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Cash of approximately $10.0 million was used in investing activities for the first nine months of fiscal year 2020, compared to cash provided of approximately $12.7 million during the first nine months of fiscal year 2019. During the first nine months of fiscal year 2020, we had capital expenditures of approximately $6.6 million, primarily for the purchase of land at One Earth Energy. We expect our capital expenditures to be in the range of $3 million to $5 million for the remainder of fiscal year 2020. During the first nine months of fiscal year 2020, we purchased certificates of deposit (classified as short-term investments) of approximately $68.2 million. During the first nine months of fiscal year 2020, we sold certificates of deposit (classified as short-term investments) of approximately $65.3 million. The certificates of deposit, both purchased and sold, had maturities of less than one year. Depending on investment options available, we may elect to retain the funds, or a portion thereof, in cash investments, short-term investments or long-term investments.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36" w:name="page37"/>
    <w:bookmarkEnd w:id="36"/>
    <w:p>
      <w:pPr>
        <w:ind w:right="100" w:firstLine="648"/>
        <w:spacing w:after="0" w:line="238" w:lineRule="auto"/>
        <w:rPr>
          <w:sz w:val="20"/>
          <w:szCs w:val="20"/>
          <w:color w:val="auto"/>
        </w:rPr>
      </w:pPr>
      <w:r>
        <w:rPr>
          <w:rFonts w:ascii="Arial" w:cs="Arial" w:eastAsia="Arial" w:hAnsi="Arial"/>
          <w:sz w:val="22"/>
          <w:szCs w:val="22"/>
          <w:color w:val="auto"/>
        </w:rPr>
        <w:t>Cash of approximately $12.7 million was provided by investing activities for the first nine months of fiscal year 2019. During the first nine months of fiscal year 2019, we had capital expenditures of approximately $2.6 million. During the first nine months of fiscal year 2019, we sold United States treasury bills (classified as short-term investments) of approximately $15.0 million.</w:t>
      </w:r>
    </w:p>
    <w:p>
      <w:pPr>
        <w:spacing w:after="0" w:line="212"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Cash of approximately $18.3 million was used in financing activities for the first nine months of fiscal year 2020, compared to approximately $2.3 million during the first nine months of fiscal year 2019. During the first nine months of fiscal year 2020, we used cash of approximately $18.1 million to purchase approximately 295,000 shares of our common stock in open market transactions.</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Cash of approximately $2.3 million was used in financing activities for the first nine months of fiscal year 2019. During the first nine months of fiscal year 2019, we used cash of approximately $2.6 million to pay dividends to and to purchase shares from noncontrolling members. During the first nine months of fiscal year 2019, we received approximately $0.3 million in capital contributions from the minority investor in the refined coal entity.</w:t>
      </w:r>
    </w:p>
    <w:p>
      <w:pPr>
        <w:spacing w:after="0" w:line="212"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We are investigating various uses for our excess cash and short-term investments. We have a stock buyback program, and given our current authorization level, can repurchase a total of approximately 43,000 shares at October 31, 2020. We also plan to seek and evaluate investment opportunities including carbon sequestration, energy related, agricultural or other ventures we believe fit our investment criteria in addition to investing in highly liquid short-term securities.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We are working with the University of Illinois to explore the development of a carbon sequestration project to be located near the One Earth ethanol plant. The University of Illinois has received a United States Department of Energy award through the CarbonSAFE program and will evaluate the greenhouse gas storage potential beneath the site by drilling a test well and performing seismic surveys. Further work and research are needed to determine if this will be a feasible project.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natural gas, logistical delays, our ethanol and refined coal plants operating efficiently and according to forecasts and projections, changes in the international, national or regional economies, weather, results of income tax audits, changes in income tax laws or regulations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2020 (File No. 001-09097).</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80" w:firstLine="495"/>
        <w:spacing w:after="0" w:line="238" w:lineRule="auto"/>
        <w:rPr>
          <w:sz w:val="20"/>
          <w:szCs w:val="20"/>
          <w:color w:val="auto"/>
        </w:rPr>
      </w:pPr>
      <w:r>
        <w:rPr>
          <w:rFonts w:ascii="Arial" w:cs="Arial" w:eastAsia="Arial" w:hAnsi="Arial"/>
          <w:sz w:val="22"/>
          <w:szCs w:val="22"/>
          <w:color w:val="auto"/>
        </w:rPr>
        <w:t>We manage a portion of our risk with respect to the volatility of commodity prices inherent in the ethanol industry by using forward purchase and sale contracts and exchange traded commodity futures contracts. Our exposure to market risk, which includes the impact of our risk management activities, is based on the estimated effect on pre-tax income starting on October 31, 2020 is as follows (amounts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3320" w:type="dxa"/>
            <w:vAlign w:val="bottom"/>
            <w:gridSpan w:val="3"/>
          </w:tcPr>
          <w:p>
            <w:pPr>
              <w:ind w:left="1260"/>
              <w:spacing w:after="0"/>
              <w:rPr>
                <w:sz w:val="20"/>
                <w:szCs w:val="20"/>
                <w:color w:val="auto"/>
              </w:rPr>
            </w:pPr>
            <w:r>
              <w:rPr>
                <w:rFonts w:ascii="Arial" w:cs="Arial" w:eastAsia="Arial" w:hAnsi="Arial"/>
                <w:sz w:val="22"/>
                <w:szCs w:val="22"/>
                <w:b w:val="1"/>
                <w:bCs w:val="1"/>
                <w:color w:val="auto"/>
              </w:rPr>
              <w:t>Estimated Total</w:t>
            </w:r>
          </w:p>
        </w:tc>
        <w:tc>
          <w:tcPr>
            <w:tcW w:w="1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40" w:type="dxa"/>
            <w:vAlign w:val="bottom"/>
            <w:gridSpan w:val="2"/>
          </w:tcPr>
          <w:p>
            <w:pPr>
              <w:jc w:val="center"/>
              <w:ind w:right="512"/>
              <w:spacing w:after="0"/>
              <w:rPr>
                <w:sz w:val="20"/>
                <w:szCs w:val="20"/>
                <w:color w:val="auto"/>
              </w:rPr>
            </w:pPr>
            <w:r>
              <w:rPr>
                <w:rFonts w:ascii="Arial" w:cs="Arial" w:eastAsia="Arial" w:hAnsi="Arial"/>
                <w:sz w:val="22"/>
                <w:szCs w:val="22"/>
                <w:b w:val="1"/>
                <w:bCs w:val="1"/>
                <w:color w:val="auto"/>
                <w:w w:val="87"/>
              </w:rPr>
              <w:t>Decrease in Pre-tax</w:t>
            </w:r>
          </w:p>
        </w:tc>
      </w:tr>
      <w:tr>
        <w:trPr>
          <w:trHeight w:val="243"/>
        </w:trPr>
        <w:tc>
          <w:tcPr>
            <w:tcW w:w="11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320" w:type="dxa"/>
            <w:vAlign w:val="bottom"/>
            <w:gridSpan w:val="3"/>
          </w:tcPr>
          <w:p>
            <w:pPr>
              <w:ind w:left="1260"/>
              <w:spacing w:after="0" w:line="243" w:lineRule="exact"/>
              <w:rPr>
                <w:sz w:val="20"/>
                <w:szCs w:val="20"/>
                <w:color w:val="auto"/>
              </w:rPr>
            </w:pPr>
            <w:r>
              <w:rPr>
                <w:rFonts w:ascii="Arial" w:cs="Arial" w:eastAsia="Arial" w:hAnsi="Arial"/>
                <w:sz w:val="22"/>
                <w:szCs w:val="22"/>
                <w:b w:val="1"/>
                <w:bCs w:val="1"/>
                <w:color w:val="auto"/>
              </w:rPr>
              <w:t>Volume for</w:t>
            </w: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40" w:type="dxa"/>
            <w:vAlign w:val="bottom"/>
            <w:gridSpan w:val="2"/>
          </w:tcPr>
          <w:p>
            <w:pPr>
              <w:ind w:left="20"/>
              <w:spacing w:after="0" w:line="243" w:lineRule="exact"/>
              <w:rPr>
                <w:sz w:val="20"/>
                <w:szCs w:val="20"/>
                <w:color w:val="auto"/>
              </w:rPr>
            </w:pPr>
            <w:r>
              <w:rPr>
                <w:rFonts w:ascii="Arial" w:cs="Arial" w:eastAsia="Arial" w:hAnsi="Arial"/>
                <w:sz w:val="22"/>
                <w:szCs w:val="22"/>
                <w:b w:val="1"/>
                <w:bCs w:val="1"/>
                <w:color w:val="auto"/>
              </w:rPr>
              <w:t>Income From a 10%</w:t>
            </w:r>
          </w:p>
        </w:tc>
      </w:tr>
      <w:tr>
        <w:trPr>
          <w:trHeight w:val="270"/>
        </w:trPr>
        <w:tc>
          <w:tcPr>
            <w:tcW w:w="3440" w:type="dxa"/>
            <w:vAlign w:val="bottom"/>
            <w:gridSpan w:val="2"/>
          </w:tcPr>
          <w:p>
            <w:pPr>
              <w:spacing w:after="0"/>
              <w:rPr>
                <w:sz w:val="20"/>
                <w:szCs w:val="20"/>
                <w:color w:val="auto"/>
              </w:rPr>
            </w:pPr>
            <w:r>
              <w:rPr>
                <w:rFonts w:ascii="Arial" w:cs="Arial" w:eastAsia="Arial" w:hAnsi="Arial"/>
                <w:sz w:val="22"/>
                <w:szCs w:val="22"/>
                <w:b w:val="1"/>
                <w:bCs w:val="1"/>
                <w:color w:val="auto"/>
              </w:rPr>
              <w:t>Commodity</w:t>
            </w:r>
          </w:p>
        </w:tc>
        <w:tc>
          <w:tcPr>
            <w:tcW w:w="3320" w:type="dxa"/>
            <w:vAlign w:val="bottom"/>
            <w:gridSpan w:val="3"/>
          </w:tcPr>
          <w:p>
            <w:pPr>
              <w:ind w:left="1260"/>
              <w:spacing w:after="0" w:line="269" w:lineRule="exact"/>
              <w:rPr>
                <w:sz w:val="20"/>
                <w:szCs w:val="20"/>
                <w:color w:val="auto"/>
              </w:rPr>
            </w:pPr>
            <w:r>
              <w:rPr>
                <w:rFonts w:ascii="Arial" w:cs="Arial" w:eastAsia="Arial" w:hAnsi="Arial"/>
                <w:sz w:val="20"/>
                <w:szCs w:val="20"/>
                <w:b w:val="1"/>
                <w:bCs w:val="1"/>
                <w:color w:val="auto"/>
              </w:rPr>
              <w:t xml:space="preserve">12 Months </w:t>
            </w:r>
            <w:r>
              <w:rPr>
                <w:rFonts w:ascii="Arial" w:cs="Arial" w:eastAsia="Arial" w:hAnsi="Arial"/>
                <w:sz w:val="31"/>
                <w:szCs w:val="31"/>
                <w:b w:val="1"/>
                <w:bCs w:val="1"/>
                <w:color w:val="auto"/>
                <w:vertAlign w:val="superscript"/>
              </w:rPr>
              <w:t>(1)</w:t>
            </w:r>
          </w:p>
        </w:tc>
        <w:tc>
          <w:tcPr>
            <w:tcW w:w="2040" w:type="dxa"/>
            <w:vAlign w:val="bottom"/>
            <w:gridSpan w:val="2"/>
          </w:tcPr>
          <w:p>
            <w:pPr>
              <w:spacing w:after="0"/>
              <w:rPr>
                <w:sz w:val="20"/>
                <w:szCs w:val="20"/>
                <w:color w:val="auto"/>
              </w:rPr>
            </w:pPr>
            <w:r>
              <w:rPr>
                <w:rFonts w:ascii="Arial" w:cs="Arial" w:eastAsia="Arial" w:hAnsi="Arial"/>
                <w:sz w:val="22"/>
                <w:szCs w:val="22"/>
                <w:b w:val="1"/>
                <w:bCs w:val="1"/>
                <w:color w:val="auto"/>
              </w:rPr>
              <w:t>Unit of Measure</w:t>
            </w:r>
          </w:p>
        </w:tc>
        <w:tc>
          <w:tcPr>
            <w:tcW w:w="2440" w:type="dxa"/>
            <w:vAlign w:val="bottom"/>
            <w:gridSpan w:val="2"/>
          </w:tcPr>
          <w:p>
            <w:pPr>
              <w:ind w:left="20"/>
              <w:spacing w:after="0"/>
              <w:rPr>
                <w:sz w:val="20"/>
                <w:szCs w:val="20"/>
                <w:color w:val="auto"/>
              </w:rPr>
            </w:pPr>
            <w:r>
              <w:rPr>
                <w:rFonts w:ascii="Arial" w:cs="Arial" w:eastAsia="Arial" w:hAnsi="Arial"/>
                <w:sz w:val="22"/>
                <w:szCs w:val="22"/>
                <w:b w:val="1"/>
                <w:bCs w:val="1"/>
                <w:color w:val="auto"/>
                <w:w w:val="92"/>
              </w:rPr>
              <w:t>Adverse Change in Price</w:t>
            </w: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34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2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290,000</w:t>
            </w:r>
          </w:p>
        </w:tc>
        <w:tc>
          <w:tcPr>
            <w:tcW w:w="520" w:type="dxa"/>
            <w:vAlign w:val="bottom"/>
            <w:shd w:val="clear" w:color="auto" w:fill="E5FFFF"/>
          </w:tcPr>
          <w:p>
            <w:pPr>
              <w:spacing w:after="0"/>
              <w:rPr>
                <w:sz w:val="21"/>
                <w:szCs w:val="21"/>
                <w:color w:val="auto"/>
              </w:rPr>
            </w:pPr>
          </w:p>
        </w:tc>
        <w:tc>
          <w:tcPr>
            <w:tcW w:w="20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Gallons</w:t>
            </w:r>
          </w:p>
        </w:tc>
        <w:tc>
          <w:tcPr>
            <w:tcW w:w="980" w:type="dxa"/>
            <w:vAlign w:val="bottom"/>
            <w:shd w:val="clear" w:color="auto" w:fill="E5FFFF"/>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1460" w:type="dxa"/>
            <w:vAlign w:val="bottom"/>
            <w:shd w:val="clear" w:color="auto" w:fill="E5FFFF"/>
          </w:tcPr>
          <w:p>
            <w:pPr>
              <w:jc w:val="right"/>
              <w:ind w:right="752"/>
              <w:spacing w:after="0" w:line="243" w:lineRule="exact"/>
              <w:rPr>
                <w:sz w:val="20"/>
                <w:szCs w:val="20"/>
                <w:color w:val="auto"/>
              </w:rPr>
            </w:pPr>
            <w:r>
              <w:rPr>
                <w:rFonts w:ascii="Arial" w:cs="Arial" w:eastAsia="Arial" w:hAnsi="Arial"/>
                <w:sz w:val="22"/>
                <w:szCs w:val="22"/>
                <w:color w:val="auto"/>
                <w:w w:val="86"/>
              </w:rPr>
              <w:t>37,912</w:t>
            </w:r>
          </w:p>
        </w:tc>
      </w:tr>
      <w:tr>
        <w:trPr>
          <w:trHeight w:val="243"/>
        </w:trPr>
        <w:tc>
          <w:tcPr>
            <w:tcW w:w="3440" w:type="dxa"/>
            <w:vAlign w:val="bottom"/>
            <w:gridSpan w:val="2"/>
          </w:tcPr>
          <w:p>
            <w:pPr>
              <w:spacing w:after="0" w:line="243" w:lineRule="exact"/>
              <w:rPr>
                <w:sz w:val="20"/>
                <w:szCs w:val="20"/>
                <w:color w:val="auto"/>
              </w:rPr>
            </w:pPr>
            <w:r>
              <w:rPr>
                <w:rFonts w:ascii="Arial" w:cs="Arial" w:eastAsia="Arial" w:hAnsi="Arial"/>
                <w:sz w:val="22"/>
                <w:szCs w:val="22"/>
                <w:color w:val="auto"/>
              </w:rPr>
              <w:t>Corn</w:t>
            </w:r>
          </w:p>
        </w:tc>
        <w:tc>
          <w:tcPr>
            <w:tcW w:w="2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104,000</w:t>
            </w:r>
          </w:p>
        </w:tc>
        <w:tc>
          <w:tcPr>
            <w:tcW w:w="520" w:type="dxa"/>
            <w:vAlign w:val="bottom"/>
          </w:tcPr>
          <w:p>
            <w:pPr>
              <w:spacing w:after="0"/>
              <w:rPr>
                <w:sz w:val="21"/>
                <w:szCs w:val="21"/>
                <w:color w:val="auto"/>
              </w:rPr>
            </w:pPr>
          </w:p>
        </w:tc>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Bushels</w:t>
            </w:r>
          </w:p>
        </w:tc>
        <w:tc>
          <w:tcPr>
            <w:tcW w:w="980" w:type="dxa"/>
            <w:vAlign w:val="bottom"/>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1460" w:type="dxa"/>
            <w:vAlign w:val="bottom"/>
          </w:tcPr>
          <w:p>
            <w:pPr>
              <w:jc w:val="right"/>
              <w:ind w:right="752"/>
              <w:spacing w:after="0" w:line="243" w:lineRule="exact"/>
              <w:rPr>
                <w:sz w:val="20"/>
                <w:szCs w:val="20"/>
                <w:color w:val="auto"/>
              </w:rPr>
            </w:pPr>
            <w:r>
              <w:rPr>
                <w:rFonts w:ascii="Arial" w:cs="Arial" w:eastAsia="Arial" w:hAnsi="Arial"/>
                <w:sz w:val="22"/>
                <w:szCs w:val="22"/>
                <w:color w:val="auto"/>
                <w:w w:val="86"/>
              </w:rPr>
              <w:t>36,285</w:t>
            </w:r>
          </w:p>
        </w:tc>
      </w:tr>
      <w:tr>
        <w:trPr>
          <w:trHeight w:val="243"/>
        </w:trPr>
        <w:tc>
          <w:tcPr>
            <w:tcW w:w="34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2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666</w:t>
            </w:r>
          </w:p>
        </w:tc>
        <w:tc>
          <w:tcPr>
            <w:tcW w:w="520" w:type="dxa"/>
            <w:vAlign w:val="bottom"/>
            <w:shd w:val="clear" w:color="auto" w:fill="E5FFFF"/>
          </w:tcPr>
          <w:p>
            <w:pPr>
              <w:spacing w:after="0"/>
              <w:rPr>
                <w:sz w:val="21"/>
                <w:szCs w:val="21"/>
                <w:color w:val="auto"/>
              </w:rPr>
            </w:pPr>
          </w:p>
        </w:tc>
        <w:tc>
          <w:tcPr>
            <w:tcW w:w="20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Tons</w:t>
            </w:r>
          </w:p>
        </w:tc>
        <w:tc>
          <w:tcPr>
            <w:tcW w:w="980" w:type="dxa"/>
            <w:vAlign w:val="bottom"/>
            <w:shd w:val="clear" w:color="auto" w:fill="E5FFFF"/>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1460" w:type="dxa"/>
            <w:vAlign w:val="bottom"/>
            <w:shd w:val="clear" w:color="auto" w:fill="E5FFFF"/>
          </w:tcPr>
          <w:p>
            <w:pPr>
              <w:jc w:val="right"/>
              <w:ind w:right="752"/>
              <w:spacing w:after="0" w:line="243" w:lineRule="exact"/>
              <w:rPr>
                <w:sz w:val="20"/>
                <w:szCs w:val="20"/>
                <w:color w:val="auto"/>
              </w:rPr>
            </w:pPr>
            <w:r>
              <w:rPr>
                <w:rFonts w:ascii="Arial" w:cs="Arial" w:eastAsia="Arial" w:hAnsi="Arial"/>
                <w:sz w:val="22"/>
                <w:szCs w:val="22"/>
                <w:color w:val="auto"/>
              </w:rPr>
              <w:t>7,629</w:t>
            </w:r>
          </w:p>
        </w:tc>
      </w:tr>
      <w:tr>
        <w:trPr>
          <w:trHeight w:val="243"/>
        </w:trPr>
        <w:tc>
          <w:tcPr>
            <w:tcW w:w="3440" w:type="dxa"/>
            <w:vAlign w:val="bottom"/>
            <w:gridSpan w:val="2"/>
          </w:tcPr>
          <w:p>
            <w:pPr>
              <w:spacing w:after="0" w:line="243" w:lineRule="exact"/>
              <w:rPr>
                <w:sz w:val="20"/>
                <w:szCs w:val="20"/>
                <w:color w:val="auto"/>
              </w:rPr>
            </w:pPr>
            <w:r>
              <w:rPr>
                <w:rFonts w:ascii="Arial" w:cs="Arial" w:eastAsia="Arial" w:hAnsi="Arial"/>
                <w:sz w:val="22"/>
                <w:szCs w:val="22"/>
                <w:color w:val="auto"/>
              </w:rPr>
              <w:t>Non-food grade Corn Oil</w:t>
            </w:r>
          </w:p>
        </w:tc>
        <w:tc>
          <w:tcPr>
            <w:tcW w:w="2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71,000</w:t>
            </w:r>
          </w:p>
        </w:tc>
        <w:tc>
          <w:tcPr>
            <w:tcW w:w="520" w:type="dxa"/>
            <w:vAlign w:val="bottom"/>
          </w:tcPr>
          <w:p>
            <w:pPr>
              <w:spacing w:after="0"/>
              <w:rPr>
                <w:sz w:val="21"/>
                <w:szCs w:val="21"/>
                <w:color w:val="auto"/>
              </w:rPr>
            </w:pPr>
          </w:p>
        </w:tc>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Pounds</w:t>
            </w:r>
          </w:p>
        </w:tc>
        <w:tc>
          <w:tcPr>
            <w:tcW w:w="980" w:type="dxa"/>
            <w:vAlign w:val="bottom"/>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1460" w:type="dxa"/>
            <w:vAlign w:val="bottom"/>
          </w:tcPr>
          <w:p>
            <w:pPr>
              <w:jc w:val="right"/>
              <w:ind w:right="752"/>
              <w:spacing w:after="0" w:line="243" w:lineRule="exact"/>
              <w:rPr>
                <w:sz w:val="20"/>
                <w:szCs w:val="20"/>
                <w:color w:val="auto"/>
              </w:rPr>
            </w:pPr>
            <w:r>
              <w:rPr>
                <w:rFonts w:ascii="Arial" w:cs="Arial" w:eastAsia="Arial" w:hAnsi="Arial"/>
                <w:sz w:val="22"/>
                <w:szCs w:val="22"/>
                <w:color w:val="auto"/>
              </w:rPr>
              <w:t>1,018</w:t>
            </w:r>
          </w:p>
        </w:tc>
      </w:tr>
      <w:tr>
        <w:trPr>
          <w:trHeight w:val="243"/>
        </w:trPr>
        <w:tc>
          <w:tcPr>
            <w:tcW w:w="34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2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7,400</w:t>
            </w:r>
          </w:p>
        </w:tc>
        <w:tc>
          <w:tcPr>
            <w:tcW w:w="520" w:type="dxa"/>
            <w:vAlign w:val="bottom"/>
            <w:shd w:val="clear" w:color="auto" w:fill="E5FFFF"/>
          </w:tcPr>
          <w:p>
            <w:pPr>
              <w:spacing w:after="0"/>
              <w:rPr>
                <w:sz w:val="21"/>
                <w:szCs w:val="21"/>
                <w:color w:val="auto"/>
              </w:rPr>
            </w:pPr>
          </w:p>
        </w:tc>
        <w:tc>
          <w:tcPr>
            <w:tcW w:w="20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MmBtu</w:t>
            </w:r>
          </w:p>
        </w:tc>
        <w:tc>
          <w:tcPr>
            <w:tcW w:w="980" w:type="dxa"/>
            <w:vAlign w:val="bottom"/>
            <w:shd w:val="clear" w:color="auto" w:fill="E5FFFF"/>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1460" w:type="dxa"/>
            <w:vAlign w:val="bottom"/>
            <w:shd w:val="clear" w:color="auto" w:fill="E5FFFF"/>
          </w:tcPr>
          <w:p>
            <w:pPr>
              <w:jc w:val="right"/>
              <w:ind w:right="752"/>
              <w:spacing w:after="0" w:line="243" w:lineRule="exact"/>
              <w:rPr>
                <w:sz w:val="20"/>
                <w:szCs w:val="20"/>
                <w:color w:val="auto"/>
              </w:rPr>
            </w:pPr>
            <w:r>
              <w:rPr>
                <w:rFonts w:ascii="Arial" w:cs="Arial" w:eastAsia="Arial" w:hAnsi="Arial"/>
                <w:sz w:val="22"/>
                <w:szCs w:val="22"/>
                <w:color w:val="auto"/>
              </w:rPr>
              <w:t>1,396</w:t>
            </w:r>
          </w:p>
        </w:tc>
      </w:tr>
    </w:tbl>
    <w:p>
      <w:pPr>
        <w:spacing w:after="0" w:line="222" w:lineRule="exact"/>
        <w:rPr>
          <w:sz w:val="20"/>
          <w:szCs w:val="20"/>
          <w:color w:val="auto"/>
        </w:rPr>
      </w:pPr>
    </w:p>
    <w:p>
      <w:pPr>
        <w:ind w:left="680" w:hanging="335"/>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22"/>
          <w:szCs w:val="22"/>
          <w:color w:val="auto"/>
        </w:rPr>
        <w:t>Estimated volumes assume production at or near full capacity. Future period volumes will vary based upon market and plant conditions.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8" w:name="page39"/>
    <w:bookmarkEnd w:id="38"/>
    <w:p>
      <w:pPr>
        <w:ind w:left="4280"/>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39"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We are not party to any legal proceedings that we believe would, individually or in the aggregate, have a material adverse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During the quarter ended October 31, 2020, there have been no material changes to the risk factors discussed in our Annual Report on Form 10-K for the year ended January 31, 2020.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6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88"/>
              </w:rPr>
              <w:t>Issuer Purchases of Equity Securities</w:t>
            </w: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Total Number of</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Maximum Number</w:t>
            </w:r>
          </w:p>
        </w:tc>
      </w:tr>
      <w:tr>
        <w:trPr>
          <w:trHeight w:val="216"/>
        </w:trPr>
        <w:tc>
          <w:tcPr>
            <w:tcW w:w="1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Average</w:t>
            </w:r>
          </w:p>
        </w:tc>
        <w:tc>
          <w:tcPr>
            <w:tcW w:w="2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Shares Purchased</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of Shares that May</w:t>
            </w:r>
          </w:p>
        </w:tc>
      </w:tr>
      <w:tr>
        <w:trPr>
          <w:trHeight w:val="216"/>
        </w:trPr>
        <w:tc>
          <w:tcPr>
            <w:tcW w:w="1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Total Number</w:t>
            </w:r>
          </w:p>
        </w:tc>
        <w:tc>
          <w:tcPr>
            <w:tcW w:w="180" w:type="dxa"/>
            <w:vAlign w:val="bottom"/>
          </w:tcPr>
          <w:p>
            <w:pPr>
              <w:spacing w:after="0"/>
              <w:rPr>
                <w:sz w:val="18"/>
                <w:szCs w:val="18"/>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w:t>
            </w:r>
          </w:p>
        </w:tc>
        <w:tc>
          <w:tcPr>
            <w:tcW w:w="2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as Part of Publicly</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1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8"/>
                <w:szCs w:val="18"/>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2"/>
              </w:rPr>
              <w:t>Paid per</w:t>
            </w:r>
          </w:p>
        </w:tc>
        <w:tc>
          <w:tcPr>
            <w:tcW w:w="2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Announced Plans</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Purchased</w:t>
            </w:r>
          </w:p>
        </w:tc>
        <w:tc>
          <w:tcPr>
            <w:tcW w:w="180" w:type="dxa"/>
            <w:vAlign w:val="bottom"/>
          </w:tcPr>
          <w:p>
            <w:pPr>
              <w:spacing w:after="0"/>
              <w:rPr>
                <w:sz w:val="20"/>
                <w:szCs w:val="20"/>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Share</w:t>
            </w:r>
          </w:p>
        </w:tc>
        <w:tc>
          <w:tcPr>
            <w:tcW w:w="2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or Programs</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or Programs (1)</w:t>
            </w:r>
          </w:p>
        </w:tc>
      </w:tr>
      <w:tr>
        <w:trPr>
          <w:trHeight w:val="209"/>
        </w:trPr>
        <w:tc>
          <w:tcPr>
            <w:tcW w:w="19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August 1-31, 2020</w:t>
            </w:r>
          </w:p>
        </w:tc>
        <w:tc>
          <w:tcPr>
            <w:tcW w:w="164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1,200</w:t>
            </w:r>
          </w:p>
        </w:tc>
        <w:tc>
          <w:tcPr>
            <w:tcW w:w="42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61.82</w:t>
            </w:r>
          </w:p>
        </w:tc>
        <w:tc>
          <w:tcPr>
            <w:tcW w:w="42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1,200</w:t>
            </w:r>
          </w:p>
        </w:tc>
        <w:tc>
          <w:tcPr>
            <w:tcW w:w="440" w:type="dxa"/>
            <w:vAlign w:val="bottom"/>
            <w:tcBorders>
              <w:top w:val="single" w:sz="8" w:color="E5FFFF"/>
            </w:tcBorders>
            <w:shd w:val="clear" w:color="auto" w:fill="E5FFFF"/>
          </w:tcPr>
          <w:p>
            <w:pPr>
              <w:spacing w:after="0"/>
              <w:rPr>
                <w:sz w:val="18"/>
                <w:szCs w:val="18"/>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239,985</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September 1-30, 2020</w:t>
            </w: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120,030</w:t>
            </w:r>
          </w:p>
        </w:tc>
        <w:tc>
          <w:tcPr>
            <w:tcW w:w="1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64.70</w:t>
            </w:r>
          </w:p>
        </w:tc>
        <w:tc>
          <w:tcPr>
            <w:tcW w:w="2180" w:type="dxa"/>
            <w:vAlign w:val="bottom"/>
            <w:gridSpan w:val="2"/>
          </w:tcPr>
          <w:p>
            <w:pPr>
              <w:jc w:val="right"/>
              <w:ind w:right="440"/>
              <w:spacing w:after="0"/>
              <w:rPr>
                <w:sz w:val="20"/>
                <w:szCs w:val="20"/>
                <w:color w:val="auto"/>
              </w:rPr>
            </w:pPr>
            <w:r>
              <w:rPr>
                <w:rFonts w:ascii="Arial" w:cs="Arial" w:eastAsia="Arial" w:hAnsi="Arial"/>
                <w:sz w:val="18"/>
                <w:szCs w:val="18"/>
                <w:color w:val="auto"/>
              </w:rPr>
              <w:t>120,030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119,955</w:t>
            </w:r>
          </w:p>
        </w:tc>
        <w:tc>
          <w:tcPr>
            <w:tcW w:w="80" w:type="dxa"/>
            <w:vAlign w:val="bottom"/>
          </w:tcPr>
          <w:p>
            <w:pPr>
              <w:spacing w:after="0"/>
              <w:rPr>
                <w:sz w:val="18"/>
                <w:szCs w:val="18"/>
                <w:color w:val="auto"/>
              </w:rPr>
            </w:pPr>
          </w:p>
        </w:tc>
      </w:tr>
      <w:tr>
        <w:trPr>
          <w:trHeight w:val="230"/>
        </w:trPr>
        <w:tc>
          <w:tcPr>
            <w:tcW w:w="36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October 1-31, 2020</w:t>
            </w:r>
          </w:p>
        </w:tc>
        <w:tc>
          <w:tcPr>
            <w:tcW w:w="16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76,943</w:t>
            </w:r>
          </w:p>
        </w:tc>
        <w:tc>
          <w:tcPr>
            <w:tcW w:w="18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71.32</w:t>
            </w:r>
          </w:p>
        </w:tc>
        <w:tc>
          <w:tcPr>
            <w:tcW w:w="21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76,943</w:t>
            </w:r>
          </w:p>
        </w:tc>
        <w:tc>
          <w:tcPr>
            <w:tcW w:w="17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43,012</w:t>
            </w:r>
          </w:p>
        </w:tc>
        <w:tc>
          <w:tcPr>
            <w:tcW w:w="80" w:type="dxa"/>
            <w:vAlign w:val="bottom"/>
            <w:shd w:val="clear" w:color="auto" w:fill="E5FFFF"/>
          </w:tcPr>
          <w:p>
            <w:pPr>
              <w:spacing w:after="0"/>
              <w:rPr>
                <w:sz w:val="19"/>
                <w:szCs w:val="19"/>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198,173</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67.26</w:t>
            </w:r>
          </w:p>
        </w:tc>
        <w:tc>
          <w:tcPr>
            <w:tcW w:w="4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198,173</w:t>
            </w:r>
          </w:p>
        </w:tc>
        <w:tc>
          <w:tcPr>
            <w:tcW w:w="44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left="740" w:right="620" w:hanging="327"/>
        <w:spacing w:after="0" w:line="328" w:lineRule="auto"/>
        <w:tabs>
          <w:tab w:leader="none" w:pos="7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On March 20, 2018, our Board of Directors increased our share repurchase authorization by an additional 500,000 shares. At October 31, 2020, a total of 43,012 shares remained available to purchase under this authorization.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33" w:lineRule="exact"/>
        <w:rPr>
          <w:sz w:val="20"/>
          <w:szCs w:val="20"/>
          <w:color w:val="auto"/>
        </w:rPr>
      </w:pPr>
    </w:p>
    <w:p>
      <w:pPr>
        <w:ind w:left="1620" w:hanging="613"/>
        <w:spacing w:after="0"/>
        <w:tabs>
          <w:tab w:leader="none" w:pos="1620" w:val="left"/>
        </w:tabs>
        <w:numPr>
          <w:ilvl w:val="0"/>
          <w:numId w:val="11"/>
        </w:numPr>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Rule 13a-14(a)/15d-14(a) Certifications</w:t>
        </w:r>
      </w:hyperlink>
    </w:p>
    <w:p>
      <w:pPr>
        <w:spacing w:after="0" w:line="233" w:lineRule="exact"/>
        <w:rPr>
          <w:rFonts w:ascii="Arial" w:cs="Arial" w:eastAsia="Arial" w:hAnsi="Arial"/>
          <w:sz w:val="22"/>
          <w:szCs w:val="22"/>
          <w:u w:val="single" w:color="auto"/>
          <w:color w:val="0000EE"/>
        </w:rPr>
      </w:pPr>
    </w:p>
    <w:p>
      <w:pPr>
        <w:ind w:left="1620" w:hanging="613"/>
        <w:spacing w:after="0"/>
        <w:tabs>
          <w:tab w:leader="none" w:pos="1620" w:val="left"/>
        </w:tabs>
        <w:numPr>
          <w:ilvl w:val="0"/>
          <w:numId w:val="11"/>
        </w:numPr>
        <w:rPr>
          <w:rFonts w:ascii="Arial" w:cs="Arial" w:eastAsia="Arial" w:hAnsi="Arial"/>
          <w:sz w:val="22"/>
          <w:szCs w:val="22"/>
          <w:u w:val="single" w:color="auto"/>
          <w:color w:val="0000EE"/>
        </w:rPr>
      </w:pPr>
      <w:hyperlink w:anchor="page46">
        <w:r>
          <w:rPr>
            <w:rFonts w:ascii="Arial" w:cs="Arial" w:eastAsia="Arial" w:hAnsi="Arial"/>
            <w:sz w:val="22"/>
            <w:szCs w:val="22"/>
            <w:u w:val="single" w:color="auto"/>
            <w:color w:val="0000EE"/>
          </w:rPr>
          <w:t>Section 1350 Certifications</w:t>
        </w:r>
      </w:hyperlink>
    </w:p>
    <w:p>
      <w:pPr>
        <w:spacing w:after="0" w:line="233" w:lineRule="exact"/>
        <w:rPr>
          <w:rFonts w:ascii="Arial" w:cs="Arial" w:eastAsia="Arial" w:hAnsi="Arial"/>
          <w:sz w:val="22"/>
          <w:szCs w:val="22"/>
          <w:color w:val="auto"/>
        </w:rPr>
      </w:pPr>
    </w:p>
    <w:p>
      <w:pPr>
        <w:jc w:val="both"/>
        <w:ind w:left="1620" w:hanging="721"/>
        <w:spacing w:after="0" w:line="249" w:lineRule="auto"/>
        <w:tabs>
          <w:tab w:leader="none" w:pos="162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following information from REX American Resources Corporation Quarterly Report on Form 10-Q for the quarter ended October 31, 2020, formatted in Inline Extensible Business Reporting Language (iXBRL):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205" w:lineRule="exact"/>
        <w:rPr>
          <w:rFonts w:ascii="Arial" w:cs="Arial" w:eastAsia="Arial" w:hAnsi="Arial"/>
          <w:sz w:val="22"/>
          <w:szCs w:val="22"/>
          <w:color w:val="auto"/>
        </w:rPr>
      </w:pPr>
    </w:p>
    <w:p>
      <w:pPr>
        <w:ind w:left="1620" w:hanging="721"/>
        <w:spacing w:after="0" w:line="250" w:lineRule="auto"/>
        <w:tabs>
          <w:tab w:leader="none" w:pos="1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cover page from REX American Resources Corporation Quarterly Report on Form 10-Q for the quarter ended October 31, 2020, formatted in iXBRL</w:t>
      </w:r>
    </w:p>
    <w:p>
      <w:pPr>
        <w:spacing w:after="0" w:line="391" w:lineRule="exact"/>
        <w:rPr>
          <w:rFonts w:ascii="Arial" w:cs="Arial" w:eastAsia="Arial" w:hAnsi="Arial"/>
          <w:sz w:val="22"/>
          <w:szCs w:val="22"/>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REX American Resources Corporation</w:t>
      </w:r>
    </w:p>
    <w:p>
      <w:pPr>
        <w:spacing w:after="0" w:line="8"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8"/>
              </w:rPr>
              <w:t>Signature</w:t>
            </w:r>
          </w:p>
        </w:tc>
        <w:tc>
          <w:tcPr>
            <w:tcW w:w="1400" w:type="dxa"/>
            <w:vAlign w:val="bottom"/>
            <w:gridSpan w:val="3"/>
          </w:tcPr>
          <w:p>
            <w:pPr>
              <w:spacing w:after="0"/>
              <w:rPr>
                <w:sz w:val="21"/>
                <w:szCs w:val="21"/>
                <w:color w:val="auto"/>
              </w:rPr>
            </w:pPr>
          </w:p>
        </w:tc>
        <w:tc>
          <w:tcPr>
            <w:tcW w:w="254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Arial" w:cs="Arial" w:eastAsia="Arial" w:hAnsi="Arial"/>
                <w:sz w:val="22"/>
                <w:szCs w:val="22"/>
                <w:b w:val="1"/>
                <w:bCs w:val="1"/>
                <w:color w:val="auto"/>
              </w:rPr>
              <w:t>Title</w:t>
            </w:r>
          </w:p>
        </w:tc>
        <w:tc>
          <w:tcPr>
            <w:tcW w:w="2780" w:type="dxa"/>
            <w:vAlign w:val="bottom"/>
            <w:gridSpan w:val="3"/>
          </w:tcPr>
          <w:p>
            <w:pPr>
              <w:ind w:left="1560"/>
              <w:spacing w:after="0"/>
              <w:rPr>
                <w:sz w:val="20"/>
                <w:szCs w:val="20"/>
                <w:color w:val="auto"/>
              </w:rPr>
            </w:pPr>
            <w:r>
              <w:rPr>
                <w:rFonts w:ascii="Arial" w:cs="Arial" w:eastAsia="Arial" w:hAnsi="Arial"/>
                <w:sz w:val="22"/>
                <w:szCs w:val="22"/>
                <w:b w:val="1"/>
                <w:bCs w:val="1"/>
                <w:color w:val="auto"/>
              </w:rPr>
              <w:t>Date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80" w:type="dxa"/>
            <w:vAlign w:val="bottom"/>
            <w:gridSpan w:val="5"/>
          </w:tcPr>
          <w:p>
            <w:pPr>
              <w:jc w:val="center"/>
              <w:ind w:right="1240"/>
              <w:spacing w:after="0"/>
              <w:rPr>
                <w:sz w:val="20"/>
                <w:szCs w:val="20"/>
                <w:color w:val="auto"/>
              </w:rPr>
            </w:pPr>
            <w:r>
              <w:rPr>
                <w:rFonts w:ascii="Arial" w:cs="Arial" w:eastAsia="Arial" w:hAnsi="Arial"/>
                <w:sz w:val="22"/>
                <w:szCs w:val="22"/>
                <w:color w:val="auto"/>
                <w:w w:val="92"/>
              </w:rPr>
              <w:t>/s/ Zafar Rizvi</w:t>
            </w:r>
          </w:p>
        </w:tc>
        <w:tc>
          <w:tcPr>
            <w:tcW w:w="4740" w:type="dxa"/>
            <w:vAlign w:val="bottom"/>
            <w:gridSpan w:val="3"/>
          </w:tcPr>
          <w:p>
            <w:pPr>
              <w:ind w:left="680"/>
              <w:spacing w:after="0"/>
              <w:rPr>
                <w:sz w:val="20"/>
                <w:szCs w:val="20"/>
                <w:color w:val="auto"/>
              </w:rPr>
            </w:pPr>
            <w:r>
              <w:rPr>
                <w:rFonts w:ascii="Arial" w:cs="Arial" w:eastAsia="Arial" w:hAnsi="Arial"/>
                <w:sz w:val="22"/>
                <w:szCs w:val="22"/>
                <w:color w:val="auto"/>
              </w:rPr>
              <w:t>Chief Executive Officer and President</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40" w:type="dxa"/>
            <w:vAlign w:val="bottom"/>
            <w:gridSpan w:val="3"/>
            <w:vMerge w:val="restart"/>
          </w:tcPr>
          <w:p>
            <w:pPr>
              <w:ind w:left="860"/>
              <w:spacing w:after="0"/>
              <w:rPr>
                <w:sz w:val="20"/>
                <w:szCs w:val="20"/>
                <w:color w:val="auto"/>
              </w:rPr>
            </w:pPr>
            <w:r>
              <w:rPr>
                <w:rFonts w:ascii="Arial" w:cs="Arial" w:eastAsia="Arial" w:hAnsi="Arial"/>
                <w:sz w:val="22"/>
                <w:szCs w:val="22"/>
                <w:color w:val="auto"/>
              </w:rPr>
              <w:t>(Chief Executive Officer)</w:t>
            </w:r>
          </w:p>
        </w:tc>
        <w:tc>
          <w:tcPr>
            <w:tcW w:w="2780" w:type="dxa"/>
            <w:vAlign w:val="bottom"/>
            <w:gridSpan w:val="3"/>
            <w:vMerge w:val="restart"/>
          </w:tcPr>
          <w:p>
            <w:pPr>
              <w:ind w:left="760"/>
              <w:spacing w:after="0"/>
              <w:rPr>
                <w:sz w:val="20"/>
                <w:szCs w:val="20"/>
                <w:color w:val="auto"/>
              </w:rPr>
            </w:pPr>
            <w:r>
              <w:rPr>
                <w:rFonts w:ascii="Arial" w:cs="Arial" w:eastAsia="Arial" w:hAnsi="Arial"/>
                <w:sz w:val="22"/>
                <w:szCs w:val="22"/>
                <w:color w:val="auto"/>
              </w:rPr>
              <w:t>December 4, 2020</w:t>
            </w:r>
          </w:p>
        </w:tc>
        <w:tc>
          <w:tcPr>
            <w:tcW w:w="0" w:type="dxa"/>
            <w:vAlign w:val="bottom"/>
          </w:tcPr>
          <w:p>
            <w:pPr>
              <w:spacing w:after="0" w:line="20" w:lineRule="exact"/>
              <w:rPr>
                <w:sz w:val="1"/>
                <w:szCs w:val="1"/>
                <w:color w:val="auto"/>
              </w:rPr>
            </w:pPr>
          </w:p>
        </w:tc>
      </w:tr>
      <w:tr>
        <w:trPr>
          <w:trHeight w:val="273"/>
        </w:trPr>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80" w:type="dxa"/>
            <w:vAlign w:val="bottom"/>
            <w:gridSpan w:val="5"/>
          </w:tcPr>
          <w:p>
            <w:pPr>
              <w:jc w:val="center"/>
              <w:ind w:right="1060"/>
              <w:spacing w:after="0"/>
              <w:rPr>
                <w:sz w:val="20"/>
                <w:szCs w:val="20"/>
                <w:color w:val="auto"/>
              </w:rPr>
            </w:pPr>
            <w:r>
              <w:rPr>
                <w:rFonts w:ascii="Arial" w:cs="Arial" w:eastAsia="Arial" w:hAnsi="Arial"/>
                <w:sz w:val="22"/>
                <w:szCs w:val="22"/>
                <w:color w:val="auto"/>
                <w:w w:val="95"/>
              </w:rPr>
              <w:t>(Zafar Rizvi)</w:t>
            </w:r>
          </w:p>
        </w:tc>
        <w:tc>
          <w:tcPr>
            <w:tcW w:w="4740" w:type="dxa"/>
            <w:vAlign w:val="bottom"/>
            <w:gridSpan w:val="3"/>
            <w:vMerge w:val="continue"/>
          </w:tcPr>
          <w:p>
            <w:pPr>
              <w:spacing w:after="0"/>
              <w:rPr>
                <w:sz w:val="23"/>
                <w:szCs w:val="23"/>
                <w:color w:val="auto"/>
              </w:rPr>
            </w:pPr>
          </w:p>
        </w:tc>
        <w:tc>
          <w:tcPr>
            <w:tcW w:w="27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720" w:type="dxa"/>
            <w:vAlign w:val="bottom"/>
          </w:tcPr>
          <w:p>
            <w:pPr>
              <w:spacing w:after="0"/>
              <w:rPr>
                <w:sz w:val="24"/>
                <w:szCs w:val="24"/>
                <w:color w:val="auto"/>
              </w:rPr>
            </w:pPr>
          </w:p>
        </w:tc>
        <w:tc>
          <w:tcPr>
            <w:tcW w:w="3000" w:type="dxa"/>
            <w:vAlign w:val="bottom"/>
            <w:gridSpan w:val="6"/>
          </w:tcPr>
          <w:p>
            <w:pPr>
              <w:jc w:val="center"/>
              <w:ind w:right="720"/>
              <w:spacing w:after="0"/>
              <w:rPr>
                <w:sz w:val="20"/>
                <w:szCs w:val="20"/>
                <w:color w:val="auto"/>
              </w:rPr>
            </w:pPr>
            <w:r>
              <w:rPr>
                <w:rFonts w:ascii="Arial" w:cs="Arial" w:eastAsia="Arial" w:hAnsi="Arial"/>
                <w:sz w:val="22"/>
                <w:szCs w:val="22"/>
                <w:color w:val="auto"/>
                <w:w w:val="89"/>
              </w:rPr>
              <w:t>/s/ Douglas L. Bruggeman</w:t>
            </w:r>
          </w:p>
        </w:tc>
        <w:tc>
          <w:tcPr>
            <w:tcW w:w="4740" w:type="dxa"/>
            <w:vAlign w:val="bottom"/>
            <w:gridSpan w:val="3"/>
          </w:tcPr>
          <w:p>
            <w:pPr>
              <w:ind w:left="680"/>
              <w:spacing w:after="0"/>
              <w:rPr>
                <w:sz w:val="20"/>
                <w:szCs w:val="20"/>
                <w:color w:val="auto"/>
              </w:rPr>
            </w:pPr>
            <w:r>
              <w:rPr>
                <w:rFonts w:ascii="Arial" w:cs="Arial" w:eastAsia="Arial" w:hAnsi="Arial"/>
                <w:sz w:val="22"/>
                <w:szCs w:val="22"/>
                <w:color w:val="auto"/>
              </w:rPr>
              <w:t>Vice President, Finance and Treasurer</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80" w:type="dxa"/>
            <w:vAlign w:val="bottom"/>
            <w:gridSpan w:val="5"/>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40" w:type="dxa"/>
            <w:vAlign w:val="bottom"/>
            <w:gridSpan w:val="3"/>
            <w:vMerge w:val="restart"/>
          </w:tcPr>
          <w:p>
            <w:pPr>
              <w:ind w:left="860"/>
              <w:spacing w:after="0"/>
              <w:rPr>
                <w:sz w:val="20"/>
                <w:szCs w:val="20"/>
                <w:color w:val="auto"/>
              </w:rPr>
            </w:pPr>
            <w:r>
              <w:rPr>
                <w:rFonts w:ascii="Arial" w:cs="Arial" w:eastAsia="Arial" w:hAnsi="Arial"/>
                <w:sz w:val="22"/>
                <w:szCs w:val="22"/>
                <w:color w:val="auto"/>
              </w:rPr>
              <w:t>(Chief Financial Officer)</w:t>
            </w:r>
          </w:p>
        </w:tc>
        <w:tc>
          <w:tcPr>
            <w:tcW w:w="2780" w:type="dxa"/>
            <w:vAlign w:val="bottom"/>
            <w:gridSpan w:val="3"/>
            <w:vMerge w:val="restart"/>
          </w:tcPr>
          <w:p>
            <w:pPr>
              <w:ind w:left="760"/>
              <w:spacing w:after="0"/>
              <w:rPr>
                <w:sz w:val="20"/>
                <w:szCs w:val="20"/>
                <w:color w:val="auto"/>
              </w:rPr>
            </w:pPr>
            <w:r>
              <w:rPr>
                <w:rFonts w:ascii="Arial" w:cs="Arial" w:eastAsia="Arial" w:hAnsi="Arial"/>
                <w:sz w:val="22"/>
                <w:szCs w:val="22"/>
                <w:color w:val="auto"/>
              </w:rPr>
              <w:t>December 4, 2020</w:t>
            </w:r>
          </w:p>
        </w:tc>
        <w:tc>
          <w:tcPr>
            <w:tcW w:w="0" w:type="dxa"/>
            <w:vAlign w:val="bottom"/>
          </w:tcPr>
          <w:p>
            <w:pPr>
              <w:spacing w:after="0" w:line="20" w:lineRule="exact"/>
              <w:rPr>
                <w:sz w:val="1"/>
                <w:szCs w:val="1"/>
                <w:color w:val="auto"/>
              </w:rPr>
            </w:pPr>
          </w:p>
        </w:tc>
      </w:tr>
      <w:tr>
        <w:trPr>
          <w:trHeight w:val="273"/>
        </w:trPr>
        <w:tc>
          <w:tcPr>
            <w:tcW w:w="720" w:type="dxa"/>
            <w:vAlign w:val="bottom"/>
          </w:tcPr>
          <w:p>
            <w:pPr>
              <w:spacing w:after="0"/>
              <w:rPr>
                <w:sz w:val="23"/>
                <w:szCs w:val="23"/>
                <w:color w:val="auto"/>
              </w:rPr>
            </w:pPr>
          </w:p>
        </w:tc>
        <w:tc>
          <w:tcPr>
            <w:tcW w:w="3000" w:type="dxa"/>
            <w:vAlign w:val="bottom"/>
            <w:gridSpan w:val="6"/>
          </w:tcPr>
          <w:p>
            <w:pPr>
              <w:jc w:val="center"/>
              <w:ind w:right="520"/>
              <w:spacing w:after="0"/>
              <w:rPr>
                <w:sz w:val="20"/>
                <w:szCs w:val="20"/>
                <w:color w:val="auto"/>
              </w:rPr>
            </w:pPr>
            <w:r>
              <w:rPr>
                <w:rFonts w:ascii="Arial" w:cs="Arial" w:eastAsia="Arial" w:hAnsi="Arial"/>
                <w:sz w:val="22"/>
                <w:szCs w:val="22"/>
                <w:color w:val="auto"/>
                <w:w w:val="90"/>
              </w:rPr>
              <w:t>(Douglas L. Bruggeman)</w:t>
            </w:r>
          </w:p>
        </w:tc>
        <w:tc>
          <w:tcPr>
            <w:tcW w:w="4740" w:type="dxa"/>
            <w:vAlign w:val="bottom"/>
            <w:gridSpan w:val="3"/>
            <w:vMerge w:val="continue"/>
          </w:tcPr>
          <w:p>
            <w:pPr>
              <w:spacing w:after="0"/>
              <w:rPr>
                <w:sz w:val="23"/>
                <w:szCs w:val="23"/>
                <w:color w:val="auto"/>
              </w:rPr>
            </w:pPr>
          </w:p>
        </w:tc>
        <w:tc>
          <w:tcPr>
            <w:tcW w:w="27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40" w:type="dxa"/>
            <w:vAlign w:val="bottom"/>
          </w:tcPr>
          <w:p>
            <w:pPr>
              <w:ind w:left="1800"/>
              <w:spacing w:after="0"/>
              <w:rPr>
                <w:sz w:val="20"/>
                <w:szCs w:val="20"/>
                <w:color w:val="auto"/>
              </w:rPr>
            </w:pPr>
            <w:r>
              <w:rPr>
                <w:rFonts w:ascii="Arial" w:cs="Arial" w:eastAsia="Arial" w:hAnsi="Arial"/>
                <w:sz w:val="22"/>
                <w:szCs w:val="22"/>
                <w:color w:val="auto"/>
              </w:rPr>
              <w:t>41</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5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780" w:type="dxa"/>
            <w:vAlign w:val="bottom"/>
            <w:tcBorders>
              <w:bottom w:val="single" w:sz="8" w:color="C0C0C0"/>
            </w:tcBorders>
          </w:tcPr>
          <w:p>
            <w:pPr>
              <w:spacing w:after="0"/>
              <w:rPr>
                <w:sz w:val="20"/>
                <w:szCs w:val="20"/>
                <w:color w:val="auto"/>
              </w:rPr>
            </w:pPr>
          </w:p>
        </w:tc>
        <w:tc>
          <w:tcPr>
            <w:tcW w:w="156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Zafar Rizvi, certify that:</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60" w:firstLine="656"/>
        <w:spacing w:after="0" w:line="263"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972"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80" w:firstLine="656"/>
        <w:spacing w:after="0" w:line="263"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80" w:firstLine="320"/>
        <w:spacing w:after="0" w:line="263" w:lineRule="auto"/>
        <w:tabs>
          <w:tab w:leader="none" w:pos="130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60" w:firstLine="320"/>
        <w:spacing w:after="0" w:line="263" w:lineRule="auto"/>
        <w:tabs>
          <w:tab w:leader="none" w:pos="1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40" w:firstLine="320"/>
        <w:spacing w:after="0" w:line="342" w:lineRule="auto"/>
        <w:tabs>
          <w:tab w:leader="none" w:pos="1309"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0" w:firstLine="320"/>
        <w:spacing w:after="0" w:line="263" w:lineRule="auto"/>
        <w:tabs>
          <w:tab w:leader="none" w:pos="1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656" w:firstLine="656"/>
        <w:spacing w:after="0" w:line="308" w:lineRule="auto"/>
        <w:tabs>
          <w:tab w:leader="none" w:pos="3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320" w:firstLine="320"/>
        <w:spacing w:after="0" w:line="308" w:lineRule="auto"/>
        <w:tabs>
          <w:tab w:leader="none" w:pos="65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firstLine="320"/>
        <w:spacing w:after="0" w:line="277" w:lineRule="auto"/>
        <w:tabs>
          <w:tab w:leader="none" w:pos="6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Date: December 4, 2020</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/s/ Zafar Rizvi</w:t>
      </w:r>
    </w:p>
    <w:p>
      <w:pPr>
        <w:spacing w:after="0" w:line="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44"/>
          </w:cols>
          <w:pgMar w:left="976" w:top="409" w:right="47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40" w:firstLine="656"/>
        <w:spacing w:after="0" w:line="263"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972"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60" w:firstLine="656"/>
        <w:spacing w:after="0" w:line="263"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60" w:firstLine="320"/>
        <w:spacing w:after="0" w:line="263" w:lineRule="auto"/>
        <w:tabs>
          <w:tab w:leader="none" w:pos="12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40" w:firstLine="320"/>
        <w:spacing w:after="0" w:line="263" w:lineRule="auto"/>
        <w:tabs>
          <w:tab w:leader="none" w:pos="12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300" w:firstLine="320"/>
        <w:spacing w:after="0" w:line="342" w:lineRule="auto"/>
        <w:tabs>
          <w:tab w:leader="none" w:pos="122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60" w:firstLine="320"/>
        <w:spacing w:after="0" w:line="263" w:lineRule="auto"/>
        <w:tabs>
          <w:tab w:leader="none" w:pos="12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44" w:name="page45"/>
    <w:bookmarkEnd w:id="44"/>
    <w:p>
      <w:pPr>
        <w:ind w:left="-656" w:firstLine="656"/>
        <w:spacing w:after="0" w:line="308" w:lineRule="auto"/>
        <w:tabs>
          <w:tab w:leader="none" w:pos="3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400" w:firstLine="320"/>
        <w:spacing w:after="0" w:line="308" w:lineRule="auto"/>
        <w:tabs>
          <w:tab w:leader="none" w:pos="573"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80" w:firstLine="320"/>
        <w:spacing w:after="0" w:line="277" w:lineRule="auto"/>
        <w:tabs>
          <w:tab w:leader="none" w:pos="58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Date: December 4, 2020</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44"/>
          </w:cols>
          <w:pgMar w:left="976" w:top="409" w:right="4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October 31</w:t>
      </w:r>
      <w:r>
        <w:rPr>
          <w:rFonts w:ascii="Arial" w:cs="Arial" w:eastAsia="Arial" w:hAnsi="Arial"/>
          <w:sz w:val="21"/>
          <w:szCs w:val="21"/>
          <w:color w:val="auto"/>
        </w:rPr>
        <w:t>,</w:t>
      </w:r>
      <w:r>
        <w:rPr>
          <w:rFonts w:ascii="Arial" w:cs="Arial" w:eastAsia="Arial" w:hAnsi="Arial"/>
          <w:sz w:val="18"/>
          <w:szCs w:val="18"/>
          <w:color w:val="auto"/>
        </w:rPr>
        <w:t xml:space="preserve"> 2020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9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/s/Zafar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1"/>
    </w:lvl>
  </w:abstractNum>
  <w:abstractNum w:abstractNumId="11">
    <w:nsid w:val="7FDCC233"/>
    <w:multiLevelType w:val="hybridMultilevel"/>
    <w:lvl w:ilvl="0">
      <w:lvlJc w:val="left"/>
      <w:lvlText w:val="%1"/>
      <w:numFmt w:val="decimal"/>
      <w:start w:val="10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5"/>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2020-12-04T12:13:09Z</dcterms:created>
  <dcterms:modified xsi:type="dcterms:W3CDTF">2020-12-04T12:13:09Z</dcterms:modified>
</cp:coreProperties>
</file>