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0"/>
          <w:szCs w:val="20"/>
          <w:b w:val="1"/>
          <w:bCs w:val="1"/>
          <w:color w:val="auto"/>
        </w:rPr>
        <w:t>FORM 10-K</w:t>
      </w:r>
    </w:p>
    <w:p>
      <w:pPr>
        <w:jc w:val="center"/>
        <w:spacing w:after="0"/>
        <w:rPr>
          <w:sz w:val="20"/>
          <w:szCs w:val="20"/>
          <w:color w:val="auto"/>
        </w:rPr>
      </w:pPr>
      <w:r>
        <w:rPr>
          <w:rFonts w:ascii="Arial" w:cs="Arial" w:eastAsia="Arial" w:hAnsi="Arial"/>
          <w:sz w:val="20"/>
          <w:szCs w:val="20"/>
          <w:b w:val="1"/>
          <w:bCs w:val="1"/>
          <w:color w:val="auto"/>
        </w:rPr>
        <w:t>ANNUAL REPORT PURSUANT TO SECTION 13 OR 15(d) OF</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7700" w:type="dxa"/>
            <w:vAlign w:val="bottom"/>
            <w:gridSpan w:val="3"/>
          </w:tcPr>
          <w:p>
            <w:pPr>
              <w:spacing w:after="0"/>
              <w:rPr>
                <w:sz w:val="20"/>
                <w:szCs w:val="20"/>
                <w:color w:val="auto"/>
              </w:rPr>
            </w:pPr>
            <w:r>
              <w:rPr>
                <w:rFonts w:ascii="Arial" w:cs="Arial" w:eastAsia="Arial" w:hAnsi="Arial"/>
                <w:sz w:val="20"/>
                <w:szCs w:val="20"/>
                <w:color w:val="auto"/>
              </w:rPr>
              <w:t>FOR THE FISCAL YEAR ENDED JANUARY 31, 2023</w:t>
            </w:r>
          </w:p>
        </w:tc>
        <w:tc>
          <w:tcPr>
            <w:tcW w:w="3540" w:type="dxa"/>
            <w:vAlign w:val="bottom"/>
          </w:tcPr>
          <w:p>
            <w:pPr>
              <w:ind w:left="520"/>
              <w:spacing w:after="0"/>
              <w:rPr>
                <w:sz w:val="20"/>
                <w:szCs w:val="20"/>
                <w:color w:val="auto"/>
              </w:rPr>
            </w:pPr>
            <w:r>
              <w:rPr>
                <w:rFonts w:ascii="Arial" w:cs="Arial" w:eastAsia="Arial" w:hAnsi="Arial"/>
                <w:sz w:val="20"/>
                <w:szCs w:val="20"/>
                <w:color w:val="auto"/>
                <w:w w:val="93"/>
              </w:rPr>
              <w:t>COMMISSION FILE NO. 001-09097</w:t>
            </w:r>
          </w:p>
        </w:tc>
      </w:tr>
      <w:tr>
        <w:trPr>
          <w:trHeight w:val="90"/>
        </w:trPr>
        <w:tc>
          <w:tcPr>
            <w:tcW w:w="45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540" w:type="dxa"/>
            <w:vAlign w:val="bottom"/>
          </w:tcPr>
          <w:p>
            <w:pPr>
              <w:spacing w:after="0"/>
              <w:rPr>
                <w:sz w:val="7"/>
                <w:szCs w:val="7"/>
                <w:color w:val="auto"/>
              </w:rPr>
            </w:pPr>
          </w:p>
        </w:tc>
      </w:tr>
      <w:tr>
        <w:trPr>
          <w:trHeight w:val="301"/>
        </w:trPr>
        <w:tc>
          <w:tcPr>
            <w:tcW w:w="7700" w:type="dxa"/>
            <w:vAlign w:val="bottom"/>
            <w:gridSpan w:val="3"/>
          </w:tcPr>
          <w:p>
            <w:pPr>
              <w:ind w:left="3560"/>
              <w:spacing w:after="0"/>
              <w:rPr>
                <w:sz w:val="20"/>
                <w:szCs w:val="20"/>
                <w:color w:val="auto"/>
              </w:rPr>
            </w:pPr>
            <w:r>
              <w:rPr>
                <w:rFonts w:ascii="Arial" w:cs="Arial" w:eastAsia="Arial" w:hAnsi="Arial"/>
                <w:sz w:val="20"/>
                <w:szCs w:val="20"/>
                <w:color w:val="auto"/>
                <w:w w:val="93"/>
              </w:rPr>
              <w:t>REX AMERICAN RESOURCES CORPORATION</w:t>
            </w:r>
          </w:p>
        </w:tc>
        <w:tc>
          <w:tcPr>
            <w:tcW w:w="3540" w:type="dxa"/>
            <w:vAlign w:val="bottom"/>
          </w:tcPr>
          <w:p>
            <w:pPr>
              <w:spacing w:after="0"/>
              <w:rPr>
                <w:sz w:val="24"/>
                <w:szCs w:val="24"/>
                <w:color w:val="auto"/>
              </w:rPr>
            </w:pPr>
          </w:p>
        </w:tc>
      </w:tr>
      <w:tr>
        <w:trPr>
          <w:trHeight w:val="250"/>
        </w:trPr>
        <w:tc>
          <w:tcPr>
            <w:tcW w:w="7700" w:type="dxa"/>
            <w:vAlign w:val="bottom"/>
            <w:gridSpan w:val="3"/>
          </w:tcPr>
          <w:p>
            <w:pPr>
              <w:ind w:left="3580"/>
              <w:spacing w:after="0"/>
              <w:rPr>
                <w:sz w:val="20"/>
                <w:szCs w:val="20"/>
                <w:color w:val="auto"/>
              </w:rPr>
            </w:pPr>
            <w:r>
              <w:rPr>
                <w:rFonts w:ascii="Arial" w:cs="Arial" w:eastAsia="Arial" w:hAnsi="Arial"/>
                <w:sz w:val="20"/>
                <w:szCs w:val="20"/>
                <w:color w:val="auto"/>
                <w:w w:val="89"/>
              </w:rPr>
              <w:t>(Exact name of registrant as specified in its charter)</w:t>
            </w:r>
          </w:p>
        </w:tc>
        <w:tc>
          <w:tcPr>
            <w:tcW w:w="3540" w:type="dxa"/>
            <w:vAlign w:val="bottom"/>
          </w:tcPr>
          <w:p>
            <w:pPr>
              <w:spacing w:after="0"/>
              <w:rPr>
                <w:sz w:val="21"/>
                <w:szCs w:val="21"/>
                <w:color w:val="auto"/>
              </w:rPr>
            </w:pPr>
          </w:p>
        </w:tc>
      </w:tr>
      <w:tr>
        <w:trPr>
          <w:trHeight w:val="425"/>
        </w:trPr>
        <w:tc>
          <w:tcPr>
            <w:tcW w:w="7700" w:type="dxa"/>
            <w:vAlign w:val="bottom"/>
            <w:gridSpan w:val="3"/>
          </w:tcPr>
          <w:p>
            <w:pPr>
              <w:jc w:val="center"/>
              <w:ind w:right="2860"/>
              <w:spacing w:after="0"/>
              <w:rPr>
                <w:sz w:val="20"/>
                <w:szCs w:val="20"/>
                <w:color w:val="auto"/>
              </w:rPr>
            </w:pPr>
            <w:r>
              <w:rPr>
                <w:rFonts w:ascii="Arial" w:cs="Arial" w:eastAsia="Arial" w:hAnsi="Arial"/>
                <w:sz w:val="20"/>
                <w:szCs w:val="20"/>
                <w:color w:val="auto"/>
                <w:w w:val="89"/>
              </w:rPr>
              <w:t>Delaware</w:t>
            </w:r>
          </w:p>
        </w:tc>
        <w:tc>
          <w:tcPr>
            <w:tcW w:w="3540" w:type="dxa"/>
            <w:vAlign w:val="bottom"/>
          </w:tcPr>
          <w:p>
            <w:pPr>
              <w:jc w:val="right"/>
              <w:ind w:right="1501"/>
              <w:spacing w:after="0"/>
              <w:rPr>
                <w:sz w:val="20"/>
                <w:szCs w:val="20"/>
                <w:color w:val="auto"/>
              </w:rPr>
            </w:pPr>
            <w:r>
              <w:rPr>
                <w:rFonts w:ascii="Arial" w:cs="Arial" w:eastAsia="Arial" w:hAnsi="Arial"/>
                <w:sz w:val="20"/>
                <w:szCs w:val="20"/>
                <w:color w:val="auto"/>
              </w:rPr>
              <w:t>31-1095548</w:t>
            </w:r>
          </w:p>
        </w:tc>
      </w:tr>
      <w:tr>
        <w:trPr>
          <w:trHeight w:val="229"/>
        </w:trPr>
        <w:tc>
          <w:tcPr>
            <w:tcW w:w="7700" w:type="dxa"/>
            <w:vAlign w:val="bottom"/>
            <w:gridSpan w:val="3"/>
          </w:tcPr>
          <w:p>
            <w:pPr>
              <w:jc w:val="center"/>
              <w:ind w:right="2840"/>
              <w:spacing w:after="0"/>
              <w:rPr>
                <w:sz w:val="20"/>
                <w:szCs w:val="20"/>
                <w:color w:val="auto"/>
              </w:rPr>
            </w:pPr>
            <w:r>
              <w:rPr>
                <w:rFonts w:ascii="Arial" w:cs="Arial" w:eastAsia="Arial" w:hAnsi="Arial"/>
                <w:sz w:val="20"/>
                <w:szCs w:val="20"/>
                <w:color w:val="auto"/>
                <w:w w:val="91"/>
              </w:rPr>
              <w:t>(State or other jurisdiction of</w:t>
            </w:r>
          </w:p>
        </w:tc>
        <w:tc>
          <w:tcPr>
            <w:tcW w:w="3540" w:type="dxa"/>
            <w:vAlign w:val="bottom"/>
          </w:tcPr>
          <w:p>
            <w:pPr>
              <w:jc w:val="center"/>
              <w:ind w:right="501"/>
              <w:spacing w:after="0"/>
              <w:rPr>
                <w:sz w:val="20"/>
                <w:szCs w:val="20"/>
                <w:color w:val="auto"/>
              </w:rPr>
            </w:pPr>
            <w:r>
              <w:rPr>
                <w:rFonts w:ascii="Arial" w:cs="Arial" w:eastAsia="Arial" w:hAnsi="Arial"/>
                <w:sz w:val="20"/>
                <w:szCs w:val="20"/>
                <w:color w:val="auto"/>
                <w:w w:val="92"/>
              </w:rPr>
              <w:t>(I.R.S. Employer Identification No.)</w:t>
            </w:r>
          </w:p>
        </w:tc>
      </w:tr>
      <w:tr>
        <w:trPr>
          <w:trHeight w:val="250"/>
        </w:trPr>
        <w:tc>
          <w:tcPr>
            <w:tcW w:w="7700" w:type="dxa"/>
            <w:vAlign w:val="bottom"/>
            <w:gridSpan w:val="3"/>
          </w:tcPr>
          <w:p>
            <w:pPr>
              <w:jc w:val="center"/>
              <w:ind w:right="2840"/>
              <w:spacing w:after="0"/>
              <w:rPr>
                <w:sz w:val="20"/>
                <w:szCs w:val="20"/>
                <w:color w:val="auto"/>
              </w:rPr>
            </w:pPr>
            <w:r>
              <w:rPr>
                <w:rFonts w:ascii="Arial" w:cs="Arial" w:eastAsia="Arial" w:hAnsi="Arial"/>
                <w:sz w:val="20"/>
                <w:szCs w:val="20"/>
                <w:color w:val="auto"/>
                <w:w w:val="91"/>
              </w:rPr>
              <w:t>incorporation or organization)</w:t>
            </w:r>
          </w:p>
        </w:tc>
        <w:tc>
          <w:tcPr>
            <w:tcW w:w="3540" w:type="dxa"/>
            <w:vAlign w:val="bottom"/>
          </w:tcPr>
          <w:p>
            <w:pPr>
              <w:spacing w:after="0"/>
              <w:rPr>
                <w:sz w:val="21"/>
                <w:szCs w:val="21"/>
                <w:color w:val="auto"/>
              </w:rPr>
            </w:pPr>
          </w:p>
        </w:tc>
      </w:tr>
      <w:tr>
        <w:trPr>
          <w:trHeight w:val="438"/>
        </w:trPr>
        <w:tc>
          <w:tcPr>
            <w:tcW w:w="7700" w:type="dxa"/>
            <w:vAlign w:val="bottom"/>
            <w:gridSpan w:val="3"/>
          </w:tcPr>
          <w:p>
            <w:pPr>
              <w:jc w:val="center"/>
              <w:ind w:right="2840"/>
              <w:spacing w:after="0"/>
              <w:rPr>
                <w:sz w:val="20"/>
                <w:szCs w:val="20"/>
                <w:color w:val="auto"/>
              </w:rPr>
            </w:pPr>
            <w:r>
              <w:rPr>
                <w:rFonts w:ascii="Arial" w:cs="Arial" w:eastAsia="Arial" w:hAnsi="Arial"/>
                <w:sz w:val="20"/>
                <w:szCs w:val="20"/>
                <w:color w:val="auto"/>
                <w:w w:val="89"/>
              </w:rPr>
              <w:t>7720 Paragon Road, Dayton, Ohio</w:t>
            </w:r>
          </w:p>
        </w:tc>
        <w:tc>
          <w:tcPr>
            <w:tcW w:w="3540" w:type="dxa"/>
            <w:vAlign w:val="bottom"/>
          </w:tcPr>
          <w:p>
            <w:pPr>
              <w:jc w:val="right"/>
              <w:ind w:right="1721"/>
              <w:spacing w:after="0"/>
              <w:rPr>
                <w:sz w:val="20"/>
                <w:szCs w:val="20"/>
                <w:color w:val="auto"/>
              </w:rPr>
            </w:pPr>
            <w:r>
              <w:rPr>
                <w:rFonts w:ascii="Arial" w:cs="Arial" w:eastAsia="Arial" w:hAnsi="Arial"/>
                <w:sz w:val="20"/>
                <w:szCs w:val="20"/>
                <w:color w:val="auto"/>
              </w:rPr>
              <w:t>45459</w:t>
            </w:r>
          </w:p>
        </w:tc>
      </w:tr>
      <w:tr>
        <w:trPr>
          <w:trHeight w:val="250"/>
        </w:trPr>
        <w:tc>
          <w:tcPr>
            <w:tcW w:w="7700" w:type="dxa"/>
            <w:vAlign w:val="bottom"/>
            <w:gridSpan w:val="3"/>
          </w:tcPr>
          <w:p>
            <w:pPr>
              <w:jc w:val="center"/>
              <w:ind w:right="2840"/>
              <w:spacing w:after="0"/>
              <w:rPr>
                <w:sz w:val="20"/>
                <w:szCs w:val="20"/>
                <w:color w:val="auto"/>
              </w:rPr>
            </w:pPr>
            <w:r>
              <w:rPr>
                <w:rFonts w:ascii="Arial" w:cs="Arial" w:eastAsia="Arial" w:hAnsi="Arial"/>
                <w:sz w:val="20"/>
                <w:szCs w:val="20"/>
                <w:color w:val="auto"/>
                <w:w w:val="91"/>
              </w:rPr>
              <w:t>(Address of principal executive offices)</w:t>
            </w:r>
          </w:p>
        </w:tc>
        <w:tc>
          <w:tcPr>
            <w:tcW w:w="3540" w:type="dxa"/>
            <w:vAlign w:val="bottom"/>
          </w:tcPr>
          <w:p>
            <w:pPr>
              <w:jc w:val="center"/>
              <w:ind w:right="501"/>
              <w:spacing w:after="0"/>
              <w:rPr>
                <w:sz w:val="20"/>
                <w:szCs w:val="20"/>
                <w:color w:val="auto"/>
              </w:rPr>
            </w:pPr>
            <w:r>
              <w:rPr>
                <w:rFonts w:ascii="Arial" w:cs="Arial" w:eastAsia="Arial" w:hAnsi="Arial"/>
                <w:sz w:val="20"/>
                <w:szCs w:val="20"/>
                <w:color w:val="auto"/>
                <w:w w:val="90"/>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 (937) 276-3931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Securities registered pursuant to Section 12(b) of the Act:</w:t>
      </w:r>
    </w:p>
    <w:tbl>
      <w:tblPr>
        <w:tblLayout w:type="fixed"/>
        <w:tblInd w:w="108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60" w:type="dxa"/>
            <w:vAlign w:val="bottom"/>
            <w:gridSpan w:val="3"/>
          </w:tcPr>
          <w:p>
            <w:pPr>
              <w:jc w:val="center"/>
              <w:ind w:left="821"/>
              <w:spacing w:after="0"/>
              <w:rPr>
                <w:sz w:val="20"/>
                <w:szCs w:val="20"/>
                <w:color w:val="auto"/>
              </w:rPr>
            </w:pPr>
            <w:r>
              <w:rPr>
                <w:rFonts w:ascii="Arial" w:cs="Arial" w:eastAsia="Arial" w:hAnsi="Arial"/>
                <w:sz w:val="20"/>
                <w:szCs w:val="20"/>
                <w:color w:val="auto"/>
                <w:w w:val="87"/>
              </w:rPr>
              <w:t>Name of each exchange</w:t>
            </w:r>
          </w:p>
        </w:tc>
      </w:tr>
      <w:tr>
        <w:trPr>
          <w:trHeight w:val="206"/>
        </w:trPr>
        <w:tc>
          <w:tcPr>
            <w:tcW w:w="52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20"/>
                <w:szCs w:val="20"/>
                <w:color w:val="auto"/>
                <w:w w:val="89"/>
              </w:rPr>
              <w:t>Title of each class</w:t>
            </w:r>
          </w:p>
        </w:tc>
        <w:tc>
          <w:tcPr>
            <w:tcW w:w="1580" w:type="dxa"/>
            <w:vAlign w:val="bottom"/>
          </w:tcPr>
          <w:p>
            <w:pPr>
              <w:spacing w:after="0"/>
              <w:rPr>
                <w:sz w:val="17"/>
                <w:szCs w:val="17"/>
                <w:color w:val="auto"/>
              </w:rPr>
            </w:pPr>
          </w:p>
        </w:tc>
        <w:tc>
          <w:tcPr>
            <w:tcW w:w="15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90"/>
              </w:rPr>
              <w:t>Trading Symbol(s)</w:t>
            </w: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20"/>
                <w:szCs w:val="20"/>
                <w:color w:val="auto"/>
                <w:w w:val="89"/>
              </w:rPr>
              <w:t>on which registered</w:t>
            </w:r>
          </w:p>
        </w:tc>
        <w:tc>
          <w:tcPr>
            <w:tcW w:w="280" w:type="dxa"/>
            <w:vAlign w:val="bottom"/>
          </w:tcPr>
          <w:p>
            <w:pPr>
              <w:spacing w:after="0"/>
              <w:rPr>
                <w:sz w:val="17"/>
                <w:szCs w:val="17"/>
                <w:color w:val="auto"/>
              </w:rPr>
            </w:pPr>
          </w:p>
        </w:tc>
      </w:tr>
      <w:tr>
        <w:trPr>
          <w:trHeight w:val="254"/>
        </w:trPr>
        <w:tc>
          <w:tcPr>
            <w:tcW w:w="3540" w:type="dxa"/>
            <w:vAlign w:val="bottom"/>
            <w:gridSpan w:val="3"/>
          </w:tcPr>
          <w:p>
            <w:pPr>
              <w:jc w:val="center"/>
              <w:ind w:right="1080"/>
              <w:spacing w:after="0"/>
              <w:rPr>
                <w:sz w:val="20"/>
                <w:szCs w:val="20"/>
                <w:color w:val="auto"/>
              </w:rPr>
            </w:pPr>
            <w:r>
              <w:rPr>
                <w:rFonts w:ascii="Arial" w:cs="Arial" w:eastAsia="Arial" w:hAnsi="Arial"/>
                <w:sz w:val="20"/>
                <w:szCs w:val="20"/>
                <w:color w:val="auto"/>
                <w:w w:val="89"/>
              </w:rPr>
              <w:t>Common Stock, $.01 par value</w:t>
            </w:r>
          </w:p>
        </w:tc>
        <w:tc>
          <w:tcPr>
            <w:tcW w:w="2440" w:type="dxa"/>
            <w:vAlign w:val="bottom"/>
            <w:gridSpan w:val="2"/>
          </w:tcPr>
          <w:p>
            <w:pPr>
              <w:spacing w:after="0"/>
              <w:rPr>
                <w:sz w:val="20"/>
                <w:szCs w:val="20"/>
                <w:color w:val="auto"/>
              </w:rPr>
            </w:pPr>
            <w:r>
              <w:rPr>
                <w:rFonts w:ascii="Arial" w:cs="Arial" w:eastAsia="Arial" w:hAnsi="Arial"/>
                <w:sz w:val="20"/>
                <w:szCs w:val="20"/>
                <w:color w:val="auto"/>
              </w:rPr>
              <w:t>REX</w:t>
            </w:r>
          </w:p>
        </w:tc>
        <w:tc>
          <w:tcPr>
            <w:tcW w:w="3060" w:type="dxa"/>
            <w:vAlign w:val="bottom"/>
            <w:gridSpan w:val="3"/>
          </w:tcPr>
          <w:p>
            <w:pPr>
              <w:jc w:val="center"/>
              <w:ind w:left="821"/>
              <w:spacing w:after="0"/>
              <w:rPr>
                <w:sz w:val="20"/>
                <w:szCs w:val="20"/>
                <w:color w:val="auto"/>
              </w:rPr>
            </w:pPr>
            <w:r>
              <w:rPr>
                <w:rFonts w:ascii="Arial" w:cs="Arial" w:eastAsia="Arial" w:hAnsi="Arial"/>
                <w:sz w:val="20"/>
                <w:szCs w:val="20"/>
                <w:color w:val="auto"/>
                <w:w w:val="90"/>
              </w:rPr>
              <w:t>New York Stock Exchange</w:t>
            </w:r>
          </w:p>
        </w:tc>
      </w:tr>
    </w:tbl>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jc w:val="both"/>
        <w:ind w:right="2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indicated by check mark whether the financial statements of the registrant included in the filing reflect the correction of an error to previous issued financial statements.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offices during the relevant recovery period pursuant to §240.10D-1(b).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close of business on July 31, 2022, the aggregate market value of the registrant’s outstanding Common Stock held by non-affiliates of the registrant (for purposes of this calculation, 2,124,645 shares beneficially owned by directors and executive officers of the registrant were treated as being held by affiliates of the registrant), was $493,699,933.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17,390,019 shares of the registrant’s Common Stock outstanding as of March 29,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Portions of REX American Resources Corporation’s definitive Proxy Statement for its Annual Meeting of Shareholders on June 15, 2023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u w:val="single" w:color="auto"/>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References to “we”, “us”, “our”, “REX” or “the Company” refer to REX American Resources Corporation and its majority owned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references in this report to a particular fiscal year are to REX’s fiscal year ended January 31. We refer to our fiscal year by reference to the year immediately preceding the January 31 fiscal year end date. For example, “fiscal year 2022” means the period February 1, 2022 to January 31,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REX was incorporated in Delaware in 1984 as a holding company. Our principal offices are located at 7720 Paragon Road, Dayton, Ohio 45459. Our telephone number is (937) 276-3931.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2006, we started investing in ethanol production facilities. We are currently invested in three ethanol production entities – One Earth Energy, LLC (“One Earth”), NuGen Energy, LLC (“NuGen”), and Big River Resources, LLC (“Big River”). We own a majority interest in One Earth and NuGen. We also own a majority interest in an entity that owned and, until November 18, 2021, operated a refined coal facility. As we have ceased operating the refined coal facility, we began classifying the financial results of the operating segment as discontinued operations. We now have one reportable segment, ethanol and by-products.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net income attributable to REX common shareholders of $27.7 million in fiscal 2022 compared to approximately $52.4 million in fiscal 2021. Our ethanol business had reduced profits in fiscal 2022 compared to fiscal 2021 as a result of lower crush spreads in fiscal 2022. The two largest drivers of ethanol profitability are corn and ethanol pricing, both of which experienced significant volatility within the year. Chicago Board of Trade corn prices per bushel ranged from a low of $5.64 in July 2022 to a high of $8.18 in April 2022. S&amp;P Global Platts ethanol pricing per gallon ranged from a low of $1.99 in February 2022 to a high of $2.88 in June 2022.</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form and structure of our ethanol investments are tailored to the specific needs and goals of each project and the local farmer group or investor with whom we partner. We generally participate in the oversight of our projects through our membership on the board of managers of the limited liability companies that own the plants. We provide management oversight and direction with respect to most aspects of plant operations for our consolidated ethanol companies. We have equity investments in three entities engaged in the production of ethanol as of January 31, 2023. The following table is a summary of our ethanol entity ownership interests at January 31, 2023:</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REX’s Current</w:t>
            </w:r>
          </w:p>
        </w:tc>
      </w:tr>
      <w:tr>
        <w:trPr>
          <w:trHeight w:val="234"/>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Entity</w:t>
            </w:r>
          </w:p>
        </w:tc>
        <w:tc>
          <w:tcPr>
            <w:tcW w:w="2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Ownership Interest</w:t>
            </w:r>
          </w:p>
        </w:tc>
      </w:tr>
      <w:tr>
        <w:trPr>
          <w:trHeight w:val="209"/>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One Earth Energy, LLC</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75.8%</w:t>
            </w:r>
          </w:p>
        </w:tc>
      </w:tr>
      <w:tr>
        <w:trPr>
          <w:trHeight w:val="209"/>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NuGen Energy, LLC</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99.7%</w:t>
            </w:r>
          </w:p>
        </w:tc>
      </w:tr>
      <w:tr>
        <w:trPr>
          <w:trHeight w:val="195"/>
        </w:trPr>
        <w:tc>
          <w:tcPr>
            <w:tcW w:w="46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Big River Resources, LLC:</w:t>
            </w:r>
          </w:p>
        </w:tc>
        <w:tc>
          <w:tcPr>
            <w:tcW w:w="2160" w:type="dxa"/>
            <w:vAlign w:val="bottom"/>
            <w:tcBorders>
              <w:right w:val="single" w:sz="8" w:color="auto"/>
            </w:tcBorders>
          </w:tcPr>
          <w:p>
            <w:pPr>
              <w:spacing w:after="0"/>
              <w:rPr>
                <w:sz w:val="16"/>
                <w:szCs w:val="16"/>
                <w:color w:val="auto"/>
              </w:rPr>
            </w:pPr>
          </w:p>
        </w:tc>
      </w:tr>
      <w:tr>
        <w:trPr>
          <w:trHeight w:val="216"/>
        </w:trPr>
        <w:tc>
          <w:tcPr>
            <w:tcW w:w="46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Resources W Burlington, LLC</w:t>
            </w:r>
          </w:p>
        </w:tc>
        <w:tc>
          <w:tcPr>
            <w:tcW w:w="2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r>
        <w:trPr>
          <w:trHeight w:val="216"/>
        </w:trPr>
        <w:tc>
          <w:tcPr>
            <w:tcW w:w="46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Resources Galva, LLC</w:t>
            </w:r>
          </w:p>
        </w:tc>
        <w:tc>
          <w:tcPr>
            <w:tcW w:w="2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r>
        <w:trPr>
          <w:trHeight w:val="216"/>
        </w:trPr>
        <w:tc>
          <w:tcPr>
            <w:tcW w:w="46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United Energy, LLC</w:t>
            </w:r>
          </w:p>
        </w:tc>
        <w:tc>
          <w:tcPr>
            <w:tcW w:w="2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460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Resources Boyceville, LLC</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three entities own a total of six ethanol production facilities, which in aggregate shipped approximately 691 millions gallons of ethanol over the twelve-month period ended January 31, 2023. REX’s effective ownership of gallons shipped, for the twelve-month period ended January 31, 2023, by the ethanol production facilities in which we have ownership interests was approximately 271 million gallons.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ethanol operations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at times ethanol and distillers grains prices may not follow movements in corn prices. In an environment of higher corn prices or lower ethanol or distillers grains prices, the overall margin structure at the plants could be reduced. As a result, at times, we may operate our plants at negative or minimally positive operating margins.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our ethanol plants to produce approximately 2.9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jc w:val="both"/>
        <w:ind w:right="20"/>
        <w:spacing w:after="0" w:line="308" w:lineRule="auto"/>
        <w:rPr>
          <w:sz w:val="20"/>
          <w:szCs w:val="20"/>
          <w:color w:val="auto"/>
        </w:rPr>
      </w:pPr>
      <w:r>
        <w:rPr>
          <w:rFonts w:ascii="Arial" w:cs="Arial" w:eastAsia="Arial" w:hAnsi="Arial"/>
          <w:sz w:val="17"/>
          <w:szCs w:val="17"/>
          <w:color w:val="auto"/>
        </w:rPr>
        <w:t>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attempt to manage the risk related to the volatility of commodity prices by utilizing forward grain and natural gas purchase contracts, forward ethanol, distillers grains and non-food grade corn oil sale contracts, and commodity futures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We began classifying this operation as discontinued operations in the third quarter of fiscal 2021.</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Through our affiliate, One Earth Energy, LLC, we are in the exploratory stage of a carbon sequestration project near the One Earth Energy ethanol plant. A test well has been drilled to a total depth of approximately 7,100 feet, in which almost 2,000 feet of Mt. Simon Sandstone was encountered, which represents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We have applied for a Class VI injection well permit for three wells with the U.S. Environmental Protection Agency (“EPA”). In addition, we have signed a construction contract to capture, dehydrate, and compress carbon to a state suitable for sequestration for the One Earth Energy ethanol plant. We are currently working on an engineering design study for a short pipeline to deliver carbon from the ethanol plant to the sequestration site. Although we have made meaningful progress, we continue to complete documents required from various government agencies and obtain other approvals with no assurances of ultimate success. If successful, we believe we would qualify for tax credits under section 45Q of the Internal Revenue Code (“45Q”) and section 45Z of the Internal Revenue Code (“45Z”) as outlined in the Inflation Reduction Act.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plan to seek and evaluate various investment opportunities including energy related, carbon sequestration, agricultural and other ventures we believe fit our investment criteria. We can make no assurances that we will be successful in our efforts to find such opportunities.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Ethanol Industry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Ethanol is a renewable fuel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the fermentation process that is used in producing alcohol. Ethanol production can also use feedstocks such as grain sorghum, switchgrass, wheat, barley, potatoes and sugarcane as carbohydrate sources. Most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facilities. An adequate supply of natural gas is key to maintaining optimal operating levels.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According to the Renewable Fuels Association (“RFA”), the United States ethanol industry produced an estimated 15.4 billion gallons of ethanol in 2022, compared to 15.0 billion gallons in 2021. Approximately 1.4 billion gallons were exported from the United States in 2022. According to the RFA, the United States ethanol industry consists of 199 plants in 25 states with an annual capacity of approximately 17.9 billion gallons of ethanol production.</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Domestic demand for ethanol is highly dependent upon federal and state legislation and regulations. On December 19, 2007, the Energy Independence and Security Act of 2007 (the “Energy Act of 2007”) was enacted. The Energy Act of 2007 established new levels of renewable fuel mandates, including two different categories of renewable fuels: conventional biofuels and advanced biofuels. The federal government mandates the use of renewable fuels under Renewable Fuel Standard II (“RFS II”), established in October 2010. Corn-based ethanol is considered a conventional biofuel. There were mandated volumes established as part of the RFS II for conventional and advanced biofuels through the year 2022. After 2022, RFS volumes are to be determined by the EPA in coordination with the Secretaries of Energy and Agriculture. The mandated volumes for conventional biofuel were to reach 15.0 billion gallons in 2015 and maintain that level until 2022.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EPA has proposed conventional renewable fuel volumes of 15.0 billion gallons for 2023 and 15.25 billion gallons for both 2024 and 2025.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proposal for 2023 also restores the remaining 250 million gallons previously waived in 2016.</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RFS II, a small refiner that processes less than 75,000 barrels of oil per day can petition the EPA for a waiver of their requirement to acquire and submit renewable identification numbers (“RINs”).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 The EPA has not granted any small refinery waivers for 2019-2022 and has continued that stance in the proposed volumes for 2023-2025. There remain multiple ongoing legal challenges on how the EPA has handled the small refinery waivers.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Ethanol Production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plants we have invested in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The anhydrous ethanol is then blended with a denaturant, such as natural gasoline, to render it undrinkable and thus not subject to beverage alcohol tax. With the starch elements of the corn consumed in the above-described process, the principal by-product produced by the dry milling process is dry distillers grains with solubles, or DDGS. DDGS is sold as a protein used in animal feed, which recovers a portion of the corn value not absorbed in ethanol production. Depending on market and operating conditions, we may also sell modified distillers grains, or wet distillers grains, by removing less liquid content compared to DDGS. We also generate revenues from the sale of non-food grade corn oil produced at our facilities. Non-food grade corn oil is sold to the animal feed market, as well as biodiesel and other chemical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Primary Uses of Ethanol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Blend component. </w:t>
      </w:r>
      <w:r>
        <w:rPr>
          <w:rFonts w:ascii="Arial" w:cs="Arial" w:eastAsia="Arial" w:hAnsi="Arial"/>
          <w:sz w:val="17"/>
          <w:szCs w:val="17"/>
          <w:color w:val="auto"/>
        </w:rPr>
        <w:t>Today, much of the ethanol blending in the U.S. is done to meet the RFS. Most regular gasoline is produced using blendstock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octane rating of 84, which is then increased to 87 (the minimum octane rating required in most states) by adding 10% ethanol according to the RFA. The industry is attempting to expand ethanol blending above the current 10% for most vehicles in use. The EPA has approved the use of 15% ethanol (“E-15”), which has an octane rating of 88, in gasoline for cars, SUV’s and light duty trucks made in 2001 and later. Previously, the EPA had not granted E-15 the same Reid vapor pressure (“RVP”) waiver as E-10 so it could only be sold from September 16 through May 31 for those vehicles in most markets. In May 2019, the EPA finalized regulatory changes to allow the same RVP waiver for E-15 for the summer months that it allows for E-10. However, in July 2021, the U.S. Court of Appeals for the D.C. Circuit overturned the EPA ruling and stated the EPA had exceeded its authority. Then in April 2022, the EPA issued an emergency waiver to allow the sale of E-15 through May 20, 2022, and ultimately extended the waiver multiple times to allow for E-15 to be used throughout the remainder of the 2022 summer months. Certain Midwest states petitioned the EPA to allow year round sales of E-15 in their states. On March 1, 2023, the EPA proposed a rule to allow this to occur in eight states beginning in 2024. A public comment period on the proposed rule will be open for 45 days.</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Clean air additive. </w:t>
      </w:r>
      <w:r>
        <w:rPr>
          <w:rFonts w:ascii="Arial" w:cs="Arial" w:eastAsia="Arial" w:hAnsi="Arial"/>
          <w:sz w:val="16"/>
          <w:szCs w:val="16"/>
          <w:color w:val="auto"/>
        </w:rPr>
        <w:t>Ethanol is employed by the refining industry as a fuel oxygenate, which when blended with gasoline, allows engines to combust fuel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completely than gasoline that has not been oxygenated and thus reduce emissions from motor vehicles. Ethanol contains 35% oxygen, which results in more complete combustion of the fuel in the engine cylinder. Oxygenated gasoline is used to help meet certain federal and air emission standards.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Octane enhancer. </w:t>
      </w:r>
      <w:r>
        <w:rPr>
          <w:rFonts w:ascii="Arial" w:cs="Arial" w:eastAsia="Arial" w:hAnsi="Arial"/>
          <w:sz w:val="18"/>
          <w:szCs w:val="18"/>
          <w:color w:val="auto"/>
        </w:rPr>
        <w:t>Ethanol increases the octane rating of gasoline with which it is blended. Octane is a measure of fuel performance. Ethanol is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gasoline suppliers as an octane enhancer both for producing regular grade gasoline from lower octane blending stocks and for upgrading regular gasoline to premium grades.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United States ethanol industry is highly dependent upon federal and state legislation. See Item 1A. Risk Factors for a discussion of legislation affecting the U.S. ethanol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Refined Coal Facility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2021 and subsequently sold the facility. We began to report these results as discontinued operations in the third quarter of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45 of the IRC was created by Congress to encourage the development and use of environmentally sound solutions to control harmful emissions during energy production and to facilitate and move the United States towards better compliance with global environmental energy standards. The American Jobs Creation Act of 2004 amended Section 45 of the IRC by adding provisions to incentivize the production of emission reducing refined coal. To qualify for tax credits under Section 45 of the IRC, a process must reduce coal emissions of nitrogen oxide by 20% and either sulfur dioxide or mercury by 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our fiscal year end, our consolidated ethanol entities owned a combined 1,342 acres of land and two facilities that shipped a combined quantity of approximately 266 million gallons of ethanol in fiscal year 2022. We also own our corporate headquarters office building, consisting of approximately 7,500 square feet, located in Dayton, Ohio.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attraction, retention and development of employees is critical to our success. We accomplish these objectives through a variety of actions, including our competitive compensation policies, training initiatives and growth opportunities within our Company. At January 31, 2023, we had 122 employees at our two consolidated ethanol plants and at our corporate headquarters. None of our employees are represented by a labor union. We expect this employment level to remain relatively stable. We consider our relationship with our employees to be good</w:t>
      </w:r>
      <w:r>
        <w:rPr>
          <w:rFonts w:ascii="Arial" w:cs="Arial" w:eastAsia="Arial" w:hAnsi="Arial"/>
          <w:sz w:val="20"/>
          <w:szCs w:val="20"/>
          <w:color w:val="auto"/>
        </w:rPr>
        <w: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took measures to protect the health and safety of our employees during the COVID-19 pandemic while continuing to meet the needs of our customers. We continue to monitor the impact of the COVID-19 pandemic on our business, including our employees, and take appropriate actions to mitigate the impact, including emphasizing CDC guidelines.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 regularly scheduled safety meetings and require all employees to go through safety training. We evaluate employee safety incidents monthly and investigate such incidents promptly. In addition, we conduct periodic safety audits performed by an independent third party. A portion of our incentive compensation plan rewards employees for attaining certain safety goals.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we offer market competitive compensation and benefit programs for our employees. In addition to competitive base wages, all employees are eligible for an incentive compensation program, a Company matched 401(k) plan, healthcare benefits, and paid time 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registered the service marks “REX” and “Farmer’s Energy” with the United States Patent and Trademark Office. We are not aware of any adverse claims concerning our service marks.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Ethanol and By-Products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ethanol industry is changing rapidly which could result in unexpected developments that could negatively impact our operations.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According to the RFA, the ethanol industry grew from approximately 1.5 billion gallons of domestic annual ethanol production in 1999 to a peak of approximately 16.1 billion gallons in 2018. In 2022 and 2021, the industry produced approximately 15.4 and 15.0 billion gallons, respectively, with the reduction from the peak year reflecting industry conditions and reduced demand. Thus, there have been significant changes in the supply and demand of ethanol over a relatively short period of time which could lead to difficulty in maintaining profitable operations at our ethanol plants.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returns on our ethanol investments are highly dependent on commodity prices, especially prices for corn, natural gas, ethanol, dried distillers grains, non-food grade corn oil and unleaded gasoline.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returns on ethanol investments are highly sensitive to grain prices.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price of corn is influenced by weather conditions and other factors affecting crop yields, transportation costs, farmer planting decisions, exports, foreign production, the value of the U.S. dollar, and general domestic and foreign economic, market and regulatory factors, including, but not limited to, the impacts from the Russian-Ukraine conflict. These factors include government policies and subsidies with respect to agriculture and international trade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 Increasing domestic ethanol production could boost the demand for corn and result in increased corn prices. International demand for corn could also result in higher corn prices. Our ethanol plants may also have difficulty, from time to time, in physically sourcing corn on economic terms due to regional supply shortages, transportation issues, delays in farmer marketing decisions or unfavorable local pricing. The corn harvest near our NuGen facility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both"/>
        <w:spacing w:after="0" w:line="308" w:lineRule="auto"/>
        <w:rPr>
          <w:sz w:val="20"/>
          <w:szCs w:val="20"/>
          <w:color w:val="auto"/>
        </w:rPr>
      </w:pPr>
      <w:r>
        <w:rPr>
          <w:rFonts w:ascii="Arial" w:cs="Arial" w:eastAsia="Arial" w:hAnsi="Arial"/>
          <w:sz w:val="17"/>
          <w:szCs w:val="17"/>
          <w:color w:val="auto"/>
        </w:rPr>
        <w:t>for 2022 was negatively impacted by dry weather and we expect will impact the supply of corn until the 2023 harvest. Such a shortage or price impact could require our ethanol plants to suspend operations which would have a material adverse effect on our consolidated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spread between ethanol and corn prices can vary significantly.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margin at our ethanol plants depends principally on the spread between ethanol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strategies may be ineffective and may expose us to decreased profitability and liquidity.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an attempt to partially offset the impact of volatility of commodity prices, we enter into: i) forward contracts to sell a portion of our ethanol, distillers grains, and non-food grade corn oil production and to purchase a portion of our corn and natural gas requirements and; ii) commodity futures and swap agreements. The financial impact of these risk management activities is dependent upon, among other items, the prices involved and our ability to receive or deliver the commodities 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non-food grade corn oil contracts. Further, our results may be impacted by a mismatch of gains or losses associated with the positions during a reporting period when the physical commodity purchase or sale has not yet occurred. We vary the amount and type of risk management techniques we utilize, and we may choose not to engage in any risk management activities. Should we fail to properly manage the inherent volatility of commodity prices, our results of operations and financial condition may be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governmental regulation and foreign and domestic relations, including, but not limited to, the impacts from the Russian-Ukraine conflict.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selling price of commodities may reduce profit margins at our ethanol plants.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Distillers grains compete with other protein-based animal feed products. The price of distillers grains may decrease when the prices of competing feed products decrease. The prices of competing animal feed products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 w:name="page11"/>
    <w:bookmarkEnd w:id="10"/>
    <w:p>
      <w:pPr>
        <w:jc w:val="both"/>
        <w:spacing w:after="0" w:line="308" w:lineRule="auto"/>
        <w:rPr>
          <w:sz w:val="20"/>
          <w:szCs w:val="20"/>
          <w:color w:val="auto"/>
        </w:rPr>
      </w:pPr>
      <w:r>
        <w:rPr>
          <w:rFonts w:ascii="Arial" w:cs="Arial" w:eastAsia="Arial" w:hAnsi="Arial"/>
          <w:sz w:val="17"/>
          <w:szCs w:val="17"/>
          <w:color w:val="auto"/>
        </w:rPr>
        <w:t>are based in part on the prices of the commodities from which these products are made. Historically, sales prices for distillers grains have tracked along with the price of corn. However, there have been instances when the price increase for distillers grains has lagged increases in corn prices.</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production of distillers grains has increased as a result of increases in dry mill ethanol production in the United States. This could lead to price declines in what we can sell our distillers grains for in the future. Such declines could have a material adverse effect on our results of operations.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Increased ethanol production or decreases in demand for ethanol may result in excess production capacity in the ethanol industry, which may cause the price of ethanol, distillers grains and non-food grade corn oil to decrease.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According to the RFA, domestic ethanol production capacity is approximately 17.9 billion gallons per year. Under RFS II, there were mandated volumes through 2022 for conventional and advanced biofuels. After 2022, RFS volumes are to be determined by the EPA in coordination with the Secretaries of Energy and Agriculture. The EPA has proposed conventional renewable fuel volumes of 15.0 billion gallons for 2023 and 15.25 billion gallons for 2024 and 2025. In addition, the proposal for 2023 also restores the remaining 250 million gallons previously waived in 2016. The implied excess capacity over the EPA proposed volumes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Excess capacity may also result from decreases in the demand for ethanol, which could result from a number of factors, including, but not limited to, regulatory developments and reduced U.S. gasoline consumption.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ethanol production produces distillers grains and non-food grade corn oil as by-products, increased ethanol production will also lead to increased supplies of distillers grains and non-food grade corn oil. An increase in the supply of distillers grains and non-food grade corn oil, without corresponding increases in demand, could lead to lower prices or an inability to sell our ethanol plants’ distillers grains and non-food grade corn oil production. A decline in the price of distillers grains or non-food grade corn oil could have a material adverse effect on the results of our ethanol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ethanol and distillers grains may decline as a result of trade restrictions or duties on ethanol and distillers grains exports from the United States or from unfavorable foreign currency exchange rates.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United States were to withdraw from or materially modify certain international trade agreements, our business, financial condition and results of operations could be materially adversely affected. Ethanol and other products that we produce are sold into various other countries with trade agreements with the United States. If tariffs were raised on the foreign-sourced goods that lead to retaliatory actions, it could have material adverse effect 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United States exported approximately 1.4 billion gallons of ethanol in 2022, up from approximately 1.2 and approximately 1.3 billion gallons in 2021 and 2020, respectively. In 2022 and 2021, approximately 11.4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p>
      <w:pPr>
        <w:jc w:val="both"/>
        <w:spacing w:after="0" w:line="301" w:lineRule="auto"/>
        <w:rPr>
          <w:sz w:val="20"/>
          <w:szCs w:val="20"/>
          <w:color w:val="auto"/>
        </w:rPr>
      </w:pPr>
      <w:r>
        <w:rPr>
          <w:rFonts w:ascii="Arial" w:cs="Arial" w:eastAsia="Arial" w:hAnsi="Arial"/>
          <w:sz w:val="16"/>
          <w:szCs w:val="16"/>
          <w:color w:val="auto"/>
        </w:rPr>
        <w:t>and 11.6 million metric tons, respectively, of distillers grains were exported, which represented approximately 34% and 36%, respectively, of U.S production. If producers and exporters of ethanol and distillers grains are subject to trade restrictions, or additional duties are imposed on exports, it may make it uneconomical to export these products. The industry has experienced various trade policy disputes, tariffs and investigations in foreign countries that have adversely impacted the international demand for our products. Reduced international demand could lead to further oversupply and reduce pricing.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demand for ethanol is uncertain and changes in overall consumer demand for transportation fuel could affect demand.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Consumer demand for gasoline may be impacted by emerging transportation trends, such as electric vehicles. Most automobile manufacturers have made varying levels of commitments to phase out internal combustion engine production, such as General Motors with a target date of 2035 to phase out the production of gasoline and diesel-powered vehicles and Nissan targeting the early 2030s to convert their entire fleet to electric vehicles. There also have been pledges to ban the sale of internal combustion engines in countries such as Japan and the United Kingdom by 2035, as well as a statewide ban in California, which several states are imitating. If realized, these bans would accelerate the decline of liquid fuel demand and by extension demand for ethanol, biodiesel and renewable diesel. Recent federal legislation seeks to address the ever-increasing demand for electric vehicle infrastructure. Reduced demand for ethanol could cause our results of operations to be materially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partners to operate certain of our ethanol investments</w:t>
      </w:r>
      <w:r>
        <w:rPr>
          <w:rFonts w:ascii="Arial" w:cs="Arial" w:eastAsia="Arial" w:hAnsi="Arial"/>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 limitations on our ability to control day-to-day plant operations could adversely affect plant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acquire or develop additional ethanol investments.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growth of our ethanol business depends on our ability to identify and develop new ethanol investments. Our ethanol development strategy depends on referrals, and introductions, to new investment opportunities from industry participants, such as ethanol plant builders and owners, financial institutions, marketing agents and others. We must continue to maintain favorable relationships with these industry participants, and a material disruption in these sources of referrals would adversely affect our ability to expand our ethanol investments.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expansion strategy will depend on prevailing market conditions for the price of ethanol and the cost of corn and natural gas and the expectations of future market conditions. Additional financing may also be necessary to implement any expansion strategy, which may not be accessible or available on acceptable terms. In addition, failure to adequately manage the risks associated with additional ethanol investments could have a material adverse effect on our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We may not successfully develop our planned carbon sequestration facility near the One Earth Energy ethanol plant.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committed significant time and resources towards a carbon sequestration project near the One Earth Energy ethanol plant. The completion of this project requires numerous government and landowner approvals. If we are not successful in obtaining all these approvals, we may not be able to complete this project and could result in a write off of our commitments and investments.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not successful on this project, our ethanol plant could be at a disadvantage in the industry as our inability to sequester our carbon could result in a higher carbon intensity (CI) score than our competitors if they are able to sequester their carbon. If we are unable to reduce our CI score, we may not be able to participate in the state and federal clean fuel programs, including federal tax credits outlined in the Inflation Reduction Act.</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ethanol plants may be adversely affected by technological advances and efforts to anticipate and employ such technological advances may prove unsuccessful.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or if,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Reduced demand for ethanol could cause our results of operations to be materially adversely affected.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renewable fuel standard program was authorized under the Energy Policy Act of 2005 and was expanded under the Energy Independence and Security Act of 2007 (EISA). EISA increased the amount of renewable fuel required to be blended into gasoline with RFS II and required a minimum usage of corn-derived renewable fuels of 12.0 billion gallons in 2010, increasing annually by 600 million gallons to 15.0 billion gallons in 2015 through 2022, with no specified volume subsequent to 2022. After 2022, RFS volumes are to be determined by the EPA in coordination with the Secretaries of Energy and Agriculture.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blending requirements. To date, none of the bills have been successful but they are an indication of the continued effort to undermine the EISA.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EPA has proposed conventional renewable fuel volumes of 15.0 billion gallons for 2023 and 15.25 billion gallons for both 2024 and 2025.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proposal for 2023 also restores the remaining 250 million gallons previously waived in 2016.</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Obligated parties use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granted 88 total Small Refinery Exemptions (“SREs”) for 2016 through 2018 totaling approximately 4.3 billion gallons. This action led to reduced values for RINs, and further action could decrease RIN values and ethanol pricing.</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2020, the U.S Court of Appeals for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Circuit overturned the EPA’s granting of refinery exemptions to three refineries on two separate grounds. The Court ruled refineries are eligible for SREs only if such waivers are extensions of waivers granted in previous years. The refineries did not qualify for waivers in the year prior to the year the EPA granted them. The Court also stated the disproportionate economic hardship of SREs should be based solely on whether compliance with RFS II creates such hardship, not whether compliance and other issues create the hardship. Two of the refiners appealed the decision to the U.S. Supreme Court, and on January 25, 2021, the Supreme Court partially ruled in favor of the small refiners, but only as to the interpretation of “extension” of a waiver.</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Flexible fuel vehicles (“FFVs”) receive preferential treatment in meeting federally mandated corporate average fuel economy (“CAFE”) standards for automobiles manufactured by car makers. High blend ethanol fuels such as E-85 result in lower fuel efficiencies. Absent the CAFE preferences, car makers would not likely build flexible-fuel vehicles. In recent years, automobile manufactures have backtracked in the production of FFVs for the U.S. Any change in CAFE preferences could reduce the growth of E-85 markets and result in lower ethanol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Unfavorable changes in legislation or regulations could materially and adversely affect our results of operations and financial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inability to generate or obtain RINs could adversely affect our operating results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Virtually all our ethanol is sold with RINs that are used by customers to comply with RFS II. If our production does not meet EPA requirements for RIN generation, as an efficient producer, in the future, we would have to purchase RINs in the open market or sell our ethanol at substantially lower prices to adjust for the absence of RINs. The price of RINs varies based on many factors and cannot be predicted. Failure to obtain sufficient RINs or reliance on invalid RINs could subject us to fines and penalties imposed by the EPA.</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many trade groups, academics and governmental agencies have supported ethanol as a fuel additive that promotes a cleaner environment, others have criticized ethanol production as consuming considerably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more energy and emitting more greenhouse gases than other biofuels and as potentially depleting water resources. Other studies have suggested that corn-based ethanol negatively impacts consumers by causing prices to increase for dairy, meat and other foodstuffs.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support of cellulosic ethanol may result in reduced incentives to corn-derived ethanol producers.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American Recovery and Reinvestment Act of 2009 and EISA provide funding opportunities in support of cellulosic ethanol obtained from biomass sources such as switchgrass and poplar trees.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ethanol business is affected by environmental and other regulations which could impede or prohibit our ability to successfully operate our plants.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ethanol production facilities are subject to extensive air, water and other environmental regulations. We have had to obtain numerous permits to construct and operate our plants. Regulatory agencies could impose conditions or other restrictions in the permits that are detrimental, or which increase our costs. More stringent federal or state environmental regulations could be adopted which could significantly increase our operating costs or require us to expend considerable resources.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 certain operating capacity, but plant expansion requires us to meet a 20% threshold reduction in greenhouse gas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with respect to emissions of carbon dioxide, or if we choose to expand capacity at certain of our plants, compliance with then-current regulations of carbon dioxide, could be costly and may prevent us from operating our plants as profitably, which may have a negative impact on our financial performance. We also face the risk of ethanol production above our grandfathered capacity not qualifying for RINs if the plants do not meet certain emission requirements.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California Air Resources Board (“CARB”) adopted a Low Carbon Fuel Standard (“LCFS”) requiring a 10% reduction in GHG emissions from transportation fuels. An Indirect Land Use Charge is included in this lifecycle GHG emission calculation. This standard could have an adverse impact on the market for corn-based ethanol in California if corn-based ethanol fails to achieve lifecycle GHG emission reductions and in other states if they adopt similar standards. This could have a negative impact on our financial performance.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Our ethanol business may become subject to various environmental and health and safety and property damage claims and liabilities.</w:t>
      </w: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early months of 2020, a new strain of COVID-19 spread into the United States and other countries.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The above actions led to reduced demand for ethanol. Although most restrictions have been lifted, if in the future the virus continues to mutate or other viruses surface, it could lead to prolonged production stoppages at our ethanol plants and could result in an adverse material impact on the results of operations and on our financial position. We idled our NuGen and One Earth ethanol plants for portions of fiscal year 2020, largely due to the impact of the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not diversified.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meet commitments to produce and sell ethanol.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meet commitments to purchase commodities.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from the sale of distillers grains depends upon its continued market acceptance as an animal feed.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about the impact of distillers grains in the food supply or as an acceptable animal feed, the market for distillers grains could be negatively impacted, which would have a negative impact on our results of operations. We may not be able to obtain a suitable replacement for antibiotics, should this be required, which would also negatively impact the market for distillers grains.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estimated 34% of distillers grains produced in the United States were exported in 2022.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extract non-food grade corn oil immediately prior to the production of distillers grains. Several studies are attempting to determine whether non-food grade corn oil extraction may impact the nutritional value of the resulting distillers grains. If it is determined that non-food grade corn oil extraction adversely impacts the nutritional energy content of distillers grains, the value of the distillers grains we sell may be negatively impacted, which would have a negative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in the ethanol industry.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significant competition for new ethanol investment opportunities. Many of our competitors are larger and have greater financial resources and name recognition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competition from foreign producers.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risk of foreign competition in the ethanol industry. Brazil is presently the second largest producer of ethanol in the world. Brazil’s ethanol production is sugarcane based, and, depending on feedstock prices, may be cheaper to produce than corn-derived ethanol. Under the RFS, certain parties were obligated to meet an advanced biofuel standard. In recent years, sugarcane-based ethanol imported from Brazil has been one of the most economical means for obligated parties to comply with this standard.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significant additional foreign ethanol production capacity is created, such facilities could create excess supplies of ethanol, which may result in lower prices of ethanol. In addition, foreign ethanol producers may be able to produce ethanol at costs lower than ours. These risks could have significant adverse effects on our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credit risk from our sales of ethanol and distillers grains to 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inability of a customer to make payments to us for our accounts receivable may cause us to experience losses and may adversely impact our liquidity and our ability to make our payments when due.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We may not be able to hire and retain qualified personnel to operate our ethanol plants.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attract and retain competent personnel has a significant impact on operating efficiencies and plant profitability. Competition for key plant employees in the ethanol industry can be intense, and there has been an increased demand for workers in the U.S. We may not be able to attract and retain qualified employees. Failure to do so could have a negative impact on our financial results at individual plants.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plants depend on an uninterrupted supply of energy and water to operate. Unforeseen plant shutdowns could harm our business.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While we have taken appropriate precautions to protect our systems, and to date, we have not experienced any material adverse events related to a security breach or cyber-attack,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7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are exposed to potential business disruption from factors outside our control, including natural disasters, severe weather conditions, accidents, pandemic diseases, international disputes, and unforeseen operational failures any of which could negatively affect our transportation operations and could adversely affect our cash flows and operating results.</w:t>
      </w:r>
    </w:p>
    <w:p>
      <w:pPr>
        <w:spacing w:after="0" w:line="18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Potential business disruption in available transportation due to natural disasters, severe weather conditions, the outbreak of a pandemic disease, significant track damage resulting from a train derailment, strikes or other interruptions by our transportation providers could result in delays in procuring and supplying raw materials 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We ship much of our products and receive a portion of our corn via rail, which involves risks involving potential regulatory changes that could adversely affect our cash flows and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large portion of our ethanol and distillers grains sales are shipped via rail. In addition, we receive some corn via rail. Given the notoriety of recent major train derailments, it is possible that additional regulations could be enacted. Any changes to existing laws and regulations, or new laws and regulations, including voluntary measures taken by the rail industry, could result in higher shipping costs, or new requirements for the design, construction or operation of tank cars that transport hazard materials, such as ethanol. In addition, any derailments involving our products could result in legal claims being brought against us that could involve significant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capital intensive industry. Limitations on external financing could adversely affect our financial performance.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Refined Coal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refined coal production company qualified to earn tax credits under IRC Section 45 through November 18, 2021. Our ability to generate returns and avoid write-offs in connection with this investment is subject to various risks and uncertainties. These include, but are not limited to, the risks and uncertainties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the tax credits under IRC Section 45.</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claim tax credits under IRC Section 45 depends upon our refined coal operation satisfying certain conditions set forth in IRC Section 45. The IRS could ultimately determine that our refined coal facility and/or its operations did not satisfy the conditions set forth in IRC Section 45. This operation is currently under audit by the IRS and if we were to lose these tax credits, it could have a material impact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refined coal operation and its by-products may result in environmental and product liability claims and environmental compliance costs.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construction and operation of refined coal operations were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hazardous substances could be released as a result of burning refined coal in a number of ways, including air emissions, wastewater, and by-products such as fly ash. One party may, under certain circumstances, be required to bear more than its share or the entire share of investigation and cleanup costs at a site if payments or participation cannot be obtained from other responsible parties. We may be exposed to the risk of becoming liable for environmental damage we may have had little, if any, involvement in creating. Such risk remains even after production ceases at an operation to the extent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environmental damage can be traced to the types of chemicals or compounds used or operations conducted in connection with the use of refined coal.</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 assurances can be given that contractual arrangements and precautions taken to ensure assumption of these risks by facility owners or operators will result in that facility owner or operator accepting full responsibility for any environmental damage. It is also not uncommon for private claims by third parties alleging contamination to also include claims for personal injury, property damage, diminution of property or similar claims. Furthermore, many environmental, health and safety laws authorize citizen suits, permitting third parties to make claims for violations of laws or permits and force compliance. Our insurance 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have to generate taxable income to utilize the Section 45 federal production tax credits.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do not generate sufficient taxable income to utilize the tax credits earned by our refined coal operation, we could incur write-offs of the related tax attributes which could adversely affect our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used patented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operations, we paid a license fee for patented technology. If our third-party operator is subject to patent infringement claims, we may incur legal fees to defend our position and be subject to additional costs and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REX and General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concentrations of cash deposits at financial institutions that exceed federal insurance limits.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realize the anticipated benefits of mergers, acquisitions, or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seeking growth opportunities. Acquisitions and similar transactions involve many risks that could harm our business, which include:</w:t>
      </w:r>
    </w:p>
    <w:p>
      <w:pPr>
        <w:spacing w:after="0" w:line="248"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benefits of these transactions may not be fully realized, or take longer to realize than expected,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acquisitions could result in operating losses or loss of investment,</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acquisitions may involve incurring debt to complete these transactions, which could have a material adverse effect on our financial condition, and</w:t>
      </w:r>
    </w:p>
    <w:p>
      <w:pPr>
        <w:ind w:left="1300" w:hanging="320"/>
        <w:spacing w:after="0" w:line="26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acquisitions may require us to invest a significant portion of our excess cash, which could have a material adverse effect on our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8"/>
          <w:szCs w:val="18"/>
          <w:b w:val="1"/>
          <w:bCs w:val="1"/>
          <w:color w:val="auto"/>
        </w:rPr>
        <w:t>Rising focus on environmental, social and corporate governance matters from investors and regulators may increase our operating costs, bring down the value of our products and assets, and impact our ability to access capital markets.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Global climate change continues to receive significant attention from the public and the scientific community concerning the impacts from human activity, particularly the impact of greenhouse gas emissions, such as those from carbon dioxide and methane. The current federal administration’s focus on environmental issues has added pressure to take action domestically where there was already a heavier focus internationally. International, national, and local regulations are likely to increase in the coming years. Added requirements to reduce greenhouse gas emissions may increase our production costs. In addition, legislation promoting alternatives to combustion engine vehicles could reduce the demand for our products.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Climate change is also thought by some to be the cause for an increase in extreme weather events such as increased intensity of storms, rising sea levels, as well as heavy rains or droughts in areas historically less prone to those events. Any of these events can have a significant impact on our operations or quality of raw materials we purchase, resulting in increased costs. At this time, we are unable to determine the financial impact of any potential adverse weather events caused by climate change.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Incremental to legislative and regulatory pressure, institutional investors have continued to adopt environmental, social and governance guidelines (ESG). Some investors, including certain public and private fund management firms, pension funds, university endowments and family offices, have in recent years, begun adding stated policies to reduce or eliminate fossil fuel equities and encouraging additional consideration of ESG practices in a manner that could negatively impact our stock price. This may also result in a reduction of available capital funding for potential development projects, further impacting our future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state and local jurisdictions may challenge our tax return positions.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We are currently undergoing a federal income examination related to tax credits claimed for the years ended January 31, 2015 through 2020. This could result in material additional income tax payments we would have to make and higher income tax expense in future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2 is set forth in Item 1 of this report under “Ethanol Investments” and “Facilities”.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information about each of our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Age</w:t>
            </w:r>
          </w:p>
        </w:tc>
        <w:tc>
          <w:tcPr>
            <w:tcW w:w="354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r>
      <w:tr>
        <w:trPr>
          <w:trHeight w:val="438"/>
        </w:trPr>
        <w:tc>
          <w:tcPr>
            <w:tcW w:w="1140" w:type="dxa"/>
            <w:vAlign w:val="bottom"/>
          </w:tcPr>
          <w:p>
            <w:pPr>
              <w:ind w:left="100"/>
              <w:spacing w:after="0"/>
              <w:rPr>
                <w:sz w:val="20"/>
                <w:szCs w:val="20"/>
                <w:color w:val="auto"/>
              </w:rPr>
            </w:pPr>
            <w:r>
              <w:rPr>
                <w:rFonts w:ascii="Arial" w:cs="Arial" w:eastAsia="Arial" w:hAnsi="Arial"/>
                <w:sz w:val="18"/>
                <w:szCs w:val="18"/>
                <w:color w:val="auto"/>
              </w:rPr>
              <w:t>Stuart Rose</w:t>
            </w:r>
          </w:p>
        </w:tc>
        <w:tc>
          <w:tcPr>
            <w:tcW w:w="4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68</w:t>
            </w:r>
          </w:p>
        </w:tc>
        <w:tc>
          <w:tcPr>
            <w:tcW w:w="260" w:type="dxa"/>
            <w:vAlign w:val="bottom"/>
          </w:tcPr>
          <w:p>
            <w:pPr>
              <w:spacing w:after="0"/>
              <w:rPr>
                <w:sz w:val="24"/>
                <w:szCs w:val="24"/>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Executive Chairman of the Board*</w:t>
            </w:r>
          </w:p>
        </w:tc>
        <w:tc>
          <w:tcPr>
            <w:tcW w:w="6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2560" w:type="dxa"/>
            <w:vAlign w:val="bottom"/>
            <w:gridSpan w:val="3"/>
          </w:tcPr>
          <w:p>
            <w:pPr>
              <w:ind w:left="100"/>
              <w:spacing w:after="0"/>
              <w:rPr>
                <w:sz w:val="20"/>
                <w:szCs w:val="20"/>
                <w:color w:val="auto"/>
              </w:rPr>
            </w:pPr>
            <w:r>
              <w:rPr>
                <w:rFonts w:ascii="Arial" w:cs="Arial" w:eastAsia="Arial" w:hAnsi="Arial"/>
                <w:sz w:val="18"/>
                <w:szCs w:val="18"/>
                <w:color w:val="auto"/>
              </w:rPr>
              <w:t>Zafar Rizvi</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73</w:t>
            </w:r>
          </w:p>
        </w:tc>
        <w:tc>
          <w:tcPr>
            <w:tcW w:w="260" w:type="dxa"/>
            <w:vAlign w:val="bottom"/>
          </w:tcPr>
          <w:p>
            <w:pPr>
              <w:spacing w:after="0"/>
              <w:rPr>
                <w:sz w:val="18"/>
                <w:szCs w:val="18"/>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2560" w:type="dxa"/>
            <w:vAlign w:val="bottom"/>
            <w:gridSpan w:val="3"/>
          </w:tcPr>
          <w:p>
            <w:pPr>
              <w:ind w:left="100"/>
              <w:spacing w:after="0"/>
              <w:rPr>
                <w:sz w:val="20"/>
                <w:szCs w:val="20"/>
                <w:color w:val="auto"/>
              </w:rPr>
            </w:pPr>
            <w:r>
              <w:rPr>
                <w:rFonts w:ascii="Arial" w:cs="Arial" w:eastAsia="Arial" w:hAnsi="Arial"/>
                <w:sz w:val="18"/>
                <w:szCs w:val="18"/>
                <w:color w:val="auto"/>
              </w:rPr>
              <w:t>Douglas Bruggeman</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18"/>
                <w:szCs w:val="18"/>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w w:val="90"/>
              </w:rPr>
              <w:t>Vice President-Finance, Chief Financial Officer and Treasurer</w:t>
            </w:r>
          </w:p>
        </w:tc>
      </w:tr>
      <w:tr>
        <w:trPr>
          <w:trHeight w:val="216"/>
        </w:trPr>
        <w:tc>
          <w:tcPr>
            <w:tcW w:w="2560" w:type="dxa"/>
            <w:vAlign w:val="bottom"/>
            <w:gridSpan w:val="3"/>
          </w:tcPr>
          <w:p>
            <w:pPr>
              <w:ind w:left="100"/>
              <w:spacing w:after="0"/>
              <w:rPr>
                <w:sz w:val="20"/>
                <w:szCs w:val="20"/>
                <w:color w:val="auto"/>
              </w:rPr>
            </w:pPr>
            <w:r>
              <w:rPr>
                <w:rFonts w:ascii="Arial" w:cs="Arial" w:eastAsia="Arial" w:hAnsi="Arial"/>
                <w:sz w:val="18"/>
                <w:szCs w:val="18"/>
                <w:color w:val="auto"/>
              </w:rPr>
              <w:t>Edward Kress</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73</w:t>
            </w:r>
          </w:p>
        </w:tc>
        <w:tc>
          <w:tcPr>
            <w:tcW w:w="260" w:type="dxa"/>
            <w:vAlign w:val="bottom"/>
          </w:tcPr>
          <w:p>
            <w:pPr>
              <w:spacing w:after="0"/>
              <w:rPr>
                <w:sz w:val="18"/>
                <w:szCs w:val="18"/>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rPr>
              <w:t>Secretary*</w:t>
            </w:r>
          </w:p>
        </w:tc>
      </w:tr>
      <w:tr>
        <w:trPr>
          <w:trHeight w:val="230"/>
        </w:trPr>
        <w:tc>
          <w:tcPr>
            <w:tcW w:w="2560" w:type="dxa"/>
            <w:vAlign w:val="bottom"/>
            <w:gridSpan w:val="3"/>
          </w:tcPr>
          <w:p>
            <w:pPr>
              <w:spacing w:after="0"/>
              <w:rPr>
                <w:sz w:val="20"/>
                <w:szCs w:val="20"/>
                <w:color w:val="auto"/>
              </w:rPr>
            </w:pPr>
            <w:r>
              <w:rPr>
                <w:rFonts w:ascii="Arial" w:cs="Arial" w:eastAsia="Arial" w:hAnsi="Arial"/>
                <w:sz w:val="18"/>
                <w:szCs w:val="18"/>
                <w:color w:val="auto"/>
              </w:rPr>
              <w:t>*Also serves as a director.</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Stuart Rose </w:t>
      </w:r>
      <w:r>
        <w:rPr>
          <w:rFonts w:ascii="Arial" w:cs="Arial" w:eastAsia="Arial" w:hAnsi="Arial"/>
          <w:sz w:val="17"/>
          <w:szCs w:val="17"/>
          <w:color w:val="auto"/>
        </w:rPr>
        <w:t>was elected our Executive Chairman of the Board in 2015. Mr. Rose had served as our Chairman of the Board and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Zafar Rizvi </w:t>
      </w:r>
      <w:r>
        <w:rPr>
          <w:rFonts w:ascii="Arial" w:cs="Arial" w:eastAsia="Arial" w:hAnsi="Arial"/>
          <w:sz w:val="18"/>
          <w:szCs w:val="18"/>
          <w:color w:val="auto"/>
        </w:rPr>
        <w:t>was elected Chief Executive Officer in 2015. Mr. Rizvi has been our President and Chief Operating Officer since 2010,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from 2006 to 2010. From 1991 to 2006, Mr. Rizvi was our Vice President – Loss Prevention.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Douglas Bruggeman </w:t>
      </w:r>
      <w:r>
        <w:rPr>
          <w:rFonts w:ascii="Arial" w:cs="Arial" w:eastAsia="Arial" w:hAnsi="Arial"/>
          <w:sz w:val="18"/>
          <w:szCs w:val="18"/>
          <w:color w:val="auto"/>
        </w:rPr>
        <w:t>has been our Vice President–Finance and Treasurer since 1989 and was elected Chief Financial Officer in 2003. From 1987 to 1989,</w:t>
      </w:r>
      <w:r>
        <w:rPr>
          <w:rFonts w:ascii="Arial" w:cs="Arial" w:eastAsia="Arial" w:hAnsi="Arial"/>
          <w:sz w:val="18"/>
          <w:szCs w:val="18"/>
          <w:i w:val="1"/>
          <w:iCs w:val="1"/>
          <w:color w:val="auto"/>
        </w:rPr>
        <w:t xml:space="preserve"> </w:t>
      </w:r>
      <w:r>
        <w:rPr>
          <w:rFonts w:ascii="Arial" w:cs="Arial" w:eastAsia="Arial" w:hAnsi="Arial"/>
          <w:sz w:val="18"/>
          <w:szCs w:val="18"/>
          <w:color w:val="auto"/>
        </w:rPr>
        <w:t>Mr. Bruggeman was our Manager of Corporate Accounting. Mr. Bruggeman was employed with the accounting firm of Ernst &amp; Young prior to joining us in 1986.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Edward Kress </w:t>
      </w:r>
      <w:r>
        <w:rPr>
          <w:rFonts w:ascii="Arial" w:cs="Arial" w:eastAsia="Arial" w:hAnsi="Arial"/>
          <w:sz w:val="18"/>
          <w:szCs w:val="18"/>
          <w:color w:val="auto"/>
        </w:rPr>
        <w:t>has been our Secretary since 1984. Mr. Kress has been a partner of the law firm of Dinsmore &amp; Shohl LLP (formerly Chernesky, Heyman &amp;</w:t>
      </w:r>
      <w:r>
        <w:rPr>
          <w:rFonts w:ascii="Arial" w:cs="Arial" w:eastAsia="Arial" w:hAnsi="Arial"/>
          <w:sz w:val="18"/>
          <w:szCs w:val="18"/>
          <w:i w:val="1"/>
          <w:iCs w:val="1"/>
          <w:color w:val="auto"/>
        </w:rPr>
        <w:t xml:space="preserve"> </w:t>
      </w:r>
      <w:r>
        <w:rPr>
          <w:rFonts w:ascii="Arial" w:cs="Arial" w:eastAsia="Arial" w:hAnsi="Arial"/>
          <w:sz w:val="18"/>
          <w:szCs w:val="18"/>
          <w:color w:val="auto"/>
        </w:rPr>
        <w:t>Kress P.L.L.), our legal counsel, since 1988. Mr. Kress has practiced law in Dayton, Ohio since 1974.</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40"/>
        <w:spacing w:after="0" w:line="50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Shareholder Information</w:t>
      </w:r>
    </w:p>
    <w:p>
      <w:pPr>
        <w:spacing w:after="0"/>
        <w:rPr>
          <w:sz w:val="20"/>
          <w:szCs w:val="20"/>
          <w:color w:val="auto"/>
        </w:rPr>
      </w:pPr>
      <w:r>
        <w:rPr>
          <w:rFonts w:ascii="Arial" w:cs="Arial" w:eastAsia="Arial" w:hAnsi="Arial"/>
          <w:sz w:val="18"/>
          <w:szCs w:val="18"/>
          <w:color w:val="auto"/>
        </w:rPr>
        <w:t>Our common stock is traded on the New York Stock Exchange under the symbol REX.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2023, there were 71 holders of record of our common stock, including shares held in nominee or street name by brokers.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5540" w:right="5520" w:hanging="5525"/>
        <w:spacing w:after="0" w:line="414" w:lineRule="auto"/>
        <w:rPr>
          <w:sz w:val="20"/>
          <w:szCs w:val="20"/>
          <w:color w:val="auto"/>
        </w:rPr>
      </w:pPr>
      <w:r>
        <w:rPr>
          <w:rFonts w:ascii="Arial" w:cs="Arial" w:eastAsia="Arial" w:hAnsi="Arial"/>
          <w:sz w:val="16"/>
          <w:szCs w:val="16"/>
          <w:color w:val="auto"/>
        </w:rPr>
        <w:t>The Company has no history of paying cash dividends on our common stock.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31, 2021, our Board of Directors increased our share repurchase authorization by an additional 1,500,000 shares (split-adjusted). At January 31, 2023, a total of 876,786 shares remained available to purchase under this authorization.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 repurchases in the fourth quarter of fiscal year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12 – Security Ownership of Certain Beneficial Owners and Management and Related Stockholder Matters for information regarding shares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Common Stock against the cumulative total return of the S&amp;P 500 Stock Index and a peer group comprised of Alto Ingredients, Inc. and Green Plains, Inc. for the period commencing January 31, 2018 and ended January 31, 2023. The graph assumes an investment of $100 in our Common Stock and each index on January 31, 2018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127635</wp:posOffset>
            </wp:positionV>
            <wp:extent cx="6677660" cy="3583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7766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[Reserved]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an investor in ethanol production facilities beginning in 2006 and a refined coal production facility during the period from 2017 through November 2021. We currently have equity investments in three ethanol production entities, two of which are majority ownership interests. Our refined coal business ceased operations in November 2021 and the facility was subsequently sold. We have classified the refined coal business as discontinued operations. We may make additional alternative energy investments in the future and are currently working on a carbon sequestration project near our One Earth Energy location.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ethanol operations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a number of factors that affect commodity prices in general, including crop conditions, the amount of corn stored on farms, weather, federal policy, foreign trade and international disruptions caused by wars or conflicts. Because the market price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our ethanol plants to produce approximately 2.9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attempt to manage the risk related to the volatility of commodity prices by utilizing forward grain and natural gas purchase contracts, forward ethanol, distillers grains and non-food grade corn oil sale contracts and commodity futures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swaps, in conjunction with certain of our grain procurement and commodity marketing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reported net income attributable to REX common shareholders of $27.7 million in fiscal 2022 compared to approximately $52.4 million in fiscal 2021. Our ethanol business had reduced profits in fiscal 2022 compared to fiscal 2021 as a result of lower crush spreads in fiscal 2022. The two largest drivers of ethanol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profitability are corn and ethanol pricing, both of which experienced significant volatility within the year. Chicago Board of Trade corn prices per bushel ranged from a low of $5.64 in July 2022 to a high of $8.18 in April 2022. S&amp;P Global Platts ethanol pricing per gallon ranged from a low of $1.99 in February 2022 to a high of $2.88 in June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We began classifying this operation as discontinued operations in the third quarter of fiscal 2021.</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One Earth Sequestration, LLC, a wholly owned subsidiary of One Earth Energy, LLC, is in the exploratory stage of a carbon sequestration project near the One Earth Energy ethanol plant. A test well has been drilled to a total depth of approximately 7,100 feet, in which almost 2,000 feet of Mt. Simon Sandstone was encountered, which represents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We have applied for a Class VI injection well permit for three wells with the EPA.</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signed a construction contract to capture, dehydrate, and compress carbon to a state suitable for sequestration for the One Earth Energy ethanol plant. We are currently working on an engineering Design study for a short pipeline to deliver carbon from the ethanol plant to the sequestration site. Although we have made meaningful progress, we continue to complete documents required from various government agencies and obtain other approvals with no assurances of ultimate success.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Ethanol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year 2006, we entered the ethanol industry by investing in several entities organized to construct and subsequently operate, ethanol producing plants. We are invested in three entities as of January 31, 2023, utilizing equity investments.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is a summary of our ethanol entity ownership interests at January 31, 2023: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REX’s Current</w:t>
            </w:r>
          </w:p>
        </w:tc>
      </w:tr>
      <w:tr>
        <w:trPr>
          <w:trHeight w:val="234"/>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Entity</w:t>
            </w:r>
          </w:p>
        </w:tc>
        <w:tc>
          <w:tcPr>
            <w:tcW w:w="2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Ownership Interest</w:t>
            </w:r>
          </w:p>
        </w:tc>
      </w:tr>
      <w:tr>
        <w:trPr>
          <w:trHeight w:val="209"/>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One Earth Energy, LLC</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75.8%</w:t>
            </w:r>
          </w:p>
        </w:tc>
      </w:tr>
      <w:tr>
        <w:trPr>
          <w:trHeight w:val="210"/>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NuGen Energy, LLC</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99.7%</w:t>
            </w:r>
          </w:p>
        </w:tc>
      </w:tr>
      <w:tr>
        <w:trPr>
          <w:trHeight w:val="195"/>
        </w:trPr>
        <w:tc>
          <w:tcPr>
            <w:tcW w:w="46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Big River Resources, LLC:</w:t>
            </w:r>
          </w:p>
        </w:tc>
        <w:tc>
          <w:tcPr>
            <w:tcW w:w="2160" w:type="dxa"/>
            <w:vAlign w:val="bottom"/>
            <w:tcBorders>
              <w:right w:val="single" w:sz="8" w:color="auto"/>
            </w:tcBorders>
          </w:tcPr>
          <w:p>
            <w:pPr>
              <w:spacing w:after="0"/>
              <w:rPr>
                <w:sz w:val="16"/>
                <w:szCs w:val="16"/>
                <w:color w:val="auto"/>
              </w:rPr>
            </w:pPr>
          </w:p>
        </w:tc>
      </w:tr>
      <w:tr>
        <w:trPr>
          <w:trHeight w:val="216"/>
        </w:trPr>
        <w:tc>
          <w:tcPr>
            <w:tcW w:w="46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Resources W Burlington, LLC</w:t>
            </w:r>
          </w:p>
        </w:tc>
        <w:tc>
          <w:tcPr>
            <w:tcW w:w="2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r>
        <w:trPr>
          <w:trHeight w:val="216"/>
        </w:trPr>
        <w:tc>
          <w:tcPr>
            <w:tcW w:w="46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Resources Galva, LLC</w:t>
            </w:r>
          </w:p>
        </w:tc>
        <w:tc>
          <w:tcPr>
            <w:tcW w:w="2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r>
        <w:trPr>
          <w:trHeight w:val="216"/>
        </w:trPr>
        <w:tc>
          <w:tcPr>
            <w:tcW w:w="46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United Energy, LLC</w:t>
            </w:r>
          </w:p>
        </w:tc>
        <w:tc>
          <w:tcPr>
            <w:tcW w:w="2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460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Big River Resources Boyceville, LLC</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three entities own a total of six ethanol production facilities, which in aggregate shipped approximately 691 millions gallons of ethanol over the twelve-month period ended January 31, 2023. REX’s effective ownership of gallons shipped, for the twelve-month period ended January 31, 2023, by the ethanol production facilities in which we have ownership interests was approximately 271 million gallons.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for the oil they process.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w:t>
      </w:r>
    </w:p>
    <w:p>
      <w:pPr>
        <w:spacing w:after="0" w:line="18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December 1, 2022, the EPA issued proposed Renewable Fuel Standard volume obligations for calendar years 2023-2025. The proposed volumes from conventional biofuels (which includes corn-based ethanol) were 15.0 billion gallons for 2023 and 15.25 billion gallons each for 2024 and 2025. They also proposed an additional 250 million gallon supplemental obligation for 2023 to make good on the shortfall from the 2016 compliance year.</w:t>
      </w:r>
    </w:p>
    <w:p>
      <w:pPr>
        <w:spacing w:after="0" w:line="14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USDA reported United States corn harvest in 2022 was 13.7 billion bushels, a decrease of 9% from the prior year. The 2022 corn harvest near the NuGen Energy, LLC ethanol plant was below average for that area, which has lead to increased corn cost and lower supply for that plant.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the Russian-Ukraine conflict, corn and natural gas supplies worldwide have been adversely affected, which has contributed to volatility in the prices for both commodities and has impacted corn availability in the United States.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recently enacted Inflation Reduction Act of 2022 will likely impact our business by creating a new Clean Fuel Production Credit, section 45Z of the Internal Revenue Code (“45Z”), that would be dependent on the level of greenhouse gas emissions reduction for each gallon of ethanol produced and sold, available for years 2025 to 2027. The Act also raises the carbon capture tax credit from $50 per metric ton to $85 per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6" w:name="page27"/>
    <w:bookmarkEnd w:id="26"/>
    <w:p>
      <w:pPr>
        <w:ind w:right="40"/>
        <w:spacing w:after="0" w:line="254" w:lineRule="auto"/>
        <w:rPr>
          <w:sz w:val="20"/>
          <w:szCs w:val="20"/>
          <w:color w:val="auto"/>
        </w:rPr>
      </w:pPr>
      <w:r>
        <w:rPr>
          <w:rFonts w:ascii="Arial" w:cs="Arial" w:eastAsia="Arial" w:hAnsi="Arial"/>
          <w:sz w:val="18"/>
          <w:szCs w:val="18"/>
          <w:color w:val="auto"/>
        </w:rPr>
        <w:t>metric ton, under section 45Q of the Internal Revenue Code (“45Q”).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our renewable corn oil values, as this co-product serves as a low-carbon feedstock for renewable diesel and biomass based diesel production; (b) creating a new tax credit for sustainable aviation fuel; (c) funding biofuel refueling infrastructure which could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Should these trends and uncertainties continue, our future operating results could be impacted.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from operations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Fiscal Year</w:t>
            </w:r>
          </w:p>
        </w:tc>
        <w:tc>
          <w:tcPr>
            <w:tcW w:w="82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855,000</w:t>
            </w:r>
          </w:p>
        </w:tc>
        <w:tc>
          <w:tcPr>
            <w:tcW w:w="500" w:type="dxa"/>
            <w:vAlign w:val="bottom"/>
            <w:gridSpan w:val="2"/>
            <w:shd w:val="clear" w:color="auto" w:fill="E5FF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774,802</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800,269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677,242</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54,731</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97,560</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40" w:type="dxa"/>
            <w:vAlign w:val="bottom"/>
            <w:vMerge w:val="continue"/>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47,479</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75,838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E5FF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(9,542)</w:t>
            </w:r>
          </w:p>
        </w:tc>
        <w:tc>
          <w:tcPr>
            <w:tcW w:w="500" w:type="dxa"/>
            <w:vAlign w:val="bottom"/>
            <w:gridSpan w:val="2"/>
            <w:shd w:val="clear" w:color="auto" w:fill="E5FF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(19,031)</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w w:val="95"/>
              </w:rPr>
              <w:t>Net income attributable to REX common shareholders (continuing</w:t>
            </w: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operations)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27,697</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47,572</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Net income attributable to REX common shareholders</w:t>
            </w: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tcBorders>
              <w:right w:val="single" w:sz="8" w:color="E5FFFF"/>
            </w:tcBorders>
            <w:shd w:val="clear" w:color="auto" w:fill="E5FFFF"/>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E5FFFF"/>
          </w:tcPr>
          <w:p>
            <w:pPr>
              <w:spacing w:after="0"/>
              <w:rPr>
                <w:sz w:val="20"/>
                <w:szCs w:val="20"/>
                <w:color w:val="auto"/>
              </w:rPr>
            </w:pPr>
            <w:r>
              <w:rPr>
                <w:rFonts w:ascii="Arial" w:cs="Arial" w:eastAsia="Arial" w:hAnsi="Arial"/>
                <w:sz w:val="18"/>
                <w:szCs w:val="18"/>
                <w:color w:val="auto"/>
              </w:rPr>
              <w:t>(discontinued operations)</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5FF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4,792</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33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summarizes net sales and revenue by product group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8"/>
                <w:szCs w:val="18"/>
                <w:b w:val="1"/>
                <w:bCs w:val="1"/>
                <w:color w:val="auto"/>
              </w:rPr>
              <w:t>Fiscal Year</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Ethanol</w:t>
            </w:r>
          </w:p>
        </w:tc>
        <w:tc>
          <w:tcPr>
            <w:tcW w:w="140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649,501</w:t>
            </w:r>
          </w:p>
        </w:tc>
        <w:tc>
          <w:tcPr>
            <w:tcW w:w="260" w:type="dxa"/>
            <w:vAlign w:val="bottom"/>
            <w:gridSpan w:val="2"/>
            <w:shd w:val="clear" w:color="auto" w:fill="E5FFFF"/>
          </w:tcPr>
          <w:p>
            <w:pPr>
              <w:jc w:val="right"/>
              <w:ind w:right="12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613,597</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Dried distillers grains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139,118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Non-food grade corn oil</w:t>
            </w: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55,595</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38,852</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Modified distillers grains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11,579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 losses</w:t>
            </w: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(1,024)</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(12,109)</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continuing operations</w:t>
            </w:r>
          </w:p>
        </w:tc>
        <w:tc>
          <w:tcPr>
            <w:tcW w:w="118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855,000</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774,802</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 xml:space="preserve">Refined coal (discontinued operations) </w:t>
            </w:r>
            <w:r>
              <w:rPr>
                <w:rFonts w:ascii="Arial" w:cs="Arial" w:eastAsia="Arial" w:hAnsi="Arial"/>
                <w:sz w:val="29"/>
                <w:szCs w:val="29"/>
                <w:color w:val="auto"/>
                <w:vertAlign w:val="superscript"/>
              </w:rPr>
              <w:t>1</w:t>
            </w: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100" w:type="dxa"/>
            <w:vAlign w:val="bottom"/>
            <w:vMerge w:val="continue"/>
          </w:tcPr>
          <w:p>
            <w:pPr>
              <w:spacing w:after="0"/>
              <w:rPr>
                <w:sz w:val="24"/>
                <w:szCs w:val="24"/>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Refined coal sales were recorded net of the cost of coal as the Company purchased the coal feedstock from the same customer to which the processed refined coal was sold.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The following table summarizes selected operating data:</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Fiscal Year</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4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19"/>
                <w:szCs w:val="19"/>
                <w:color w:val="auto"/>
              </w:rPr>
            </w:pPr>
          </w:p>
        </w:tc>
      </w:tr>
      <w:tr>
        <w:trPr>
          <w:trHeight w:val="209"/>
        </w:trPr>
        <w:tc>
          <w:tcPr>
            <w:tcW w:w="4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gallon of ethanol (net of hedging)</w:t>
            </w:r>
          </w:p>
        </w:tc>
        <w:tc>
          <w:tcPr>
            <w:tcW w:w="7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2.44</w:t>
            </w:r>
          </w:p>
        </w:tc>
        <w:tc>
          <w:tcPr>
            <w:tcW w:w="5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Gallons of ethanol sold (in millions)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277.8</w:t>
            </w: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ton of dried distillers grains</w:t>
            </w:r>
          </w:p>
        </w:tc>
        <w:tc>
          <w:tcPr>
            <w:tcW w:w="7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232.98</w:t>
            </w:r>
          </w:p>
        </w:tc>
        <w:tc>
          <w:tcPr>
            <w:tcW w:w="5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197.86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Tons of dried distillers grains sold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597,126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631,818</w:t>
            </w: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pound of non-food grade corn oil</w:t>
            </w:r>
          </w:p>
        </w:tc>
        <w:tc>
          <w:tcPr>
            <w:tcW w:w="7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0.71</w:t>
            </w:r>
          </w:p>
        </w:tc>
        <w:tc>
          <w:tcPr>
            <w:tcW w:w="5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Pounds of non-food grade corn oil sold (in millions)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ton of modified distillers grains</w:t>
            </w:r>
          </w:p>
        </w:tc>
        <w:tc>
          <w:tcPr>
            <w:tcW w:w="7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123.66</w:t>
            </w:r>
          </w:p>
        </w:tc>
        <w:tc>
          <w:tcPr>
            <w:tcW w:w="5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85.19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Tons of modified distillers grains sold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93,637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106,864</w:t>
            </w:r>
          </w:p>
        </w:tc>
      </w:tr>
      <w:tr>
        <w:trPr>
          <w:trHeight w:val="216"/>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Average cost per bushel of grain</w:t>
            </w:r>
          </w:p>
        </w:tc>
        <w:tc>
          <w:tcPr>
            <w:tcW w:w="7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7.24</w:t>
            </w:r>
          </w:p>
        </w:tc>
        <w:tc>
          <w:tcPr>
            <w:tcW w:w="5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5.99</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Average cost of natural gas (per MmBtu)</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2022 and 2021 (Consolidated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Net Sales and Revenue </w:t>
      </w:r>
      <w:r>
        <w:rPr>
          <w:rFonts w:ascii="Arial" w:cs="Arial" w:eastAsia="Arial" w:hAnsi="Arial"/>
          <w:sz w:val="18"/>
          <w:szCs w:val="18"/>
          <w:color w:val="auto"/>
        </w:rPr>
        <w:t>– Net sales and revenue in fiscal year 2022 increased approximately 10% compared to fiscal year 2021. Quantities sold 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plants during fiscal year 2022 did not change significantly from fiscal year 2021. Stronger commodity pricing in fiscal year 2022 contributed to the increase in sales between the two fiscal years.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Ethanol sales increased in fiscal year 2022 compared to fiscal year 2021 as the average price per gallon increased 10%, offset partially by a decrease in gallons sold of 4%. The increase in ethanol selling price resulted primarily from an increase in commodity prices.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Dried distillers grains sales increased 11% in fiscal year 2022 compared to fiscal year 2021 as the average price per ton sold increased 18%, offset by a decrease in tons sold of 5%. The increase in the dried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distillers grains selling price resulted primarily from an increase in corn prices as dried distillers grains prices often correlate with corn pricing.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Non-food grade corn oil sales increased 43% in fiscal year 2022 compared to fiscal year 2021 as the average selling price per pound increased approximately 42%. The increase in the non-food grade corn oil selling price resulted primarily from an increase in demand from the biodiesel industry.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Modified distillers grains sales increased 27% in fiscal year 2022 compared to fiscal year 2021 as the average selling price per ton increased 45%, offset partially by a 12% decrease in the number of tons sold. The increase in the modified distillers grains selling price resulted primarily from an increase in corn prices as distillers grain pricing often correlates with corn pricing.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Losses on derivative financial instruments were approximately $1.0 million during fiscal year 2022, compared to $12.1 million in fiscal year 2021. The decrease in losses on derivative financial instruments resulted primarily from a decrease in activity by the Company within the ethanol derivatives market during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 Gross profit for fiscal year 2022 decreased approximately $ 42.8 million, or 43.9%, over fiscal year 2021. Gross profit in fiscal year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6.4% of net sales and revenue, versus approximately 12.6% of net sales and revenue in fiscal year 2021. The primary contributor to the decrease in gross profit was the decreased crush spread and higher natural gas prices. The crush spread for fiscal year 2022 was approximately $0.02 per gallon of ethanol sold compared to approximately $0.16 per gallon of ethanol sold during fiscal year 2021. Given the inherent volatility in ethanol, distillers grains, non-food grade corn oil, grain and natural gas prices, we cannot predict the likelihood that the spread between ethanol, distillers grains, non-food grade corn oil and grain prices in future periods will be consistent with prices in historical periods.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Grain accounted for approximately 83% ($667.4 million) of our cost of sales during fiscal year 2022 compared to approximately 84% ($568.9 million) during fiscal year 2021. Natural gas accounted for approximately 6% ($47.4 million) of our cost of sales during fiscal year 2022 compared to approximately 4% ($29.4 million) during fiscal year 2021. Both the grain and natural gas dollar increases were primarily attributable to an increase in the cost per unit.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attempt to match quantities of ethanol, distillers grains and non-food grade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We utilize derivative financial instruments, primarily exchange traded commodity future contracts and swaps, in conjunction with our grain procurement and commodity marketing activities.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(“SG&amp;A”) Expenses </w:t>
      </w:r>
      <w:r>
        <w:rPr>
          <w:rFonts w:ascii="Arial" w:cs="Arial" w:eastAsia="Arial" w:hAnsi="Arial"/>
          <w:sz w:val="18"/>
          <w:szCs w:val="18"/>
          <w:color w:val="auto"/>
        </w:rPr>
        <w:t>– SG&amp;A expenses for fiscal year 2022 were approximately $29.0 million (3.4% of net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an increase of approximately $0.5 million or 2% from approximately $28.5 million (3.7% of net sales and revenue) for fiscal year 2021. The increase was due, in part, to higher incentive compensation associated with the new restricted stock units issued in May 2022, as well as an increase in professional fees. These increases were partially offset by a decrease in outbound freight expense as fewer sales contracts provided for shipping to be paid by us compared to fiscal year 2021, as well as a decrease in rail car lease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Equity in Income of Unconsolidated Ethanol Affiliates </w:t>
      </w:r>
      <w:r>
        <w:rPr>
          <w:rFonts w:ascii="Arial" w:cs="Arial" w:eastAsia="Arial" w:hAnsi="Arial"/>
          <w:sz w:val="18"/>
          <w:szCs w:val="18"/>
          <w:color w:val="auto"/>
        </w:rPr>
        <w:t>– During fiscal years 2022 and 2021, we recognized income of approximately $8.7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 million, respectively, from our equity investment in Big River Resources, LLC (“Big River”). During the second quarter of 2022, COVID-19 relief grants from the USDA received by Big River contributed $1.6 million to the increase in income we recognized in 2022. Our investment in Big River, which has interests in four ethanol production plants, represents an effective ownership of approximately 38.0 million gallons of ethanol shipped in the trailing twelve months ended January 31, 2023.</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the operating experience of Big River to be generally consistent with the trends in crush spread margins described in the “Overview” section as Big River’s results are dependent on the same key drivers as our other ethanol investments (ethanol, corn, dried distillers grains and natural gas pricing).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Income </w:t>
      </w:r>
      <w:r>
        <w:rPr>
          <w:rFonts w:ascii="Arial" w:cs="Arial" w:eastAsia="Arial" w:hAnsi="Arial"/>
          <w:sz w:val="18"/>
          <w:szCs w:val="18"/>
          <w:color w:val="auto"/>
        </w:rPr>
        <w:t>– Interest and other income for fiscal year 2022 was approximately $13.0 million compared to approximately $0.1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2021. During the second quarter of 2022, the Company’s consolidated plants received COVID-19 relief grants from the USDA totaling approximately $7.8 million based on reduced production in 2020. The remaining increase is primarily due to an increase in interest income as yields on our excess cash increased during fiscal year 2022 compared to fiscal year 2021.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from Continuing Operations Before Income Taxes </w:t>
      </w:r>
      <w:r>
        <w:rPr>
          <w:rFonts w:ascii="Arial" w:cs="Arial" w:eastAsia="Arial" w:hAnsi="Arial"/>
          <w:sz w:val="18"/>
          <w:szCs w:val="18"/>
          <w:color w:val="auto"/>
        </w:rPr>
        <w:t>– As a result of the foregoing, income from continuing operations before income taxes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$47.5 million for fiscal year 2022 versus approximately $75.8 million for fiscal year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 Our effective tax rate was a provision of 20.1% and 25.1% for fiscal years 2022 and 2021, respectively. Our effective rate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by the noncontrolling interests of the companies we consolidate, as we recognize 100% of their income or loss before income taxes and noncontrolling interests. However, we only provide an income tax provision or benefit for our portion of the subsidiaries’ income or loss. During fiscal years 2022 and 2021, our effective tax rate decreased 5.4% (approximately $2.5 million) and 6.8% (approximately $5.2 million), respectively, from the statutory rate, as a result of research and experimentation credits from our ethanol plants. The amount of these credits earned in future periods will vary depending on the level of qualifying research expenditures at our ethanol plants and changes in tax law. The provision for uncertain tax positions increased our effective tax rate 4.8% (approximately $2.3 million) and 10.9% (approximately $8.3 million) in fiscal year 2022 and 2021, respectively, from the statutory rate.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Income from Continuing Operations </w:t>
      </w:r>
      <w:r>
        <w:rPr>
          <w:rFonts w:ascii="Arial" w:cs="Arial" w:eastAsia="Arial" w:hAnsi="Arial"/>
          <w:sz w:val="18"/>
          <w:szCs w:val="18"/>
          <w:color w:val="auto"/>
        </w:rPr>
        <w:t>– As a result of the foregoing, net income from continuing operations was approximately $37.9 million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2022 versus approximately $56.8 million for fiscal year 2021.</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Noncontrolling Interests (continuing operations) </w:t>
      </w:r>
      <w:r>
        <w:rPr>
          <w:rFonts w:ascii="Arial" w:cs="Arial" w:eastAsia="Arial" w:hAnsi="Arial"/>
          <w:sz w:val="16"/>
          <w:szCs w:val="16"/>
          <w:color w:val="auto"/>
        </w:rPr>
        <w:t>– Income attributable to noncontrolling interests (continuing operations) was approximately $10.2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and $9.2 million during fiscal years 2022 and 2021, respectively, and represents the other owners’ share of the income of NuGen and One Earth.</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Net Income Attributable to REX Common Shareholders (continuing operations) </w:t>
      </w:r>
      <w:r>
        <w:rPr>
          <w:rFonts w:ascii="Arial" w:cs="Arial" w:eastAsia="Arial" w:hAnsi="Arial"/>
          <w:sz w:val="17"/>
          <w:szCs w:val="17"/>
          <w:color w:val="auto"/>
        </w:rPr>
        <w:t>– As a result of the foregoing, net income attributable to REX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(continuing operations) was approximately $27.7 million for fiscal year 2022 compared to $47.6 million for fiscal year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ceased operation of its refined coal business as tax credits could no longer be earned on its operation beginning November 18,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Beginning in the third quarter of fiscal year 2021, the results of the operation of the refined coal business have been recognized as discontinued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refined coal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business operated at a pre-tax loss but generated tax credits that normally exceeded the operating loss. There was no activity related to the discontinued operations in fiscal year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loss was approximately $8.2 million in fiscal year 2021. The benefit for income taxes was approximately $13.3 million This amount includes the benefit of Section 45 production tax credits and a benefit related to operating loss before income taxes. Loss related to noncontrolling interests was approximately $0.4 million during fiscal year 2021. This amount represents the other owner’s share of the pre-tax loss of refined coal operations. Net income attributable to REX common shareholders from discontinued operations, net of tax, for fiscal year 2021 was approximately $4.8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including results from both continuing and discontinued operations, net income attributable to REX common shareholders was approximately $27.7 million and approximately $52.4 million for fiscal years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2021 and 2020</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in our Annual Report on Form 10-K for the year ended January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primary sources of cash have been income from operations. Our primary uses of cash have been capital expenditures at our ethanol plants, stock repurchases, payments to noncontrolling interests holders and, in prior years, contributions to fund refined coal operating losses.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Outlook </w:t>
      </w:r>
      <w:r>
        <w:rPr>
          <w:rFonts w:ascii="Arial" w:cs="Arial" w:eastAsia="Arial" w:hAnsi="Arial"/>
          <w:sz w:val="16"/>
          <w:szCs w:val="16"/>
          <w:color w:val="auto"/>
        </w:rPr>
        <w:t>– Our cash and short-term investments balance of approximately $280.9 million at January 31, 2023 included approximately $238.8 million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One Earth and NuGen. We expect that One Earth and NuGen will use a majority of their cash for working capital needs, capital expenditures, general corporate purposes and dividend payments. One Earth Energy is currently working on a carbon sequestration project and is expected to have related capital expenditure needs. We expect our equity method investee to limit the payment of dividends based upon working capital and capital expenditure needs.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investigating various uses of our excess cash. We have a stock buyback program with an authorization level of an additional approximately 877,000 shares at January 31, 2023. We typically repurchase our common stock when our stock price is trading at prices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progress made on our carbon sequestration project, we expect capital expenditures to be in the range of approximately $60 million to $70 million in fiscal year 2023 for various expansion and CI score reduction projects at our consolidated ethanol plants. However, actual capital expenditures could vary from this range for unexpected expenditures as our plants continue to age or potential projects materialize. We expect to fund these capital expenditures with available cash at our ethanol plant subsidiaries.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 Net cash provided by operating activities was approximately $54.8 million for fiscal year 2022 compared to approximately $91.7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fiscal year 2021. During fiscal year 2022, operating cash flow was provided by net income from continuing operations of approximately $37.9 million and adjustments of approximately $14.6 million, which consisted of depreciation, amortization of operating lease right-of-use assets, stock-based compensation expense, income from equity method investments, interest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income from investments, and the deferred income tax provision. Big River paid dividends to REX of approximately $6.3 million during fiscal year 2022. Accounts receivable decreased approximately $0.7 million, primarily a result of the timing of products shipped and the receipt of customer payments at One Earth and NuGen. Inventory increased approximately $6.5 million, primarily a result of larger quantities of work-in-process materials and higher per unit costs at January 31, 2023. Prepaid expenses and other assets increased approximately $0.5 million, primarily a result of an increase in spare parts of approximately $1.1 million and in prepaid insurance of $0.3 million, offset by a decrease in the fair values of forward purchase contracts of $0.9 million. Accounts payable increased approximately $1.5 million, primarily a result of the timing of inventory receipts and vendor payments. Refundable income taxes decreased $3.7 million as a result of the timing of estimated tax payments. Accrued expenses and other liabilities decreased approximately $2.8 million, which was primarily a result of operating lease payments of approximately $5.0 million partially offset by an increase in accrued income taxes of approximately $2.0 million.</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operating activities was approximately $91.7 million for fiscal year 2021. During fiscal year 2021, operating cash flow was provided by net income from continuing operations of approximately $56.8 million and adjustments of approximately $31.4 million, which consisted of depreciation, amortization of operating lease right-of-use assets, stock-based compensation expense, income from equity method investments, interest income from investments, and the deferred income tax provision. Big River paid dividends to REX of approximately $5.5 million during fiscal year 2021. Accounts receivable increased approximately $6.1 million, primarily a result of the timing of products shipped and the receipt of customer payments at One Earth and NuGen. Inventory increased approximately $4.8 million, primarily a result of larger quantities of raw materials and higher per unit costs at January 31, 2022. Prepaid expenses and other assets decreased approximately $0.2 million, primarily a result of a slight change in fair values of forward purchase contracts. Accounts payable increased approximately $16.0 million, primarily a result of the timing of inventory receipts and vendor payments. Refundable income taxes increased $1.1 million as a result of the timing of estimated tax payments. Accrued expenses and other liabilities increased approximately $0.5 million, which was primarily a result of higher incentive compensation in fiscal year 2021, offset partially by operating lease payments made. Discontinued operations used cash of $6.7 million in fiscal year 2021.</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Net cash used in investing activities was approximately $198.5 million during fiscal year 2022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of approximately $5.3 million during fiscal year 2021. Capital expenditures in fiscal year 2022 totaled approximately $15.6 million, the majority of which were various projects at One Earth’s and NuGen’s ethanol plants, including approximately $10.6 million related to the carbon sequestration project near the One Earth Energy ethanol plant. During fiscal year 2022, we used cash of approximately $399.4 million for purchases of short-term investments and received cash of approximately $216.7 million related to maturities of these investments as certain of these investments remained outstanding at January 31, 2023.</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approximately $5.3 million during fiscal year 2021. Capital expenditures in fiscal year 2021 totaled approximately $5.1 million, the majority of which were various projects at One Earth’s and NuGen’s ethanol plants. During fiscal year 2021, we used cash of approximately $88.9 million for purchases of short-term investments and received cash of approximately $99.3 million related to maturities of these investments.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Net cash used in financing activities was approximately $17.0 million during fiscal year 2022 compared to approximately $11.1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fiscal year 2021. During fiscal year 2022, we purchased approximately 471,000 shares of our common stock for approximately $13.0 million in open market transactions. During fiscal year 2022, we used cash of approximately $4.0 million to purchase shares from and pay dividends to noncontrolling members of the entities that own One Earth’s and NuGen’s ethanol plants.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was approximately $11.1 million during fiscal year 2021. During fiscal year 2021, we purchased approximately 252,000 shares of our common stock for approximately $6.6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in open market transactions. During fiscal year 2021, we used cash of approximately $4.8 million to purchase shares from and pay dividends to noncontrolling members of the entities that own One Earth’s and NuGen’s ethanol plants. During fiscal year 2021, we received approximately $0.3 million in capital contributions from the minority investor in the refined coal business which is now classified as discontinued operations.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forecasts, which are primarily based on estimates of plant production, prices of ethanol, corn, distillers grains, non-food grade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 One Earth or NuGen should occur, or if actual sales or expenses are substantially different than what has been forecasted, One Earth’s and NuGen’s liquidity, and ability to fund future operating and capital requirements could be negatively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2.6% of our net assets are restricted pursuant to the terms of various loan agreements of our equity method investee as of January 31,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consolidated subsidiaries or the parent company has restricted net assets at January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we enter into agreements under which we are legally obligated to make future cash payments. These agreements include obligations related to purchasing inventory and natural gas and leasing rail cars. Aggregate minimum lease payments under the operating lease agreements for future fiscal years as of January 31, 2023 totaled $17.0 million, with $5.6 million payable in the next twelve months. Refer to Note 7 – Leases included in the notes to consolidated financial statements for more information. As of January 31, 2023, we had contracted future purchases of grain, natural gas, natural gas pipeline lease and other contracts for capital expenditures at our ethanol plants valued at approximately $87.7 million, with $75.1 payable in the next twelve months. Refer to Note 11 – Commitments included in the notes to consolidated financial statements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Fluctuations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directly affected by the supply and demand for ethanol. The demand for ethanol typically increases during the spring and summer months and during holiday travel.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 (GAAP). However, because future events and their effects cannot be determined with certainty, actual results could differ from our assumptions and estimates, and such differences 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recognize sales of ethanol, distillers grains and non-food grade corn oil when obligations under the terms of the respective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customers are satisfied; this occurs with the transfer of control of products, generally upon shipment from the ethanol plant or upon loading of the rail car used to transport the products.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 We review our long-lived assets, consisting of property and equipment, equity method investments and operating 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We recorded no impairment charges in fiscal years 2022, 2021, and 2020. During fiscal year 2020, we concluded the impact of the COVID-19 pandemic on our industry and our operating results was an indicator that impairment may exist related to certain of our long-lived assets. As a result, we performed a recoverability test for the One Earth and NuGen asset groups (the lowest level at which related cash flows can be identified) and determined that there was no impairment as the gross undiscounted future cash flows substantially exceeded the respective carrying values.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Income taxes are recorded based on the current year amounts payable or refundable, as well as the consequences of events that give rise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assessed all available positive and negative evidence to determine whether we expect sufficient future taxable income will be generated to allow for the realization of existing federal deferred tax assets. We believe there is sufficient objectively verifiable income for management to conclude that it is more likely than not that the Company will utilize available federal deferred tax assets prior to their expiration. However, realization of these deferred tax assets is not certain. Changes in our current estimates for factors such as unanticipated market conditions and legislative developments could have a material effect on our ability to utilize deferred tax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related to recent accounting pronouncements, see Note 1 of the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market fluctuations associated with commodity prices as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manage a portion of our risk with respect to the volatility of commodity prices inherent in the ethanol industry by using forward purchase and sale contracts. At January 31, 2023, One Earth and NuGen combined had purchase commitments for approximately 18.0 million bushels of corn, the principal raw material for their ethanol plants. At January 31, 2023, One Earth and NuGen combined had purchase commitments for approximately 2.7 million MmBtu of natural gas. At January 31, 2023, One Earth and NuGen had combined sales commitments for approximately 46.5 million gallons of ethanol, 101,000 tons of distillers grains and 9.9 million pounds of non-food grade corn oil. Not all of our commitments are at fixed price. Our exposures to market risk, which include the impact of our risk management activities, are based on the estimated effect on pre-tax income starting on January 31, 2023, are as follows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Estimated Total</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Decrease in Pre-tax</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Commodity</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Volume for the</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Income From a 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80" w:type="dxa"/>
            <w:vAlign w:val="bottom"/>
            <w:gridSpan w:val="2"/>
            <w:vMerge w:val="continue"/>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Next 12 Months</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Unit of Measure</w:t>
            </w:r>
          </w:p>
        </w:tc>
        <w:tc>
          <w:tcPr>
            <w:tcW w:w="1920" w:type="dxa"/>
            <w:vAlign w:val="bottom"/>
          </w:tcPr>
          <w:p>
            <w:pPr>
              <w:spacing w:after="0"/>
              <w:rPr>
                <w:sz w:val="20"/>
                <w:szCs w:val="20"/>
                <w:color w:val="auto"/>
              </w:rPr>
            </w:pPr>
            <w:r>
              <w:rPr>
                <w:rFonts w:ascii="Arial" w:cs="Arial" w:eastAsia="Arial" w:hAnsi="Arial"/>
                <w:sz w:val="18"/>
                <w:szCs w:val="18"/>
                <w:b w:val="1"/>
                <w:bCs w:val="1"/>
                <w:color w:val="auto"/>
                <w:w w:val="89"/>
              </w:rPr>
              <w:t>Adverse Change in Price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Ethanol</w:t>
            </w:r>
          </w:p>
        </w:tc>
        <w:tc>
          <w:tcPr>
            <w:tcW w:w="1800" w:type="dxa"/>
            <w:vAlign w:val="bottom"/>
            <w:gridSpan w:val="2"/>
            <w:shd w:val="clear" w:color="auto" w:fill="E5FFFF"/>
          </w:tcPr>
          <w:p>
            <w:pPr>
              <w:jc w:val="right"/>
              <w:ind w:right="500"/>
              <w:spacing w:after="0"/>
              <w:rPr>
                <w:sz w:val="20"/>
                <w:szCs w:val="20"/>
                <w:color w:val="auto"/>
              </w:rPr>
            </w:pPr>
            <w:r>
              <w:rPr>
                <w:rFonts w:ascii="Arial" w:cs="Arial" w:eastAsia="Arial" w:hAnsi="Arial"/>
                <w:sz w:val="18"/>
                <w:szCs w:val="18"/>
                <w:color w:val="auto"/>
              </w:rPr>
              <w:t>284,000</w:t>
            </w:r>
          </w:p>
        </w:tc>
        <w:tc>
          <w:tcPr>
            <w:tcW w:w="18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Gallons</w:t>
            </w:r>
          </w:p>
        </w:tc>
        <w:tc>
          <w:tcPr>
            <w:tcW w:w="1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$60,787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Corn</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101,429</w:t>
            </w:r>
          </w:p>
        </w:tc>
        <w:tc>
          <w:tcPr>
            <w:tcW w:w="1800" w:type="dxa"/>
            <w:vAlign w:val="bottom"/>
            <w:gridSpan w:val="2"/>
          </w:tcPr>
          <w:p>
            <w:pPr>
              <w:spacing w:after="0"/>
              <w:rPr>
                <w:sz w:val="20"/>
                <w:szCs w:val="20"/>
                <w:color w:val="auto"/>
              </w:rPr>
            </w:pPr>
            <w:r>
              <w:rPr>
                <w:rFonts w:ascii="Arial" w:cs="Arial" w:eastAsia="Arial" w:hAnsi="Arial"/>
                <w:sz w:val="18"/>
                <w:szCs w:val="18"/>
                <w:color w:val="auto"/>
              </w:rPr>
              <w:t>Bushels</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$68,587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Distillers Grains</w:t>
            </w:r>
          </w:p>
        </w:tc>
        <w:tc>
          <w:tcPr>
            <w:tcW w:w="1800" w:type="dxa"/>
            <w:vAlign w:val="bottom"/>
            <w:gridSpan w:val="2"/>
            <w:shd w:val="clear" w:color="auto" w:fill="E5FFFF"/>
          </w:tcPr>
          <w:p>
            <w:pPr>
              <w:jc w:val="right"/>
              <w:ind w:right="500"/>
              <w:spacing w:after="0"/>
              <w:rPr>
                <w:sz w:val="20"/>
                <w:szCs w:val="20"/>
                <w:color w:val="auto"/>
              </w:rPr>
            </w:pPr>
            <w:r>
              <w:rPr>
                <w:rFonts w:ascii="Arial" w:cs="Arial" w:eastAsia="Arial" w:hAnsi="Arial"/>
                <w:sz w:val="18"/>
                <w:szCs w:val="18"/>
                <w:color w:val="auto"/>
              </w:rPr>
              <w:t>730</w:t>
            </w:r>
          </w:p>
        </w:tc>
        <w:tc>
          <w:tcPr>
            <w:tcW w:w="18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Tons</w:t>
            </w:r>
          </w:p>
        </w:tc>
        <w:tc>
          <w:tcPr>
            <w:tcW w:w="1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Non-food grade Corn Oil</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82,435</w:t>
            </w:r>
          </w:p>
        </w:tc>
        <w:tc>
          <w:tcPr>
            <w:tcW w:w="1800" w:type="dxa"/>
            <w:vAlign w:val="bottom"/>
            <w:gridSpan w:val="2"/>
          </w:tcPr>
          <w:p>
            <w:pPr>
              <w:spacing w:after="0"/>
              <w:rPr>
                <w:sz w:val="20"/>
                <w:szCs w:val="20"/>
                <w:color w:val="auto"/>
              </w:rPr>
            </w:pPr>
            <w:r>
              <w:rPr>
                <w:rFonts w:ascii="Arial" w:cs="Arial" w:eastAsia="Arial" w:hAnsi="Arial"/>
                <w:sz w:val="18"/>
                <w:szCs w:val="18"/>
                <w:color w:val="auto"/>
              </w:rPr>
              <w:t>Pounds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$5,200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Natural Gas</w:t>
            </w:r>
          </w:p>
        </w:tc>
        <w:tc>
          <w:tcPr>
            <w:tcW w:w="1800" w:type="dxa"/>
            <w:vAlign w:val="bottom"/>
            <w:gridSpan w:val="2"/>
            <w:shd w:val="clear" w:color="auto" w:fill="E5FFFF"/>
          </w:tcPr>
          <w:p>
            <w:pPr>
              <w:jc w:val="right"/>
              <w:ind w:right="500"/>
              <w:spacing w:after="0"/>
              <w:rPr>
                <w:sz w:val="20"/>
                <w:szCs w:val="20"/>
                <w:color w:val="auto"/>
              </w:rPr>
            </w:pPr>
            <w:r>
              <w:rPr>
                <w:rFonts w:ascii="Arial" w:cs="Arial" w:eastAsia="Arial" w:hAnsi="Arial"/>
                <w:sz w:val="18"/>
                <w:szCs w:val="18"/>
                <w:color w:val="auto"/>
              </w:rPr>
              <w:t>7,400</w:t>
            </w:r>
          </w:p>
        </w:tc>
        <w:tc>
          <w:tcPr>
            <w:tcW w:w="18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MmBtu</w:t>
            </w:r>
          </w:p>
        </w:tc>
        <w:tc>
          <w:tcPr>
            <w:tcW w:w="1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0C0C0"/>
            </w:tcBorders>
          </w:tcPr>
          <w:p>
            <w:pPr>
              <w:spacing w:after="0"/>
              <w:rPr>
                <w:sz w:val="21"/>
                <w:szCs w:val="21"/>
                <w:color w:val="auto"/>
              </w:rPr>
            </w:pPr>
          </w:p>
        </w:tc>
        <w:tc>
          <w:tcPr>
            <w:tcW w:w="3660" w:type="dxa"/>
            <w:vAlign w:val="bottom"/>
            <w:tcBorders>
              <w:bottom w:val="single" w:sz="8" w:color="C0C0C0"/>
            </w:tcBorders>
          </w:tcPr>
          <w:p>
            <w:pPr>
              <w:spacing w:after="0"/>
              <w:rPr>
                <w:sz w:val="21"/>
                <w:szCs w:val="21"/>
                <w:color w:val="auto"/>
              </w:rPr>
            </w:pPr>
          </w:p>
        </w:tc>
        <w:tc>
          <w:tcPr>
            <w:tcW w:w="13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130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192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4" w:lineRule="exact"/>
        <w:rPr>
          <w:sz w:val="20"/>
          <w:szCs w:val="20"/>
          <w:color w:val="auto"/>
        </w:rPr>
      </w:pPr>
    </w:p>
    <w:p>
      <w:pPr>
        <w:ind w:right="4360"/>
        <w:spacing w:after="0" w:line="232" w:lineRule="auto"/>
        <w:rPr>
          <w:sz w:val="20"/>
          <w:szCs w:val="20"/>
          <w:color w:val="auto"/>
        </w:rPr>
      </w:pPr>
      <w:r>
        <w:rPr>
          <w:rFonts w:ascii="Arial" w:cs="Arial" w:eastAsia="Arial" w:hAnsi="Arial"/>
          <w:sz w:val="22"/>
          <w:szCs w:val="22"/>
          <w:b w:val="1"/>
          <w:bCs w:val="1"/>
          <w:color w:val="auto"/>
        </w:rPr>
        <w:t>REX AMERICAN RESOURCES CORPORATION AND SUBSIDIARIES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E5FFFF"/>
            </w:tcBorders>
            <w:shd w:val="clear" w:color="auto" w:fill="E5FFFF"/>
          </w:tcPr>
          <w:p>
            <w:pPr>
              <w:spacing w:after="0"/>
              <w:rPr>
                <w:sz w:val="19"/>
                <w:szCs w:val="19"/>
                <w:color w:val="auto"/>
              </w:rPr>
            </w:pPr>
          </w:p>
        </w:tc>
        <w:tc>
          <w:tcPr>
            <w:tcW w:w="200" w:type="dxa"/>
            <w:vAlign w:val="bottom"/>
            <w:tcBorders>
              <w:top w:val="single" w:sz="8" w:color="auto"/>
            </w:tcBorders>
            <w:shd w:val="clear" w:color="auto" w:fill="E5FFFF"/>
          </w:tcPr>
          <w:p>
            <w:pPr>
              <w:spacing w:after="0"/>
              <w:rPr>
                <w:sz w:val="19"/>
                <w:szCs w:val="19"/>
                <w:color w:val="auto"/>
              </w:rPr>
            </w:pPr>
          </w:p>
        </w:tc>
        <w:tc>
          <w:tcPr>
            <w:tcW w:w="820" w:type="dxa"/>
            <w:vAlign w:val="bottom"/>
            <w:tcBorders>
              <w:top w:val="single" w:sz="8" w:color="auto"/>
            </w:tcBorders>
            <w:shd w:val="clear" w:color="auto" w:fill="E5FFFF"/>
          </w:tcPr>
          <w:p>
            <w:pPr>
              <w:spacing w:after="0"/>
              <w:rPr>
                <w:sz w:val="19"/>
                <w:szCs w:val="19"/>
                <w:color w:val="auto"/>
              </w:rPr>
            </w:pPr>
          </w:p>
        </w:tc>
        <w:tc>
          <w:tcPr>
            <w:tcW w:w="460" w:type="dxa"/>
            <w:vAlign w:val="bottom"/>
            <w:tcBorders>
              <w:top w:val="single" w:sz="8" w:color="E5FFFF"/>
            </w:tcBorders>
            <w:shd w:val="clear" w:color="auto" w:fill="E5FFFF"/>
          </w:tcPr>
          <w:p>
            <w:pPr>
              <w:spacing w:after="0"/>
              <w:rPr>
                <w:sz w:val="19"/>
                <w:szCs w:val="19"/>
                <w:color w:val="auto"/>
              </w:rPr>
            </w:pPr>
          </w:p>
        </w:tc>
        <w:tc>
          <w:tcPr>
            <w:tcW w:w="260" w:type="dxa"/>
            <w:vAlign w:val="bottom"/>
            <w:tcBorders>
              <w:top w:val="single" w:sz="8" w:color="auto"/>
            </w:tcBorders>
            <w:shd w:val="clear" w:color="auto" w:fill="E5FFFF"/>
          </w:tcPr>
          <w:p>
            <w:pPr>
              <w:spacing w:after="0"/>
              <w:rPr>
                <w:sz w:val="19"/>
                <w:szCs w:val="19"/>
                <w:color w:val="auto"/>
              </w:rPr>
            </w:pPr>
          </w:p>
        </w:tc>
        <w:tc>
          <w:tcPr>
            <w:tcW w:w="74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E5FFFF"/>
            </w:tcBorders>
            <w:shd w:val="clear" w:color="auto" w:fill="E5FFFF"/>
          </w:tcPr>
          <w:p>
            <w:pPr>
              <w:spacing w:after="0"/>
              <w:rPr>
                <w:sz w:val="19"/>
                <w:szCs w:val="19"/>
                <w:color w:val="auto"/>
              </w:rPr>
            </w:pPr>
          </w:p>
        </w:tc>
        <w:tc>
          <w:tcPr>
            <w:tcW w:w="80" w:type="dxa"/>
            <w:vAlign w:val="bottom"/>
            <w:tcBorders>
              <w:top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69,612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229,846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211,331</w:t>
            </w: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25,877</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1,735</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25,162</w:t>
            </w: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25,821</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48,744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42,225</w:t>
            </w: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Refundable income taxes</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2,962</w:t>
            </w:r>
          </w:p>
        </w:tc>
        <w:tc>
          <w:tcPr>
            <w:tcW w:w="26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6,677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13,098</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09"/>
        </w:trPr>
        <w:tc>
          <w:tcPr>
            <w:tcW w:w="85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372,644</w:t>
            </w:r>
          </w:p>
        </w:tc>
        <w:tc>
          <w:tcPr>
            <w:tcW w:w="4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345,167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135,497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15,214</w:t>
            </w:r>
          </w:p>
        </w:tc>
        <w:tc>
          <w:tcPr>
            <w:tcW w:w="26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11,221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23,179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25,853</w:t>
            </w:r>
          </w:p>
        </w:tc>
        <w:tc>
          <w:tcPr>
            <w:tcW w:w="0" w:type="dxa"/>
            <w:vAlign w:val="bottom"/>
          </w:tcPr>
          <w:p>
            <w:pPr>
              <w:spacing w:after="0"/>
              <w:rPr>
                <w:sz w:val="1"/>
                <w:szCs w:val="1"/>
                <w:color w:val="auto"/>
              </w:rPr>
            </w:pPr>
          </w:p>
        </w:tc>
      </w:tr>
      <w:tr>
        <w:trPr>
          <w:trHeight w:val="229"/>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33,045</w:t>
            </w:r>
          </w:p>
        </w:tc>
        <w:tc>
          <w:tcPr>
            <w:tcW w:w="260" w:type="dxa"/>
            <w:vAlign w:val="bottom"/>
            <w:shd w:val="clear" w:color="auto" w:fill="E5FFFF"/>
          </w:tcPr>
          <w:p>
            <w:pPr>
              <w:spacing w:after="0"/>
              <w:rPr>
                <w:sz w:val="19"/>
                <w:szCs w:val="19"/>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30,566</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579,579</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550,361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2"/>
              </w:rPr>
              <w:t>Accounts payable – trade (includes $1.5 million and $0.5 million with related parties at January 31, 2023 and 2022,</w:t>
            </w: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respectively)</w:t>
            </w:r>
          </w:p>
        </w:tc>
        <w:tc>
          <w:tcPr>
            <w:tcW w:w="3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34,091</w:t>
            </w:r>
          </w:p>
        </w:tc>
        <w:tc>
          <w:tcPr>
            <w:tcW w:w="260" w:type="dxa"/>
            <w:vAlign w:val="bottom"/>
            <w:shd w:val="clear" w:color="auto" w:fill="E5FF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32,266</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5,180</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15,328</w:t>
            </w:r>
          </w:p>
        </w:tc>
        <w:tc>
          <w:tcPr>
            <w:tcW w:w="260" w:type="dxa"/>
            <w:vAlign w:val="bottom"/>
            <w:shd w:val="clear" w:color="auto" w:fill="E5FFFF"/>
          </w:tcPr>
          <w:p>
            <w:pPr>
              <w:spacing w:after="0"/>
              <w:rPr>
                <w:sz w:val="19"/>
                <w:szCs w:val="19"/>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54,599</w:t>
            </w:r>
          </w:p>
        </w:tc>
        <w:tc>
          <w:tcPr>
            <w:tcW w:w="46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50,483</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1,097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9,855</w:t>
            </w:r>
          </w:p>
        </w:tc>
        <w:tc>
          <w:tcPr>
            <w:tcW w:w="26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6,390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3,034</w:t>
            </w:r>
          </w:p>
        </w:tc>
        <w:tc>
          <w:tcPr>
            <w:tcW w:w="2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13,986</w:t>
            </w:r>
          </w:p>
        </w:tc>
        <w:tc>
          <w:tcPr>
            <w:tcW w:w="4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COMMITMENTS AND CONTINGENCIES (Notes 11 and 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REX 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Common stock, 45,000 shares authorized, 29,853 shares issued at par</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Paid 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640,826</w:t>
            </w:r>
          </w:p>
        </w:tc>
        <w:tc>
          <w:tcPr>
            <w:tcW w:w="26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611,607</w:t>
            </w:r>
          </w:p>
        </w:tc>
        <w:tc>
          <w:tcPr>
            <w:tcW w:w="0" w:type="dxa"/>
            <w:vAlign w:val="bottom"/>
          </w:tcPr>
          <w:p>
            <w:pPr>
              <w:spacing w:after="0"/>
              <w:rPr>
                <w:sz w:val="1"/>
                <w:szCs w:val="1"/>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Treasury stock, 12,463 and 12,092 shares, respectively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(193,721)</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(181,114)</w:t>
            </w:r>
          </w:p>
        </w:tc>
        <w:tc>
          <w:tcPr>
            <w:tcW w:w="0" w:type="dxa"/>
            <w:vAlign w:val="bottom"/>
          </w:tcPr>
          <w:p>
            <w:pPr>
              <w:spacing w:after="0"/>
              <w:rPr>
                <w:sz w:val="1"/>
                <w:szCs w:val="1"/>
                <w:color w:val="auto"/>
              </w:rPr>
            </w:pPr>
          </w:p>
        </w:tc>
      </w:tr>
      <w:tr>
        <w:trPr>
          <w:trHeight w:val="210"/>
        </w:trPr>
        <w:tc>
          <w:tcPr>
            <w:tcW w:w="8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REX shareholders’ equity</w:t>
            </w:r>
          </w:p>
        </w:tc>
        <w:tc>
          <w:tcPr>
            <w:tcW w:w="1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447,982</w:t>
            </w:r>
          </w:p>
        </w:tc>
        <w:tc>
          <w:tcPr>
            <w:tcW w:w="4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430,792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63,012</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56,770</w:t>
            </w:r>
          </w:p>
        </w:tc>
        <w:tc>
          <w:tcPr>
            <w:tcW w:w="0" w:type="dxa"/>
            <w:vAlign w:val="bottom"/>
          </w:tcPr>
          <w:p>
            <w:pPr>
              <w:spacing w:after="0"/>
              <w:rPr>
                <w:sz w:val="1"/>
                <w:szCs w:val="1"/>
                <w:color w:val="auto"/>
              </w:rPr>
            </w:pPr>
          </w:p>
        </w:tc>
      </w:tr>
      <w:tr>
        <w:trPr>
          <w:trHeight w:val="210"/>
        </w:trPr>
        <w:tc>
          <w:tcPr>
            <w:tcW w:w="85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510,994</w:t>
            </w:r>
          </w:p>
        </w:tc>
        <w:tc>
          <w:tcPr>
            <w:tcW w:w="4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487,562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579,579</w:t>
            </w:r>
          </w:p>
        </w:tc>
        <w:tc>
          <w:tcPr>
            <w:tcW w:w="4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January 31,</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2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855,000</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774,802</w:t>
            </w:r>
          </w:p>
        </w:tc>
        <w:tc>
          <w:tcPr>
            <w:tcW w:w="44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372,664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5"/>
              </w:rPr>
              <w:t>Cost of sales (includes $135.4 million, $90.2 million and $54.8 million with related parties for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180"/>
              <w:spacing w:after="0"/>
              <w:rPr>
                <w:sz w:val="20"/>
                <w:szCs w:val="20"/>
                <w:color w:val="auto"/>
              </w:rPr>
            </w:pPr>
            <w:r>
              <w:rPr>
                <w:rFonts w:ascii="Arial" w:cs="Arial" w:eastAsia="Arial" w:hAnsi="Arial"/>
                <w:sz w:val="18"/>
                <w:szCs w:val="18"/>
                <w:color w:val="auto"/>
              </w:rPr>
              <w:t>the years ended January 31, 2023, 2022 and 2021, respectively)</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800,269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677,242</w:t>
            </w:r>
          </w:p>
        </w:tc>
        <w:tc>
          <w:tcPr>
            <w:tcW w:w="2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353,131</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54,731</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97,560</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19,533</w:t>
            </w: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(28,956)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(28,476)</w:t>
            </w:r>
          </w:p>
        </w:tc>
        <w:tc>
          <w:tcPr>
            <w:tcW w:w="2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8,745</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6,624</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12,959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47,479</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75,838</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(9,542)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(19,031)</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37,937</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56,807</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income attributable to noncontrolling interests (continuing operations)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(10,240)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(9,235)</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9"/>
        </w:trPr>
        <w:tc>
          <w:tcPr>
            <w:tcW w:w="7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 (continuing operations)</w:t>
            </w:r>
          </w:p>
        </w:tc>
        <w:tc>
          <w:tcPr>
            <w:tcW w:w="2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27,697</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47,572</w:t>
            </w:r>
          </w:p>
        </w:tc>
        <w:tc>
          <w:tcPr>
            <w:tcW w:w="44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0"/>
                <w:szCs w:val="20"/>
                <w:color w:val="auto"/>
              </w:rPr>
            </w:pPr>
            <w:r>
              <w:rPr>
                <w:rFonts w:ascii="Arial" w:cs="Arial" w:eastAsia="Arial" w:hAnsi="Arial"/>
                <w:sz w:val="18"/>
                <w:szCs w:val="18"/>
                <w:color w:val="auto"/>
                <w:w w:val="97"/>
              </w:rPr>
              <w:t>Net income from discontinued operations, net of tax (includes expense of $0.3 million and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$(0.2) million with related parties for the years ended January 31, 2022 and 2021,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4,395</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9"/>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Net loss attributable to noncontrolling interests (discontinued operations)</w:t>
            </w:r>
          </w:p>
        </w:tc>
        <w:tc>
          <w:tcPr>
            <w:tcW w:w="20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income attributable to REX common shareholders (discontinued operations)</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200" w:type="dxa"/>
            <w:vAlign w:val="bottom"/>
            <w:shd w:val="clear" w:color="auto" w:fill="E5FFFF"/>
          </w:tcPr>
          <w:p>
            <w:pPr>
              <w:spacing w:after="0"/>
              <w:rPr>
                <w:sz w:val="21"/>
                <w:szCs w:val="21"/>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27,697</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52,364</w:t>
            </w: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0"/>
        </w:trPr>
        <w:tc>
          <w:tcPr>
            <w:tcW w:w="70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17,638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17,946</w:t>
            </w:r>
          </w:p>
        </w:tc>
        <w:tc>
          <w:tcPr>
            <w:tcW w:w="2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Basic and diluted net income per share from continuing operations attributable to REX</w:t>
            </w:r>
          </w:p>
        </w:tc>
        <w:tc>
          <w:tcPr>
            <w:tcW w:w="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common shareholders</w:t>
            </w:r>
          </w:p>
        </w:tc>
        <w:tc>
          <w:tcPr>
            <w:tcW w:w="46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1.57</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Basic and diluted net income per share from discontinued operations attributable to REX</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180"/>
              <w:spacing w:after="0"/>
              <w:rPr>
                <w:sz w:val="20"/>
                <w:szCs w:val="20"/>
                <w:color w:val="auto"/>
              </w:rPr>
            </w:pPr>
            <w:r>
              <w:rPr>
                <w:rFonts w:ascii="Arial" w:cs="Arial" w:eastAsia="Arial" w:hAnsi="Arial"/>
                <w:sz w:val="18"/>
                <w:szCs w:val="18"/>
                <w:color w:val="auto"/>
              </w:rPr>
              <w:t>common shareholders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7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Basic and diluted net income per share attributable to REX common shareholders</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2.92</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7" w:name="page38"/>
    <w:bookmarkEnd w:id="37"/>
    <w:p>
      <w:pPr>
        <w:ind w:right="5500"/>
        <w:spacing w:after="0" w:line="261"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SHAREHOLDERS’ EQUITY FOR THE YEARS ENDED JANUARY 31, 2023, 2022 AND 2021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color w:val="auto"/>
              </w:rPr>
              <w:t>REX Shareholders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gridSpan w:val="7"/>
          </w:tcPr>
          <w:p>
            <w:pPr>
              <w:ind w:left="360"/>
              <w:spacing w:after="0"/>
              <w:rPr>
                <w:sz w:val="20"/>
                <w:szCs w:val="20"/>
                <w:color w:val="auto"/>
              </w:rPr>
            </w:pPr>
            <w:r>
              <w:rPr>
                <w:rFonts w:ascii="Arial" w:cs="Arial" w:eastAsia="Arial" w:hAnsi="Arial"/>
                <w:sz w:val="14"/>
                <w:szCs w:val="14"/>
                <w:color w:val="auto"/>
              </w:rPr>
              <w:t>Common Shares</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Paid-in</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color w:val="auto"/>
              </w:rPr>
              <w:t>Retained</w:t>
            </w:r>
          </w:p>
        </w:tc>
        <w:tc>
          <w:tcPr>
            <w:tcW w:w="1200" w:type="dxa"/>
            <w:vAlign w:val="bottom"/>
            <w:gridSpan w:val="3"/>
            <w:vMerge w:val="restart"/>
          </w:tcPr>
          <w:p>
            <w:pPr>
              <w:spacing w:after="0"/>
              <w:rPr>
                <w:sz w:val="20"/>
                <w:szCs w:val="20"/>
                <w:color w:val="auto"/>
              </w:rPr>
            </w:pPr>
            <w:r>
              <w:rPr>
                <w:rFonts w:ascii="Arial" w:cs="Arial" w:eastAsia="Arial" w:hAnsi="Arial"/>
                <w:sz w:val="14"/>
                <w:szCs w:val="14"/>
                <w:color w:val="auto"/>
              </w:rPr>
              <w:t>Noncontrolling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Issued</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Treasury</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68"/>
              <w:spacing w:after="0" w:line="155"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40"/>
              <w:spacing w:after="0" w:line="155"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42"/>
        </w:trPr>
        <w:tc>
          <w:tcPr>
            <w:tcW w:w="250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color w:val="auto"/>
              </w:rPr>
              <w:t>Balance at January 31, 2020</w:t>
            </w:r>
          </w:p>
        </w:tc>
        <w:tc>
          <w:tcPr>
            <w:tcW w:w="120" w:type="dxa"/>
            <w:vAlign w:val="bottom"/>
            <w:tcBorders>
              <w:top w:val="single" w:sz="8" w:color="auto"/>
            </w:tcBorders>
            <w:shd w:val="clear" w:color="auto" w:fill="E5FFFF"/>
          </w:tcPr>
          <w:p>
            <w:pPr>
              <w:spacing w:after="0"/>
              <w:rPr>
                <w:sz w:val="12"/>
                <w:szCs w:val="12"/>
                <w:color w:val="auto"/>
              </w:rPr>
            </w:pPr>
          </w:p>
        </w:tc>
        <w:tc>
          <w:tcPr>
            <w:tcW w:w="6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29,853</w:t>
            </w:r>
          </w:p>
        </w:tc>
        <w:tc>
          <w:tcPr>
            <w:tcW w:w="180" w:type="dxa"/>
            <w:vAlign w:val="bottom"/>
            <w:tcBorders>
              <w:top w:val="single" w:sz="8" w:color="E5FFFF"/>
            </w:tcBorders>
            <w:shd w:val="clear" w:color="auto" w:fill="E5FFFF"/>
          </w:tcPr>
          <w:p>
            <w:pPr>
              <w:spacing w:after="0"/>
              <w:rPr>
                <w:sz w:val="12"/>
                <w:szCs w:val="12"/>
                <w:color w:val="auto"/>
              </w:rPr>
            </w:pPr>
          </w:p>
        </w:tc>
        <w:tc>
          <w:tcPr>
            <w:tcW w:w="18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299</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rPr>
                <w:sz w:val="12"/>
                <w:szCs w:val="12"/>
                <w:color w:val="auto"/>
              </w:rPr>
            </w:pPr>
          </w:p>
        </w:tc>
        <w:tc>
          <w:tcPr>
            <w:tcW w:w="6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10,973</w:t>
            </w:r>
          </w:p>
        </w:tc>
        <w:tc>
          <w:tcPr>
            <w:tcW w:w="16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(154,989)</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rPr>
                <w:sz w:val="12"/>
                <w:szCs w:val="12"/>
                <w:color w:val="auto"/>
              </w:rPr>
            </w:pPr>
          </w:p>
        </w:tc>
        <w:tc>
          <w:tcPr>
            <w:tcW w:w="640" w:type="dxa"/>
            <w:vAlign w:val="bottom"/>
            <w:tcBorders>
              <w:top w:val="single" w:sz="8" w:color="auto"/>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555,697</w:t>
            </w:r>
          </w:p>
        </w:tc>
        <w:tc>
          <w:tcPr>
            <w:tcW w:w="100" w:type="dxa"/>
            <w:vAlign w:val="bottom"/>
            <w:tcBorders>
              <w:top w:val="single" w:sz="8" w:color="E5FFFF"/>
            </w:tcBorders>
            <w:shd w:val="clear" w:color="auto" w:fill="E5FFFF"/>
          </w:tcPr>
          <w:p>
            <w:pPr>
              <w:spacing w:after="0"/>
              <w:rPr>
                <w:sz w:val="12"/>
                <w:szCs w:val="12"/>
                <w:color w:val="auto"/>
              </w:rPr>
            </w:pPr>
          </w:p>
        </w:tc>
        <w:tc>
          <w:tcPr>
            <w:tcW w:w="22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52,599</w:t>
            </w:r>
          </w:p>
        </w:tc>
        <w:tc>
          <w:tcPr>
            <w:tcW w:w="32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453,606</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3,001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2,617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5,618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112</w:t>
            </w: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20" w:type="dxa"/>
            <w:vAlign w:val="bottom"/>
            <w:gridSpan w:val="2"/>
          </w:tcPr>
          <w:p>
            <w:pPr>
              <w:spacing w:after="0"/>
              <w:rPr>
                <w:sz w:val="20"/>
                <w:szCs w:val="20"/>
                <w:color w:val="auto"/>
              </w:rPr>
            </w:pPr>
            <w:r>
              <w:rPr>
                <w:rFonts w:ascii="Arial" w:cs="Arial" w:eastAsia="Arial" w:hAnsi="Arial"/>
                <w:sz w:val="14"/>
                <w:szCs w:val="14"/>
                <w:color w:val="auto"/>
              </w:rPr>
              <w:t>Treasury stock acquired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(19,629)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(19,629)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6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and other</w:t>
            </w:r>
          </w:p>
        </w:tc>
        <w:tc>
          <w:tcPr>
            <w:tcW w:w="6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(2,928)</w:t>
            </w:r>
          </w:p>
        </w:tc>
        <w:tc>
          <w:tcPr>
            <w:tcW w:w="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(2,928)</w:t>
            </w: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620" w:type="dxa"/>
            <w:vAlign w:val="bottom"/>
            <w:gridSpan w:val="2"/>
          </w:tcPr>
          <w:p>
            <w:pPr>
              <w:spacing w:after="0"/>
              <w:rPr>
                <w:sz w:val="20"/>
                <w:szCs w:val="20"/>
                <w:color w:val="auto"/>
              </w:rPr>
            </w:pPr>
            <w:r>
              <w:rPr>
                <w:rFonts w:ascii="Arial" w:cs="Arial" w:eastAsia="Arial" w:hAnsi="Arial"/>
                <w:sz w:val="14"/>
                <w:szCs w:val="14"/>
                <w:color w:val="auto"/>
              </w:rPr>
              <w:t>Issuance of equity awards and stock</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2021</w:t>
            </w:r>
          </w:p>
        </w:tc>
        <w:tc>
          <w:tcPr>
            <w:tcW w:w="84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29,853</w:t>
            </w: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12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11,877</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(174,535)</w:t>
            </w:r>
          </w:p>
        </w:tc>
        <w:tc>
          <w:tcPr>
            <w:tcW w:w="120" w:type="dxa"/>
            <w:vAlign w:val="bottom"/>
            <w:shd w:val="clear" w:color="auto" w:fill="E5FFFF"/>
          </w:tcPr>
          <w:p>
            <w:pPr>
              <w:spacing w:after="0"/>
              <w:rPr>
                <w:sz w:val="12"/>
                <w:szCs w:val="12"/>
                <w:color w:val="auto"/>
              </w:rPr>
            </w:pPr>
          </w:p>
        </w:tc>
        <w:tc>
          <w:tcPr>
            <w:tcW w:w="80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559,019</w:t>
            </w: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52,400</w:t>
            </w: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437,183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52,364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8,838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61,202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304</w:t>
            </w: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304</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20" w:type="dxa"/>
            <w:vAlign w:val="bottom"/>
            <w:gridSpan w:val="2"/>
          </w:tcPr>
          <w:p>
            <w:pPr>
              <w:spacing w:after="0"/>
              <w:rPr>
                <w:sz w:val="20"/>
                <w:szCs w:val="20"/>
                <w:color w:val="auto"/>
              </w:rPr>
            </w:pPr>
            <w:r>
              <w:rPr>
                <w:rFonts w:ascii="Arial" w:cs="Arial" w:eastAsia="Arial" w:hAnsi="Arial"/>
                <w:sz w:val="14"/>
                <w:szCs w:val="14"/>
                <w:color w:val="auto"/>
              </w:rPr>
              <w:t>Treasury stock acquired</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252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(6,627)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(6,627)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6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and other</w:t>
            </w:r>
          </w:p>
        </w:tc>
        <w:tc>
          <w:tcPr>
            <w:tcW w:w="6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(4,772)</w:t>
            </w:r>
          </w:p>
        </w:tc>
        <w:tc>
          <w:tcPr>
            <w:tcW w:w="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(4,772)</w:t>
            </w: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620" w:type="dxa"/>
            <w:vAlign w:val="bottom"/>
            <w:gridSpan w:val="2"/>
          </w:tcPr>
          <w:p>
            <w:pPr>
              <w:spacing w:after="0"/>
              <w:rPr>
                <w:sz w:val="20"/>
                <w:szCs w:val="20"/>
                <w:color w:val="auto"/>
              </w:rPr>
            </w:pPr>
            <w:r>
              <w:rPr>
                <w:rFonts w:ascii="Arial" w:cs="Arial" w:eastAsia="Arial" w:hAnsi="Arial"/>
                <w:sz w:val="14"/>
                <w:szCs w:val="14"/>
                <w:color w:val="auto"/>
              </w:rPr>
              <w:t>Issuance of equity awards and stock</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2022</w:t>
            </w:r>
          </w:p>
        </w:tc>
        <w:tc>
          <w:tcPr>
            <w:tcW w:w="84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29,853</w:t>
            </w: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12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12,092</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(181,114)</w:t>
            </w:r>
          </w:p>
        </w:tc>
        <w:tc>
          <w:tcPr>
            <w:tcW w:w="120" w:type="dxa"/>
            <w:vAlign w:val="bottom"/>
            <w:shd w:val="clear" w:color="auto" w:fill="E5FFFF"/>
          </w:tcPr>
          <w:p>
            <w:pPr>
              <w:spacing w:after="0"/>
              <w:rPr>
                <w:sz w:val="12"/>
                <w:szCs w:val="12"/>
                <w:color w:val="auto"/>
              </w:rPr>
            </w:pPr>
          </w:p>
        </w:tc>
        <w:tc>
          <w:tcPr>
            <w:tcW w:w="80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611,607</w:t>
            </w: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56,770</w:t>
            </w: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487,562</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27,697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10,240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37,937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472</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(13,012)</w:t>
            </w: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(13,012)</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620" w:type="dxa"/>
            <w:vAlign w:val="bottom"/>
            <w:gridSpan w:val="2"/>
          </w:tcPr>
          <w:p>
            <w:pPr>
              <w:spacing w:after="0"/>
              <w:rPr>
                <w:sz w:val="20"/>
                <w:szCs w:val="20"/>
                <w:color w:val="auto"/>
              </w:rPr>
            </w:pPr>
            <w:r>
              <w:rPr>
                <w:rFonts w:ascii="Arial" w:cs="Arial" w:eastAsia="Arial" w:hAnsi="Arial"/>
                <w:sz w:val="14"/>
                <w:szCs w:val="14"/>
                <w:color w:val="auto"/>
              </w:rPr>
              <w:t>Noncontrolling interests distribution</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and other</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(3,998)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(3,998)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w:t>
            </w:r>
          </w:p>
        </w:tc>
        <w:tc>
          <w:tcPr>
            <w:tcW w:w="6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based compensation expense</w:t>
            </w:r>
          </w:p>
        </w:tc>
        <w:tc>
          <w:tcPr>
            <w:tcW w:w="84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0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5"/>
                <w:szCs w:val="15"/>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(101)</w:t>
            </w:r>
          </w:p>
        </w:tc>
        <w:tc>
          <w:tcPr>
            <w:tcW w:w="1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98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E5FFFF"/>
          </w:tcPr>
          <w:p>
            <w:pPr>
              <w:spacing w:after="0"/>
              <w:rPr>
                <w:sz w:val="15"/>
                <w:szCs w:val="15"/>
                <w:color w:val="auto"/>
              </w:rPr>
            </w:pP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578</w:t>
            </w:r>
          </w:p>
        </w:tc>
        <w:tc>
          <w:tcPr>
            <w:tcW w:w="1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1,522</w:t>
            </w:r>
          </w:p>
        </w:tc>
        <w:tc>
          <w:tcPr>
            <w:tcW w:w="2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0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2,505</w:t>
            </w: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31, 2023</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20" w:type="dxa"/>
            <w:vAlign w:val="bottom"/>
            <w:gridSpan w:val="2"/>
            <w:vMerge w:val="continue"/>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29,853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12,463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(193,721)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578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640,826</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63,012</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510,994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8" w:name="page39"/>
    <w:bookmarkEnd w:id="38"/>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CASH FLOWS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January 31,</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6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37,937</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61,202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r>
      <w:tr>
        <w:trPr>
          <w:trHeight w:val="229"/>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3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4,395</w:t>
            </w: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860</w:t>
            </w:r>
          </w:p>
        </w:tc>
      </w:tr>
      <w:tr>
        <w:trPr>
          <w:trHeight w:val="209"/>
        </w:trPr>
        <w:tc>
          <w:tcPr>
            <w:tcW w:w="68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56,807</w:t>
            </w: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17,976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18,031</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18,116</w:t>
            </w: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5,328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5,560</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5,358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1,753</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Income from equity method investments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(8,745)</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(6,624)</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Dividends received from equity method investments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6,266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5,514</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3,508</w:t>
            </w: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Interest income from investments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(2,839)</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(Gain) loss on disposal of real estate and property and equipment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Deferred income tax</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915</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12,730</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(6,108)</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(6,744)</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(4,799)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(2,307)</w:t>
            </w:r>
          </w:p>
        </w:tc>
      </w:tr>
      <w:tr>
        <w:trPr>
          <w:trHeight w:val="216"/>
        </w:trPr>
        <w:tc>
          <w:tcPr>
            <w:tcW w:w="68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(3,243)</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Income taxes refundable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68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payable-trade</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1,478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16,005</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(2,618)</w:t>
            </w: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r>
      <w:tr>
        <w:trPr>
          <w:trHeight w:val="209"/>
        </w:trPr>
        <w:tc>
          <w:tcPr>
            <w:tcW w:w="68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54,795</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98,427</w:t>
            </w:r>
          </w:p>
        </w:tc>
        <w:tc>
          <w:tcPr>
            <w:tcW w:w="44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Borders>
              <w:top w:val="single" w:sz="8" w:color="E5FFFF"/>
            </w:tcBorders>
            <w:shd w:val="clear" w:color="auto" w:fill="E5FFFF"/>
          </w:tcPr>
          <w:p>
            <w:pPr>
              <w:spacing w:after="0"/>
              <w:rPr>
                <w:sz w:val="18"/>
                <w:szCs w:val="18"/>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(6,716)</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(2,786)</w:t>
            </w:r>
          </w:p>
        </w:tc>
      </w:tr>
      <w:tr>
        <w:trPr>
          <w:trHeight w:val="210"/>
        </w:trPr>
        <w:tc>
          <w:tcPr>
            <w:tcW w:w="68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54,795</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91,711</w:t>
            </w:r>
          </w:p>
        </w:tc>
        <w:tc>
          <w:tcPr>
            <w:tcW w:w="44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(15,578)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(5,126)</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(10,412)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(399,350)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(88,949)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(96,233)</w:t>
            </w: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Sales of short-term investments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216,735</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99,309</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86,328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Proceeds from sale of real estate and property and equipment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29"/>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(532)</w:t>
            </w:r>
          </w:p>
        </w:tc>
      </w:tr>
      <w:tr>
        <w:trPr>
          <w:trHeight w:val="210"/>
        </w:trPr>
        <w:tc>
          <w:tcPr>
            <w:tcW w:w="688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(198,507)</w:t>
            </w:r>
          </w:p>
        </w:tc>
        <w:tc>
          <w:tcPr>
            <w:tcW w:w="2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440" w:type="dxa"/>
            <w:vAlign w:val="bottom"/>
            <w:tcBorders>
              <w:bottom w:val="single" w:sz="8" w:color="E5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tcBorders>
              <w:bottom w:val="single" w:sz="8" w:color="E5FFFF"/>
            </w:tcBorders>
          </w:tcPr>
          <w:p>
            <w:pPr>
              <w:spacing w:after="0"/>
              <w:rPr>
                <w:sz w:val="18"/>
                <w:szCs w:val="18"/>
                <w:color w:val="auto"/>
              </w:rPr>
            </w:pPr>
          </w:p>
        </w:tc>
      </w:tr>
      <w:tr>
        <w:trPr>
          <w:trHeight w:val="210"/>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Treasury stock acquired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(13,012)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(6,627)</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(19,629)</w:t>
            </w:r>
          </w:p>
        </w:tc>
      </w:tr>
      <w:tr>
        <w:trPr>
          <w:trHeight w:val="230"/>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Payments to noncontrolling interests holders</w:t>
            </w:r>
          </w:p>
        </w:tc>
        <w:tc>
          <w:tcPr>
            <w:tcW w:w="3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(3,997)</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(4,772)</w:t>
            </w: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(2,928)</w:t>
            </w:r>
          </w:p>
        </w:tc>
      </w:tr>
      <w:tr>
        <w:trPr>
          <w:trHeight w:val="210"/>
        </w:trPr>
        <w:tc>
          <w:tcPr>
            <w:tcW w:w="6880" w:type="dxa"/>
            <w:vAlign w:val="bottom"/>
          </w:tcPr>
          <w:p>
            <w:pPr>
              <w:ind w:left="360"/>
              <w:spacing w:after="0"/>
              <w:rPr>
                <w:sz w:val="20"/>
                <w:szCs w:val="20"/>
                <w:color w:val="auto"/>
              </w:rPr>
            </w:pPr>
            <w:r>
              <w:rPr>
                <w:rFonts w:ascii="Arial" w:cs="Arial" w:eastAsia="Arial" w:hAnsi="Arial"/>
                <w:sz w:val="18"/>
                <w:szCs w:val="18"/>
                <w:color w:val="auto"/>
              </w:rPr>
              <w:t>Net cash used in financing activities from continuing operations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(22,557)</w:t>
            </w:r>
          </w:p>
        </w:tc>
        <w:tc>
          <w:tcPr>
            <w:tcW w:w="100" w:type="dxa"/>
            <w:vAlign w:val="bottom"/>
          </w:tcPr>
          <w:p>
            <w:pPr>
              <w:spacing w:after="0"/>
              <w:rPr>
                <w:sz w:val="18"/>
                <w:szCs w:val="18"/>
                <w:color w:val="auto"/>
              </w:rPr>
            </w:pPr>
          </w:p>
        </w:tc>
      </w:tr>
      <w:tr>
        <w:trPr>
          <w:trHeight w:val="229"/>
        </w:trPr>
        <w:tc>
          <w:tcPr>
            <w:tcW w:w="6880" w:type="dxa"/>
            <w:vAlign w:val="bottom"/>
            <w:shd w:val="clear" w:color="auto" w:fill="E5FFFF"/>
          </w:tcPr>
          <w:p>
            <w:pPr>
              <w:ind w:left="360"/>
              <w:spacing w:after="0"/>
              <w:rPr>
                <w:sz w:val="20"/>
                <w:szCs w:val="20"/>
                <w:color w:val="auto"/>
              </w:rPr>
            </w:pPr>
            <w:r>
              <w:rPr>
                <w:rFonts w:ascii="Arial" w:cs="Arial" w:eastAsia="Arial" w:hAnsi="Arial"/>
                <w:sz w:val="18"/>
                <w:szCs w:val="18"/>
                <w:color w:val="auto"/>
              </w:rPr>
              <w:t>Net cash provided by financing activities from discontinued operations</w:t>
            </w:r>
          </w:p>
        </w:tc>
        <w:tc>
          <w:tcPr>
            <w:tcW w:w="3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112</w:t>
            </w:r>
          </w:p>
        </w:tc>
      </w:tr>
      <w:tr>
        <w:trPr>
          <w:trHeight w:val="210"/>
        </w:trPr>
        <w:tc>
          <w:tcPr>
            <w:tcW w:w="688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(11,095)</w:t>
            </w: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(22,445)</w:t>
            </w:r>
          </w:p>
        </w:tc>
        <w:tc>
          <w:tcPr>
            <w:tcW w:w="100" w:type="dxa"/>
            <w:vAlign w:val="bottom"/>
          </w:tcPr>
          <w:p>
            <w:pPr>
              <w:spacing w:after="0"/>
              <w:rPr>
                <w:sz w:val="18"/>
                <w:szCs w:val="18"/>
                <w:color w:val="auto"/>
              </w:rPr>
            </w:pPr>
          </w:p>
        </w:tc>
      </w:tr>
      <w:tr>
        <w:trPr>
          <w:trHeight w:val="202"/>
        </w:trPr>
        <w:tc>
          <w:tcPr>
            <w:tcW w:w="68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NET (DECREASE) INCREASE IN CASH, CASH EQUIVALENTS AND RESTRICTED</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68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(160,721)</w:t>
            </w:r>
          </w:p>
        </w:tc>
        <w:tc>
          <w:tcPr>
            <w:tcW w:w="2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85,910</w:t>
            </w:r>
          </w:p>
        </w:tc>
        <w:tc>
          <w:tcPr>
            <w:tcW w:w="2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(34,613)</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232,068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146,158</w:t>
            </w: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180,771</w:t>
            </w:r>
          </w:p>
        </w:tc>
      </w:tr>
      <w:tr>
        <w:trPr>
          <w:trHeight w:val="223"/>
        </w:trPr>
        <w:tc>
          <w:tcPr>
            <w:tcW w:w="68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CASH EQUIVALENTS AND RESTRICTED CASH-End of year</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71,347</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232,068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146,158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Continued on the following page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9" w:name="page40"/>
    <w:bookmarkEnd w:id="39"/>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CASH FLOWS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Continued from the previous page</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40" w:type="dxa"/>
            <w:vAlign w:val="bottom"/>
            <w:shd w:val="clear" w:color="auto" w:fill="E5FFFF"/>
          </w:tcPr>
          <w:p>
            <w:pPr>
              <w:spacing w:after="0"/>
              <w:rPr>
                <w:sz w:val="20"/>
                <w:szCs w:val="20"/>
                <w:color w:val="auto"/>
              </w:rPr>
            </w:pPr>
            <w:r>
              <w:rPr>
                <w:rFonts w:ascii="Arial" w:cs="Arial" w:eastAsia="Arial" w:hAnsi="Arial"/>
                <w:sz w:val="18"/>
                <w:szCs w:val="18"/>
                <w:color w:val="auto"/>
              </w:rPr>
              <w:t>Non cash financing activities-Stock awards issued</w:t>
            </w:r>
          </w:p>
        </w:tc>
        <w:tc>
          <w:tcPr>
            <w:tcW w:w="128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1,539</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Non cash financing activities-Stock awards accrued</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965</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1,580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r>
      <w:tr>
        <w:trPr>
          <w:trHeight w:val="216"/>
        </w:trPr>
        <w:tc>
          <w:tcPr>
            <w:tcW w:w="624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activities-Accrued capital expenditures</w:t>
            </w:r>
          </w:p>
        </w:tc>
        <w:tc>
          <w:tcPr>
            <w:tcW w:w="128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425</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390</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9,321</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4,103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20"/>
                <w:szCs w:val="20"/>
                <w:color w:val="auto"/>
              </w:rPr>
            </w:pPr>
          </w:p>
        </w:tc>
      </w:tr>
      <w:tr>
        <w:trPr>
          <w:trHeight w:val="202"/>
        </w:trPr>
        <w:tc>
          <w:tcPr>
            <w:tcW w:w="6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40" w:type="dxa"/>
            <w:vAlign w:val="bottom"/>
            <w:shd w:val="clear" w:color="auto" w:fill="E5FFFF"/>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9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69,612</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229,846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144,501</w:t>
            </w:r>
          </w:p>
        </w:tc>
        <w:tc>
          <w:tcPr>
            <w:tcW w:w="80" w:type="dxa"/>
            <w:vAlign w:val="bottom"/>
          </w:tcPr>
          <w:p>
            <w:pPr>
              <w:spacing w:after="0"/>
              <w:rPr>
                <w:sz w:val="18"/>
                <w:szCs w:val="18"/>
                <w:color w:val="auto"/>
              </w:rPr>
            </w:pPr>
          </w:p>
        </w:tc>
      </w:tr>
      <w:tr>
        <w:trPr>
          <w:trHeight w:val="229"/>
        </w:trPr>
        <w:tc>
          <w:tcPr>
            <w:tcW w:w="624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1,735</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2,222</w:t>
            </w:r>
          </w:p>
        </w:tc>
        <w:tc>
          <w:tcPr>
            <w:tcW w:w="240" w:type="dxa"/>
            <w:vAlign w:val="bottom"/>
            <w:shd w:val="clear" w:color="auto" w:fill="E5FFFF"/>
          </w:tcPr>
          <w:p>
            <w:pPr>
              <w:spacing w:after="0"/>
              <w:rPr>
                <w:sz w:val="19"/>
                <w:szCs w:val="19"/>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E5FFFF"/>
          </w:tcPr>
          <w:p>
            <w:pPr>
              <w:spacing w:after="0"/>
              <w:rPr>
                <w:sz w:val="19"/>
                <w:szCs w:val="19"/>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232,068</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0" w:name="page41"/>
    <w:bookmarkEnd w:id="40"/>
    <w:p>
      <w:pPr>
        <w:ind w:right="5500"/>
        <w:spacing w:after="0" w:line="312" w:lineRule="auto"/>
        <w:rPr>
          <w:sz w:val="20"/>
          <w:szCs w:val="20"/>
          <w:color w:val="auto"/>
        </w:rPr>
      </w:pPr>
      <w:r>
        <w:rPr>
          <w:rFonts w:ascii="Arial" w:cs="Arial" w:eastAsia="Arial" w:hAnsi="Arial"/>
          <w:sz w:val="17"/>
          <w:szCs w:val="17"/>
          <w:b w:val="1"/>
          <w:bCs w:val="1"/>
          <w:color w:val="auto"/>
        </w:rPr>
        <w:t>REX AMERICAN RESOURCES CORPORATION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jc w:val="both"/>
        <w:ind w:left="440"/>
        <w:spacing w:after="0" w:line="275"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Principles of Consolidation – </w:t>
      </w:r>
      <w:r>
        <w:rPr>
          <w:rFonts w:ascii="Arial" w:cs="Arial" w:eastAsia="Arial" w:hAnsi="Arial"/>
          <w:sz w:val="17"/>
          <w:szCs w:val="17"/>
          <w:color w:val="auto"/>
        </w:rPr>
        <w:t>The accompanying financial statements consolidate the operating results and financial position of REX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Corporation and its wholly-owned and majority owned subsidiaries (the “Company” or “REX”). All intercompany balances and transactions have been eliminated. As of January 31, 2023, the Company owns interests in three operating entities – two are consolidated and one is accounted for using the equity method of accounting. The results of One Earth are included on a delayed basis of one month lag as One Earth has a fiscal year end of December 31. The other consolidated entity has the same fiscal year end as the parent company.</w:t>
      </w:r>
    </w:p>
    <w:p>
      <w:pPr>
        <w:spacing w:after="0" w:line="176" w:lineRule="exact"/>
        <w:rPr>
          <w:rFonts w:ascii="Arial" w:cs="Arial" w:eastAsia="Arial" w:hAnsi="Arial"/>
          <w:sz w:val="18"/>
          <w:szCs w:val="18"/>
          <w:b w:val="1"/>
          <w:bCs w:val="1"/>
          <w:color w:val="auto"/>
        </w:rPr>
      </w:pPr>
    </w:p>
    <w:p>
      <w:pPr>
        <w:jc w:val="both"/>
        <w:ind w:left="440"/>
        <w:spacing w:after="0" w:line="28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Stock Split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21, 2022, the Board of Directors of the Company adopted resolutions declaring a three-for-one split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165"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All references in these consolidated financial statements to a particular fiscal year are to the Company’s fiscal year ended January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refers to its fiscal year by reference to the year immediately preceding the January 31 fiscal year end date. For example, “fiscal year 2022” means the period February 1, 2022 to January 31, 2023.</w:t>
      </w:r>
    </w:p>
    <w:p>
      <w:pPr>
        <w:spacing w:after="0" w:line="183"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 Beginning in the third quarter of 2021, the Company has one reportable segment, ethanol and by-products. Within the ethanol and by-products segment, the Company has equity investments in three ethanol limited liability companies, two of which are majority ownership interests. Prior period amounts have been reclassified to conform to current segment reporting.</w:t>
      </w:r>
    </w:p>
    <w:p>
      <w:pPr>
        <w:spacing w:after="0" w:line="183" w:lineRule="exact"/>
        <w:rPr>
          <w:rFonts w:ascii="Arial" w:cs="Arial" w:eastAsia="Arial" w:hAnsi="Arial"/>
          <w:sz w:val="18"/>
          <w:szCs w:val="18"/>
          <w:b w:val="1"/>
          <w:bCs w:val="1"/>
          <w:color w:val="auto"/>
        </w:rPr>
      </w:pPr>
    </w:p>
    <w:p>
      <w:pPr>
        <w:ind w:left="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70" w:lineRule="exact"/>
        <w:rPr>
          <w:rFonts w:ascii="Arial" w:cs="Arial" w:eastAsia="Arial" w:hAnsi="Arial"/>
          <w:sz w:val="18"/>
          <w:szCs w:val="18"/>
          <w:b w:val="1"/>
          <w:bCs w:val="1"/>
          <w:color w:val="auto"/>
        </w:rPr>
      </w:pPr>
    </w:p>
    <w:p>
      <w:pPr>
        <w:jc w:val="both"/>
        <w:ind w:left="4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Use of Estimates – </w:t>
      </w:r>
      <w:r>
        <w:rPr>
          <w:rFonts w:ascii="Arial" w:cs="Arial" w:eastAsia="Arial" w:hAnsi="Arial"/>
          <w:sz w:val="18"/>
          <w:szCs w:val="18"/>
          <w:color w:val="auto"/>
        </w:rPr>
        <w:t>The preparation of consolidated financial statements in conformity with accounting principles generally accepted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440" w:right="2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are principally short-term investments with original maturities of three months or less. The carrying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approximates fair value.</w:t>
      </w:r>
    </w:p>
    <w:p>
      <w:pPr>
        <w:spacing w:after="0" w:line="170"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Concentrations of Risk </w:t>
      </w:r>
      <w:r>
        <w:rPr>
          <w:rFonts w:ascii="Arial" w:cs="Arial" w:eastAsia="Arial" w:hAnsi="Arial"/>
          <w:sz w:val="18"/>
          <w:szCs w:val="18"/>
          <w:i w:val="1"/>
          <w:iCs w:val="1"/>
          <w:color w:val="auto"/>
        </w:rPr>
        <w:t>–</w:t>
      </w:r>
      <w:r>
        <w:rPr>
          <w:rFonts w:ascii="Arial" w:cs="Arial" w:eastAsia="Arial" w:hAnsi="Arial"/>
          <w:sz w:val="18"/>
          <w:szCs w:val="18"/>
          <w:color w:val="auto"/>
        </w:rPr>
        <w:t>The Company maintains cash and cash equivalents in accounts with financial institutions which exceed federally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limits. The Company has not experienced any losses in such accounts. The Company does not believe there is significant credit risk related to its cash and cash equivalents.</w:t>
      </w:r>
    </w:p>
    <w:p>
      <w:pPr>
        <w:spacing w:after="0" w:line="183"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sells its products to a limited number of larger commercial buyers, which may increase the chance of loss due to non-performance by a counterparty. Eight (fiscal year 2022), nine (fiscal year 2021), and seven (fiscal year 2020) customers accounted for approximately 90%, 85%, and 89% of the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Company’s net sales and revenue during fiscal years 2022, 2021, and 2020, respectively. At January 31, 2023 and 2022, four and five customers represented approximately 81% and 82%, respectively, of the Company’s accounts receivable balance. The Company has not experienced any significant losses in such accounts.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 Inventories are carried at the lower of cost or net realizable value. Cost for all inventories is determined using the first-in, first-out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and refined coal. Inventory is permanently written down for instances when cost exceeds estimated net realizable value; such write-downs are based primarily upon commodity prices as the market value of inventory is often dependent upon changes in commodity prices. The company recorded approximately $0.7 and $0.5 million of inventory write-downs in cost of sales at January 31, 2023 and January 31, 2022, respectively. Fluctuations in the write-down of inventory generally relate to the levels and composition of such inventory at a given point in time and commodity prices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components of inventory are as follows (amounts in thousands):</w:t>
      </w:r>
    </w:p>
    <w:p>
      <w:pPr>
        <w:sectPr>
          <w:pgSz w:w="11900" w:h="16838" w:orient="portrait"/>
          <w:cols w:equalWidth="0" w:num="1">
            <w:col w:w="10800"/>
          </w:cols>
          <w:pgMar w:left="760" w:top="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Ethanol and other 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27736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7736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Grain and other raw materials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4120"/>
        <w:spacing w:after="0"/>
        <w:rPr>
          <w:sz w:val="20"/>
          <w:szCs w:val="20"/>
          <w:color w:val="auto"/>
        </w:rPr>
      </w:pPr>
      <w:r>
        <w:rPr>
          <w:rFonts w:ascii="Arial" w:cs="Arial" w:eastAsia="Arial" w:hAnsi="Arial"/>
          <w:sz w:val="18"/>
          <w:szCs w:val="18"/>
          <w:b w:val="1"/>
          <w:bCs w:val="1"/>
          <w:color w:val="auto"/>
        </w:rPr>
        <w:t>January 31,</w:t>
      </w:r>
    </w:p>
    <w:p>
      <w:pPr>
        <w:spacing w:after="0" w:line="27"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$12,695  $13,158</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10,194</w:t>
      </w:r>
      <w:r>
        <w:rPr>
          <w:rFonts w:ascii="Arial" w:cs="Arial" w:eastAsia="Arial" w:hAnsi="Arial"/>
          <w:sz w:val="15"/>
          <w:szCs w:val="15"/>
          <w:color w:val="auto"/>
        </w:rPr>
        <w:t>5,473</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25,855   23,594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auto"/>
        </w:rPr>
        <w:t>$48,744</w:t>
      </w:r>
      <w:r>
        <w:rPr>
          <w:sz w:val="20"/>
          <w:szCs w:val="20"/>
          <w:color w:val="auto"/>
        </w:rPr>
        <w:tab/>
      </w:r>
      <w:r>
        <w:rPr>
          <w:rFonts w:ascii="Arial" w:cs="Arial" w:eastAsia="Arial" w:hAnsi="Arial"/>
          <w:sz w:val="16"/>
          <w:szCs w:val="16"/>
          <w:u w:val="single" w:color="auto"/>
          <w:color w:val="auto"/>
        </w:rPr>
        <w:t>$42,225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866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480"/>
          </w:cols>
          <w:pgMar w:left="760" w:top="409" w:right="339" w:bottom="1440" w:gutter="0" w:footer="0" w:header="0"/>
          <w:type w:val="continuous"/>
        </w:sectPr>
      </w:pP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Property and Equipment – </w:t>
      </w:r>
      <w:r>
        <w:rPr>
          <w:rFonts w:ascii="Arial" w:cs="Arial" w:eastAsia="Arial" w:hAnsi="Arial"/>
          <w:sz w:val="16"/>
          <w:szCs w:val="16"/>
          <w:color w:val="auto"/>
        </w:rPr>
        <w:t>Property and equipment is recorded at cost or the fair value on the date of acquisition (for property and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in a business combination). Depreciation is computed using the straight-line method. Estimated useful lives are 15 to 40 years for buildings and improvements, and 3 to 20 years for fixtures and equipment. The components of property and equipment are as follows (amounts in thousands):</w:t>
      </w:r>
    </w:p>
    <w:p>
      <w:pPr>
        <w:sectPr>
          <w:pgSz w:w="11900" w:h="16838" w:orient="portrait"/>
          <w:cols w:equalWidth="0" w:num="1">
            <w:col w:w="10800"/>
          </w:cols>
          <w:pgMar w:left="760" w:top="4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Land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4145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145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145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Machinery, equipment and fixtures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44145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Less: accumulated depreciation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44145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145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January 31,</w:t>
      </w:r>
    </w:p>
    <w:p>
      <w:pPr>
        <w:spacing w:after="0" w:line="27" w:lineRule="exact"/>
        <w:rPr>
          <w:sz w:val="20"/>
          <w:szCs w:val="20"/>
          <w:color w:val="auto"/>
        </w:rPr>
      </w:pPr>
    </w:p>
    <w:p>
      <w:pPr>
        <w:ind w:left="260"/>
        <w:spacing w:after="0"/>
        <w:tabs>
          <w:tab w:leader="none" w:pos="12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3" w:lineRule="exact"/>
        <w:rPr>
          <w:sz w:val="20"/>
          <w:szCs w:val="20"/>
          <w:color w:val="auto"/>
        </w:rPr>
      </w:pPr>
    </w:p>
    <w:p>
      <w:pPr>
        <w:ind w:left="320" w:hanging="24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30,194  $  27,329</w:t>
      </w:r>
    </w:p>
    <w:p>
      <w:pPr>
        <w:spacing w:after="0" w:line="2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23,707</w:t>
      </w:r>
      <w:r>
        <w:rPr>
          <w:rFonts w:ascii="Arial" w:cs="Arial" w:eastAsia="Arial" w:hAnsi="Arial"/>
          <w:sz w:val="15"/>
          <w:szCs w:val="15"/>
          <w:color w:val="auto"/>
        </w:rPr>
        <w:t>23,617</w:t>
      </w:r>
    </w:p>
    <w:p>
      <w:pPr>
        <w:spacing w:after="0" w:line="9"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7"/>
          <w:szCs w:val="17"/>
          <w:color w:val="auto"/>
        </w:rPr>
        <w:t>299,665</w:t>
      </w:r>
      <w:r>
        <w:rPr>
          <w:sz w:val="20"/>
          <w:szCs w:val="20"/>
          <w:color w:val="auto"/>
        </w:rPr>
        <w:tab/>
      </w:r>
      <w:r>
        <w:rPr>
          <w:rFonts w:ascii="Arial" w:cs="Arial" w:eastAsia="Arial" w:hAnsi="Arial"/>
          <w:sz w:val="17"/>
          <w:szCs w:val="17"/>
          <w:color w:val="auto"/>
        </w:rPr>
        <w:t>296,243</w:t>
      </w:r>
    </w:p>
    <w:p>
      <w:pPr>
        <w:spacing w:after="0" w:line="21" w:lineRule="exact"/>
        <w:rPr>
          <w:sz w:val="20"/>
          <w:szCs w:val="20"/>
          <w:color w:val="auto"/>
        </w:rPr>
      </w:pPr>
    </w:p>
    <w:p>
      <w:pPr>
        <w:ind w:left="320"/>
        <w:spacing w:after="0"/>
        <w:tabs>
          <w:tab w:leader="none" w:pos="1340" w:val="left"/>
        </w:tabs>
        <w:rPr>
          <w:sz w:val="20"/>
          <w:szCs w:val="20"/>
          <w:color w:val="auto"/>
        </w:rPr>
      </w:pPr>
      <w:r>
        <w:rPr>
          <w:rFonts w:ascii="Arial" w:cs="Arial" w:eastAsia="Arial" w:hAnsi="Arial"/>
          <w:sz w:val="18"/>
          <w:szCs w:val="18"/>
          <w:color w:val="auto"/>
        </w:rPr>
        <w:t>10,255</w:t>
      </w:r>
      <w:r>
        <w:rPr>
          <w:sz w:val="20"/>
          <w:szCs w:val="20"/>
          <w:color w:val="auto"/>
        </w:rPr>
        <w:tab/>
      </w:r>
      <w:r>
        <w:rPr>
          <w:rFonts w:ascii="Arial" w:cs="Arial" w:eastAsia="Arial" w:hAnsi="Arial"/>
          <w:sz w:val="18"/>
          <w:szCs w:val="18"/>
          <w:color w:val="auto"/>
        </w:rPr>
        <w:t>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14605</wp:posOffset>
            </wp:positionV>
            <wp:extent cx="1071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18"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7"/>
          <w:szCs w:val="17"/>
          <w:color w:val="auto"/>
        </w:rPr>
        <w:t>363,821</w:t>
      </w:r>
      <w:r>
        <w:rPr>
          <w:sz w:val="20"/>
          <w:szCs w:val="20"/>
          <w:color w:val="auto"/>
        </w:rPr>
        <w:tab/>
      </w:r>
      <w:r>
        <w:rPr>
          <w:rFonts w:ascii="Arial" w:cs="Arial" w:eastAsia="Arial" w:hAnsi="Arial"/>
          <w:sz w:val="17"/>
          <w:szCs w:val="17"/>
          <w:color w:val="auto"/>
        </w:rPr>
        <w:t>348,704</w:t>
      </w:r>
    </w:p>
    <w:p>
      <w:pPr>
        <w:spacing w:after="0" w:line="35"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(228,324)</w:t>
      </w:r>
      <w:r>
        <w:rPr>
          <w:sz w:val="20"/>
          <w:szCs w:val="20"/>
          <w:color w:val="auto"/>
        </w:rPr>
        <w:tab/>
      </w:r>
      <w:r>
        <w:rPr>
          <w:rFonts w:ascii="Arial" w:cs="Arial" w:eastAsia="Arial" w:hAnsi="Arial"/>
          <w:sz w:val="16"/>
          <w:szCs w:val="16"/>
          <w:color w:val="auto"/>
        </w:rPr>
        <w:t>(211,150)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14605</wp:posOffset>
            </wp:positionV>
            <wp:extent cx="1071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58" w:lineRule="exact"/>
        <w:rPr>
          <w:sz w:val="20"/>
          <w:szCs w:val="20"/>
          <w:color w:val="auto"/>
        </w:rPr>
      </w:pPr>
    </w:p>
    <w:p>
      <w:pPr>
        <w:ind w:left="240" w:hanging="163"/>
        <w:spacing w:after="0"/>
        <w:tabs>
          <w:tab w:leader="none" w:pos="240"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135,497  $ 137,554</w:t>
      </w:r>
    </w:p>
    <w:p>
      <w:pPr>
        <w:spacing w:after="0" w:line="238"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-250190</wp:posOffset>
            </wp:positionV>
            <wp:extent cx="1071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126365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400" w:space="720"/>
            <w:col w:w="5680"/>
          </w:cols>
          <w:pgMar w:left="760" w:top="409" w:right="339" w:bottom="1440" w:gutter="0" w:footer="0" w:header="0"/>
          <w:type w:val="continuous"/>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In accordance with ASC 360-05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the carrying value of long-lived assets is assessed for recoverability by management when changes in circumstances indicate that the carrying amount may not be recoverable.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The Company recorded no impairment charges in fiscal years 2022, 2021, and 2020. During fiscal year 2020, the Company concluded the impact of the COVID-19 pandemic on the ethanol industry and the Company’s operating results was an indicator that impairment may exist related to certain of its long-lived assets. As a result, the Company performed a recoverability test and determined that there was no impairment.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$18.0 million, $18.0 million, and $18.1 million in fiscal years 2022, 2021, and 2020, respectively.</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Investments – </w:t>
      </w:r>
      <w:r>
        <w:rPr>
          <w:rFonts w:ascii="Arial" w:cs="Arial" w:eastAsia="Arial" w:hAnsi="Arial"/>
          <w:sz w:val="17"/>
          <w:szCs w:val="17"/>
          <w:color w:val="auto"/>
        </w:rPr>
        <w:t>The method of accounting applied to long-term investments, whether consolidated, equity or cost, involves an evaluation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Short-term investments, consisting of U.S. government obligations and certificates of deposit, are considered held-to-maturity, and therefore are carried at amortized historical cost.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The Company recognizes sales of ethanol, distillers grains and non-food grade corn oil when obligations under the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contracts with customers are satisfied; this occurs with the transfer of control of products, generally upon shipment from the ethanol plant or upon loading of the rail car used to transport the products.</w:t>
      </w:r>
    </w:p>
    <w:p>
      <w:pPr>
        <w:spacing w:after="0" w:line="1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126365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9"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Cost of Sales – </w:t>
      </w:r>
      <w:r>
        <w:rPr>
          <w:rFonts w:ascii="Arial" w:cs="Arial" w:eastAsia="Arial" w:hAnsi="Arial"/>
          <w:sz w:val="18"/>
          <w:szCs w:val="18"/>
          <w:color w:val="auto"/>
        </w:rPr>
        <w:t>Cost of sales includes depreciation, costs of raw materials, inbound freight charges, purchasing and receiving costs, inspection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distribution expenses, warehousing costs, plant repair and maintenance costs, plant management, certain compensation costs and general facility overhead charges.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SG&amp;A Expenses – </w:t>
      </w:r>
      <w:r>
        <w:rPr>
          <w:rFonts w:ascii="Arial" w:cs="Arial" w:eastAsia="Arial" w:hAnsi="Arial"/>
          <w:sz w:val="18"/>
          <w:szCs w:val="18"/>
          <w:color w:val="auto"/>
        </w:rPr>
        <w:t>The Company includes non-production related costs such as professional fees, outbound freight charges, selling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payroll in SG&amp;A expenses. Outbound freight charges were approximately $6,901,000, $7,321,000, and $3,482,000 in fiscal years 2022, 2021, and 2020, respectively.</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Financial Instruments </w:t>
      </w:r>
      <w:r>
        <w:rPr>
          <w:rFonts w:ascii="Arial" w:cs="Arial" w:eastAsia="Arial" w:hAnsi="Arial"/>
          <w:sz w:val="17"/>
          <w:szCs w:val="17"/>
          <w:color w:val="auto"/>
        </w:rPr>
        <w:t>– Certain of the forward grain purchase and ethanol, distillers grains and non-food grade corn oil sale contracts are accounted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under the “normal purchases and normal sales” scope exemption of ASC 815, because these arrangements are for purchases of grain that will be delivered in quantities expected to be used and sales of ethanol, distillers grains and non-food grade corn oil that will be produced in quantities expected to be sold by us over a reasonable period of time in the normal course of business. During fiscal years 2022, 2021, and 2020 there were no material settlements of forward contracts that were recorded at fair value. The Company recorded an asset and liability of $0.1 million and $0.4 million, respectively, associated with contracts not accounted for under the “normal purchases and normal sales” scope exception of ASC 815 at January 31, 2023. The Company recorded an asset of approximately $1.0 million at January 31, 2022 associated with contracts not accounted for under the “normal purchases and normal sales” scope exemption of ASC 815.</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 The Company has a stock-based compensation plan, approved by its shareholders, which reserved a total of 1,650,000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10 for a further discussion of restricted stock.</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 As part of the Coronavirus Aid, Relief, and Economic Security Act, passed in 2020, $700 million in funds were made available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Department of Agriculture to distribute to impacted producers of ethanol, biodiesel, and other renewable fuels under the Biofuel Producer Program. The U.S. Department of Agriculture (“USDA”) distributed funds to applicants in May 2022. Our consolidated plants received a total of approximately $7.8 million from this program, which was recorded within “Interest and other income, net” in the Consolidated Statements of Operations for fiscal year 2022. The Company has no further reporting or other obligations related to the receipt of these funds.</w:t>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126365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9" w:right="339" w:bottom="1440" w:gutter="0" w:footer="0" w:header="0"/>
        </w:sectPr>
      </w:pPr>
    </w:p>
    <w:bookmarkStart w:id="44" w:name="page45"/>
    <w:bookmarkEnd w:id="44"/>
    <w:p>
      <w:pPr>
        <w:jc w:val="both"/>
        <w:ind w:left="432"/>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Company provides for deferred tax liabilities and assets for the future tax consequences attributable to differences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 The Company’s annual effective tax rate includes the impact of research and experimentation credits.</w:t>
      </w:r>
    </w:p>
    <w:p>
      <w:pPr>
        <w:spacing w:after="0" w:line="188" w:lineRule="exact"/>
        <w:rPr>
          <w:sz w:val="20"/>
          <w:szCs w:val="20"/>
          <w:color w:val="auto"/>
        </w:rPr>
      </w:pPr>
    </w:p>
    <w:p>
      <w:pPr>
        <w:jc w:val="both"/>
        <w:ind w:left="432"/>
        <w:spacing w:after="0" w:line="277"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 The Company has no components of other comprehensive income, and therefore, comprehensive income equals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w:t>
      </w:r>
    </w:p>
    <w:p>
      <w:pPr>
        <w:spacing w:after="0" w:line="170" w:lineRule="exact"/>
        <w:rPr>
          <w:sz w:val="20"/>
          <w:szCs w:val="20"/>
          <w:color w:val="auto"/>
        </w:rPr>
      </w:pPr>
    </w:p>
    <w:p>
      <w:pPr>
        <w:jc w:val="both"/>
        <w:ind w:left="432" w:right="20"/>
        <w:spacing w:after="0" w:line="259" w:lineRule="auto"/>
        <w:rPr>
          <w:sz w:val="20"/>
          <w:szCs w:val="20"/>
          <w:color w:val="auto"/>
        </w:rPr>
      </w:pPr>
      <w:r>
        <w:rPr>
          <w:rFonts w:ascii="Arial" w:cs="Arial" w:eastAsia="Arial" w:hAnsi="Arial"/>
          <w:sz w:val="18"/>
          <w:szCs w:val="18"/>
          <w:b w:val="1"/>
          <w:bCs w:val="1"/>
          <w:i w:val="1"/>
          <w:iCs w:val="1"/>
          <w:color w:val="auto"/>
        </w:rPr>
        <w:t xml:space="preserve">New Accounting Pronouncements – </w:t>
      </w:r>
      <w:r>
        <w:rPr>
          <w:rFonts w:ascii="Arial" w:cs="Arial" w:eastAsia="Arial" w:hAnsi="Arial"/>
          <w:sz w:val="18"/>
          <w:szCs w:val="18"/>
          <w:color w:val="auto"/>
        </w:rPr>
        <w:t>In December 2019, the Financial Accounting Standards Board (“FASB”) issued Accounting Standards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 2019-12, “Income Taxes (Topic 740): Simplifying the Accounting for Income Taxes”, which simplifies the accounting for income taxes by removing certain exceptions to the general principles in Topic 740. The Company adopted this update effective February 1, 2021. The adoption of this update did not impact the consolidated financial statements.</w:t>
      </w:r>
    </w:p>
    <w:p>
      <w:pPr>
        <w:spacing w:after="0" w:line="187" w:lineRule="exact"/>
        <w:rPr>
          <w:sz w:val="20"/>
          <w:szCs w:val="20"/>
          <w:color w:val="auto"/>
        </w:rPr>
      </w:pPr>
    </w:p>
    <w:p>
      <w:pPr>
        <w:jc w:val="both"/>
        <w:ind w:left="432"/>
        <w:spacing w:after="0" w:line="279" w:lineRule="auto"/>
        <w:rPr>
          <w:sz w:val="20"/>
          <w:szCs w:val="20"/>
          <w:color w:val="auto"/>
        </w:rPr>
      </w:pPr>
      <w:r>
        <w:rPr>
          <w:rFonts w:ascii="Arial" w:cs="Arial" w:eastAsia="Arial" w:hAnsi="Arial"/>
          <w:sz w:val="17"/>
          <w:szCs w:val="17"/>
          <w:color w:val="auto"/>
        </w:rPr>
        <w:t>In November 2021, the FASB issued ASU 2021-10, “Government Assistance (Topic 832): Disclosures by Business Entities about Government Assistance”, which increases the transparency of government assistance received by businesses by expanding the disclosure requirements for annual reporting periods. The Company adopted this update effective February 1, 2022 by providing all disclosures required related to government assistance. The adoption of this update did not materially impact the consolidated financial statements.</w:t>
      </w:r>
    </w:p>
    <w:p>
      <w:pPr>
        <w:spacing w:after="0" w:line="167" w:lineRule="exact"/>
        <w:rPr>
          <w:sz w:val="20"/>
          <w:szCs w:val="20"/>
          <w:color w:val="auto"/>
        </w:rPr>
      </w:pPr>
    </w:p>
    <w:p>
      <w:pPr>
        <w:ind w:left="432" w:hanging="432"/>
        <w:spacing w:after="0"/>
        <w:tabs>
          <w:tab w:leader="none" w:pos="4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SALES AND REVENUE</w:t>
      </w:r>
    </w:p>
    <w:p>
      <w:pPr>
        <w:spacing w:after="0" w:line="229" w:lineRule="exact"/>
        <w:rPr>
          <w:rFonts w:ascii="Arial" w:cs="Arial" w:eastAsia="Arial" w:hAnsi="Arial"/>
          <w:sz w:val="18"/>
          <w:szCs w:val="18"/>
          <w:b w:val="1"/>
          <w:bCs w:val="1"/>
          <w:color w:val="auto"/>
        </w:rPr>
      </w:pPr>
    </w:p>
    <w:p>
      <w:pPr>
        <w:jc w:val="both"/>
        <w:ind w:left="4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71" w:lineRule="exact"/>
        <w:rPr>
          <w:sz w:val="20"/>
          <w:szCs w:val="20"/>
          <w:color w:val="auto"/>
        </w:rPr>
      </w:pPr>
    </w:p>
    <w:p>
      <w:pPr>
        <w:jc w:val="both"/>
        <w:ind w:left="432"/>
        <w:spacing w:after="0" w:line="311" w:lineRule="auto"/>
        <w:rPr>
          <w:sz w:val="20"/>
          <w:szCs w:val="20"/>
          <w:color w:val="auto"/>
        </w:rPr>
      </w:pPr>
      <w:r>
        <w:rPr>
          <w:rFonts w:ascii="Arial" w:cs="Arial" w:eastAsia="Arial" w:hAnsi="Arial"/>
          <w:sz w:val="16"/>
          <w:szCs w:val="16"/>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2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45" w:name="page46"/>
    <w:bookmarkEnd w:id="45"/>
    <w:tbl>
      <w:tblPr>
        <w:tblLayout w:type="fixed"/>
        <w:tblInd w:w="432" w:type="dxa"/>
        <w:tblCellMar>
          <w:top w:w="0" w:type="dxa"/>
          <w:left w:w="0" w:type="dxa"/>
          <w:bottom w:w="0" w:type="dxa"/>
          <w:right w:w="0" w:type="dxa"/>
        </w:tblCellMar>
      </w:tblPr>
      <w:tr>
        <w:trPr>
          <w:trHeight w:val="230"/>
        </w:trPr>
        <w:tc>
          <w:tcPr>
            <w:tcW w:w="7380" w:type="dxa"/>
            <w:vAlign w:val="bottom"/>
            <w:gridSpan w:val="3"/>
          </w:tcPr>
          <w:p>
            <w:pPr>
              <w:spacing w:after="0"/>
              <w:rPr>
                <w:sz w:val="20"/>
                <w:szCs w:val="20"/>
                <w:color w:val="auto"/>
              </w:rPr>
            </w:pPr>
            <w:r>
              <w:rPr>
                <w:rFonts w:ascii="Arial" w:cs="Arial" w:eastAsia="Arial" w:hAnsi="Arial"/>
                <w:sz w:val="18"/>
                <w:szCs w:val="18"/>
                <w:color w:val="auto"/>
              </w:rPr>
              <w:t>The following table shows disaggregated revenue by product (amounts in thousands):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3140" w:type="dxa"/>
            <w:vAlign w:val="bottom"/>
            <w:tcBorders>
              <w:bottom w:val="single" w:sz="8" w:color="E5FFFF"/>
            </w:tcBorders>
          </w:tcPr>
          <w:p>
            <w:pPr>
              <w:spacing w:after="0"/>
              <w:rPr>
                <w:sz w:val="20"/>
                <w:szCs w:val="20"/>
                <w:color w:val="auto"/>
              </w:rPr>
            </w:pPr>
          </w:p>
        </w:tc>
        <w:tc>
          <w:tcPr>
            <w:tcW w:w="160" w:type="dxa"/>
            <w:vAlign w:val="bottom"/>
            <w:tcBorders>
              <w:bottom w:val="single" w:sz="8" w:color="E5FFFF"/>
            </w:tcBorders>
          </w:tcPr>
          <w:p>
            <w:pPr>
              <w:spacing w:after="0"/>
              <w:rPr>
                <w:sz w:val="20"/>
                <w:szCs w:val="20"/>
                <w:color w:val="auto"/>
              </w:rPr>
            </w:pPr>
          </w:p>
        </w:tc>
        <w:tc>
          <w:tcPr>
            <w:tcW w:w="408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E5FFFF"/>
            </w:tcBorders>
          </w:tcPr>
          <w:p>
            <w:pPr>
              <w:spacing w:after="0"/>
              <w:rPr>
                <w:sz w:val="20"/>
                <w:szCs w:val="20"/>
                <w:color w:val="auto"/>
              </w:rPr>
            </w:pPr>
          </w:p>
        </w:tc>
        <w:tc>
          <w:tcPr>
            <w:tcW w:w="18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r>
      <w:tr>
        <w:trPr>
          <w:trHeight w:val="189"/>
        </w:trPr>
        <w:tc>
          <w:tcPr>
            <w:tcW w:w="3140" w:type="dxa"/>
            <w:vAlign w:val="bottom"/>
            <w:tcBorders>
              <w:bottom w:val="single" w:sz="8" w:color="auto"/>
            </w:tcBorders>
            <w:shd w:val="clear" w:color="auto" w:fill="E5FFFF"/>
          </w:tcPr>
          <w:p>
            <w:pPr>
              <w:spacing w:after="0" w:line="169" w:lineRule="exact"/>
              <w:rPr>
                <w:sz w:val="20"/>
                <w:szCs w:val="20"/>
                <w:color w:val="auto"/>
              </w:rPr>
            </w:pPr>
            <w:r>
              <w:rPr>
                <w:rFonts w:ascii="Arial" w:cs="Arial" w:eastAsia="Arial" w:hAnsi="Arial"/>
                <w:sz w:val="18"/>
                <w:szCs w:val="18"/>
                <w:b w:val="1"/>
                <w:bCs w:val="1"/>
                <w:color w:val="auto"/>
                <w:w w:val="87"/>
              </w:rPr>
              <w:t>Sales of products, continuing operations:</w:t>
            </w:r>
          </w:p>
        </w:tc>
        <w:tc>
          <w:tcPr>
            <w:tcW w:w="4240" w:type="dxa"/>
            <w:vAlign w:val="bottom"/>
            <w:tcBorders>
              <w:bottom w:val="single" w:sz="8" w:color="E5FFFF"/>
            </w:tcBorders>
            <w:gridSpan w:val="2"/>
            <w:shd w:val="clear" w:color="auto" w:fill="E5FFFF"/>
          </w:tcPr>
          <w:p>
            <w:pPr>
              <w:spacing w:after="0"/>
              <w:rPr>
                <w:sz w:val="16"/>
                <w:szCs w:val="16"/>
                <w:color w:val="auto"/>
              </w:rPr>
            </w:pPr>
          </w:p>
        </w:tc>
        <w:tc>
          <w:tcPr>
            <w:tcW w:w="160" w:type="dxa"/>
            <w:vAlign w:val="bottom"/>
            <w:tcBorders>
              <w:bottom w:val="single" w:sz="8" w:color="E5FFFF"/>
            </w:tcBorders>
            <w:shd w:val="clear" w:color="auto" w:fill="E5FFFF"/>
          </w:tcPr>
          <w:p>
            <w:pPr>
              <w:spacing w:after="0"/>
              <w:rPr>
                <w:sz w:val="16"/>
                <w:szCs w:val="16"/>
                <w:color w:val="auto"/>
              </w:rPr>
            </w:pPr>
          </w:p>
        </w:tc>
        <w:tc>
          <w:tcPr>
            <w:tcW w:w="700" w:type="dxa"/>
            <w:vAlign w:val="bottom"/>
            <w:tcBorders>
              <w:bottom w:val="single" w:sz="8" w:color="E5FFFF"/>
            </w:tcBorders>
            <w:shd w:val="clear" w:color="auto" w:fill="E5FFFF"/>
          </w:tcPr>
          <w:p>
            <w:pPr>
              <w:spacing w:after="0"/>
              <w:rPr>
                <w:sz w:val="16"/>
                <w:szCs w:val="16"/>
                <w:color w:val="auto"/>
              </w:rPr>
            </w:pPr>
          </w:p>
        </w:tc>
        <w:tc>
          <w:tcPr>
            <w:tcW w:w="140" w:type="dxa"/>
            <w:vAlign w:val="bottom"/>
            <w:tcBorders>
              <w:bottom w:val="single" w:sz="8" w:color="E5FFFF"/>
            </w:tcBorders>
            <w:shd w:val="clear" w:color="auto" w:fill="E5FFFF"/>
          </w:tcPr>
          <w:p>
            <w:pPr>
              <w:spacing w:after="0"/>
              <w:rPr>
                <w:sz w:val="16"/>
                <w:szCs w:val="16"/>
                <w:color w:val="auto"/>
              </w:rPr>
            </w:pPr>
          </w:p>
        </w:tc>
        <w:tc>
          <w:tcPr>
            <w:tcW w:w="180" w:type="dxa"/>
            <w:vAlign w:val="bottom"/>
            <w:tcBorders>
              <w:bottom w:val="single" w:sz="8" w:color="E5FFFF"/>
            </w:tcBorders>
            <w:shd w:val="clear" w:color="auto" w:fill="E5FFFF"/>
          </w:tcPr>
          <w:p>
            <w:pPr>
              <w:spacing w:after="0"/>
              <w:rPr>
                <w:sz w:val="16"/>
                <w:szCs w:val="16"/>
                <w:color w:val="auto"/>
              </w:rPr>
            </w:pPr>
          </w:p>
        </w:tc>
        <w:tc>
          <w:tcPr>
            <w:tcW w:w="160" w:type="dxa"/>
            <w:vAlign w:val="bottom"/>
            <w:tcBorders>
              <w:bottom w:val="single" w:sz="8" w:color="E5FFFF"/>
            </w:tcBorders>
            <w:shd w:val="clear" w:color="auto" w:fill="E5FFFF"/>
          </w:tcPr>
          <w:p>
            <w:pPr>
              <w:spacing w:after="0"/>
              <w:rPr>
                <w:sz w:val="16"/>
                <w:szCs w:val="16"/>
                <w:color w:val="auto"/>
              </w:rPr>
            </w:pPr>
          </w:p>
        </w:tc>
        <w:tc>
          <w:tcPr>
            <w:tcW w:w="700" w:type="dxa"/>
            <w:vAlign w:val="bottom"/>
            <w:tcBorders>
              <w:bottom w:val="single" w:sz="8" w:color="E5FFFF"/>
            </w:tcBorders>
            <w:shd w:val="clear" w:color="auto" w:fill="E5FFFF"/>
          </w:tcPr>
          <w:p>
            <w:pPr>
              <w:spacing w:after="0"/>
              <w:rPr>
                <w:sz w:val="16"/>
                <w:szCs w:val="16"/>
                <w:color w:val="auto"/>
              </w:rPr>
            </w:pPr>
          </w:p>
        </w:tc>
        <w:tc>
          <w:tcPr>
            <w:tcW w:w="320" w:type="dxa"/>
            <w:vAlign w:val="bottom"/>
            <w:tcBorders>
              <w:bottom w:val="single" w:sz="8" w:color="E5FFFF"/>
            </w:tcBorders>
            <w:shd w:val="clear" w:color="auto" w:fill="E5FFFF"/>
          </w:tcPr>
          <w:p>
            <w:pPr>
              <w:spacing w:after="0"/>
              <w:rPr>
                <w:sz w:val="16"/>
                <w:szCs w:val="16"/>
                <w:color w:val="auto"/>
              </w:rPr>
            </w:pPr>
          </w:p>
        </w:tc>
        <w:tc>
          <w:tcPr>
            <w:tcW w:w="20" w:type="dxa"/>
            <w:vAlign w:val="bottom"/>
            <w:tcBorders>
              <w:bottom w:val="single" w:sz="8" w:color="E5FFFF"/>
            </w:tcBorders>
            <w:shd w:val="clear" w:color="auto" w:fill="E5FFFF"/>
          </w:tcPr>
          <w:p>
            <w:pPr>
              <w:spacing w:after="0"/>
              <w:rPr>
                <w:sz w:val="16"/>
                <w:szCs w:val="16"/>
                <w:color w:val="auto"/>
              </w:rPr>
            </w:pPr>
          </w:p>
        </w:tc>
        <w:tc>
          <w:tcPr>
            <w:tcW w:w="140" w:type="dxa"/>
            <w:vAlign w:val="bottom"/>
            <w:tcBorders>
              <w:bottom w:val="single" w:sz="8" w:color="E5FFFF"/>
            </w:tcBorders>
            <w:shd w:val="clear" w:color="auto" w:fill="E5FFFF"/>
          </w:tcPr>
          <w:p>
            <w:pPr>
              <w:spacing w:after="0"/>
              <w:rPr>
                <w:sz w:val="16"/>
                <w:szCs w:val="16"/>
                <w:color w:val="auto"/>
              </w:rPr>
            </w:pPr>
          </w:p>
        </w:tc>
        <w:tc>
          <w:tcPr>
            <w:tcW w:w="680" w:type="dxa"/>
            <w:vAlign w:val="bottom"/>
            <w:tcBorders>
              <w:bottom w:val="single" w:sz="8" w:color="E5FFFF"/>
            </w:tcBorders>
            <w:shd w:val="clear" w:color="auto" w:fill="E5FFFF"/>
          </w:tcPr>
          <w:p>
            <w:pPr>
              <w:spacing w:after="0"/>
              <w:rPr>
                <w:sz w:val="16"/>
                <w:szCs w:val="16"/>
                <w:color w:val="auto"/>
              </w:rPr>
            </w:pPr>
          </w:p>
        </w:tc>
        <w:tc>
          <w:tcPr>
            <w:tcW w:w="20" w:type="dxa"/>
            <w:vAlign w:val="bottom"/>
            <w:tcBorders>
              <w:bottom w:val="single" w:sz="8" w:color="E5FFFF"/>
            </w:tcBorders>
            <w:shd w:val="clear" w:color="auto" w:fill="E5FFFF"/>
          </w:tcPr>
          <w:p>
            <w:pPr>
              <w:spacing w:after="0"/>
              <w:rPr>
                <w:sz w:val="16"/>
                <w:szCs w:val="16"/>
                <w:color w:val="auto"/>
              </w:rPr>
            </w:pPr>
          </w:p>
        </w:tc>
        <w:tc>
          <w:tcPr>
            <w:tcW w:w="60" w:type="dxa"/>
            <w:vAlign w:val="bottom"/>
            <w:tcBorders>
              <w:bottom w:val="single" w:sz="8" w:color="E5FFFF"/>
            </w:tcBorders>
            <w:shd w:val="clear" w:color="auto" w:fill="E5FFFF"/>
          </w:tcPr>
          <w:p>
            <w:pPr>
              <w:spacing w:after="0"/>
              <w:rPr>
                <w:sz w:val="16"/>
                <w:szCs w:val="16"/>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Ethanol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649,501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613,597</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284,191</w:t>
            </w:r>
          </w:p>
        </w:tc>
        <w:tc>
          <w:tcPr>
            <w:tcW w:w="60" w:type="dxa"/>
            <w:vAlign w:val="bottom"/>
          </w:tcPr>
          <w:p>
            <w:pPr>
              <w:spacing w:after="0"/>
              <w:rPr>
                <w:sz w:val="24"/>
                <w:szCs w:val="24"/>
                <w:color w:val="auto"/>
              </w:rPr>
            </w:pPr>
          </w:p>
        </w:tc>
      </w:tr>
      <w:tr>
        <w:trPr>
          <w:trHeight w:val="216"/>
        </w:trPr>
        <w:tc>
          <w:tcPr>
            <w:tcW w:w="73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Dried distillers grains</w:t>
            </w:r>
          </w:p>
        </w:tc>
        <w:tc>
          <w:tcPr>
            <w:tcW w:w="1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139,118</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125,009</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71,774</w:t>
            </w:r>
          </w:p>
        </w:tc>
        <w:tc>
          <w:tcPr>
            <w:tcW w:w="60" w:type="dxa"/>
            <w:vAlign w:val="bottom"/>
            <w:shd w:val="clear" w:color="auto" w:fill="E5FFFF"/>
          </w:tcPr>
          <w:p>
            <w:pPr>
              <w:spacing w:after="0"/>
              <w:rPr>
                <w:sz w:val="18"/>
                <w:szCs w:val="18"/>
                <w:color w:val="auto"/>
              </w:rPr>
            </w:pP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color w:val="auto"/>
              </w:rPr>
              <w:t>Non-food grade corn oil</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55,595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38,852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15,066</w:t>
            </w:r>
          </w:p>
        </w:tc>
        <w:tc>
          <w:tcPr>
            <w:tcW w:w="60" w:type="dxa"/>
            <w:vAlign w:val="bottom"/>
          </w:tcPr>
          <w:p>
            <w:pPr>
              <w:spacing w:after="0"/>
              <w:rPr>
                <w:sz w:val="18"/>
                <w:szCs w:val="18"/>
                <w:color w:val="auto"/>
              </w:rPr>
            </w:pPr>
          </w:p>
        </w:tc>
      </w:tr>
      <w:tr>
        <w:trPr>
          <w:trHeight w:val="216"/>
        </w:trPr>
        <w:tc>
          <w:tcPr>
            <w:tcW w:w="73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Modified distillers grains</w:t>
            </w:r>
          </w:p>
        </w:tc>
        <w:tc>
          <w:tcPr>
            <w:tcW w:w="1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11,579</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9,104</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2,626</w:t>
            </w:r>
          </w:p>
        </w:tc>
        <w:tc>
          <w:tcPr>
            <w:tcW w:w="60" w:type="dxa"/>
            <w:vAlign w:val="bottom"/>
            <w:shd w:val="clear" w:color="auto" w:fill="E5FFFF"/>
          </w:tcPr>
          <w:p>
            <w:pPr>
              <w:spacing w:after="0"/>
              <w:rPr>
                <w:sz w:val="18"/>
                <w:szCs w:val="18"/>
                <w:color w:val="auto"/>
              </w:rPr>
            </w:pP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color w:val="auto"/>
              </w:rPr>
              <w:t>Derivative financial instruments losses</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(12,109)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60" w:type="dxa"/>
            <w:vAlign w:val="bottom"/>
          </w:tcPr>
          <w:p>
            <w:pPr>
              <w:spacing w:after="0"/>
              <w:rPr>
                <w:sz w:val="18"/>
                <w:szCs w:val="18"/>
                <w:color w:val="auto"/>
              </w:rPr>
            </w:pPr>
          </w:p>
        </w:tc>
      </w:tr>
      <w:tr>
        <w:trPr>
          <w:trHeight w:val="229"/>
        </w:trPr>
        <w:tc>
          <w:tcPr>
            <w:tcW w:w="73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0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7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shd w:val="clear" w:color="auto" w:fill="E5FFFF"/>
          </w:tcPr>
          <w:p>
            <w:pPr>
              <w:spacing w:after="0"/>
              <w:rPr>
                <w:sz w:val="19"/>
                <w:szCs w:val="19"/>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color w:val="auto"/>
              </w:rPr>
              <w:t>Total sales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774,802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3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7"/>
              </w:rPr>
              <w:t>Sales of products, discontinued operations:</w:t>
            </w:r>
          </w:p>
        </w:tc>
        <w:tc>
          <w:tcPr>
            <w:tcW w:w="408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E5FFFF"/>
            </w:tcBorders>
            <w:shd w:val="clear" w:color="auto" w:fill="E5FFFF"/>
          </w:tcPr>
          <w:p>
            <w:pPr>
              <w:spacing w:after="0"/>
              <w:rPr>
                <w:sz w:val="17"/>
                <w:szCs w:val="17"/>
                <w:color w:val="auto"/>
              </w:rPr>
            </w:pPr>
          </w:p>
        </w:tc>
        <w:tc>
          <w:tcPr>
            <w:tcW w:w="70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E5FFFF"/>
            </w:tcBorders>
            <w:shd w:val="clear" w:color="auto" w:fill="E5FFFF"/>
          </w:tcPr>
          <w:p>
            <w:pPr>
              <w:spacing w:after="0"/>
              <w:rPr>
                <w:sz w:val="17"/>
                <w:szCs w:val="17"/>
                <w:color w:val="auto"/>
              </w:rPr>
            </w:pPr>
          </w:p>
        </w:tc>
        <w:tc>
          <w:tcPr>
            <w:tcW w:w="70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68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r>
      <w:tr>
        <w:trPr>
          <w:trHeight w:val="499"/>
        </w:trPr>
        <w:tc>
          <w:tcPr>
            <w:tcW w:w="7380" w:type="dxa"/>
            <w:vAlign w:val="bottom"/>
            <w:gridSpan w:val="3"/>
          </w:tcPr>
          <w:p>
            <w:pPr>
              <w:spacing w:after="0"/>
              <w:rPr>
                <w:sz w:val="20"/>
                <w:szCs w:val="20"/>
                <w:color w:val="auto"/>
              </w:rPr>
            </w:pPr>
            <w:r>
              <w:rPr>
                <w:rFonts w:ascii="Arial" w:cs="Arial" w:eastAsia="Arial" w:hAnsi="Arial"/>
                <w:sz w:val="18"/>
                <w:szCs w:val="18"/>
                <w:color w:val="auto"/>
              </w:rPr>
              <w:t>Refined coal</w:t>
            </w:r>
            <w:r>
              <w:rPr>
                <w:rFonts w:ascii="Arial" w:cs="Arial" w:eastAsia="Arial" w:hAnsi="Arial"/>
                <w:sz w:val="29"/>
                <w:szCs w:val="29"/>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4"/>
                <w:szCs w:val="24"/>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2" w:lineRule="exact"/>
        <w:rPr>
          <w:sz w:val="20"/>
          <w:szCs w:val="20"/>
          <w:color w:val="auto"/>
        </w:rPr>
      </w:pPr>
    </w:p>
    <w:p>
      <w:pPr>
        <w:ind w:left="432" w:right="680"/>
        <w:spacing w:after="0" w:line="21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Refined coal sales were recorded net of the cost of coal as the Company purchased the coal feedstock from the same customer to which the processed refined coal was sold.</w:t>
      </w:r>
    </w:p>
    <w:p>
      <w:pPr>
        <w:spacing w:after="0" w:line="198" w:lineRule="exact"/>
        <w:rPr>
          <w:sz w:val="20"/>
          <w:szCs w:val="20"/>
          <w:color w:val="auto"/>
        </w:rPr>
      </w:pPr>
    </w:p>
    <w:p>
      <w:pPr>
        <w:ind w:left="432" w:hanging="432"/>
        <w:spacing w:after="0"/>
        <w:tabs>
          <w:tab w:leader="none" w:pos="4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Method Investment in Big River</w:t>
      </w:r>
    </w:p>
    <w:p>
      <w:pPr>
        <w:spacing w:after="0" w:line="225" w:lineRule="exact"/>
        <w:rPr>
          <w:rFonts w:ascii="Arial" w:cs="Arial" w:eastAsia="Arial" w:hAnsi="Arial"/>
          <w:sz w:val="18"/>
          <w:szCs w:val="18"/>
          <w:b w:val="1"/>
          <w:bCs w:val="1"/>
          <w:color w:val="auto"/>
        </w:rPr>
      </w:pPr>
    </w:p>
    <w:p>
      <w:pPr>
        <w:ind w:left="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equity method investment in Big River is accounted for under ASC 323. The following table summarizes the investment (amounts in thousands):</w:t>
      </w:r>
    </w:p>
    <w:p>
      <w:pPr>
        <w:spacing w:after="0" w:line="166" w:lineRule="exact"/>
        <w:rPr>
          <w:sz w:val="20"/>
          <w:szCs w:val="20"/>
          <w:color w:val="auto"/>
        </w:rPr>
      </w:pPr>
    </w:p>
    <w:tbl>
      <w:tblPr>
        <w:tblLayout w:type="fixed"/>
        <w:tblInd w:w="432"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80" w:type="dxa"/>
            <w:vAlign w:val="bottom"/>
            <w:gridSpan w:val="3"/>
          </w:tcPr>
          <w:p>
            <w:pPr>
              <w:ind w:left="58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39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740" w:type="dxa"/>
            <w:vAlign w:val="bottom"/>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r>
      <w:tr>
        <w:trPr>
          <w:trHeight w:val="453"/>
        </w:trPr>
        <w:tc>
          <w:tcPr>
            <w:tcW w:w="3940" w:type="dxa"/>
            <w:vAlign w:val="bottom"/>
          </w:tcPr>
          <w:p>
            <w:pPr>
              <w:spacing w:after="0"/>
              <w:rPr>
                <w:sz w:val="20"/>
                <w:szCs w:val="20"/>
                <w:color w:val="auto"/>
              </w:rPr>
            </w:pPr>
            <w:r>
              <w:rPr>
                <w:rFonts w:ascii="Arial" w:cs="Arial" w:eastAsia="Arial" w:hAnsi="Arial"/>
                <w:sz w:val="18"/>
                <w:szCs w:val="18"/>
                <w:color w:val="auto"/>
              </w:rPr>
              <w:t>Carrying amount</w:t>
            </w:r>
          </w:p>
        </w:tc>
        <w:tc>
          <w:tcPr>
            <w:tcW w:w="3720" w:type="dxa"/>
            <w:vAlign w:val="bottom"/>
            <w:gridSpan w:val="3"/>
          </w:tcPr>
          <w:p>
            <w:pPr>
              <w:jc w:val="right"/>
              <w:ind w:right="740"/>
              <w:spacing w:after="0"/>
              <w:rPr>
                <w:sz w:val="20"/>
                <w:szCs w:val="20"/>
                <w:color w:val="auto"/>
              </w:rPr>
            </w:pPr>
            <w:r>
              <w:rPr>
                <w:rFonts w:ascii="Arial" w:cs="Arial" w:eastAsia="Arial" w:hAnsi="Arial"/>
                <w:sz w:val="18"/>
                <w:szCs w:val="18"/>
                <w:color w:val="auto"/>
              </w:rPr>
              <w:t>$ 33,045</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$ 30,566</w:t>
            </w:r>
          </w:p>
        </w:tc>
      </w:tr>
      <w:tr>
        <w:trPr>
          <w:trHeight w:val="20"/>
        </w:trPr>
        <w:tc>
          <w:tcPr>
            <w:tcW w:w="3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940" w:type="dxa"/>
            <w:vAlign w:val="bottom"/>
          </w:tcPr>
          <w:p>
            <w:pPr>
              <w:spacing w:after="0"/>
              <w:rPr>
                <w:sz w:val="20"/>
                <w:szCs w:val="20"/>
                <w:color w:val="auto"/>
              </w:rPr>
            </w:pPr>
            <w:r>
              <w:rPr>
                <w:rFonts w:ascii="Arial" w:cs="Arial" w:eastAsia="Arial" w:hAnsi="Arial"/>
                <w:sz w:val="18"/>
                <w:szCs w:val="18"/>
                <w:color w:val="auto"/>
              </w:rPr>
              <w:t>Ownership percentage</w:t>
            </w:r>
          </w:p>
        </w:tc>
        <w:tc>
          <w:tcPr>
            <w:tcW w:w="2980" w:type="dxa"/>
            <w:vAlign w:val="bottom"/>
            <w:gridSpan w:val="2"/>
          </w:tcPr>
          <w:p>
            <w:pPr>
              <w:ind w:left="2460"/>
              <w:spacing w:after="0"/>
              <w:rPr>
                <w:sz w:val="20"/>
                <w:szCs w:val="20"/>
                <w:color w:val="auto"/>
              </w:rPr>
            </w:pPr>
            <w:r>
              <w:rPr>
                <w:rFonts w:ascii="Arial" w:cs="Arial" w:eastAsia="Arial" w:hAnsi="Arial"/>
                <w:sz w:val="18"/>
                <w:szCs w:val="18"/>
                <w:color w:val="auto"/>
                <w:w w:val="97"/>
              </w:rPr>
              <w:t>10.3%</w:t>
            </w:r>
          </w:p>
        </w:tc>
        <w:tc>
          <w:tcPr>
            <w:tcW w:w="7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w w:val="97"/>
              </w:rPr>
              <w:t>10.3%</w:t>
            </w:r>
          </w:p>
        </w:tc>
      </w:tr>
    </w:tbl>
    <w:p>
      <w:pPr>
        <w:spacing w:after="0" w:line="202" w:lineRule="exact"/>
        <w:rPr>
          <w:sz w:val="20"/>
          <w:szCs w:val="20"/>
          <w:color w:val="auto"/>
        </w:rPr>
      </w:pPr>
    </w:p>
    <w:p>
      <w:pPr>
        <w:jc w:val="both"/>
        <w:ind w:left="432"/>
        <w:spacing w:after="0" w:line="254" w:lineRule="auto"/>
        <w:rPr>
          <w:sz w:val="20"/>
          <w:szCs w:val="20"/>
          <w:color w:val="auto"/>
        </w:rPr>
      </w:pPr>
      <w:r>
        <w:rPr>
          <w:rFonts w:ascii="Arial" w:cs="Arial" w:eastAsia="Arial" w:hAnsi="Arial"/>
          <w:sz w:val="18"/>
          <w:szCs w:val="18"/>
          <w:color w:val="auto"/>
        </w:rPr>
        <w:t>The Company invested approximately $20.0 million in Big River which is a holding company for several entities. Big River, through its various entities (both wholly and partially owned), operates four ethanol manufacturing facilities, that combined shipped approximately 425.4 million gallons of ethanol in the twelve months ended January 31, 2023. The Company recorded income of approximately $8.7 million, $6.6 million, and $0.5 million as its share of earnings from Big River during fiscal years 2022, 2021, and 2020, respectively. The Company received dividends of approximately $6.3 million, $5.5 million, and $3.5 million from Big River during fiscal years 2022, 2021, and 2020, respectively. At January 31, 2023, the carrying value of the investment in Big River was approximately $33.0 million; the amount of underlying equity in the net assets of Big River was approximately $31.5 million.</w:t>
      </w:r>
    </w:p>
    <w:p>
      <w:pPr>
        <w:spacing w:after="0" w:line="16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46" w:name="page47"/>
    <w:bookmarkEnd w:id="46"/>
    <w:p>
      <w:pPr>
        <w:jc w:val="both"/>
        <w:ind w:left="432"/>
        <w:spacing w:after="0" w:line="277" w:lineRule="auto"/>
        <w:rPr>
          <w:sz w:val="20"/>
          <w:szCs w:val="20"/>
          <w:color w:val="auto"/>
        </w:rPr>
      </w:pPr>
      <w:r>
        <w:rPr>
          <w:rFonts w:ascii="Arial" w:cs="Arial" w:eastAsia="Arial" w:hAnsi="Arial"/>
          <w:sz w:val="18"/>
          <w:szCs w:val="18"/>
          <w:color w:val="auto"/>
        </w:rPr>
        <w:t>Summarized financial information for the Company’s equity method investee as of and for its fiscal year end is presented in the following tables (amounts in thousands):</w:t>
      </w:r>
    </w:p>
    <w:p>
      <w:pPr>
        <w:spacing w:after="0" w:line="166" w:lineRule="exact"/>
        <w:rPr>
          <w:sz w:val="20"/>
          <w:szCs w:val="20"/>
          <w:color w:val="auto"/>
        </w:rPr>
      </w:pPr>
    </w:p>
    <w:tbl>
      <w:tblPr>
        <w:tblLayout w:type="fixed"/>
        <w:tblInd w:w="432"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w w:val="95"/>
              </w:rPr>
              <w:t>319,367</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92"/>
              </w:rPr>
              <w:t>310,411</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Non current assets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151,039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146,384</w:t>
            </w:r>
          </w:p>
        </w:tc>
        <w:tc>
          <w:tcPr>
            <w:tcW w:w="0" w:type="dxa"/>
            <w:vAlign w:val="bottom"/>
          </w:tcPr>
          <w:p>
            <w:pPr>
              <w:spacing w:after="0"/>
              <w:rPr>
                <w:sz w:val="1"/>
                <w:szCs w:val="1"/>
                <w:color w:val="auto"/>
              </w:rPr>
            </w:pPr>
          </w:p>
        </w:tc>
      </w:tr>
      <w:tr>
        <w:trPr>
          <w:trHeight w:val="223"/>
        </w:trPr>
        <w:tc>
          <w:tcPr>
            <w:tcW w:w="32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assets</w:t>
            </w:r>
          </w:p>
        </w:tc>
        <w:tc>
          <w:tcPr>
            <w:tcW w:w="146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5"/>
              </w:rPr>
              <w:t>470,406</w:t>
            </w: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2"/>
              </w:rPr>
              <w:t>456,795</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5"/>
              </w:rPr>
              <w:t>118,946</w:t>
            </w:r>
          </w:p>
        </w:tc>
        <w:tc>
          <w:tcPr>
            <w:tcW w:w="2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2"/>
              </w:rPr>
              <w:t>131,317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14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8,686</w:t>
            </w:r>
          </w:p>
        </w:tc>
        <w:tc>
          <w:tcPr>
            <w:tcW w:w="2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E5FF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127,632</w:t>
            </w:r>
          </w:p>
        </w:tc>
        <w:tc>
          <w:tcPr>
            <w:tcW w:w="260" w:type="dxa"/>
            <w:vAlign w:val="bottom"/>
            <w:tcBorders>
              <w:bottom w:val="single" w:sz="8" w:color="E5FFFF"/>
            </w:tcBorders>
          </w:tcPr>
          <w:p>
            <w:pPr>
              <w:spacing w:after="0"/>
              <w:rPr>
                <w:sz w:val="22"/>
                <w:szCs w:val="22"/>
                <w:color w:val="auto"/>
              </w:rPr>
            </w:pPr>
          </w:p>
        </w:tc>
        <w:tc>
          <w:tcPr>
            <w:tcW w:w="240" w:type="dxa"/>
            <w:vAlign w:val="bottom"/>
            <w:tcBorders>
              <w:bottom w:val="single" w:sz="8" w:color="E5FF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131,317</w:t>
            </w:r>
          </w:p>
        </w:tc>
        <w:tc>
          <w:tcPr>
            <w:tcW w:w="6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0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Noncontrolling interests</w:t>
            </w:r>
          </w:p>
        </w:tc>
        <w:tc>
          <w:tcPr>
            <w:tcW w:w="146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37,326</w:t>
            </w:r>
          </w:p>
        </w:tc>
        <w:tc>
          <w:tcPr>
            <w:tcW w:w="2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36,786</w:t>
            </w:r>
          </w:p>
        </w:tc>
        <w:tc>
          <w:tcPr>
            <w:tcW w:w="6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432"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4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w w:val="89"/>
              </w:rPr>
              <w:t>1,509,406</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w w:val="87"/>
              </w:rPr>
              <w:t>1,332,555</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86"/>
              </w:rPr>
              <w:t>736,225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94,106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85,401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18,858</w:t>
            </w:r>
          </w:p>
        </w:tc>
      </w:tr>
      <w:tr>
        <w:trPr>
          <w:trHeight w:val="216"/>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84,814</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64,243</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4,850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84,814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64,243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4,850</w:t>
            </w:r>
          </w:p>
        </w:tc>
      </w:tr>
    </w:tbl>
    <w:p>
      <w:pPr>
        <w:spacing w:after="0" w:line="187" w:lineRule="exact"/>
        <w:rPr>
          <w:sz w:val="20"/>
          <w:szCs w:val="20"/>
          <w:color w:val="auto"/>
        </w:rPr>
      </w:pPr>
    </w:p>
    <w:p>
      <w:pPr>
        <w:jc w:val="both"/>
        <w:ind w:left="432"/>
        <w:spacing w:after="0" w:line="263" w:lineRule="auto"/>
        <w:rPr>
          <w:sz w:val="20"/>
          <w:szCs w:val="20"/>
          <w:color w:val="auto"/>
        </w:rPr>
      </w:pPr>
      <w:r>
        <w:rPr>
          <w:rFonts w:ascii="Arial" w:cs="Arial" w:eastAsia="Arial" w:hAnsi="Arial"/>
          <w:sz w:val="18"/>
          <w:szCs w:val="18"/>
          <w:color w:val="auto"/>
        </w:rPr>
        <w:t>Big River has debt agreements that limit and restrict amounts the entity can pay in the form of dividends or advances to owners. The restricted net assets of Big River at January 31, 2023 are approximately $113.4 million; the Company’s proportionate share of restricted net assets of Big River is approximately $11.7 million.</w:t>
      </w:r>
    </w:p>
    <w:p>
      <w:pPr>
        <w:spacing w:after="0" w:line="184" w:lineRule="exact"/>
        <w:rPr>
          <w:sz w:val="20"/>
          <w:szCs w:val="20"/>
          <w:color w:val="auto"/>
        </w:rPr>
      </w:pPr>
    </w:p>
    <w:p>
      <w:pPr>
        <w:ind w:left="432"/>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left="432"/>
        <w:spacing w:after="0" w:line="263" w:lineRule="auto"/>
        <w:rPr>
          <w:sz w:val="20"/>
          <w:szCs w:val="20"/>
          <w:color w:val="auto"/>
        </w:rPr>
      </w:pPr>
      <w:r>
        <w:rPr>
          <w:rFonts w:ascii="Arial" w:cs="Arial" w:eastAsia="Arial" w:hAnsi="Arial"/>
          <w:sz w:val="18"/>
          <w:szCs w:val="18"/>
          <w:color w:val="auto"/>
        </w:rPr>
        <w:t>At January 31, 2023, the Company owned United States Treasury Bills (classified as short-term investments) that had an amortized cost, or carrying value, of approximately $211.3 million. The contractual maturity of these investments was less than one year. The yield to maturity rate was approximately 3.9%. Unrealized gains or losses were insignificant.</w:t>
      </w:r>
    </w:p>
    <w:p>
      <w:pPr>
        <w:spacing w:after="0" w:line="184" w:lineRule="exact"/>
        <w:rPr>
          <w:sz w:val="20"/>
          <w:szCs w:val="20"/>
          <w:color w:val="auto"/>
        </w:rPr>
      </w:pPr>
    </w:p>
    <w:p>
      <w:pPr>
        <w:jc w:val="both"/>
        <w:ind w:left="432" w:right="20"/>
        <w:spacing w:after="0" w:line="263" w:lineRule="auto"/>
        <w:rPr>
          <w:sz w:val="20"/>
          <w:szCs w:val="20"/>
          <w:color w:val="auto"/>
        </w:rPr>
      </w:pPr>
      <w:r>
        <w:rPr>
          <w:rFonts w:ascii="Arial" w:cs="Arial" w:eastAsia="Arial" w:hAnsi="Arial"/>
          <w:sz w:val="18"/>
          <w:szCs w:val="18"/>
          <w:color w:val="auto"/>
        </w:rPr>
        <w:t>At January 31, 2022, the Company owned certificates of deposit (classified as short-term investments) that had an amortized cost, or carrying value, of approximately $25.9 million. The contractual maturity of these investments was less than one year. The yield to maturity rate was approximately 0.1%. Unrealized gains or losses were insignificant.</w:t>
      </w:r>
    </w:p>
    <w:p>
      <w:pPr>
        <w:spacing w:after="0" w:line="180" w:lineRule="exact"/>
        <w:rPr>
          <w:sz w:val="20"/>
          <w:szCs w:val="20"/>
          <w:color w:val="auto"/>
        </w:rPr>
      </w:pPr>
    </w:p>
    <w:p>
      <w:pPr>
        <w:ind w:left="432" w:hanging="432"/>
        <w:spacing w:after="0"/>
        <w:tabs>
          <w:tab w:leader="none" w:pos="43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jc w:val="both"/>
        <w:ind w:left="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applies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5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87"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8"/>
          <w:szCs w:val="18"/>
          <w:color w:val="auto"/>
        </w:rPr>
        <w:t>Level 1 –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spacing w:after="0" w:line="18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8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w:t>
      </w:r>
    </w:p>
    <w:p>
      <w:pPr>
        <w:spacing w:after="0" w:line="16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126365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9"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Financial assets and liabilities measured at fair value at January 31, 2023 on a recurring basis are summarized below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Level 3</w:t>
            </w:r>
          </w:p>
        </w:tc>
        <w:tc>
          <w:tcPr>
            <w:tcW w:w="14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5FFFF"/>
          </w:tcPr>
          <w:p>
            <w:pPr>
              <w:spacing w:after="0"/>
              <w:rPr>
                <w:sz w:val="20"/>
                <w:szCs w:val="20"/>
                <w:color w:val="auto"/>
              </w:rPr>
            </w:pPr>
            <w:r>
              <w:rPr>
                <w:rFonts w:ascii="Arial" w:cs="Arial" w:eastAsia="Arial" w:hAnsi="Arial"/>
                <w:sz w:val="18"/>
                <w:szCs w:val="18"/>
                <w:color w:val="auto"/>
              </w:rPr>
              <w:t>Forward purchase contracts asset (1)</w:t>
            </w:r>
          </w:p>
        </w:tc>
        <w:tc>
          <w:tcPr>
            <w:tcW w:w="720" w:type="dxa"/>
            <w:vAlign w:val="bottom"/>
            <w:shd w:val="clear" w:color="auto" w:fill="E5FFFF"/>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Commodity futures (4)</w:t>
            </w:r>
          </w:p>
        </w:tc>
        <w:tc>
          <w:tcPr>
            <w:tcW w:w="720" w:type="dxa"/>
            <w:vAlign w:val="bottom"/>
          </w:tcPr>
          <w:p>
            <w:pPr>
              <w:spacing w:after="0"/>
              <w:rPr>
                <w:sz w:val="18"/>
                <w:szCs w:val="18"/>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5860" w:type="dxa"/>
            <w:vAlign w:val="bottom"/>
            <w:shd w:val="clear" w:color="auto" w:fill="E5FFFF"/>
          </w:tcPr>
          <w:p>
            <w:pPr>
              <w:spacing w:after="0"/>
              <w:rPr>
                <w:sz w:val="20"/>
                <w:szCs w:val="20"/>
                <w:color w:val="auto"/>
              </w:rPr>
            </w:pPr>
            <w:r>
              <w:rPr>
                <w:rFonts w:ascii="Arial" w:cs="Arial" w:eastAsia="Arial" w:hAnsi="Arial"/>
                <w:sz w:val="18"/>
                <w:szCs w:val="18"/>
                <w:color w:val="auto"/>
              </w:rPr>
              <w:t>Investment in cooperative (2)</w:t>
            </w:r>
          </w:p>
        </w:tc>
        <w:tc>
          <w:tcPr>
            <w:tcW w:w="720" w:type="dxa"/>
            <w:vAlign w:val="bottom"/>
            <w:shd w:val="clear" w:color="auto" w:fill="E5FFFF"/>
          </w:tcPr>
          <w:p>
            <w:pPr>
              <w:spacing w:after="0"/>
              <w:rPr>
                <w:sz w:val="19"/>
                <w:szCs w:val="19"/>
                <w:color w:val="auto"/>
              </w:rPr>
            </w:pPr>
          </w:p>
        </w:tc>
        <w:tc>
          <w:tcPr>
            <w:tcW w:w="4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9"/>
                <w:szCs w:val="19"/>
                <w:color w:val="auto"/>
              </w:rPr>
            </w:pPr>
          </w:p>
        </w:tc>
        <w:tc>
          <w:tcPr>
            <w:tcW w:w="10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E5FFFF"/>
          </w:tcPr>
          <w:p>
            <w:pPr>
              <w:spacing w:after="0"/>
              <w:rPr>
                <w:sz w:val="19"/>
                <w:szCs w:val="19"/>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vMerge w:val="continue"/>
          </w:tcPr>
          <w:p>
            <w:pPr>
              <w:spacing w:after="0"/>
              <w:rPr>
                <w:sz w:val="21"/>
                <w:szCs w:val="21"/>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5FFFF"/>
          </w:tcPr>
          <w:p>
            <w:pPr>
              <w:spacing w:after="0"/>
              <w:rPr>
                <w:sz w:val="20"/>
                <w:szCs w:val="20"/>
                <w:color w:val="auto"/>
              </w:rPr>
            </w:pPr>
            <w:r>
              <w:rPr>
                <w:rFonts w:ascii="Arial" w:cs="Arial" w:eastAsia="Arial" w:hAnsi="Arial"/>
                <w:sz w:val="18"/>
                <w:szCs w:val="18"/>
                <w:color w:val="auto"/>
              </w:rPr>
              <w:t>Forward purchase contracts liability (5)</w:t>
            </w:r>
          </w:p>
        </w:tc>
        <w:tc>
          <w:tcPr>
            <w:tcW w:w="720" w:type="dxa"/>
            <w:vAlign w:val="bottom"/>
            <w:shd w:val="clear" w:color="auto" w:fill="E5FFFF"/>
          </w:tcPr>
          <w:p>
            <w:pPr>
              <w:spacing w:after="0"/>
              <w:rPr>
                <w:sz w:val="18"/>
                <w:szCs w:val="18"/>
                <w:color w:val="auto"/>
              </w:rPr>
            </w:pPr>
          </w:p>
        </w:tc>
        <w:tc>
          <w:tcPr>
            <w:tcW w:w="4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Commodity futures (3)</w:t>
            </w:r>
          </w:p>
        </w:tc>
        <w:tc>
          <w:tcPr>
            <w:tcW w:w="720" w:type="dxa"/>
            <w:vAlign w:val="bottom"/>
          </w:tcPr>
          <w:p>
            <w:pPr>
              <w:spacing w:after="0"/>
              <w:rPr>
                <w:sz w:val="19"/>
                <w:szCs w:val="19"/>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vMerge w:val="continue"/>
            <w:shd w:val="clear" w:color="auto" w:fill="E5FFFF"/>
          </w:tcPr>
          <w:p>
            <w:pPr>
              <w:spacing w:after="0"/>
              <w:rPr>
                <w:sz w:val="21"/>
                <w:szCs w:val="21"/>
                <w:color w:val="auto"/>
              </w:rPr>
            </w:pPr>
          </w:p>
        </w:tc>
        <w:tc>
          <w:tcPr>
            <w:tcW w:w="720" w:type="dxa"/>
            <w:vAlign w:val="bottom"/>
            <w:shd w:val="clear" w:color="auto" w:fill="E5FFFF"/>
          </w:tcPr>
          <w:p>
            <w:pPr>
              <w:jc w:val="right"/>
              <w:ind w:right="56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E5FFFF"/>
          </w:tcPr>
          <w:p>
            <w:pPr>
              <w:spacing w:after="0"/>
              <w:rPr>
                <w:sz w:val="21"/>
                <w:szCs w:val="21"/>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586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liabilities measured at fair value at January 31, 2022 on a recurring basis are summarized below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8"/>
        </w:trPr>
        <w:tc>
          <w:tcPr>
            <w:tcW w:w="58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Level 3</w:t>
            </w:r>
          </w:p>
        </w:tc>
        <w:tc>
          <w:tcPr>
            <w:tcW w:w="140" w:type="dxa"/>
            <w:vAlign w:val="bottom"/>
          </w:tcPr>
          <w:p>
            <w:pPr>
              <w:spacing w:after="0"/>
              <w:rPr>
                <w:sz w:val="21"/>
                <w:szCs w:val="21"/>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5FFFF"/>
          </w:tcPr>
          <w:p>
            <w:pPr>
              <w:spacing w:after="0"/>
              <w:rPr>
                <w:sz w:val="20"/>
                <w:szCs w:val="20"/>
                <w:color w:val="auto"/>
              </w:rPr>
            </w:pPr>
            <w:r>
              <w:rPr>
                <w:rFonts w:ascii="Arial" w:cs="Arial" w:eastAsia="Arial" w:hAnsi="Arial"/>
                <w:sz w:val="18"/>
                <w:szCs w:val="18"/>
                <w:color w:val="auto"/>
              </w:rPr>
              <w:t>Forward purchase contracts asset (1)</w:t>
            </w:r>
          </w:p>
        </w:tc>
        <w:tc>
          <w:tcPr>
            <w:tcW w:w="720" w:type="dxa"/>
            <w:vAlign w:val="bottom"/>
            <w:shd w:val="clear" w:color="auto" w:fill="E5FFFF"/>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Investment in cooperative (2)</w:t>
            </w:r>
          </w:p>
        </w:tc>
        <w:tc>
          <w:tcPr>
            <w:tcW w:w="720" w:type="dxa"/>
            <w:vAlign w:val="bottom"/>
          </w:tcPr>
          <w:p>
            <w:pPr>
              <w:spacing w:after="0"/>
              <w:rPr>
                <w:sz w:val="19"/>
                <w:szCs w:val="19"/>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assets</w:t>
            </w:r>
          </w:p>
        </w:tc>
        <w:tc>
          <w:tcPr>
            <w:tcW w:w="720" w:type="dxa"/>
            <w:vAlign w:val="bottom"/>
            <w:tcBorders>
              <w:top w:val="single" w:sz="8" w:color="auto"/>
              <w:bottom w:val="single" w:sz="8" w:color="auto"/>
            </w:tcBorders>
            <w:shd w:val="clear" w:color="auto" w:fill="E5FFFF"/>
          </w:tcPr>
          <w:p>
            <w:pPr>
              <w:jc w:val="right"/>
              <w:ind w:right="5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993</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Commodity futures (3)</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vMerge w:val="continue"/>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hanging="420"/>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forward purchase contracts asset is included in “Prepaid expenses and other” on the accompanying Consolidated Balance Sheets.</w:t>
      </w:r>
    </w:p>
    <w:p>
      <w:pPr>
        <w:spacing w:after="0" w:line="236" w:lineRule="exact"/>
        <w:rPr>
          <w:rFonts w:ascii="Arial" w:cs="Arial" w:eastAsia="Arial" w:hAnsi="Arial"/>
          <w:sz w:val="17"/>
          <w:szCs w:val="17"/>
          <w:color w:val="auto"/>
        </w:rPr>
      </w:pPr>
    </w:p>
    <w:p>
      <w:pPr>
        <w:ind w:left="420" w:hanging="42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investment in cooperative is included in “Other assets” on the accompanying Consolidated Balance Sheets.</w:t>
      </w:r>
    </w:p>
    <w:p>
      <w:pPr>
        <w:spacing w:after="0" w:line="225" w:lineRule="exact"/>
        <w:rPr>
          <w:rFonts w:ascii="Arial" w:cs="Arial" w:eastAsia="Arial" w:hAnsi="Arial"/>
          <w:sz w:val="18"/>
          <w:szCs w:val="18"/>
          <w:color w:val="auto"/>
        </w:rPr>
      </w:pPr>
    </w:p>
    <w:p>
      <w:pPr>
        <w:ind w:left="420" w:hanging="420"/>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commodity futures liability is included in “Accrued expenses and other current liabilities” on the accompanying Consolidated Balance Sheets.</w:t>
      </w:r>
    </w:p>
    <w:p>
      <w:pPr>
        <w:spacing w:after="0" w:line="170" w:lineRule="exact"/>
        <w:rPr>
          <w:rFonts w:ascii="Arial" w:cs="Arial" w:eastAsia="Arial" w:hAnsi="Arial"/>
          <w:sz w:val="18"/>
          <w:szCs w:val="18"/>
          <w:color w:val="auto"/>
        </w:rPr>
      </w:pPr>
    </w:p>
    <w:p>
      <w:pPr>
        <w:ind w:left="420" w:hanging="42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commodity futures asset is included in “Prepaid expenses and other” on the accompanying Consolidated Balance Sheets.</w:t>
      </w:r>
    </w:p>
    <w:p>
      <w:pPr>
        <w:spacing w:after="0" w:line="225" w:lineRule="exact"/>
        <w:rPr>
          <w:rFonts w:ascii="Arial" w:cs="Arial" w:eastAsia="Arial" w:hAnsi="Arial"/>
          <w:sz w:val="18"/>
          <w:szCs w:val="18"/>
          <w:color w:val="auto"/>
        </w:rPr>
      </w:pPr>
    </w:p>
    <w:p>
      <w:pPr>
        <w:ind w:left="420" w:hanging="420"/>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forward purchase contracts liability is included in “Accrued expenses and other current liabilities” on the accompanying Consolidated Balance Sheets.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 The changes in the balances of the investment in cooperative represent the change in the fair value.</w:t>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126365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9" w:right="339" w:bottom="1440" w:gutter="0" w:footer="0" w:header="0"/>
        </w:sectPr>
      </w:pPr>
    </w:p>
    <w:bookmarkStart w:id="49" w:name="page50"/>
    <w:bookmarkEnd w:id="49"/>
    <w:p>
      <w:pPr>
        <w:ind w:left="432"/>
        <w:spacing w:after="0"/>
        <w:rPr>
          <w:sz w:val="20"/>
          <w:szCs w:val="20"/>
          <w:color w:val="auto"/>
        </w:rPr>
      </w:pPr>
      <w:r>
        <w:rPr>
          <w:rFonts w:ascii="Arial" w:cs="Arial" w:eastAsia="Arial" w:hAnsi="Arial"/>
          <w:sz w:val="18"/>
          <w:szCs w:val="18"/>
          <w:color w:val="auto"/>
        </w:rPr>
        <w:t>No other financial instruments were elected to be measured at fair value in accordance with ASC 470-20-25-21.</w:t>
      </w:r>
    </w:p>
    <w:p>
      <w:pPr>
        <w:spacing w:after="0" w:line="225"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There were no assets measured at fair value at January 31, 2023 and 2022 on a non-recurring basis.</w:t>
      </w:r>
    </w:p>
    <w:p>
      <w:pPr>
        <w:spacing w:after="0" w:line="221" w:lineRule="exact"/>
        <w:rPr>
          <w:sz w:val="20"/>
          <w:szCs w:val="20"/>
          <w:color w:val="auto"/>
        </w:rPr>
      </w:pPr>
    </w:p>
    <w:p>
      <w:pPr>
        <w:ind w:left="432" w:hanging="432"/>
        <w:spacing w:after="0"/>
        <w:tabs>
          <w:tab w:leader="none" w:pos="4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29" w:lineRule="exact"/>
        <w:rPr>
          <w:rFonts w:ascii="Arial" w:cs="Arial" w:eastAsia="Arial" w:hAnsi="Arial"/>
          <w:sz w:val="18"/>
          <w:szCs w:val="18"/>
          <w:b w:val="1"/>
          <w:bCs w:val="1"/>
          <w:color w:val="auto"/>
        </w:rPr>
      </w:pPr>
    </w:p>
    <w:p>
      <w:pPr>
        <w:ind w:left="432"/>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noncurrent assets are as follows (amounts in thousands):</w:t>
      </w:r>
    </w:p>
    <w:p>
      <w:pPr>
        <w:spacing w:after="0" w:line="221" w:lineRule="exact"/>
        <w:rPr>
          <w:sz w:val="20"/>
          <w:szCs w:val="20"/>
          <w:color w:val="auto"/>
        </w:rPr>
      </w:pPr>
    </w:p>
    <w:tbl>
      <w:tblPr>
        <w:tblLayout w:type="fixed"/>
        <w:tblInd w:w="432" w:type="dxa"/>
        <w:tblCellMar>
          <w:top w:w="0" w:type="dxa"/>
          <w:left w:w="0" w:type="dxa"/>
          <w:bottom w:w="0" w:type="dxa"/>
          <w:right w:w="0" w:type="dxa"/>
        </w:tblCellMar>
      </w:tblPr>
      <w:tr>
        <w:trPr>
          <w:trHeight w:val="229"/>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2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2023</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E5FFFF"/>
          </w:tcPr>
          <w:p>
            <w:pPr>
              <w:spacing w:after="0"/>
              <w:rPr>
                <w:sz w:val="20"/>
                <w:szCs w:val="20"/>
                <w:color w:val="auto"/>
              </w:rPr>
            </w:pPr>
            <w:r>
              <w:rPr>
                <w:rFonts w:ascii="Arial" w:cs="Arial" w:eastAsia="Arial" w:hAnsi="Arial"/>
                <w:sz w:val="18"/>
                <w:szCs w:val="18"/>
                <w:color w:val="auto"/>
              </w:rPr>
              <w:t>Deferred taxes</w:t>
            </w:r>
          </w:p>
        </w:tc>
        <w:tc>
          <w:tcPr>
            <w:tcW w:w="19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21,964</w:t>
            </w:r>
          </w:p>
        </w:tc>
        <w:tc>
          <w:tcPr>
            <w:tcW w:w="160" w:type="dxa"/>
            <w:vAlign w:val="bottom"/>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24,914</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r>
      <w:tr>
        <w:trPr>
          <w:trHeight w:val="209"/>
        </w:trPr>
        <w:tc>
          <w:tcPr>
            <w:tcW w:w="2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286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23,179</w:t>
            </w:r>
          </w:p>
        </w:tc>
        <w:tc>
          <w:tcPr>
            <w:tcW w:w="160" w:type="dxa"/>
            <w:vAlign w:val="bottom"/>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25,853</w:t>
            </w:r>
          </w:p>
        </w:tc>
      </w:tr>
      <w:tr>
        <w:trPr>
          <w:trHeight w:val="20"/>
        </w:trPr>
        <w:tc>
          <w:tcPr>
            <w:tcW w:w="286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r>
    </w:tbl>
    <w:p>
      <w:pPr>
        <w:spacing w:after="0" w:line="198" w:lineRule="exact"/>
        <w:rPr>
          <w:sz w:val="20"/>
          <w:szCs w:val="20"/>
          <w:color w:val="auto"/>
        </w:rPr>
      </w:pPr>
    </w:p>
    <w:p>
      <w:pPr>
        <w:ind w:left="432" w:hanging="432"/>
        <w:spacing w:after="0"/>
        <w:tabs>
          <w:tab w:leader="none" w:pos="4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rFonts w:ascii="Arial" w:cs="Arial" w:eastAsia="Arial" w:hAnsi="Arial"/>
          <w:sz w:val="18"/>
          <w:szCs w:val="18"/>
          <w:b w:val="1"/>
          <w:bCs w:val="1"/>
          <w:color w:val="auto"/>
        </w:rPr>
      </w:pPr>
    </w:p>
    <w:p>
      <w:pPr>
        <w:ind w:left="432"/>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accrued expenses and other current liabilities are as follows (amounts in thousands):</w:t>
      </w:r>
    </w:p>
    <w:p>
      <w:pPr>
        <w:spacing w:after="0" w:line="221" w:lineRule="exact"/>
        <w:rPr>
          <w:sz w:val="20"/>
          <w:szCs w:val="20"/>
          <w:color w:val="auto"/>
        </w:rPr>
      </w:pPr>
    </w:p>
    <w:tbl>
      <w:tblPr>
        <w:tblLayout w:type="fixed"/>
        <w:tblInd w:w="432"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3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2023</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Accrued payroll and related items</w:t>
            </w:r>
          </w:p>
        </w:tc>
        <w:tc>
          <w:tcPr>
            <w:tcW w:w="11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4,428</w:t>
            </w:r>
          </w:p>
        </w:tc>
        <w:tc>
          <w:tcPr>
            <w:tcW w:w="160" w:type="dxa"/>
            <w:vAlign w:val="bottom"/>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5,407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Accrued utility charges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4,116</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4,297</w:t>
            </w:r>
          </w:p>
        </w:tc>
      </w:tr>
      <w:tr>
        <w:trPr>
          <w:trHeight w:val="216"/>
        </w:trPr>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Accrued transportation related items</w:t>
            </w:r>
          </w:p>
        </w:tc>
        <w:tc>
          <w:tcPr>
            <w:tcW w:w="10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593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Commodity futures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r>
      <w:tr>
        <w:trPr>
          <w:trHeight w:val="216"/>
        </w:trPr>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Forward purchase contracts</w:t>
            </w:r>
          </w:p>
        </w:tc>
        <w:tc>
          <w:tcPr>
            <w:tcW w:w="10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Accrued real estate taxes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1,850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1,857</w:t>
            </w:r>
          </w:p>
        </w:tc>
      </w:tr>
      <w:tr>
        <w:trPr>
          <w:trHeight w:val="216"/>
        </w:trPr>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Accrued income taxes</w:t>
            </w:r>
          </w:p>
        </w:tc>
        <w:tc>
          <w:tcPr>
            <w:tcW w:w="10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2,049</w:t>
            </w:r>
          </w:p>
        </w:tc>
        <w:tc>
          <w:tcPr>
            <w:tcW w:w="16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95</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r>
      <w:tr>
        <w:trPr>
          <w:trHeight w:val="210"/>
        </w:trPr>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15,328</w:t>
            </w:r>
          </w:p>
        </w:tc>
        <w:tc>
          <w:tcPr>
            <w:tcW w:w="160" w:type="dxa"/>
            <w:vAlign w:val="bottom"/>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13,617</w:t>
            </w:r>
          </w:p>
        </w:tc>
      </w:tr>
      <w:tr>
        <w:trPr>
          <w:trHeight w:val="20"/>
        </w:trPr>
        <w:tc>
          <w:tcPr>
            <w:tcW w:w="364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r>
    </w:tbl>
    <w:p>
      <w:pPr>
        <w:spacing w:after="0" w:line="198" w:lineRule="exact"/>
        <w:rPr>
          <w:sz w:val="20"/>
          <w:szCs w:val="20"/>
          <w:color w:val="auto"/>
        </w:rPr>
      </w:pPr>
    </w:p>
    <w:p>
      <w:pPr>
        <w:ind w:left="432" w:hanging="432"/>
        <w:spacing w:after="0"/>
        <w:tabs>
          <w:tab w:leader="none" w:pos="4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jc w:val="both"/>
        <w:ind w:left="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6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50" w:name="page51"/>
    <w:bookmarkEnd w:id="50"/>
    <w:p>
      <w:pPr>
        <w:jc w:val="both"/>
        <w:ind w:left="432"/>
        <w:spacing w:after="0" w:line="257" w:lineRule="auto"/>
        <w:rPr>
          <w:sz w:val="20"/>
          <w:szCs w:val="20"/>
          <w:color w:val="auto"/>
        </w:rPr>
      </w:pPr>
      <w:r>
        <w:rPr>
          <w:rFonts w:ascii="Arial" w:cs="Arial" w:eastAsia="Arial" w:hAnsi="Arial"/>
          <w:sz w:val="18"/>
          <w:szCs w:val="18"/>
          <w:color w:val="auto"/>
        </w:rPr>
        <w:t>At January 31, 2023,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88" w:lineRule="exact"/>
        <w:rPr>
          <w:sz w:val="20"/>
          <w:szCs w:val="20"/>
          <w:color w:val="auto"/>
        </w:rPr>
      </w:pPr>
    </w:p>
    <w:p>
      <w:pPr>
        <w:jc w:val="both"/>
        <w:ind w:left="432" w:right="20"/>
        <w:spacing w:after="0" w:line="277" w:lineRule="auto"/>
        <w:rPr>
          <w:sz w:val="20"/>
          <w:szCs w:val="20"/>
          <w:color w:val="auto"/>
        </w:rPr>
      </w:pPr>
      <w:r>
        <w:rPr>
          <w:rFonts w:ascii="Arial" w:cs="Arial" w:eastAsia="Arial" w:hAnsi="Arial"/>
          <w:sz w:val="18"/>
          <w:szCs w:val="18"/>
          <w:color w:val="auto"/>
        </w:rPr>
        <w:t>For fiscal years 2022 and 2021, the components of lease expense, classified as SG&amp;A expenses on the Consolidated Statement of Operations are as follows (amounts in thousands):</w:t>
      </w:r>
    </w:p>
    <w:p>
      <w:pPr>
        <w:spacing w:after="0" w:line="166" w:lineRule="exact"/>
        <w:rPr>
          <w:sz w:val="20"/>
          <w:szCs w:val="20"/>
          <w:color w:val="auto"/>
        </w:rPr>
      </w:pPr>
    </w:p>
    <w:tbl>
      <w:tblPr>
        <w:tblLayout w:type="fixed"/>
        <w:tblInd w:w="432"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6"/>
          </w:tcPr>
          <w:p>
            <w:pPr>
              <w:ind w:left="420"/>
              <w:spacing w:after="0"/>
              <w:rPr>
                <w:sz w:val="20"/>
                <w:szCs w:val="20"/>
                <w:color w:val="auto"/>
              </w:rPr>
            </w:pPr>
            <w:r>
              <w:rPr>
                <w:rFonts w:ascii="Arial" w:cs="Arial" w:eastAsia="Arial" w:hAnsi="Arial"/>
                <w:sz w:val="18"/>
                <w:szCs w:val="18"/>
                <w:b w:val="1"/>
                <w:bCs w:val="1"/>
                <w:color w:val="auto"/>
              </w:rPr>
              <w:t>Fiscal Year</w:t>
            </w:r>
          </w:p>
        </w:tc>
      </w:tr>
      <w:tr>
        <w:trPr>
          <w:trHeight w:val="234"/>
        </w:trPr>
        <w:tc>
          <w:tcPr>
            <w:tcW w:w="4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4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Operating lease expense</w:t>
            </w: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7,360</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6,346</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Variable lease expense</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r>
      <w:tr>
        <w:trPr>
          <w:trHeight w:val="223"/>
        </w:trPr>
        <w:tc>
          <w:tcPr>
            <w:tcW w:w="42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lease expense</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7,759</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8,253</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The following table is a summary of future minimum rentals on such leases at January 31, 2023 (amounts in thousands):</w:t>
      </w:r>
    </w:p>
    <w:p>
      <w:pPr>
        <w:spacing w:after="0" w:line="221" w:lineRule="exact"/>
        <w:rPr>
          <w:sz w:val="20"/>
          <w:szCs w:val="20"/>
          <w:color w:val="auto"/>
        </w:rPr>
      </w:pPr>
    </w:p>
    <w:tbl>
      <w:tblPr>
        <w:tblLayout w:type="fixed"/>
        <w:tblInd w:w="432"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Minimum</w:t>
            </w: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Years Ended January 31,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5"/>
              </w:rPr>
              <w:t>Rentals</w:t>
            </w:r>
          </w:p>
        </w:tc>
      </w:tr>
      <w:tr>
        <w:trPr>
          <w:trHeight w:val="209"/>
        </w:trPr>
        <w:tc>
          <w:tcPr>
            <w:tcW w:w="3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2024</w:t>
            </w: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5,639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4,450</w:t>
            </w:r>
          </w:p>
        </w:tc>
      </w:tr>
      <w:tr>
        <w:trPr>
          <w:trHeight w:val="216"/>
        </w:trPr>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2,277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2,229</w:t>
            </w:r>
          </w:p>
        </w:tc>
      </w:tr>
      <w:tr>
        <w:trPr>
          <w:trHeight w:val="216"/>
        </w:trPr>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2028</w:t>
            </w:r>
          </w:p>
        </w:tc>
        <w:tc>
          <w:tcPr>
            <w:tcW w:w="4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1,799</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r>
      <w:tr>
        <w:trPr>
          <w:trHeight w:val="209"/>
        </w:trPr>
        <w:tc>
          <w:tcPr>
            <w:tcW w:w="3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17,011</w:t>
            </w:r>
          </w:p>
        </w:tc>
        <w:tc>
          <w:tcPr>
            <w:tcW w:w="40" w:type="dxa"/>
            <w:vAlign w:val="bottom"/>
            <w:tcBorders>
              <w:top w:val="single" w:sz="8" w:color="E5FFFF"/>
            </w:tcBorders>
            <w:shd w:val="clear" w:color="auto" w:fill="E5FF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1,976</w:t>
            </w:r>
          </w:p>
        </w:tc>
      </w:tr>
      <w:tr>
        <w:trPr>
          <w:trHeight w:val="223"/>
        </w:trPr>
        <w:tc>
          <w:tcPr>
            <w:tcW w:w="37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Operating lease liabilities</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15,035</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spacing w:after="0" w:line="277" w:lineRule="auto"/>
        <w:rPr>
          <w:sz w:val="20"/>
          <w:szCs w:val="20"/>
          <w:color w:val="auto"/>
        </w:rPr>
      </w:pPr>
      <w:r>
        <w:rPr>
          <w:rFonts w:ascii="Arial" w:cs="Arial" w:eastAsia="Arial" w:hAnsi="Arial"/>
          <w:sz w:val="18"/>
          <w:szCs w:val="18"/>
          <w:color w:val="auto"/>
        </w:rPr>
        <w:t>At January 31, 2023, the weighted average remaining lease term was 3.7 years, and the weighted average discount rate was 5.51% for the above leases.</w:t>
      </w:r>
    </w:p>
    <w:p>
      <w:pPr>
        <w:spacing w:after="0" w:line="170" w:lineRule="exact"/>
        <w:rPr>
          <w:sz w:val="20"/>
          <w:szCs w:val="20"/>
          <w:color w:val="auto"/>
        </w:rPr>
      </w:pPr>
    </w:p>
    <w:p>
      <w:pPr>
        <w:ind w:left="432"/>
        <w:spacing w:after="0"/>
        <w:rPr>
          <w:sz w:val="20"/>
          <w:szCs w:val="20"/>
          <w:color w:val="auto"/>
        </w:rPr>
      </w:pPr>
      <w:r>
        <w:rPr>
          <w:rFonts w:ascii="Arial" w:cs="Arial" w:eastAsia="Arial" w:hAnsi="Arial"/>
          <w:sz w:val="18"/>
          <w:szCs w:val="18"/>
          <w:color w:val="auto"/>
        </w:rPr>
        <w:t>At January 31, 2022, the weighted average remaining lease term was 2.5 years and the weighted average discount rate was 4.85%.</w:t>
      </w:r>
    </w:p>
    <w:p>
      <w:pPr>
        <w:spacing w:after="0" w:line="221" w:lineRule="exact"/>
        <w:rPr>
          <w:sz w:val="20"/>
          <w:szCs w:val="20"/>
          <w:color w:val="auto"/>
        </w:rPr>
      </w:pPr>
    </w:p>
    <w:p>
      <w:pPr>
        <w:ind w:left="432" w:hanging="432"/>
        <w:spacing w:after="0"/>
        <w:tabs>
          <w:tab w:leader="none" w:pos="4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left="432"/>
        <w:spacing w:after="0" w:line="286" w:lineRule="auto"/>
        <w:rPr>
          <w:sz w:val="20"/>
          <w:szCs w:val="20"/>
          <w:color w:val="auto"/>
        </w:rPr>
      </w:pPr>
      <w:r>
        <w:rPr>
          <w:rFonts w:ascii="Arial" w:cs="Arial" w:eastAsia="Arial" w:hAnsi="Arial"/>
          <w:sz w:val="17"/>
          <w:szCs w:val="17"/>
          <w:color w:val="auto"/>
        </w:rPr>
        <w:t>On June 21, 2022, the Board of Directors of the Company adopted resolutions declaring a three-for-one split of the Company’s 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13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51" w:name="page52"/>
    <w:bookmarkEnd w:id="51"/>
    <w:p>
      <w:pPr>
        <w:jc w:val="both"/>
        <w:ind w:left="440"/>
        <w:spacing w:after="0" w:line="311" w:lineRule="auto"/>
        <w:rPr>
          <w:sz w:val="20"/>
          <w:szCs w:val="20"/>
          <w:color w:val="auto"/>
        </w:rPr>
      </w:pPr>
      <w:r>
        <w:rPr>
          <w:rFonts w:ascii="Arial" w:cs="Arial" w:eastAsia="Arial" w:hAnsi="Arial"/>
          <w:sz w:val="16"/>
          <w:szCs w:val="16"/>
          <w:color w:val="auto"/>
        </w:rPr>
        <w:t>During fiscal years 2022, 2021, and 2020 the Company purchased approximately 472,000 shares, 252,000 shares, and 949,000 shares of its common stock for approximately $13.0 million, $6.6 million, and $19.6 million, respectively. At January 31, 2023, the Company had prior authorization by its Board of Directors to purchase, in open market transactions, an additional approximately 877,000 shares of its common stock.</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common stock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9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January 31,</w:t>
            </w:r>
          </w:p>
        </w:tc>
      </w:tr>
      <w:tr>
        <w:trPr>
          <w:trHeight w:val="223"/>
        </w:trPr>
        <w:tc>
          <w:tcPr>
            <w:tcW w:w="426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r>
      <w:tr>
        <w:trPr>
          <w:trHeight w:val="209"/>
        </w:trPr>
        <w:tc>
          <w:tcPr>
            <w:tcW w:w="4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60" w:type="dxa"/>
            <w:vAlign w:val="bottom"/>
            <w:shd w:val="clear" w:color="auto" w:fill="E5FFFF"/>
          </w:tcPr>
          <w:p>
            <w:pPr>
              <w:ind w:left="500"/>
              <w:spacing w:after="0"/>
              <w:rPr>
                <w:sz w:val="20"/>
                <w:szCs w:val="20"/>
                <w:color w:val="auto"/>
              </w:rPr>
            </w:pPr>
            <w:r>
              <w:rPr>
                <w:rFonts w:ascii="Arial" w:cs="Arial" w:eastAsia="Arial" w:hAnsi="Arial"/>
                <w:sz w:val="18"/>
                <w:szCs w:val="18"/>
                <w:color w:val="auto"/>
              </w:rPr>
              <w:t>Authorized shares</w:t>
            </w:r>
          </w:p>
        </w:tc>
        <w:tc>
          <w:tcPr>
            <w:tcW w:w="1200" w:type="dxa"/>
            <w:vAlign w:val="bottom"/>
            <w:gridSpan w:val="2"/>
            <w:shd w:val="clear" w:color="auto" w:fill="E5FFFF"/>
          </w:tcPr>
          <w:p>
            <w:pPr>
              <w:jc w:val="right"/>
              <w:ind w:right="540"/>
              <w:spacing w:after="0"/>
              <w:rPr>
                <w:sz w:val="20"/>
                <w:szCs w:val="20"/>
                <w:color w:val="auto"/>
              </w:rPr>
            </w:pPr>
            <w:r>
              <w:rPr>
                <w:rFonts w:ascii="Arial" w:cs="Arial" w:eastAsia="Arial" w:hAnsi="Arial"/>
                <w:sz w:val="18"/>
                <w:szCs w:val="18"/>
                <w:color w:val="auto"/>
              </w:rPr>
              <w:t>45,000</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45,000</w:t>
            </w:r>
          </w:p>
        </w:tc>
      </w:tr>
      <w:tr>
        <w:trPr>
          <w:trHeight w:val="216"/>
        </w:trPr>
        <w:tc>
          <w:tcPr>
            <w:tcW w:w="4260" w:type="dxa"/>
            <w:vAlign w:val="bottom"/>
          </w:tcPr>
          <w:p>
            <w:pPr>
              <w:ind w:left="500"/>
              <w:spacing w:after="0"/>
              <w:rPr>
                <w:sz w:val="20"/>
                <w:szCs w:val="20"/>
                <w:color w:val="auto"/>
              </w:rPr>
            </w:pPr>
            <w:r>
              <w:rPr>
                <w:rFonts w:ascii="Arial" w:cs="Arial" w:eastAsia="Arial" w:hAnsi="Arial"/>
                <w:sz w:val="18"/>
                <w:szCs w:val="18"/>
                <w:color w:val="auto"/>
              </w:rPr>
              <w:t>Issued shares</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29,853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29,853</w:t>
            </w:r>
          </w:p>
        </w:tc>
      </w:tr>
      <w:tr>
        <w:trPr>
          <w:trHeight w:val="216"/>
        </w:trPr>
        <w:tc>
          <w:tcPr>
            <w:tcW w:w="4260" w:type="dxa"/>
            <w:vAlign w:val="bottom"/>
            <w:shd w:val="clear" w:color="auto" w:fill="E5FFFF"/>
          </w:tcPr>
          <w:p>
            <w:pPr>
              <w:ind w:left="500"/>
              <w:spacing w:after="0"/>
              <w:rPr>
                <w:sz w:val="20"/>
                <w:szCs w:val="20"/>
                <w:color w:val="auto"/>
              </w:rPr>
            </w:pPr>
            <w:r>
              <w:rPr>
                <w:rFonts w:ascii="Arial" w:cs="Arial" w:eastAsia="Arial" w:hAnsi="Arial"/>
                <w:sz w:val="18"/>
                <w:szCs w:val="18"/>
                <w:color w:val="auto"/>
              </w:rPr>
              <w:t>Outstanding shares</w:t>
            </w:r>
          </w:p>
        </w:tc>
        <w:tc>
          <w:tcPr>
            <w:tcW w:w="1200" w:type="dxa"/>
            <w:vAlign w:val="bottom"/>
            <w:gridSpan w:val="2"/>
            <w:shd w:val="clear" w:color="auto" w:fill="E5FFFF"/>
          </w:tcPr>
          <w:p>
            <w:pPr>
              <w:jc w:val="right"/>
              <w:ind w:right="540"/>
              <w:spacing w:after="0"/>
              <w:rPr>
                <w:sz w:val="20"/>
                <w:szCs w:val="20"/>
                <w:color w:val="auto"/>
              </w:rPr>
            </w:pPr>
            <w:r>
              <w:rPr>
                <w:rFonts w:ascii="Arial" w:cs="Arial" w:eastAsia="Arial" w:hAnsi="Arial"/>
                <w:sz w:val="18"/>
                <w:szCs w:val="18"/>
                <w:color w:val="auto"/>
              </w:rPr>
              <w:t>17,390</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17,761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31686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68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31686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6865" cy="137160"/>
                    </a:xfrm>
                    <a:prstGeom prst="rect">
                      <a:avLst/>
                    </a:prstGeom>
                    <a:noFill/>
                  </pic:spPr>
                </pic:pic>
              </a:graphicData>
            </a:graphic>
          </wp:anchor>
        </w:drawing>
      </w:r>
    </w:p>
    <w:p>
      <w:pPr>
        <w:spacing w:after="0" w:line="178"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29" w:lineRule="exact"/>
        <w:rPr>
          <w:rFonts w:ascii="Arial" w:cs="Arial" w:eastAsia="Arial" w:hAnsi="Arial"/>
          <w:sz w:val="18"/>
          <w:szCs w:val="18"/>
          <w:b w:val="1"/>
          <w:bCs w:val="1"/>
          <w:color w:val="auto"/>
        </w:rPr>
      </w:pPr>
    </w:p>
    <w:p>
      <w:pPr>
        <w:jc w:val="both"/>
        <w:ind w:left="4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64"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the fair values of the Company’s derivative financial instruments and the line items on the Consolidated Balance Sheets in which the fair values are reflected (in thousands):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860" w:type="dxa"/>
            <w:vAlign w:val="bottom"/>
            <w:gridSpan w:val="5"/>
          </w:tcPr>
          <w:p>
            <w:pPr>
              <w:jc w:val="center"/>
              <w:ind w:left="176"/>
              <w:spacing w:after="0"/>
              <w:rPr>
                <w:sz w:val="20"/>
                <w:szCs w:val="20"/>
                <w:color w:val="auto"/>
              </w:rPr>
            </w:pPr>
            <w:r>
              <w:rPr>
                <w:rFonts w:ascii="Arial" w:cs="Arial" w:eastAsia="Arial" w:hAnsi="Arial"/>
                <w:sz w:val="18"/>
                <w:szCs w:val="18"/>
                <w:b w:val="1"/>
                <w:bCs w:val="1"/>
                <w:color w:val="auto"/>
                <w:w w:val="87"/>
              </w:rPr>
              <w:t>Asset Derivatives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Liability Derivatives</w:t>
            </w:r>
          </w:p>
        </w:tc>
      </w:tr>
      <w:tr>
        <w:trPr>
          <w:trHeight w:val="216"/>
        </w:trPr>
        <w:tc>
          <w:tcPr>
            <w:tcW w:w="5460" w:type="dxa"/>
            <w:vAlign w:val="bottom"/>
          </w:tcPr>
          <w:p>
            <w:pPr>
              <w:spacing w:after="0"/>
              <w:rPr>
                <w:sz w:val="18"/>
                <w:szCs w:val="18"/>
                <w:color w:val="auto"/>
              </w:rPr>
            </w:pPr>
          </w:p>
        </w:tc>
        <w:tc>
          <w:tcPr>
            <w:tcW w:w="1860" w:type="dxa"/>
            <w:vAlign w:val="bottom"/>
            <w:gridSpan w:val="5"/>
          </w:tcPr>
          <w:p>
            <w:pPr>
              <w:jc w:val="center"/>
              <w:ind w:left="136"/>
              <w:spacing w:after="0"/>
              <w:rPr>
                <w:sz w:val="20"/>
                <w:szCs w:val="20"/>
                <w:color w:val="auto"/>
              </w:rPr>
            </w:pPr>
            <w:r>
              <w:rPr>
                <w:rFonts w:ascii="Arial" w:cs="Arial" w:eastAsia="Arial" w:hAnsi="Arial"/>
                <w:sz w:val="18"/>
                <w:szCs w:val="18"/>
                <w:b w:val="1"/>
                <w:bCs w:val="1"/>
                <w:color w:val="auto"/>
                <w:w w:val="93"/>
              </w:rPr>
              <w:t>Fair Value at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5"/>
          </w:tcPr>
          <w:p>
            <w:pPr>
              <w:jc w:val="center"/>
              <w:ind w:left="296"/>
              <w:spacing w:after="0"/>
              <w:rPr>
                <w:sz w:val="20"/>
                <w:szCs w:val="20"/>
                <w:color w:val="auto"/>
              </w:rPr>
            </w:pPr>
            <w:r>
              <w:rPr>
                <w:rFonts w:ascii="Arial" w:cs="Arial" w:eastAsia="Arial" w:hAnsi="Arial"/>
                <w:sz w:val="18"/>
                <w:szCs w:val="18"/>
                <w:b w:val="1"/>
                <w:bCs w:val="1"/>
                <w:color w:val="auto"/>
                <w:w w:val="93"/>
              </w:rPr>
              <w:t>Fair Value at</w:t>
            </w:r>
          </w:p>
        </w:tc>
        <w:tc>
          <w:tcPr>
            <w:tcW w:w="420" w:type="dxa"/>
            <w:vAlign w:val="bottom"/>
          </w:tcPr>
          <w:p>
            <w:pPr>
              <w:spacing w:after="0"/>
              <w:rPr>
                <w:sz w:val="18"/>
                <w:szCs w:val="18"/>
                <w:color w:val="auto"/>
              </w:rPr>
            </w:pPr>
          </w:p>
        </w:tc>
      </w:tr>
      <w:tr>
        <w:trPr>
          <w:trHeight w:val="230"/>
        </w:trPr>
        <w:tc>
          <w:tcPr>
            <w:tcW w:w="5460" w:type="dxa"/>
            <w:vAlign w:val="bottom"/>
          </w:tcPr>
          <w:p>
            <w:pPr>
              <w:spacing w:after="0"/>
              <w:rPr>
                <w:sz w:val="19"/>
                <w:szCs w:val="19"/>
                <w:color w:val="auto"/>
              </w:rPr>
            </w:pPr>
          </w:p>
        </w:tc>
        <w:tc>
          <w:tcPr>
            <w:tcW w:w="1860" w:type="dxa"/>
            <w:vAlign w:val="bottom"/>
            <w:gridSpan w:val="5"/>
          </w:tcPr>
          <w:p>
            <w:pPr>
              <w:jc w:val="center"/>
              <w:ind w:left="196"/>
              <w:spacing w:after="0"/>
              <w:rPr>
                <w:sz w:val="20"/>
                <w:szCs w:val="20"/>
                <w:color w:val="auto"/>
              </w:rPr>
            </w:pPr>
            <w:r>
              <w:rPr>
                <w:rFonts w:ascii="Arial" w:cs="Arial" w:eastAsia="Arial" w:hAnsi="Arial"/>
                <w:sz w:val="18"/>
                <w:szCs w:val="18"/>
                <w:b w:val="1"/>
                <w:bCs w:val="1"/>
                <w:color w:val="auto"/>
                <w:w w:val="90"/>
              </w:rPr>
              <w:t>January 31,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5"/>
          </w:tcPr>
          <w:p>
            <w:pPr>
              <w:jc w:val="center"/>
              <w:ind w:left="336"/>
              <w:spacing w:after="0"/>
              <w:rPr>
                <w:sz w:val="20"/>
                <w:szCs w:val="20"/>
                <w:color w:val="auto"/>
              </w:rPr>
            </w:pPr>
            <w:r>
              <w:rPr>
                <w:rFonts w:ascii="Arial" w:cs="Arial" w:eastAsia="Arial" w:hAnsi="Arial"/>
                <w:sz w:val="18"/>
                <w:szCs w:val="18"/>
                <w:b w:val="1"/>
                <w:bCs w:val="1"/>
                <w:color w:val="auto"/>
                <w:w w:val="92"/>
              </w:rPr>
              <w:t>January 31,</w:t>
            </w:r>
          </w:p>
        </w:tc>
        <w:tc>
          <w:tcPr>
            <w:tcW w:w="420" w:type="dxa"/>
            <w:vAlign w:val="bottom"/>
          </w:tcPr>
          <w:p>
            <w:pPr>
              <w:spacing w:after="0"/>
              <w:rPr>
                <w:sz w:val="19"/>
                <w:szCs w:val="19"/>
                <w:color w:val="auto"/>
              </w:rPr>
            </w:pPr>
          </w:p>
        </w:tc>
      </w:tr>
      <w:tr>
        <w:trPr>
          <w:trHeight w:val="234"/>
        </w:trPr>
        <w:tc>
          <w:tcPr>
            <w:tcW w:w="54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r>
      <w:tr>
        <w:trPr>
          <w:trHeight w:val="411"/>
        </w:trPr>
        <w:tc>
          <w:tcPr>
            <w:tcW w:w="5460" w:type="dxa"/>
            <w:vAlign w:val="bottom"/>
          </w:tcPr>
          <w:p>
            <w:pPr>
              <w:spacing w:after="0"/>
              <w:rPr>
                <w:sz w:val="20"/>
                <w:szCs w:val="20"/>
                <w:color w:val="auto"/>
              </w:rPr>
            </w:pPr>
            <w:r>
              <w:rPr>
                <w:rFonts w:ascii="Arial" w:cs="Arial" w:eastAsia="Arial" w:hAnsi="Arial"/>
                <w:sz w:val="18"/>
                <w:szCs w:val="18"/>
                <w:color w:val="auto"/>
              </w:rPr>
              <w:t>Commodity futures (1)</w:t>
            </w:r>
          </w:p>
        </w:tc>
        <w:tc>
          <w:tcPr>
            <w:tcW w:w="640" w:type="dxa"/>
            <w:vAlign w:val="bottom"/>
          </w:tcPr>
          <w:p>
            <w:pPr>
              <w:jc w:val="right"/>
              <w:ind w:right="47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Forward purchase contracts (2)</w:t>
            </w:r>
          </w:p>
        </w:tc>
        <w:tc>
          <w:tcPr>
            <w:tcW w:w="640" w:type="dxa"/>
            <w:vAlign w:val="bottom"/>
          </w:tcPr>
          <w:p>
            <w:pPr>
              <w:jc w:val="right"/>
              <w:ind w:right="47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105</w:t>
            </w:r>
          </w:p>
        </w:tc>
        <w:tc>
          <w:tcPr>
            <w:tcW w:w="8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993</w:t>
            </w:r>
          </w:p>
        </w:tc>
        <w:tc>
          <w:tcPr>
            <w:tcW w:w="640" w:type="dxa"/>
            <w:vAlign w:val="bottom"/>
          </w:tcPr>
          <w:p>
            <w:pPr>
              <w:jc w:val="right"/>
              <w:ind w:right="47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355</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880" w:hanging="440"/>
        <w:spacing w:after="0" w:line="25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Commodity futures assets are included in prepaid expenses and other. These contracts included short/sell positions and long/buy positions for approximately 3.2 million bushels and 725,000 bushels, respectively at January 31, 2023. Commodity futures liabilities are included in accrued expenses and other current liabilities. These contracts are short/sell positions for approximately 1.4 million bushels and 7.4 million bushels of corn at January 31, 2023 and 2022, respectively.</w:t>
      </w:r>
    </w:p>
    <w:p>
      <w:pPr>
        <w:spacing w:after="0" w:line="186"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 purchase contracts assets are included in prepaid expenses and other. These contracts are for purchases of approximately 5.2 million bushels and 19.2 million bushels of corn at January 31, 2023 and 2022, respectively. Forward purchase contracts liabilities are included in accrued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2" w:name="page53"/>
    <w:bookmarkEnd w:id="52"/>
    <w:p>
      <w:pPr>
        <w:jc w:val="center"/>
        <w:ind w:left="420"/>
        <w:spacing w:after="0"/>
        <w:rPr>
          <w:sz w:val="20"/>
          <w:szCs w:val="20"/>
          <w:color w:val="auto"/>
        </w:rPr>
      </w:pPr>
      <w:r>
        <w:rPr>
          <w:rFonts w:ascii="Arial" w:cs="Arial" w:eastAsia="Arial" w:hAnsi="Arial"/>
          <w:sz w:val="17"/>
          <w:szCs w:val="17"/>
          <w:color w:val="auto"/>
        </w:rPr>
        <w:t>expenses and other current liabilities. These contracts are for purchases of approximately 12.8 million bushels of corn at January 31, 2023</w:t>
      </w:r>
    </w:p>
    <w:p>
      <w:pPr>
        <w:spacing w:after="0" w:line="23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color w:val="auto"/>
        </w:rPr>
        <w:t>As of January 31, 2023, and 2022, all of the derivative financial instruments held by the Company were subject to enforceable master netting arrangements with the counterparty. The Company’s accounting policy is to offset positions owed or owing with the same counterparty. As of January 31, 2023, and 2022 the gross positions of the enforceable master netting agreements are not significantly different from the net positions presented in the table above. Depending on the amount of unrealized gains and losses on derivative contracts held by the Company, the counterparty may require collateral to secure the Company’s derivative contract positions. As of January 31, 2023, and 2022, the Company was required to maintain collateral with the counterparty in the amount of approximately $1,735,000 and $2,222,000, respectively, to secure the Company’s derivative liability position, which has been recorded on the balance sheet as restricted cash. See Note 4 which contains fair value information related to derivative financial instruments.</w:t>
      </w:r>
    </w:p>
    <w:p>
      <w:pPr>
        <w:spacing w:after="0" w:line="192"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The Company recognized losses (included in cost of sales) on corn and natural gas derivative financial instruments of approximately $12,714,000, $3,427,000, and $5,552,000 in fiscal years 2022, 2021, and 2020, respectively.</w:t>
      </w:r>
    </w:p>
    <w:p>
      <w:pPr>
        <w:spacing w:after="0" w:line="170"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The Company recognized losses (included in net sales and revenue) on ethanol derivative financial instruments of $1,024,000, $12,109,000 and $1,167,000 in fiscal years 2022, 2021, and 2020, respectively.</w:t>
      </w:r>
    </w:p>
    <w:p>
      <w:pPr>
        <w:spacing w:after="0" w:line="166"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rFonts w:ascii="Arial" w:cs="Arial" w:eastAsia="Arial" w:hAnsi="Arial"/>
          <w:sz w:val="18"/>
          <w:szCs w:val="18"/>
          <w:b w:val="1"/>
          <w:bCs w:val="1"/>
          <w:color w:val="auto"/>
        </w:rPr>
      </w:pPr>
    </w:p>
    <w:p>
      <w:pPr>
        <w:jc w:val="both"/>
        <w:ind w:left="4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maintains the REX American Resources Corporation 2015 Incentive Plan, approved by its shareholders, which reserved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the current year,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1,342,842 shares remain available for issuance under the Plan at January 31, 2023.</w:t>
      </w:r>
    </w:p>
    <w:p>
      <w:pPr>
        <w:spacing w:after="0" w:line="18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Stock Awards</w:t>
      </w:r>
    </w:p>
    <w:p>
      <w:pPr>
        <w:spacing w:after="0" w:line="225" w:lineRule="exact"/>
        <w:rPr>
          <w:rFonts w:ascii="Arial" w:cs="Arial" w:eastAsia="Arial" w:hAnsi="Arial"/>
          <w:sz w:val="18"/>
          <w:szCs w:val="18"/>
          <w:b w:val="1"/>
          <w:bCs w:val="1"/>
          <w:color w:val="auto"/>
        </w:rPr>
      </w:pPr>
    </w:p>
    <w:p>
      <w:pPr>
        <w:jc w:val="both"/>
        <w:ind w:lef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a component of their compensation, restricted stock has been granted to directors and certain employees at the market price of REX common stock on the date of the grant. In addition, one-quarter (one-third prior to 2022) of executives’ incentive compensation is payable by an award of restricted stock based on the then market price of REX common stock. The Company’s board of directors has determined that the grant date will be June 15</w:t>
      </w:r>
      <w:r>
        <w:rPr>
          <w:rFonts w:ascii="Arial" w:cs="Arial" w:eastAsia="Arial" w:hAnsi="Arial"/>
          <w:sz w:val="29"/>
          <w:szCs w:val="29"/>
          <w:color w:val="auto"/>
          <w:vertAlign w:val="superscript"/>
        </w:rPr>
        <w:t>th</w:t>
      </w:r>
      <w:r>
        <w:rPr>
          <w:rFonts w:ascii="Arial" w:cs="Arial" w:eastAsia="Arial" w:hAnsi="Arial"/>
          <w:sz w:val="18"/>
          <w:szCs w:val="18"/>
          <w:color w:val="auto"/>
        </w:rPr>
        <w:t>, or the next business day, for all grants of restricted stock.</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 January 31, 2023 and 2022, unrecognized compensation cost related to nonvested restricted stock was approximately $450,000 and $97,000.</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t>The following table summarizes non-vested restricted stock award activity for fiscal years 2022,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Average Grant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Remaining</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30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87"/>
              </w:rPr>
              <w:t>Non-Vested</w:t>
            </w: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Date Fair Value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Vesting Term</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(000’s)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2022</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30,167</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773</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70,689</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2,032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Forfeited</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13</w:t>
            </w:r>
          </w:p>
        </w:tc>
        <w:tc>
          <w:tcPr>
            <w:tcW w:w="15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Vested</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19,142</w:t>
            </w:r>
          </w:p>
        </w:tc>
        <w:tc>
          <w:tcPr>
            <w:tcW w:w="1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2023</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81,264</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2,320</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tcBorders>
              <w:top w:val="single" w:sz="8" w:color="E5FFFF"/>
            </w:tcBorders>
          </w:tcPr>
          <w:p>
            <w:pPr>
              <w:spacing w:after="0" w:line="20" w:lineRule="exact"/>
              <w:rPr>
                <w:sz w:val="1"/>
                <w:szCs w:val="1"/>
                <w:color w:val="auto"/>
              </w:rPr>
            </w:pPr>
          </w:p>
        </w:tc>
        <w:tc>
          <w:tcPr>
            <w:tcW w:w="21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Average Grant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Remaining</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30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87"/>
              </w:rPr>
              <w:t>Non-Vested</w:t>
            </w: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Date Fair Value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Vesting Term</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(000’s)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2021</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59,102</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1,398</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8,409</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Forfeited</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Vested</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37,344</w:t>
            </w:r>
          </w:p>
        </w:tc>
        <w:tc>
          <w:tcPr>
            <w:tcW w:w="1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2022</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30,167</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773</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tcBorders>
              <w:top w:val="single" w:sz="8" w:color="E5FFFF"/>
            </w:tcBorders>
          </w:tcPr>
          <w:p>
            <w:pPr>
              <w:spacing w:after="0" w:line="20" w:lineRule="exact"/>
              <w:rPr>
                <w:sz w:val="1"/>
                <w:szCs w:val="1"/>
                <w:color w:val="auto"/>
              </w:rPr>
            </w:pPr>
          </w:p>
        </w:tc>
        <w:tc>
          <w:tcPr>
            <w:tcW w:w="21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Average Grant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Remaining</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30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87"/>
              </w:rPr>
              <w:t>Non-Vested</w:t>
            </w: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Date Fair Value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Vesting Term</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(000’s)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2020</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85,970</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2,193</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18,474</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Forfeited</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Vested</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45,342</w:t>
            </w:r>
          </w:p>
        </w:tc>
        <w:tc>
          <w:tcPr>
            <w:tcW w:w="1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1,211</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72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2021</w:t>
            </w:r>
          </w:p>
        </w:tc>
        <w:tc>
          <w:tcPr>
            <w:tcW w:w="3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59,102</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1,398</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tcBorders>
              <w:top w:val="single" w:sz="8" w:color="E5FFFF"/>
            </w:tcBorders>
          </w:tcPr>
          <w:p>
            <w:pPr>
              <w:spacing w:after="0" w:line="20" w:lineRule="exact"/>
              <w:rPr>
                <w:sz w:val="1"/>
                <w:szCs w:val="1"/>
                <w:color w:val="auto"/>
              </w:rPr>
            </w:pPr>
          </w:p>
        </w:tc>
        <w:tc>
          <w:tcPr>
            <w:tcW w:w="2160" w:type="dxa"/>
            <w:vAlign w:val="bottom"/>
            <w:tcBorders>
              <w:top w:val="single" w:sz="8" w:color="E5FFFF"/>
              <w:bottom w:val="single" w:sz="8" w:color="E5FFFF"/>
            </w:tcBorders>
            <w:vMerge w:val="restart"/>
          </w:tcPr>
          <w:p>
            <w:pPr>
              <w:jc w:val="right"/>
              <w:ind w:right="490"/>
              <w:spacing w:after="0"/>
              <w:rPr>
                <w:sz w:val="20"/>
                <w:szCs w:val="20"/>
                <w:color w:val="auto"/>
              </w:rPr>
            </w:pPr>
            <w:r>
              <w:rPr>
                <w:rFonts w:ascii="Arial" w:cs="Arial" w:eastAsia="Arial" w:hAnsi="Arial"/>
                <w:sz w:val="18"/>
                <w:szCs w:val="18"/>
                <w:color w:val="auto"/>
              </w:rPr>
              <w:t>54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Borders>
              <w:bottom w:val="single" w:sz="8" w:color="C0C0C0"/>
            </w:tcBorders>
          </w:tcPr>
          <w:p>
            <w:pPr>
              <w:spacing w:after="0"/>
              <w:rPr>
                <w:sz w:val="18"/>
                <w:szCs w:val="18"/>
                <w:color w:val="auto"/>
              </w:rPr>
            </w:pPr>
          </w:p>
        </w:tc>
        <w:tc>
          <w:tcPr>
            <w:tcW w:w="3720" w:type="dxa"/>
            <w:vAlign w:val="bottom"/>
            <w:tcBorders>
              <w:bottom w:val="single" w:sz="8" w:color="C0C0C0"/>
            </w:tcBorders>
          </w:tcPr>
          <w:p>
            <w:pPr>
              <w:spacing w:after="0"/>
              <w:rPr>
                <w:sz w:val="18"/>
                <w:szCs w:val="18"/>
                <w:color w:val="auto"/>
              </w:rPr>
            </w:pPr>
          </w:p>
        </w:tc>
        <w:tc>
          <w:tcPr>
            <w:tcW w:w="2160" w:type="dxa"/>
            <w:vAlign w:val="bottom"/>
            <w:tcBorders>
              <w:bottom w:val="single" w:sz="8" w:color="C0C0C0"/>
            </w:tcBorders>
          </w:tcPr>
          <w:p>
            <w:pPr>
              <w:spacing w:after="0"/>
              <w:rPr>
                <w:sz w:val="18"/>
                <w:szCs w:val="18"/>
                <w:color w:val="auto"/>
              </w:rPr>
            </w:pPr>
          </w:p>
        </w:tc>
        <w:tc>
          <w:tcPr>
            <w:tcW w:w="86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160" w:type="dxa"/>
            <w:vAlign w:val="bottom"/>
            <w:tcBorders>
              <w:bottom w:val="single" w:sz="8" w:color="C0C0C0"/>
            </w:tcBorders>
          </w:tcPr>
          <w:p>
            <w:pPr>
              <w:spacing w:after="0"/>
              <w:rPr>
                <w:sz w:val="18"/>
                <w:szCs w:val="18"/>
                <w:color w:val="auto"/>
              </w:rPr>
            </w:pPr>
          </w:p>
        </w:tc>
        <w:tc>
          <w:tcPr>
            <w:tcW w:w="104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1500" w:type="dxa"/>
            <w:vAlign w:val="bottom"/>
            <w:tcBorders>
              <w:bottom w:val="single" w:sz="8" w:color="C0C0C0"/>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c>
          <w:tcPr>
            <w:tcW w:w="70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54" w:name="page55"/>
    <w:bookmarkEnd w:id="54"/>
    <w:p>
      <w:pPr>
        <w:ind w:left="432"/>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ind w:left="432"/>
        <w:spacing w:after="0" w:line="301" w:lineRule="auto"/>
        <w:rPr>
          <w:sz w:val="20"/>
          <w:szCs w:val="20"/>
          <w:color w:val="auto"/>
        </w:rPr>
      </w:pPr>
      <w:r>
        <w:rPr>
          <w:rFonts w:ascii="Arial" w:cs="Arial" w:eastAsia="Arial" w:hAnsi="Arial"/>
          <w:sz w:val="16"/>
          <w:szCs w:val="16"/>
          <w:color w:val="auto"/>
        </w:rPr>
        <w:t>In May 2022, the Company issued a total of 67,500 RSUs to certain officers. The number of RSUs eligible to vest will be determined based on how the Company’s TSR compares to the TSR of companies that comprise the Russell 2000 Index during the three-year performance period ending December 31, 2024. The number of RSUs eligible to vest ranges from zero percent to two hundred percent, depending on actual performance during the performance period. At grant date, the fair value of the RSUs was approximately $2.7 million based on a Monte-Carlo simulation model.</w:t>
      </w:r>
    </w:p>
    <w:p>
      <w:pPr>
        <w:spacing w:after="0" w:line="157" w:lineRule="exact"/>
        <w:rPr>
          <w:sz w:val="20"/>
          <w:szCs w:val="20"/>
          <w:color w:val="auto"/>
        </w:rPr>
      </w:pPr>
    </w:p>
    <w:p>
      <w:pPr>
        <w:ind w:left="432"/>
        <w:spacing w:after="0"/>
        <w:rPr>
          <w:sz w:val="20"/>
          <w:szCs w:val="20"/>
          <w:color w:val="auto"/>
        </w:rPr>
      </w:pPr>
      <w:r>
        <w:rPr>
          <w:rFonts w:ascii="Arial" w:cs="Arial" w:eastAsia="Arial" w:hAnsi="Arial"/>
          <w:sz w:val="18"/>
          <w:szCs w:val="18"/>
          <w:color w:val="auto"/>
        </w:rPr>
        <w:t>At January 31, 2023, unrecognized compensation cost related to nonvested RSUs was approximately $2.0 million.</w:t>
      </w:r>
    </w:p>
    <w:p>
      <w:pPr>
        <w:spacing w:after="0" w:line="221" w:lineRule="exact"/>
        <w:rPr>
          <w:sz w:val="20"/>
          <w:szCs w:val="20"/>
          <w:color w:val="auto"/>
        </w:rPr>
      </w:pPr>
    </w:p>
    <w:p>
      <w:pPr>
        <w:ind w:left="432" w:hanging="432"/>
        <w:spacing w:after="0"/>
        <w:tabs>
          <w:tab w:leader="none" w:pos="4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43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At January 31, 2023, One Earth and NuGen had combined forward purchase contracts for approximately 18.0 million bushels of corn, the principal raw material for their ethanol plants and they had combined forward purchase contracts for approximately 2.7 MmBtu of natural gas.</w:t>
      </w:r>
    </w:p>
    <w:p>
      <w:pPr>
        <w:spacing w:after="0" w:line="146" w:lineRule="exact"/>
        <w:rPr>
          <w:rFonts w:ascii="Arial" w:cs="Arial" w:eastAsia="Arial" w:hAnsi="Arial"/>
          <w:sz w:val="18"/>
          <w:szCs w:val="18"/>
          <w:b w:val="1"/>
          <w:bCs w:val="1"/>
          <w:color w:val="auto"/>
        </w:rPr>
      </w:pPr>
    </w:p>
    <w:p>
      <w:pPr>
        <w:ind w:left="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January 31, 2023, One Earth and NuGen had combined sales commitments for approximately 46.5 million gallons of ethanol, 101,000 tons of distillers grains and 9.9 million pounds of non-food grade corn oil.</w:t>
      </w:r>
    </w:p>
    <w:p>
      <w:pPr>
        <w:spacing w:after="0" w:line="170" w:lineRule="exact"/>
        <w:rPr>
          <w:rFonts w:ascii="Arial" w:cs="Arial" w:eastAsia="Arial" w:hAnsi="Arial"/>
          <w:sz w:val="18"/>
          <w:szCs w:val="18"/>
          <w:b w:val="1"/>
          <w:bCs w:val="1"/>
          <w:color w:val="auto"/>
        </w:rPr>
      </w:pPr>
    </w:p>
    <w:p>
      <w:pPr>
        <w:ind w:left="432"/>
        <w:spacing w:after="0"/>
        <w:rPr>
          <w:rFonts w:ascii="Arial" w:cs="Arial" w:eastAsia="Arial" w:hAnsi="Arial"/>
          <w:sz w:val="18"/>
          <w:szCs w:val="18"/>
          <w:b w:val="1"/>
          <w:bCs w:val="1"/>
          <w:color w:val="auto"/>
        </w:rPr>
      </w:pPr>
      <w:r>
        <w:rPr>
          <w:rFonts w:ascii="Arial" w:cs="Arial" w:eastAsia="Arial" w:hAnsi="Arial"/>
          <w:sz w:val="18"/>
          <w:szCs w:val="18"/>
          <w:color w:val="auto"/>
        </w:rPr>
        <w:t>At January 31, 2023, One Earth had signed contracts in place for capital projects of approximately $29.3 million.</w:t>
      </w:r>
    </w:p>
    <w:p>
      <w:pPr>
        <w:spacing w:after="0" w:line="225" w:lineRule="exact"/>
        <w:rPr>
          <w:rFonts w:ascii="Arial" w:cs="Arial" w:eastAsia="Arial" w:hAnsi="Arial"/>
          <w:sz w:val="18"/>
          <w:szCs w:val="18"/>
          <w:b w:val="1"/>
          <w:bCs w:val="1"/>
          <w:color w:val="auto"/>
        </w:rPr>
      </w:pPr>
    </w:p>
    <w:p>
      <w:pPr>
        <w:jc w:val="both"/>
        <w:ind w:left="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One Earth has entered into a 10-year agreement in 2009 with an unrelated party for the use of a portion of that party’s natural gas pipeline. A new 15-year agreement, with monthly payments of $29,250 was effective February 1, 2019. One Earth paid approximately $351,000 in fiscal years 2022, 2021, and 2020 pursuant to the agreement.</w:t>
      </w:r>
    </w:p>
    <w:p>
      <w:pPr>
        <w:spacing w:after="0" w:line="183" w:lineRule="exact"/>
        <w:rPr>
          <w:rFonts w:ascii="Arial" w:cs="Arial" w:eastAsia="Arial" w:hAnsi="Arial"/>
          <w:sz w:val="18"/>
          <w:szCs w:val="18"/>
          <w:b w:val="1"/>
          <w:bCs w:val="1"/>
          <w:color w:val="auto"/>
        </w:rPr>
      </w:pPr>
    </w:p>
    <w:p>
      <w:pPr>
        <w:jc w:val="both"/>
        <w:ind w:left="43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 Earth and NuGen to pay a fee per ton of distillers grains sold for the Distillers Grains Marketers’ services. The terms of the agreements are for one year and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$1,159,000, $1,190,000, and $841,000 in fiscal years 2022, 2021, and 2020, respectively, for these marketing services.</w:t>
      </w:r>
    </w:p>
    <w:p>
      <w:pPr>
        <w:spacing w:after="0" w:line="195" w:lineRule="exact"/>
        <w:rPr>
          <w:sz w:val="20"/>
          <w:szCs w:val="20"/>
          <w:color w:val="auto"/>
        </w:rPr>
      </w:pPr>
    </w:p>
    <w:p>
      <w:pPr>
        <w:jc w:val="both"/>
        <w:ind w:left="432"/>
        <w:spacing w:after="0" w:line="263" w:lineRule="auto"/>
        <w:rPr>
          <w:sz w:val="20"/>
          <w:szCs w:val="20"/>
          <w:color w:val="auto"/>
        </w:rPr>
      </w:pPr>
      <w:r>
        <w:rPr>
          <w:rFonts w:ascii="Arial" w:cs="Arial" w:eastAsia="Arial" w:hAnsi="Arial"/>
          <w:sz w:val="18"/>
          <w:szCs w:val="18"/>
          <w:color w:val="auto"/>
        </w:rPr>
        <w:t>The refined coal entity had various agreements (site license, operating agreements, etc.) containing payment terms based upon production of refined coal under which the Company was required to pay various fees. These fees totaled approximately $5,404,000 and $2,500,000 in fiscal years 2021 and 2020.</w:t>
      </w:r>
    </w:p>
    <w:p>
      <w:pPr>
        <w:spacing w:after="0" w:line="15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55" w:name="page56"/>
    <w:bookmarkEnd w:id="55"/>
    <w:p>
      <w:pPr>
        <w:ind w:left="432" w:hanging="432"/>
        <w:spacing w:after="0"/>
        <w:tabs>
          <w:tab w:leader="none" w:pos="4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32"/>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for fiscal years 2022, 2021, and 2020 consist of the following (amounts in thousands):</w:t>
      </w:r>
    </w:p>
    <w:p>
      <w:pPr>
        <w:spacing w:after="0" w:line="235" w:lineRule="exact"/>
        <w:rPr>
          <w:sz w:val="20"/>
          <w:szCs w:val="20"/>
          <w:color w:val="auto"/>
        </w:rPr>
      </w:pPr>
    </w:p>
    <w:tbl>
      <w:tblPr>
        <w:tblLayout w:type="fixed"/>
        <w:tblInd w:w="432"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Federal:</w:t>
            </w:r>
          </w:p>
        </w:tc>
        <w:tc>
          <w:tcPr>
            <w:tcW w:w="16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4,485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4,450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r>
      <w:tr>
        <w:trPr>
          <w:trHeight w:val="229"/>
        </w:trPr>
        <w:tc>
          <w:tcPr>
            <w:tcW w:w="42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w:t>
            </w:r>
          </w:p>
        </w:tc>
        <w:tc>
          <w:tcPr>
            <w:tcW w:w="16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2,925</w:t>
            </w:r>
          </w:p>
        </w:tc>
        <w:tc>
          <w:tcPr>
            <w:tcW w:w="2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12,064</w:t>
            </w:r>
          </w:p>
        </w:tc>
        <w:tc>
          <w:tcPr>
            <w:tcW w:w="3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(1,850)</w:t>
            </w: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16,514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r>
      <w:tr>
        <w:trPr>
          <w:trHeight w:val="209"/>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State and Local:</w:t>
            </w:r>
          </w:p>
        </w:tc>
        <w:tc>
          <w:tcPr>
            <w:tcW w:w="16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4,167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3,098</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29"/>
        </w:trPr>
        <w:tc>
          <w:tcPr>
            <w:tcW w:w="42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w:t>
            </w:r>
          </w:p>
        </w:tc>
        <w:tc>
          <w:tcPr>
            <w:tcW w:w="16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1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(2,035)</w:t>
            </w:r>
          </w:p>
        </w:tc>
        <w:tc>
          <w:tcPr>
            <w:tcW w:w="1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(621)</w:t>
            </w: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9"/>
        </w:trPr>
        <w:tc>
          <w:tcPr>
            <w:tcW w:w="4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Provision (benefit) for income taxes</w:t>
            </w:r>
          </w:p>
        </w:tc>
        <w:tc>
          <w:tcPr>
            <w:tcW w:w="19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9,542</w:t>
            </w:r>
          </w:p>
        </w:tc>
        <w:tc>
          <w:tcPr>
            <w:tcW w:w="4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19,031</w:t>
            </w: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(546)</w:t>
            </w:r>
          </w:p>
        </w:tc>
      </w:tr>
      <w:tr>
        <w:trPr>
          <w:trHeight w:val="20"/>
        </w:trPr>
        <w:tc>
          <w:tcPr>
            <w:tcW w:w="4240" w:type="dxa"/>
            <w:vAlign w:val="bottom"/>
            <w:tcBorders>
              <w:top w:val="single" w:sz="8" w:color="E5FFFF"/>
            </w:tcBorders>
          </w:tcPr>
          <w:p>
            <w:pPr>
              <w:spacing w:after="0" w:line="20" w:lineRule="exact"/>
              <w:rPr>
                <w:sz w:val="1"/>
                <w:szCs w:val="1"/>
                <w:color w:val="auto"/>
              </w:rPr>
            </w:pPr>
          </w:p>
        </w:tc>
        <w:tc>
          <w:tcPr>
            <w:tcW w:w="16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ind w:left="432"/>
        <w:spacing w:after="0"/>
        <w:rPr>
          <w:sz w:val="20"/>
          <w:szCs w:val="20"/>
          <w:color w:val="auto"/>
        </w:rPr>
      </w:pPr>
      <w:r>
        <w:rPr>
          <w:rFonts w:ascii="Arial" w:cs="Arial" w:eastAsia="Arial" w:hAnsi="Arial"/>
          <w:sz w:val="16"/>
          <w:szCs w:val="16"/>
          <w:color w:val="auto"/>
        </w:rPr>
        <w:t>The tax effects of significant temporary differences representing deferred tax assets and liabilities are as follows (amounts in thousands):</w:t>
      </w:r>
    </w:p>
    <w:p>
      <w:pPr>
        <w:spacing w:after="0" w:line="244" w:lineRule="exact"/>
        <w:rPr>
          <w:sz w:val="20"/>
          <w:szCs w:val="20"/>
          <w:color w:val="auto"/>
        </w:rPr>
      </w:pPr>
    </w:p>
    <w:tbl>
      <w:tblPr>
        <w:tblLayout w:type="fixed"/>
        <w:tblInd w:w="432"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General business credit carryforward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26,061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39,199</w:t>
            </w:r>
          </w:p>
        </w:tc>
        <w:tc>
          <w:tcPr>
            <w:tcW w:w="80" w:type="dxa"/>
            <w:vAlign w:val="bottom"/>
          </w:tcPr>
          <w:p>
            <w:pPr>
              <w:spacing w:after="0"/>
              <w:rPr>
                <w:sz w:val="18"/>
                <w:szCs w:val="18"/>
                <w:color w:val="auto"/>
              </w:rPr>
            </w:pPr>
          </w:p>
        </w:tc>
      </w:tr>
      <w:tr>
        <w:trPr>
          <w:trHeight w:val="216"/>
        </w:trPr>
        <w:tc>
          <w:tcPr>
            <w:tcW w:w="65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627</w:t>
            </w:r>
          </w:p>
        </w:tc>
        <w:tc>
          <w:tcPr>
            <w:tcW w:w="280" w:type="dxa"/>
            <w:vAlign w:val="bottom"/>
            <w:shd w:val="clear" w:color="auto" w:fill="E5FFFF"/>
          </w:tcPr>
          <w:p>
            <w:pPr>
              <w:spacing w:after="0"/>
              <w:rPr>
                <w:sz w:val="18"/>
                <w:szCs w:val="18"/>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E5FF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State net operating loss carryforward</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r>
      <w:tr>
        <w:trPr>
          <w:trHeight w:val="216"/>
        </w:trPr>
        <w:tc>
          <w:tcPr>
            <w:tcW w:w="65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items</w:t>
            </w:r>
          </w:p>
        </w:tc>
        <w:tc>
          <w:tcPr>
            <w:tcW w:w="20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E5FFFF"/>
          </w:tcPr>
          <w:p>
            <w:pPr>
              <w:spacing w:after="0"/>
              <w:rPr>
                <w:sz w:val="18"/>
                <w:szCs w:val="18"/>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E5FFFF"/>
          </w:tcPr>
          <w:p>
            <w:pPr>
              <w:spacing w:after="0"/>
              <w:rPr>
                <w:sz w:val="18"/>
                <w:szCs w:val="18"/>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0"/>
        </w:trPr>
        <w:tc>
          <w:tcPr>
            <w:tcW w:w="6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12"/>
          </w:cols>
          <w:pgMar w:left="328" w:top="405" w:right="359" w:bottom="1440" w:gutter="0" w:footer="0" w:header="0"/>
        </w:sectPr>
      </w:pPr>
    </w:p>
    <w:p>
      <w:pPr>
        <w:spacing w:after="0" w:line="2"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-121920</wp:posOffset>
            </wp:positionV>
            <wp:extent cx="570039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6" w:lineRule="exact"/>
        <w:rPr>
          <w:sz w:val="20"/>
          <w:szCs w:val="20"/>
          <w:color w:val="auto"/>
        </w:rPr>
      </w:pPr>
    </w:p>
    <w:p>
      <w:pPr>
        <w:ind w:left="432"/>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14605</wp:posOffset>
            </wp:positionV>
            <wp:extent cx="570039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612" w:right="2380"/>
        <w:spacing w:after="0" w:line="260" w:lineRule="auto"/>
        <w:rPr>
          <w:sz w:val="20"/>
          <w:szCs w:val="20"/>
          <w:color w:val="auto"/>
        </w:rPr>
      </w:pPr>
      <w:r>
        <w:rPr>
          <w:rFonts w:ascii="Arial" w:cs="Arial" w:eastAsia="Arial" w:hAnsi="Arial"/>
          <w:sz w:val="18"/>
          <w:szCs w:val="18"/>
          <w:color w:val="auto"/>
        </w:rPr>
        <w:t>Basis in pass through entities, including depreciation Other</w:t>
      </w:r>
    </w:p>
    <w:p>
      <w:pPr>
        <w:spacing w:after="0" w:line="20" w:lineRule="exact"/>
        <w:rPr>
          <w:sz w:val="20"/>
          <w:szCs w:val="20"/>
          <w:color w:val="auto"/>
        </w:rPr>
      </w:pPr>
      <w:r>
        <w:rPr>
          <w:sz w:val="20"/>
          <w:szCs w:val="20"/>
          <w:color w:val="auto"/>
        </w:rPr>
        <w:br w:type="column"/>
      </w:r>
    </w:p>
    <w:p>
      <w:pPr>
        <w:spacing w:after="0"/>
        <w:tabs>
          <w:tab w:leader="none" w:pos="1300" w:val="left"/>
        </w:tabs>
        <w:rPr>
          <w:sz w:val="20"/>
          <w:szCs w:val="20"/>
          <w:color w:val="auto"/>
        </w:rPr>
      </w:pPr>
      <w:r>
        <w:rPr>
          <w:rFonts w:ascii="Arial" w:cs="Arial" w:eastAsia="Arial" w:hAnsi="Arial"/>
          <w:sz w:val="18"/>
          <w:szCs w:val="18"/>
          <w:color w:val="auto"/>
        </w:rPr>
        <w:t>26,980</w:t>
      </w:r>
      <w:r>
        <w:rPr>
          <w:sz w:val="20"/>
          <w:szCs w:val="20"/>
          <w:color w:val="auto"/>
        </w:rPr>
        <w:tab/>
      </w:r>
      <w:r>
        <w:rPr>
          <w:rFonts w:ascii="Arial" w:cs="Arial" w:eastAsia="Arial" w:hAnsi="Arial"/>
          <w:sz w:val="18"/>
          <w:szCs w:val="18"/>
          <w:color w:val="auto"/>
        </w:rPr>
        <w:t>40,117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14605</wp:posOffset>
            </wp:positionV>
            <wp:extent cx="1482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1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color w:val="auto"/>
        </w:rPr>
        <w:t>(5,821)</w:t>
      </w:r>
      <w:r>
        <w:rPr>
          <w:sz w:val="20"/>
          <w:szCs w:val="20"/>
          <w:color w:val="auto"/>
        </w:rPr>
        <w:tab/>
      </w:r>
      <w:r>
        <w:rPr>
          <w:rFonts w:ascii="Arial" w:cs="Arial" w:eastAsia="Arial" w:hAnsi="Arial"/>
          <w:sz w:val="16"/>
          <w:szCs w:val="16"/>
          <w:color w:val="auto"/>
        </w:rPr>
        <w:t>(17,995)</w:t>
      </w:r>
    </w:p>
    <w:p>
      <w:pPr>
        <w:spacing w:after="0" w:line="46"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7"/>
          <w:szCs w:val="17"/>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14605</wp:posOffset>
            </wp:positionV>
            <wp:extent cx="1482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792" w:space="720"/>
            <w:col w:w="3700"/>
          </w:cols>
          <w:pgMar w:left="328" w:top="405" w:right="359" w:bottom="1440" w:gutter="0" w:footer="0" w:header="0"/>
          <w:type w:val="continuous"/>
        </w:sectPr>
      </w:pPr>
    </w:p>
    <w:p>
      <w:pPr>
        <w:spacing w:after="0" w:line="27" w:lineRule="exact"/>
        <w:rPr>
          <w:sz w:val="20"/>
          <w:szCs w:val="20"/>
          <w:color w:val="auto"/>
        </w:rPr>
      </w:pPr>
    </w:p>
    <w:tbl>
      <w:tblPr>
        <w:tblLayout w:type="fixed"/>
        <w:tblInd w:w="432" w:type="dxa"/>
        <w:tblCellMar>
          <w:top w:w="0" w:type="dxa"/>
          <w:left w:w="0" w:type="dxa"/>
          <w:bottom w:w="0" w:type="dxa"/>
          <w:right w:w="0" w:type="dxa"/>
        </w:tblCellMar>
      </w:tblPr>
      <w:tr>
        <w:trPr>
          <w:trHeight w:val="230"/>
        </w:trPr>
        <w:tc>
          <w:tcPr>
            <w:tcW w:w="656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(6,113)</w:t>
            </w:r>
          </w:p>
        </w:tc>
        <w:tc>
          <w:tcPr>
            <w:tcW w:w="260" w:type="dxa"/>
            <w:vAlign w:val="bottom"/>
            <w:shd w:val="clear" w:color="auto" w:fill="E5FFFF"/>
          </w:tcPr>
          <w:p>
            <w:pPr>
              <w:spacing w:after="0"/>
              <w:rPr>
                <w:sz w:val="19"/>
                <w:szCs w:val="19"/>
                <w:color w:val="auto"/>
              </w:rPr>
            </w:pPr>
          </w:p>
        </w:tc>
        <w:tc>
          <w:tcPr>
            <w:tcW w:w="80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(18,335)</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20,867</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spacing w:after="0" w:line="308" w:lineRule="auto"/>
        <w:rPr>
          <w:sz w:val="20"/>
          <w:szCs w:val="20"/>
          <w:color w:val="auto"/>
        </w:rPr>
      </w:pPr>
      <w:r>
        <w:rPr>
          <w:rFonts w:ascii="Arial" w:cs="Arial" w:eastAsia="Arial" w:hAnsi="Arial"/>
          <w:sz w:val="17"/>
          <w:szCs w:val="17"/>
          <w:color w:val="auto"/>
        </w:rPr>
        <w:t>The Company has a general business credit carryforward of approximately $26.1 million and $39.2 million at January 31, 2023 and 2022, respectively. The Company can carry these credits forward for up to twenty years. The carryforward period begins to expire in fiscal year 2038.</w:t>
      </w:r>
    </w:p>
    <w:p>
      <w:pPr>
        <w:spacing w:after="0" w:line="146" w:lineRule="exact"/>
        <w:rPr>
          <w:sz w:val="20"/>
          <w:szCs w:val="20"/>
          <w:color w:val="auto"/>
        </w:rPr>
      </w:pPr>
    </w:p>
    <w:p>
      <w:pPr>
        <w:ind w:left="432" w:right="320"/>
        <w:spacing w:after="0" w:line="277" w:lineRule="auto"/>
        <w:rPr>
          <w:sz w:val="20"/>
          <w:szCs w:val="20"/>
          <w:color w:val="auto"/>
        </w:rPr>
      </w:pPr>
      <w:r>
        <w:rPr>
          <w:rFonts w:ascii="Arial" w:cs="Arial" w:eastAsia="Arial" w:hAnsi="Arial"/>
          <w:sz w:val="18"/>
          <w:szCs w:val="18"/>
          <w:color w:val="auto"/>
        </w:rPr>
        <w:t>The Company has a valuation allowance of approximately $192,000 and $213,000 at January 31, 2023 and 2022, respectively, related to state net operating loss carryforwards. The Company decreased the</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12"/>
          </w:cols>
          <w:pgMar w:left="328" w:top="405" w:right="359" w:bottom="1440" w:gutter="0" w:footer="0" w:header="0"/>
          <w:type w:val="continuous"/>
        </w:sectPr>
      </w:pPr>
    </w:p>
    <w:bookmarkStart w:id="56" w:name="page57"/>
    <w:bookmarkEnd w:id="56"/>
    <w:p>
      <w:pPr>
        <w:ind w:right="140"/>
        <w:spacing w:after="0" w:line="277" w:lineRule="auto"/>
        <w:rPr>
          <w:sz w:val="20"/>
          <w:szCs w:val="20"/>
          <w:color w:val="auto"/>
        </w:rPr>
      </w:pPr>
      <w:r>
        <w:rPr>
          <w:rFonts w:ascii="Arial" w:cs="Arial" w:eastAsia="Arial" w:hAnsi="Arial"/>
          <w:sz w:val="18"/>
          <w:szCs w:val="18"/>
          <w:color w:val="auto"/>
        </w:rPr>
        <w:t>valuation allowance by $21,000 in fiscal year 2022. These adjustments to the valuation allowance are a result of estimates of realizing certain future state tax benefits.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Through its refined coal operation, the Company earned production tax credits pursuant to IRC Section 45. The Company ceased operation of its refined coal business on November 18, 2021. The credits can be used to reduce future income tax liabilities for up to 20 years. These credits increased the income tax benefit from discontinued operations by approximately $11.3 million and $5.2 million during fiscal years 2021 and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years 2022, 2021, and 2020, the Company recognized an income tax benefit (provision) for federal and state research and experimentation credits (net of uncertain tax position expense) of approximately $0.4 million, $(3.0) million, and $0.9 million, respectively. The credits can be used to reduce future income tax liabilities for up to 20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paid income taxes of approximately $2,795,000, $7,239,000, and $1,274,000 in fiscal years 2022, 2021, and 2020, respectively. The Company received refunds of income taxes of approximately $655,000 in fiscal year 2020. The Company did not receive any refunds in fiscal years 2022 and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the federal statutory tax and the Company’s income tax (benefit) expense for fiscal years 2022, 2021, and 2020 are as follows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5FFFF"/>
          </w:tcPr>
          <w:p>
            <w:pPr>
              <w:spacing w:after="0"/>
              <w:rPr>
                <w:sz w:val="20"/>
                <w:szCs w:val="20"/>
                <w:color w:val="auto"/>
              </w:rPr>
            </w:pPr>
            <w:r>
              <w:rPr>
                <w:rFonts w:ascii="Arial" w:cs="Arial" w:eastAsia="Arial" w:hAnsi="Arial"/>
                <w:sz w:val="18"/>
                <w:szCs w:val="18"/>
                <w:color w:val="auto"/>
              </w:rPr>
              <w:t>Federal income tax at statutory rate</w:t>
            </w: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9,971</w:t>
            </w:r>
          </w:p>
        </w:tc>
        <w:tc>
          <w:tcPr>
            <w:tcW w:w="4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15,926</w:t>
            </w: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2,396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0" w:type="dxa"/>
            <w:vAlign w:val="bottom"/>
            <w:shd w:val="clear" w:color="auto" w:fill="E5FFFF"/>
          </w:tcPr>
          <w:p>
            <w:pPr>
              <w:spacing w:after="0"/>
              <w:rPr>
                <w:sz w:val="20"/>
                <w:szCs w:val="20"/>
                <w:color w:val="auto"/>
              </w:rPr>
            </w:pPr>
            <w:r>
              <w:rPr>
                <w:rFonts w:ascii="Arial" w:cs="Arial" w:eastAsia="Arial" w:hAnsi="Arial"/>
                <w:sz w:val="18"/>
                <w:szCs w:val="18"/>
                <w:color w:val="auto"/>
              </w:rPr>
              <w:t>Research and experimentation credits</w:t>
            </w:r>
          </w:p>
        </w:tc>
        <w:tc>
          <w:tcPr>
            <w:tcW w:w="1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(2,542)</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(5,184)</w:t>
            </w:r>
          </w:p>
        </w:tc>
        <w:tc>
          <w:tcPr>
            <w:tcW w:w="2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8,340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460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(2,231)</w:t>
            </w:r>
          </w:p>
        </w:tc>
        <w:tc>
          <w:tcPr>
            <w:tcW w:w="2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vMerge w:val="restart"/>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8"/>
                <w:szCs w:val="18"/>
                <w:color w:val="auto"/>
              </w:rPr>
              <w:t>9,542</w:t>
            </w:r>
          </w:p>
        </w:tc>
        <w:tc>
          <w:tcPr>
            <w:tcW w:w="400" w:type="dxa"/>
            <w:vAlign w:val="bottom"/>
            <w:gridSpan w:val="2"/>
            <w:vMerge w:val="restart"/>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E5FFFF"/>
          </w:tcPr>
          <w:p>
            <w:pPr>
              <w:jc w:val="right"/>
              <w:ind w:right="380"/>
              <w:spacing w:after="0"/>
              <w:rPr>
                <w:sz w:val="20"/>
                <w:szCs w:val="20"/>
                <w:color w:val="auto"/>
              </w:rPr>
            </w:pPr>
            <w:r>
              <w:rPr>
                <w:rFonts w:ascii="Arial" w:cs="Arial" w:eastAsia="Arial" w:hAnsi="Arial"/>
                <w:sz w:val="18"/>
                <w:szCs w:val="18"/>
                <w:color w:val="auto"/>
              </w:rPr>
              <w:t>19,031</w:t>
            </w:r>
          </w:p>
        </w:tc>
        <w:tc>
          <w:tcPr>
            <w:tcW w:w="240" w:type="dxa"/>
            <w:vAlign w:val="bottom"/>
            <w:vMerge w:val="restart"/>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600" w:type="dxa"/>
            <w:vAlign w:val="bottom"/>
            <w:vMerge w:val="continue"/>
            <w:shd w:val="clear" w:color="auto" w:fill="E5FFFF"/>
          </w:tcPr>
          <w:p>
            <w:pPr>
              <w:spacing w:after="0"/>
              <w:rPr>
                <w:sz w:val="5"/>
                <w:szCs w:val="5"/>
                <w:color w:val="auto"/>
              </w:rPr>
            </w:pPr>
          </w:p>
        </w:tc>
        <w:tc>
          <w:tcPr>
            <w:tcW w:w="1500" w:type="dxa"/>
            <w:vAlign w:val="bottom"/>
            <w:gridSpan w:val="2"/>
            <w:vMerge w:val="continue"/>
            <w:shd w:val="clear" w:color="auto" w:fill="E5FFFF"/>
          </w:tcPr>
          <w:p>
            <w:pPr>
              <w:spacing w:after="0"/>
              <w:rPr>
                <w:sz w:val="5"/>
                <w:szCs w:val="5"/>
                <w:color w:val="auto"/>
              </w:rPr>
            </w:pPr>
          </w:p>
        </w:tc>
        <w:tc>
          <w:tcPr>
            <w:tcW w:w="1140" w:type="dxa"/>
            <w:vAlign w:val="bottom"/>
            <w:gridSpan w:val="2"/>
            <w:vMerge w:val="continue"/>
            <w:shd w:val="clear" w:color="auto" w:fill="E5FFFF"/>
          </w:tcPr>
          <w:p>
            <w:pPr>
              <w:spacing w:after="0"/>
              <w:rPr>
                <w:sz w:val="5"/>
                <w:szCs w:val="5"/>
                <w:color w:val="auto"/>
              </w:rPr>
            </w:pPr>
          </w:p>
        </w:tc>
        <w:tc>
          <w:tcPr>
            <w:tcW w:w="400" w:type="dxa"/>
            <w:vAlign w:val="bottom"/>
            <w:gridSpan w:val="2"/>
            <w:vMerge w:val="continue"/>
            <w:shd w:val="clear" w:color="auto" w:fill="E5FFFF"/>
          </w:tcPr>
          <w:p>
            <w:pPr>
              <w:spacing w:after="0"/>
              <w:rPr>
                <w:sz w:val="5"/>
                <w:szCs w:val="5"/>
                <w:color w:val="auto"/>
              </w:rPr>
            </w:pPr>
          </w:p>
        </w:tc>
        <w:tc>
          <w:tcPr>
            <w:tcW w:w="1260" w:type="dxa"/>
            <w:vAlign w:val="bottom"/>
            <w:gridSpan w:val="2"/>
            <w:vMerge w:val="continue"/>
            <w:shd w:val="clear" w:color="auto" w:fill="E5FFFF"/>
          </w:tcPr>
          <w:p>
            <w:pPr>
              <w:spacing w:after="0"/>
              <w:rPr>
                <w:sz w:val="5"/>
                <w:szCs w:val="5"/>
                <w:color w:val="auto"/>
              </w:rPr>
            </w:pPr>
          </w:p>
        </w:tc>
        <w:tc>
          <w:tcPr>
            <w:tcW w:w="240" w:type="dxa"/>
            <w:vAlign w:val="bottom"/>
            <w:vMerge w:val="continue"/>
            <w:shd w:val="clear" w:color="auto" w:fill="E5FFFF"/>
          </w:tcPr>
          <w:p>
            <w:pPr>
              <w:spacing w:after="0"/>
              <w:rPr>
                <w:sz w:val="5"/>
                <w:szCs w:val="5"/>
                <w:color w:val="auto"/>
              </w:rPr>
            </w:pPr>
          </w:p>
        </w:tc>
        <w:tc>
          <w:tcPr>
            <w:tcW w:w="960" w:type="dxa"/>
            <w:vAlign w:val="bottom"/>
            <w:gridSpan w:val="2"/>
            <w:shd w:val="clear" w:color="auto" w:fill="E5FFFF"/>
          </w:tcPr>
          <w:p>
            <w:pPr>
              <w:jc w:val="right"/>
              <w:ind w:right="100"/>
              <w:spacing w:after="0" w:line="68" w:lineRule="exact"/>
              <w:rPr>
                <w:sz w:val="20"/>
                <w:szCs w:val="20"/>
                <w:color w:val="auto"/>
              </w:rPr>
            </w:pPr>
            <w:r>
              <w:rPr>
                <w:rFonts w:ascii="Arial" w:cs="Arial" w:eastAsia="Arial" w:hAnsi="Arial"/>
                <w:sz w:val="7"/>
                <w:szCs w:val="7"/>
                <w:color w:val="auto"/>
              </w:rPr>
              <w:t>(546</w:t>
            </w:r>
          </w:p>
        </w:tc>
        <w:tc>
          <w:tcPr>
            <w:tcW w:w="0" w:type="dxa"/>
            <w:vAlign w:val="bottom"/>
          </w:tcPr>
          <w:p>
            <w:pPr>
              <w:spacing w:after="0"/>
              <w:rPr>
                <w:sz w:val="1"/>
                <w:szCs w:val="1"/>
                <w:color w:val="auto"/>
              </w:rPr>
            </w:pPr>
          </w:p>
        </w:tc>
      </w:tr>
      <w:tr>
        <w:trPr>
          <w:trHeight w:val="20"/>
        </w:trPr>
        <w:tc>
          <w:tcPr>
            <w:tcW w:w="4600" w:type="dxa"/>
            <w:vAlign w:val="bottom"/>
            <w:tcBorders>
              <w:top w:val="single" w:sz="8" w:color="E5FFFF"/>
            </w:tcBorders>
          </w:tcPr>
          <w:p>
            <w:pPr>
              <w:spacing w:after="0" w:line="20" w:lineRule="exact"/>
              <w:rPr>
                <w:sz w:val="1"/>
                <w:szCs w:val="1"/>
                <w:color w:val="auto"/>
              </w:rPr>
            </w:pPr>
          </w:p>
        </w:tc>
        <w:tc>
          <w:tcPr>
            <w:tcW w:w="12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 The Company is currently undergoing a federal income tax examination for the years ended January 31, 2015 through January 31, 2020.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applies the provisions of ASC 740-10-25-5 for uncertain tax positions. As of January 31, 2023, total unrecognized tax benefits were approximately $19,033,000, and accrued penalties and interest were approximately $55,000. If the Company were to prevail on all unrecognized tax benefits recorded, the provision for income taxes would be reduced by approximately $18,925,000. In addition, the impact</w:t>
      </w:r>
    </w:p>
    <w:p>
      <w:pPr>
        <w:spacing w:after="0" w:line="13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151765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9" w:right="339" w:bottom="1440" w:gutter="0" w:footer="0" w:header="0"/>
        </w:sectPr>
      </w:pPr>
    </w:p>
    <w:bookmarkStart w:id="57" w:name="page58"/>
    <w:bookmarkEnd w:id="57"/>
    <w:p>
      <w:pPr>
        <w:jc w:val="both"/>
        <w:ind w:left="432" w:right="20"/>
        <w:spacing w:after="0" w:line="277" w:lineRule="auto"/>
        <w:rPr>
          <w:sz w:val="20"/>
          <w:szCs w:val="20"/>
          <w:color w:val="auto"/>
        </w:rPr>
      </w:pPr>
      <w:r>
        <w:rPr>
          <w:rFonts w:ascii="Arial" w:cs="Arial" w:eastAsia="Arial" w:hAnsi="Arial"/>
          <w:sz w:val="18"/>
          <w:szCs w:val="18"/>
          <w:color w:val="auto"/>
        </w:rPr>
        <w:t>of penalties and interest would also benefit the effective tax rate. Interest and penalties associated with unrecognized tax benefits are recorded within income tax expense.</w:t>
      </w:r>
    </w:p>
    <w:p>
      <w:pPr>
        <w:spacing w:after="0" w:line="170" w:lineRule="exact"/>
        <w:rPr>
          <w:sz w:val="20"/>
          <w:szCs w:val="20"/>
          <w:color w:val="auto"/>
        </w:rPr>
      </w:pPr>
    </w:p>
    <w:p>
      <w:pPr>
        <w:jc w:val="both"/>
        <w:ind w:left="432"/>
        <w:spacing w:after="0" w:line="257" w:lineRule="auto"/>
        <w:rPr>
          <w:sz w:val="20"/>
          <w:szCs w:val="20"/>
          <w:color w:val="auto"/>
        </w:rPr>
      </w:pPr>
      <w:r>
        <w:rPr>
          <w:rFonts w:ascii="Arial" w:cs="Arial" w:eastAsia="Arial" w:hAnsi="Arial"/>
          <w:sz w:val="18"/>
          <w:szCs w:val="18"/>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ectPr>
          <w:pgSz w:w="11900" w:h="16838" w:orient="portrait"/>
          <w:cols w:equalWidth="0" w:num="1">
            <w:col w:w="11232"/>
          </w:cols>
          <w:pgMar w:left="328" w:top="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2"/>
        <w:spacing w:after="0"/>
        <w:rPr>
          <w:sz w:val="20"/>
          <w:szCs w:val="20"/>
          <w:color w:val="auto"/>
        </w:rPr>
      </w:pPr>
      <w:r>
        <w:rPr>
          <w:rFonts w:ascii="Arial" w:cs="Arial" w:eastAsia="Arial" w:hAnsi="Arial"/>
          <w:sz w:val="16"/>
          <w:szCs w:val="16"/>
          <w:color w:val="auto"/>
        </w:rPr>
        <w:t>Unrecognized tax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-107315</wp:posOffset>
            </wp:positionV>
            <wp:extent cx="570039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6" w:lineRule="exact"/>
        <w:rPr>
          <w:sz w:val="20"/>
          <w:szCs w:val="20"/>
          <w:color w:val="auto"/>
        </w:rPr>
      </w:pPr>
    </w:p>
    <w:p>
      <w:pPr>
        <w:ind w:left="432"/>
        <w:spacing w:after="0"/>
        <w:rPr>
          <w:sz w:val="20"/>
          <w:szCs w:val="20"/>
          <w:color w:val="auto"/>
        </w:rPr>
      </w:pPr>
      <w:r>
        <w:rPr>
          <w:rFonts w:ascii="Arial" w:cs="Arial" w:eastAsia="Arial" w:hAnsi="Arial"/>
          <w:sz w:val="18"/>
          <w:szCs w:val="18"/>
          <w:color w:val="auto"/>
        </w:rPr>
        <w:t>Changes for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5715</wp:posOffset>
            </wp:positionV>
            <wp:extent cx="570039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432"/>
        <w:spacing w:after="0"/>
        <w:rPr>
          <w:sz w:val="20"/>
          <w:szCs w:val="20"/>
          <w:color w:val="auto"/>
        </w:rPr>
      </w:pPr>
      <w:r>
        <w:rPr>
          <w:rFonts w:ascii="Arial" w:cs="Arial" w:eastAsia="Arial" w:hAnsi="Arial"/>
          <w:sz w:val="17"/>
          <w:szCs w:val="17"/>
          <w:color w:val="auto"/>
        </w:rPr>
        <w:t>Changes for tax positions for current year</w:t>
      </w:r>
    </w:p>
    <w:p>
      <w:pPr>
        <w:spacing w:after="0" w:line="249" w:lineRule="exact"/>
        <w:rPr>
          <w:sz w:val="20"/>
          <w:szCs w:val="20"/>
          <w:color w:val="auto"/>
        </w:rPr>
      </w:pPr>
    </w:p>
    <w:p>
      <w:pPr>
        <w:ind w:left="432"/>
        <w:spacing w:after="0"/>
        <w:rPr>
          <w:sz w:val="20"/>
          <w:szCs w:val="20"/>
          <w:color w:val="auto"/>
        </w:rPr>
      </w:pPr>
      <w:r>
        <w:rPr>
          <w:rFonts w:ascii="Arial" w:cs="Arial" w:eastAsia="Arial" w:hAnsi="Arial"/>
          <w:sz w:val="18"/>
          <w:szCs w:val="18"/>
          <w:color w:val="auto"/>
        </w:rPr>
        <w:t>Unrecognized tax benefits, end of year</w:t>
      </w:r>
    </w:p>
    <w:p>
      <w:pPr>
        <w:spacing w:after="0" w:line="289" w:lineRule="exact"/>
        <w:rPr>
          <w:sz w:val="20"/>
          <w:szCs w:val="20"/>
          <w:color w:val="auto"/>
        </w:rPr>
      </w:pPr>
    </w:p>
    <w:p>
      <w:pPr>
        <w:ind w:left="432" w:hanging="432"/>
        <w:spacing w:after="0"/>
        <w:tabs>
          <w:tab w:leader="none" w:pos="43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482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18" w:lineRule="exact"/>
        <w:rPr>
          <w:sz w:val="20"/>
          <w:szCs w:val="20"/>
          <w:color w:val="auto"/>
        </w:rPr>
      </w:pPr>
    </w:p>
    <w:p>
      <w:pPr>
        <w:spacing w:after="0"/>
        <w:tabs>
          <w:tab w:leader="none" w:pos="500" w:val="left"/>
          <w:tab w:leader="none" w:pos="1340" w:val="left"/>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16,781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8,400</w:t>
      </w:r>
    </w:p>
    <w:p>
      <w:pPr>
        <w:spacing w:after="0" w:line="23" w:lineRule="exact"/>
        <w:rPr>
          <w:sz w:val="20"/>
          <w:szCs w:val="20"/>
          <w:color w:val="auto"/>
        </w:rPr>
      </w:pPr>
    </w:p>
    <w:p>
      <w:pPr>
        <w:ind w:left="1940" w:hanging="1196"/>
        <w:spacing w:after="0"/>
        <w:tabs>
          <w:tab w:leader="none" w:pos="1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3,827</w:t>
      </w:r>
    </w:p>
    <w:p>
      <w:pPr>
        <w:spacing w:after="0" w:line="43"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8"/>
          <w:szCs w:val="18"/>
          <w:color w:val="auto"/>
        </w:rPr>
        <w:t>2,142</w:t>
      </w:r>
      <w:r>
        <w:rPr>
          <w:rFonts w:ascii="Arial" w:cs="Arial" w:eastAsia="Arial" w:hAnsi="Arial"/>
          <w:sz w:val="15"/>
          <w:szCs w:val="15"/>
          <w:color w:val="auto"/>
        </w:rPr>
        <w:t>4,554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482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45" w:lineRule="exact"/>
        <w:rPr>
          <w:sz w:val="20"/>
          <w:szCs w:val="20"/>
          <w:color w:val="auto"/>
        </w:rPr>
      </w:pPr>
    </w:p>
    <w:p>
      <w:pPr>
        <w:spacing w:after="0"/>
        <w:tabs>
          <w:tab w:leader="none" w:pos="500" w:val="left"/>
          <w:tab w:leader="none" w:pos="1340" w:val="left"/>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19,088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48272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2603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6272" w:space="720"/>
            <w:col w:w="4240"/>
          </w:cols>
          <w:pgMar w:left="328" w:top="409" w:right="339" w:bottom="1440" w:gutter="0" w:footer="0" w:header="0"/>
          <w:type w:val="continuous"/>
        </w:sectPr>
      </w:pPr>
    </w:p>
    <w:p>
      <w:pPr>
        <w:spacing w:after="0" w:line="29" w:lineRule="exact"/>
        <w:rPr>
          <w:sz w:val="20"/>
          <w:szCs w:val="20"/>
          <w:color w:val="auto"/>
        </w:rPr>
      </w:pPr>
    </w:p>
    <w:p>
      <w:pPr>
        <w:jc w:val="both"/>
        <w:ind w:left="432"/>
        <w:spacing w:after="0" w:line="296" w:lineRule="auto"/>
        <w:rPr>
          <w:sz w:val="20"/>
          <w:szCs w:val="20"/>
          <w:color w:val="auto"/>
        </w:rPr>
      </w:pPr>
      <w:r>
        <w:rPr>
          <w:rFonts w:ascii="Arial" w:cs="Arial" w:eastAsia="Arial" w:hAnsi="Arial"/>
          <w:sz w:val="16"/>
          <w:szCs w:val="16"/>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 Company recorded a liability of $250,000 at January 31, 2023 as a probable and reasonably estimable loss associated with a legal contingency for a patent infringement case involving our refined coal facility which is no longer in operation. There were no liabilities recorded at January 31, 2022 as the Company did not believe that there was a probable and reasonably estimable loss associated with any legal contingencies.</w:t>
      </w:r>
    </w:p>
    <w:p>
      <w:pPr>
        <w:spacing w:after="0" w:line="13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type w:val="continuous"/>
        </w:sectPr>
      </w:pPr>
    </w:p>
    <w:bookmarkStart w:id="58" w:name="page59"/>
    <w:bookmarkEnd w:id="58"/>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rFonts w:ascii="Arial" w:cs="Arial" w:eastAsia="Arial" w:hAnsi="Arial"/>
          <w:sz w:val="18"/>
          <w:szCs w:val="18"/>
          <w:b w:val="1"/>
          <w:bCs w:val="1"/>
          <w:color w:val="auto"/>
        </w:rPr>
      </w:pPr>
    </w:p>
    <w:p>
      <w:pPr>
        <w:jc w:val="both"/>
        <w:ind w:left="44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November 18, 2021, the Company ceased operation of its refined coal business as tax credits could no longer be earned on its operation. Beginning in the third quarter of fiscal year 2021, the results of the operations of the refined coal business have been recognized as discontinued operations. There were no amounts reclassified as discontinued operations in fiscal year 2022.</w:t>
      </w:r>
    </w:p>
    <w:p>
      <w:pPr>
        <w:spacing w:after="0" w:line="183"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Below is a table reflecting certain items of the Consolidated Condensed Statement of Operations that were reclassified as discontinued operations for fiscal years 2021 and 2020 (amounts in thousands):</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65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Net sales and revenue</w:t>
            </w:r>
            <w:r>
              <w:rPr>
                <w:rFonts w:ascii="Arial" w:cs="Arial" w:eastAsia="Arial" w:hAnsi="Arial"/>
                <w:sz w:val="29"/>
                <w:szCs w:val="29"/>
                <w:color w:val="auto"/>
                <w:vertAlign w:val="superscript"/>
              </w:rPr>
              <w:t>1</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E5FF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182</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8,602</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5,854</w:t>
            </w:r>
          </w:p>
        </w:tc>
      </w:tr>
      <w:tr>
        <w:trPr>
          <w:trHeight w:val="210"/>
        </w:trPr>
        <w:tc>
          <w:tcPr>
            <w:tcW w:w="6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Gross loss</w:t>
            </w: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(8,202)</w:t>
            </w:r>
          </w:p>
        </w:tc>
        <w:tc>
          <w:tcPr>
            <w:tcW w:w="3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(5,672)</w:t>
            </w:r>
          </w:p>
        </w:tc>
        <w:tc>
          <w:tcPr>
            <w:tcW w:w="80" w:type="dxa"/>
            <w:vAlign w:val="bottom"/>
            <w:tcBorders>
              <w:top w:val="single" w:sz="8" w:color="E5FFFF"/>
            </w:tcBorders>
            <w:shd w:val="clear" w:color="auto" w:fill="E5FFFF"/>
          </w:tcPr>
          <w:p>
            <w:pPr>
              <w:spacing w:after="0"/>
              <w:rPr>
                <w:sz w:val="18"/>
                <w:szCs w:val="18"/>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0"/>
        </w:trPr>
        <w:tc>
          <w:tcPr>
            <w:tcW w:w="6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(8,900)</w:t>
            </w:r>
          </w:p>
        </w:tc>
        <w:tc>
          <w:tcPr>
            <w:tcW w:w="3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(5,694)</w:t>
            </w:r>
          </w:p>
        </w:tc>
        <w:tc>
          <w:tcPr>
            <w:tcW w:w="80" w:type="dxa"/>
            <w:vAlign w:val="bottom"/>
            <w:tcBorders>
              <w:top w:val="single" w:sz="8" w:color="E5FFFF"/>
            </w:tcBorders>
            <w:shd w:val="clear" w:color="auto" w:fill="E5FFFF"/>
          </w:tcPr>
          <w:p>
            <w:pPr>
              <w:spacing w:after="0"/>
              <w:rPr>
                <w:sz w:val="18"/>
                <w:szCs w:val="18"/>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13,295</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6,554</w:t>
            </w:r>
          </w:p>
        </w:tc>
      </w:tr>
      <w:tr>
        <w:trPr>
          <w:trHeight w:val="209"/>
        </w:trPr>
        <w:tc>
          <w:tcPr>
            <w:tcW w:w="6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4,395</w:t>
            </w:r>
          </w:p>
        </w:tc>
        <w:tc>
          <w:tcPr>
            <w:tcW w:w="3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E5FFFF"/>
            </w:tcBorders>
            <w:shd w:val="clear" w:color="auto" w:fill="E5FFFF"/>
          </w:tcPr>
          <w:p>
            <w:pPr>
              <w:spacing w:after="0"/>
              <w:rPr>
                <w:sz w:val="18"/>
                <w:szCs w:val="18"/>
                <w:color w:val="auto"/>
              </w:rPr>
            </w:pPr>
          </w:p>
        </w:tc>
      </w:tr>
      <w:tr>
        <w:trPr>
          <w:trHeight w:val="270"/>
        </w:trPr>
        <w:tc>
          <w:tcPr>
            <w:tcW w:w="6560" w:type="dxa"/>
            <w:vAlign w:val="bottom"/>
          </w:tcPr>
          <w:p>
            <w:pPr>
              <w:spacing w:after="0" w:line="270" w:lineRule="exact"/>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29"/>
                <w:szCs w:val="29"/>
                <w:color w:val="auto"/>
                <w:vertAlign w:val="superscript"/>
              </w:rPr>
              <w:t>2</w:t>
            </w:r>
          </w:p>
        </w:tc>
        <w:tc>
          <w:tcPr>
            <w:tcW w:w="200" w:type="dxa"/>
            <w:vAlign w:val="bottom"/>
          </w:tcPr>
          <w:p>
            <w:pPr>
              <w:spacing w:after="0"/>
              <w:rPr>
                <w:sz w:val="23"/>
                <w:szCs w:val="2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r>
      <w:tr>
        <w:trPr>
          <w:trHeight w:val="223"/>
        </w:trPr>
        <w:tc>
          <w:tcPr>
            <w:tcW w:w="6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4,792</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340"/>
        <w:spacing w:after="0" w:line="194" w:lineRule="auto"/>
        <w:tabs>
          <w:tab w:leader="none" w:pos="55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Refined coal sales were recorded net of the cost of coal as the Company purchased the coal feedstock from the customer to which the processed refined coal was sold.</w:t>
      </w:r>
    </w:p>
    <w:p>
      <w:pPr>
        <w:spacing w:after="0" w:line="242" w:lineRule="exact"/>
        <w:rPr>
          <w:sz w:val="20"/>
          <w:szCs w:val="20"/>
          <w:color w:val="auto"/>
        </w:rPr>
      </w:pPr>
    </w:p>
    <w:p>
      <w:pPr>
        <w:ind w:left="440" w:right="280"/>
        <w:spacing w:after="0" w:line="194" w:lineRule="auto"/>
        <w:tabs>
          <w:tab w:leader="none" w:pos="55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Net loss attributable to noncontrolling interest represents the minority investor’s share of the loss before income taxes as noncontrolling interests does not include any gain from the refined coal tax credits.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January 31, 2023 and 2022, there were no amounts on the balance sheet reclassified to discontinued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9" w:name="page60"/>
    <w:bookmarkEnd w:id="59"/>
    <w:p>
      <w:pPr>
        <w:ind w:left="432" w:hanging="432"/>
        <w:spacing w:after="0"/>
        <w:tabs>
          <w:tab w:leader="none" w:pos="43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UNAUDITED INFORMATION</w:t>
      </w:r>
    </w:p>
    <w:p>
      <w:pPr>
        <w:spacing w:after="0" w:line="229" w:lineRule="exact"/>
        <w:rPr>
          <w:rFonts w:ascii="Arial" w:cs="Arial" w:eastAsia="Arial" w:hAnsi="Arial"/>
          <w:sz w:val="18"/>
          <w:szCs w:val="18"/>
          <w:b w:val="1"/>
          <w:bCs w:val="1"/>
          <w:color w:val="auto"/>
        </w:rPr>
      </w:pPr>
    </w:p>
    <w:p>
      <w:pPr>
        <w:jc w:val="both"/>
        <w:ind w:left="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tables set forth the Company’s net sales and revenue, gross profit, net income and net income per share (basic and diluted) for each quarter during the last two fiscal years. In the opinion of management, all adjustments (consisting of normal recurring accruals) considered necessary for a fair presentation have been included.</w:t>
      </w:r>
    </w:p>
    <w:p>
      <w:pPr>
        <w:spacing w:after="0" w:line="185"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4"/>
              <w:spacing w:after="0" w:line="143" w:lineRule="exact"/>
              <w:rPr>
                <w:sz w:val="20"/>
                <w:szCs w:val="20"/>
                <w:color w:val="auto"/>
              </w:rPr>
            </w:pPr>
            <w:r>
              <w:rPr>
                <w:rFonts w:ascii="Arial" w:cs="Arial" w:eastAsia="Arial" w:hAnsi="Arial"/>
                <w:sz w:val="14"/>
                <w:szCs w:val="14"/>
                <w:b w:val="1"/>
                <w:bCs w:val="1"/>
                <w:color w:val="auto"/>
              </w:rPr>
              <w:t>January 31,</w:t>
            </w:r>
          </w:p>
        </w:tc>
        <w:tc>
          <w:tcPr>
            <w:tcW w:w="80" w:type="dxa"/>
            <w:vAlign w:val="bottom"/>
          </w:tcPr>
          <w:p>
            <w:pPr>
              <w:spacing w:after="0"/>
              <w:rPr>
                <w:sz w:val="12"/>
                <w:szCs w:val="12"/>
                <w:color w:val="auto"/>
              </w:rPr>
            </w:pPr>
          </w:p>
        </w:tc>
      </w:t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194,228</w:t>
            </w:r>
          </w:p>
        </w:tc>
        <w:tc>
          <w:tcPr>
            <w:tcW w:w="5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240,328</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220,277</w:t>
            </w:r>
          </w:p>
        </w:tc>
        <w:tc>
          <w:tcPr>
            <w:tcW w:w="3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200,167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11,912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16,584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11,336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14,899</w:t>
            </w:r>
          </w:p>
        </w:tc>
      </w:tr>
      <w:tr>
        <w:trPr>
          <w:trHeight w:val="216"/>
        </w:trPr>
        <w:tc>
          <w:tcPr>
            <w:tcW w:w="442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6,986</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4,898</w:t>
            </w: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11,168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income attributable to REX common shareholders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3,184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8,161</w:t>
            </w:r>
          </w:p>
        </w:tc>
      </w:tr>
      <w:tr>
        <w:trPr>
          <w:trHeight w:val="202"/>
        </w:trPr>
        <w:tc>
          <w:tcPr>
            <w:tcW w:w="44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4"/>
              </w:rPr>
              <w:t>Basic and diluted net income per share attributable to REX</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4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common shareholders (a)</w:t>
            </w:r>
          </w:p>
        </w:tc>
        <w:tc>
          <w:tcPr>
            <w:tcW w:w="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0.29</w:t>
            </w:r>
          </w:p>
        </w:tc>
        <w:tc>
          <w:tcPr>
            <w:tcW w:w="5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0.63</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0.47</w:t>
            </w:r>
          </w:p>
        </w:tc>
      </w:tr>
      <w:tr>
        <w:trPr>
          <w:trHeight w:val="608"/>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4"/>
              <w:spacing w:after="0" w:line="143" w:lineRule="exact"/>
              <w:rPr>
                <w:sz w:val="20"/>
                <w:szCs w:val="20"/>
                <w:color w:val="auto"/>
              </w:rPr>
            </w:pPr>
            <w:r>
              <w:rPr>
                <w:rFonts w:ascii="Arial" w:cs="Arial" w:eastAsia="Arial" w:hAnsi="Arial"/>
                <w:sz w:val="14"/>
                <w:szCs w:val="14"/>
                <w:b w:val="1"/>
                <w:bCs w:val="1"/>
                <w:color w:val="auto"/>
              </w:rPr>
              <w:t>January 31,</w:t>
            </w:r>
          </w:p>
        </w:tc>
        <w:tc>
          <w:tcPr>
            <w:tcW w:w="80" w:type="dxa"/>
            <w:vAlign w:val="bottom"/>
          </w:tcPr>
          <w:p>
            <w:pPr>
              <w:spacing w:after="0"/>
              <w:rPr>
                <w:sz w:val="12"/>
                <w:szCs w:val="12"/>
                <w:color w:val="auto"/>
              </w:rPr>
            </w:pPr>
          </w:p>
        </w:tc>
      </w:t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09"/>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164,042</w:t>
            </w:r>
          </w:p>
        </w:tc>
        <w:tc>
          <w:tcPr>
            <w:tcW w:w="5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195,678</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203,066</w:t>
            </w:r>
          </w:p>
        </w:tc>
        <w:tc>
          <w:tcPr>
            <w:tcW w:w="3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212,016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19,477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38,777</w:t>
            </w:r>
          </w:p>
        </w:tc>
      </w:tr>
      <w:tr>
        <w:trPr>
          <w:trHeight w:val="216"/>
        </w:trPr>
        <w:tc>
          <w:tcPr>
            <w:tcW w:w="442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7,963</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8,039</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14,888</w:t>
            </w: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25,917</w:t>
            </w: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Net income attributable to REX common shareholders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13,326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21,267</w:t>
            </w:r>
          </w:p>
        </w:tc>
      </w:tr>
      <w:tr>
        <w:trPr>
          <w:trHeight w:val="202"/>
        </w:trPr>
        <w:tc>
          <w:tcPr>
            <w:tcW w:w="44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Net income attributable to REX common shareholders</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4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2,166</w:t>
            </w:r>
          </w:p>
        </w:tc>
        <w:tc>
          <w:tcPr>
            <w:tcW w:w="2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1,952</w:t>
            </w:r>
          </w:p>
        </w:tc>
        <w:tc>
          <w:tcPr>
            <w:tcW w:w="1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159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income attributable to REX common shareholders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15,278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21,426</w:t>
            </w:r>
          </w:p>
        </w:tc>
      </w:tr>
      <w:tr>
        <w:trPr>
          <w:trHeight w:val="202"/>
        </w:trPr>
        <w:tc>
          <w:tcPr>
            <w:tcW w:w="44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4"/>
              </w:rPr>
              <w:t>Basic and diluted net income per share attributable to REX</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4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common shareholders (continuing operations) (a)</w:t>
            </w:r>
          </w:p>
        </w:tc>
        <w:tc>
          <w:tcPr>
            <w:tcW w:w="1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1.19</w:t>
            </w: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w w:val="94"/>
              </w:rPr>
              <w:t>Basic and diluted net income per share attributable to REX</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shareholders (discontinued operations) (a)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r>
      <w:tr>
        <w:trPr>
          <w:trHeight w:val="202"/>
        </w:trPr>
        <w:tc>
          <w:tcPr>
            <w:tcW w:w="44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4"/>
              </w:rPr>
              <w:t>Basic and diluted net income per share attributable to REX</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4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common shareholders (a)</w:t>
            </w:r>
          </w:p>
        </w:tc>
        <w:tc>
          <w:tcPr>
            <w:tcW w:w="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0.43</w:t>
            </w:r>
          </w:p>
        </w:tc>
        <w:tc>
          <w:tcPr>
            <w:tcW w:w="5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0.85</w:t>
            </w:r>
          </w:p>
        </w:tc>
        <w:tc>
          <w:tcPr>
            <w:tcW w:w="3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1.20</w:t>
            </w:r>
          </w:p>
        </w:tc>
      </w:tr>
    </w:tbl>
    <w:p>
      <w:pPr>
        <w:spacing w:after="0" w:line="202" w:lineRule="exact"/>
        <w:rPr>
          <w:sz w:val="20"/>
          <w:szCs w:val="20"/>
          <w:color w:val="auto"/>
        </w:rPr>
      </w:pPr>
    </w:p>
    <w:p>
      <w:pPr>
        <w:ind w:left="872" w:hanging="440"/>
        <w:spacing w:after="0" w:line="277" w:lineRule="auto"/>
        <w:tabs>
          <w:tab w:leader="none" w:pos="8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of the quarterly net income per share amounts do not equal the annual net income per share amounts due to the impact of varying amounts of shares outstanding during the year.</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5" w:right="339" w:bottom="1440" w:gutter="0" w:footer="0" w:header="0"/>
        </w:sectPr>
      </w:pPr>
    </w:p>
    <w:bookmarkStart w:id="60" w:name="page61"/>
    <w:bookmarkEnd w:id="60"/>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9"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fiscal years 2022, 2021, and 2020, One Earth and NuGen, combined, purchased approximately $135.4 million, $90.2 million, and $54.8 million, respectively, of corn and other supplies from minority equity investors. The Company had amounts payable to related parties of approximately $1.5 million and $0.5 million at January 31, 2023 and 2022, respectively.</w:t>
      </w:r>
    </w:p>
    <w:p>
      <w:pPr>
        <w:spacing w:after="0" w:line="183"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fiscal years 2021 and 2020, the Company recognized (reduced) commission expense of approximately $0.3 million, $(0.2) million, respectively, payable to the minority investor in the refined coal entity. The commission expense is associated with the refined coal business, and as such, there was no commission expense recorded in fiscal year 2022.</w:t>
      </w:r>
    </w:p>
    <w:p>
      <w:pPr>
        <w:spacing w:after="0" w:line="183" w:lineRule="exact"/>
        <w:rPr>
          <w:rFonts w:ascii="Arial" w:cs="Arial" w:eastAsia="Arial" w:hAnsi="Arial"/>
          <w:sz w:val="18"/>
          <w:szCs w:val="18"/>
          <w:b w:val="1"/>
          <w:bCs w:val="1"/>
          <w:color w:val="auto"/>
        </w:rPr>
      </w:pPr>
    </w:p>
    <w:p>
      <w:pPr>
        <w:ind w:left="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fiscal year 2021, the Company received approximately $0.3 million in capital contributions from the minority investor in the refined coal entity. The Company did not receive capital contributions related to the refined coal entity in fiscal year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REX American Resources Corporation and subsidiaries (the “Company”) as of January 31, 2023 and 2022, the related consolidated statements of operations, shareholders’ equity, and cash flows, for each of the three years in the period ended January 31, 2023, and the related notes and the schedule listed in the Index at Item 15 (collectively referred to as the “financial statements”). In our opinion, the financial statements present fairly, 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30,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Income Taxes– Valuation Allowance — Refer to Notes 1 and 12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for deferred tax liabilities and assets for the future tax consequences attributable to differences between the 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a general business credit carryforward of approximately $26.1 million at January 31, 2023. The Company can carry these credits forward for up to twenty years and the carryforward period begins to expire in fiscal year 2038. The Company assessed all available positive and negative evidence to determine whether it expects sufficient future taxable income will be generated to allow for the realization of existing federal deferred tax assets. For the three-year period ended January 31, 2023, the Company has cumulative pre-tax book income on a comprehensive basis, including the impact of an operation that has historically produced pre-tax book losses, but after tax net income. This entity ceased operations in fiscal year 2021. The Company expects to realize the federal deferred tax assets prior to their expiration based on their projection of future taxable income based on objectively verifiable historical results.</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identified management’s assertion that the federal deferred income tax assets are more likely than not going to be realized as a critical audit matter due to the significance of management’s judgments and the inherent uncertainty in forecasting financial results, coupled with the specialized tax knowledge that is necessary to accurately schedule future taxable income and deductions. A high degree of auditor judgment and the involvement of our tax specialists was required when performing audit procedures to evaluate management’s assertion.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audit procedures, with the assistance of income tax specialists, to evaluate management’s assertion that the unreserved federal deferred tax assets are more likely than not realizable included the following:</w:t>
      </w:r>
    </w:p>
    <w:p>
      <w:pPr>
        <w:spacing w:after="0" w:line="170" w:lineRule="exact"/>
        <w:rPr>
          <w:sz w:val="20"/>
          <w:szCs w:val="20"/>
          <w:color w:val="auto"/>
        </w:rPr>
      </w:pPr>
    </w:p>
    <w:p>
      <w:pPr>
        <w:ind w:left="660" w:right="3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effectiveness of the Company’s controls over income taxes, including those over the evaluation of a valuation allowance and the projections of future taxable income.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management’s projections of future taxable income by:</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Evaluating management’s ability to accurately project future reversals of temporary differences, including the use of tax planning strategies, by comparing these projections to historical results, evaluation of current tax laws, and our understanding of anticipated future events.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Testing the reasonableness of management’s determination of the Company’s objectively verifiable income by:</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Agreeing applicable amounts historical results</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Testing the normalization for appropriate one-time items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management’s assessment that it is more likely than not that sufficient taxable income will be generated in the future to utilize the federal deferred tax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valuation allowance analysis.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3" w:name="page64"/>
    <w:bookmarkEnd w:id="63"/>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whether the projections of future taxable income were consistent with evidence obtained in other areas of the audit.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sufficiency of the Company’s disclosures related to the realizability of deferred income tax assets and valuation allowances in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09" w:right="599" w:bottom="1440" w:gutter="0" w:footer="0" w:header="0"/>
        </w:sectPr>
      </w:pPr>
    </w:p>
    <w:bookmarkStart w:id="64" w:name="page65"/>
    <w:bookmarkEnd w:id="64"/>
    <w:p>
      <w:pPr>
        <w:spacing w:after="0"/>
        <w:rPr>
          <w:sz w:val="20"/>
          <w:szCs w:val="20"/>
          <w:color w:val="auto"/>
        </w:rPr>
      </w:pPr>
      <w:r>
        <w:rPr>
          <w:rFonts w:ascii="Arial" w:cs="Arial" w:eastAsia="Arial" w:hAnsi="Arial"/>
          <w:sz w:val="25"/>
          <w:szCs w:val="25"/>
          <w:b w:val="1"/>
          <w:bCs w:val="1"/>
          <w:color w:val="auto"/>
        </w:rPr>
        <w:t>REX AMERICAN RESOURCES CORPORATION AND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JANUARY 31, 2023, 2022 AND 2021</w:t>
      </w:r>
    </w:p>
    <w:p>
      <w:pPr>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gridSpan w:val="3"/>
            <w:vMerge w:val="restart"/>
          </w:tcPr>
          <w:p>
            <w:pPr>
              <w:jc w:val="center"/>
              <w:ind w:right="540"/>
              <w:spacing w:after="0"/>
              <w:rPr>
                <w:sz w:val="20"/>
                <w:szCs w:val="20"/>
                <w:color w:val="auto"/>
              </w:rPr>
            </w:pPr>
            <w:r>
              <w:rPr>
                <w:rFonts w:ascii="Arial" w:cs="Arial" w:eastAsia="Arial" w:hAnsi="Arial"/>
                <w:sz w:val="18"/>
                <w:szCs w:val="18"/>
                <w:b w:val="1"/>
                <w:bCs w:val="1"/>
                <w:color w:val="auto"/>
                <w:w w:val="98"/>
              </w:rPr>
              <w:t>Balance</w:t>
            </w:r>
          </w:p>
        </w:tc>
        <w:tc>
          <w:tcPr>
            <w:tcW w:w="58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Additions</w:t>
            </w:r>
          </w:p>
        </w:tc>
        <w:tc>
          <w:tcPr>
            <w:tcW w:w="480" w:type="dxa"/>
            <w:vAlign w:val="bottom"/>
          </w:tcPr>
          <w:p>
            <w:pPr>
              <w:spacing w:after="0"/>
              <w:rPr>
                <w:sz w:val="17"/>
                <w:szCs w:val="17"/>
                <w:color w:val="auto"/>
              </w:rPr>
            </w:pPr>
          </w:p>
        </w:tc>
        <w:tc>
          <w:tcPr>
            <w:tcW w:w="176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9"/>
              </w:rPr>
              <w:t>Deductions</w:t>
            </w: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140" w:type="dxa"/>
            <w:vAlign w:val="bottom"/>
            <w:gridSpan w:val="5"/>
          </w:tcPr>
          <w:p>
            <w:pPr>
              <w:spacing w:after="0" w:line="187" w:lineRule="exact"/>
              <w:rPr>
                <w:sz w:val="20"/>
                <w:szCs w:val="20"/>
                <w:color w:val="auto"/>
              </w:rPr>
            </w:pPr>
            <w:r>
              <w:rPr>
                <w:rFonts w:ascii="Arial" w:cs="Arial" w:eastAsia="Arial" w:hAnsi="Arial"/>
                <w:sz w:val="18"/>
                <w:szCs w:val="18"/>
                <w:b w:val="1"/>
                <w:bCs w:val="1"/>
                <w:color w:val="auto"/>
              </w:rPr>
              <w:t>Charged to</w:t>
            </w:r>
          </w:p>
        </w:tc>
        <w:tc>
          <w:tcPr>
            <w:tcW w:w="480" w:type="dxa"/>
            <w:vAlign w:val="bottom"/>
            <w:vMerge w:val="continue"/>
          </w:tcPr>
          <w:p>
            <w:pPr>
              <w:spacing w:after="0"/>
              <w:rPr>
                <w:sz w:val="16"/>
                <w:szCs w:val="16"/>
                <w:color w:val="auto"/>
              </w:rPr>
            </w:pPr>
          </w:p>
        </w:tc>
        <w:tc>
          <w:tcPr>
            <w:tcW w:w="980" w:type="dxa"/>
            <w:vAlign w:val="bottom"/>
            <w:gridSpan w:val="4"/>
          </w:tcPr>
          <w:p>
            <w:pPr>
              <w:jc w:val="center"/>
              <w:spacing w:after="0" w:line="187" w:lineRule="exact"/>
              <w:rPr>
                <w:sz w:val="20"/>
                <w:szCs w:val="20"/>
                <w:color w:val="auto"/>
              </w:rPr>
            </w:pPr>
            <w:r>
              <w:rPr>
                <w:rFonts w:ascii="Arial" w:cs="Arial" w:eastAsia="Arial" w:hAnsi="Arial"/>
                <w:sz w:val="18"/>
                <w:szCs w:val="18"/>
                <w:b w:val="1"/>
                <w:bCs w:val="1"/>
                <w:color w:val="auto"/>
                <w:w w:val="96"/>
              </w:rPr>
              <w:t>Charges for</w:t>
            </w:r>
          </w:p>
        </w:tc>
        <w:tc>
          <w:tcPr>
            <w:tcW w:w="780" w:type="dxa"/>
            <w:vAlign w:val="bottom"/>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2540" w:type="dxa"/>
            <w:vAlign w:val="bottom"/>
            <w:gridSpan w:val="4"/>
          </w:tcPr>
          <w:p>
            <w:pPr>
              <w:jc w:val="center"/>
              <w:ind w:left="570"/>
              <w:spacing w:after="0" w:line="202" w:lineRule="exact"/>
              <w:rPr>
                <w:sz w:val="20"/>
                <w:szCs w:val="20"/>
                <w:color w:val="auto"/>
              </w:rPr>
            </w:pPr>
            <w:r>
              <w:rPr>
                <w:rFonts w:ascii="Arial" w:cs="Arial" w:eastAsia="Arial" w:hAnsi="Arial"/>
                <w:sz w:val="18"/>
                <w:szCs w:val="18"/>
                <w:b w:val="1"/>
                <w:bCs w:val="1"/>
                <w:color w:val="auto"/>
                <w:w w:val="99"/>
              </w:rPr>
              <w:t>Beginning</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Cost and</w:t>
            </w:r>
          </w:p>
        </w:tc>
        <w:tc>
          <w:tcPr>
            <w:tcW w:w="2240" w:type="dxa"/>
            <w:vAlign w:val="bottom"/>
            <w:gridSpan w:val="6"/>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Which Reserves</w:t>
            </w:r>
          </w:p>
        </w:tc>
        <w:tc>
          <w:tcPr>
            <w:tcW w:w="140" w:type="dxa"/>
            <w:vAlign w:val="bottom"/>
          </w:tcPr>
          <w:p>
            <w:pPr>
              <w:spacing w:after="0"/>
              <w:rPr>
                <w:sz w:val="17"/>
                <w:szCs w:val="17"/>
                <w:color w:val="auto"/>
              </w:rPr>
            </w:pPr>
          </w:p>
        </w:tc>
        <w:tc>
          <w:tcPr>
            <w:tcW w:w="84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End</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8"/>
              </w:rPr>
              <w:t>of Year</w:t>
            </w:r>
          </w:p>
        </w:tc>
        <w:tc>
          <w:tcPr>
            <w:tcW w:w="1720" w:type="dxa"/>
            <w:vAlign w:val="bottom"/>
            <w:gridSpan w:val="6"/>
          </w:tcPr>
          <w:p>
            <w:pPr>
              <w:ind w:left="580"/>
              <w:spacing w:after="0"/>
              <w:rPr>
                <w:sz w:val="20"/>
                <w:szCs w:val="20"/>
                <w:color w:val="auto"/>
              </w:rPr>
            </w:pPr>
            <w:r>
              <w:rPr>
                <w:rFonts w:ascii="Arial" w:cs="Arial" w:eastAsia="Arial" w:hAnsi="Arial"/>
                <w:sz w:val="18"/>
                <w:szCs w:val="18"/>
                <w:b w:val="1"/>
                <w:bCs w:val="1"/>
                <w:color w:val="auto"/>
              </w:rPr>
              <w:t>Expenses</w:t>
            </w:r>
          </w:p>
        </w:tc>
        <w:tc>
          <w:tcPr>
            <w:tcW w:w="22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9"/>
              </w:rPr>
              <w:t>Were Created</w:t>
            </w: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of Year</w:t>
            </w:r>
          </w:p>
        </w:tc>
        <w:tc>
          <w:tcPr>
            <w:tcW w:w="0" w:type="dxa"/>
            <w:vAlign w:val="bottom"/>
          </w:tcPr>
          <w:p>
            <w:pPr>
              <w:spacing w:after="0"/>
              <w:rPr>
                <w:sz w:val="1"/>
                <w:szCs w:val="1"/>
                <w:color w:val="auto"/>
              </w:rPr>
            </w:pPr>
          </w:p>
        </w:tc>
      </w:tr>
      <w:tr>
        <w:trPr>
          <w:trHeight w:val="202"/>
        </w:trPr>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5FFFF"/>
          </w:tcPr>
          <w:p>
            <w:pPr>
              <w:jc w:val="right"/>
              <w:ind w:right="3250"/>
              <w:spacing w:after="0"/>
              <w:rPr>
                <w:sz w:val="20"/>
                <w:szCs w:val="20"/>
                <w:color w:val="auto"/>
              </w:rPr>
            </w:pPr>
            <w:r>
              <w:rPr>
                <w:rFonts w:ascii="Arial" w:cs="Arial" w:eastAsia="Arial" w:hAnsi="Arial"/>
                <w:sz w:val="18"/>
                <w:szCs w:val="18"/>
                <w:color w:val="auto"/>
                <w:w w:val="88"/>
              </w:rPr>
              <w:t>2023:</w:t>
            </w: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tcPr>
          <w:p>
            <w:pPr>
              <w:jc w:val="right"/>
              <w:ind w:right="1090"/>
              <w:spacing w:after="0"/>
              <w:rPr>
                <w:sz w:val="20"/>
                <w:szCs w:val="20"/>
                <w:color w:val="auto"/>
              </w:rPr>
            </w:pPr>
            <w:r>
              <w:rPr>
                <w:rFonts w:ascii="Arial" w:cs="Arial" w:eastAsia="Arial" w:hAnsi="Arial"/>
                <w:sz w:val="18"/>
                <w:szCs w:val="18"/>
                <w:color w:val="auto"/>
                <w:w w:val="98"/>
              </w:rPr>
              <w:t>Deferred tax valuation allowance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213</w:t>
            </w:r>
          </w:p>
        </w:tc>
        <w:tc>
          <w:tcPr>
            <w:tcW w:w="10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5FFFF"/>
          </w:tcPr>
          <w:p>
            <w:pPr>
              <w:jc w:val="right"/>
              <w:ind w:right="3250"/>
              <w:spacing w:after="0"/>
              <w:rPr>
                <w:sz w:val="20"/>
                <w:szCs w:val="20"/>
                <w:color w:val="auto"/>
              </w:rPr>
            </w:pPr>
            <w:r>
              <w:rPr>
                <w:rFonts w:ascii="Arial" w:cs="Arial" w:eastAsia="Arial" w:hAnsi="Arial"/>
                <w:sz w:val="18"/>
                <w:szCs w:val="18"/>
                <w:color w:val="auto"/>
                <w:w w:val="88"/>
              </w:rPr>
              <w:t>2022:</w:t>
            </w: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tcPr>
          <w:p>
            <w:pPr>
              <w:jc w:val="right"/>
              <w:ind w:right="1090"/>
              <w:spacing w:after="0"/>
              <w:rPr>
                <w:sz w:val="20"/>
                <w:szCs w:val="20"/>
                <w:color w:val="auto"/>
              </w:rPr>
            </w:pPr>
            <w:r>
              <w:rPr>
                <w:rFonts w:ascii="Arial" w:cs="Arial" w:eastAsia="Arial" w:hAnsi="Arial"/>
                <w:sz w:val="18"/>
                <w:szCs w:val="18"/>
                <w:color w:val="auto"/>
                <w:w w:val="98"/>
              </w:rPr>
              <w:t>Deferred tax valuation allowance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232</w:t>
            </w:r>
          </w:p>
        </w:tc>
        <w:tc>
          <w:tcPr>
            <w:tcW w:w="10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5FFFF"/>
          </w:tcPr>
          <w:p>
            <w:pPr>
              <w:jc w:val="right"/>
              <w:ind w:right="3250"/>
              <w:spacing w:after="0"/>
              <w:rPr>
                <w:sz w:val="20"/>
                <w:szCs w:val="20"/>
                <w:color w:val="auto"/>
              </w:rPr>
            </w:pPr>
            <w:r>
              <w:rPr>
                <w:rFonts w:ascii="Arial" w:cs="Arial" w:eastAsia="Arial" w:hAnsi="Arial"/>
                <w:sz w:val="18"/>
                <w:szCs w:val="18"/>
                <w:color w:val="auto"/>
                <w:w w:val="88"/>
              </w:rPr>
              <w:t>2021:</w:t>
            </w: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tcPr>
          <w:p>
            <w:pPr>
              <w:jc w:val="right"/>
              <w:ind w:right="1090"/>
              <w:spacing w:after="0"/>
              <w:rPr>
                <w:sz w:val="20"/>
                <w:szCs w:val="20"/>
                <w:color w:val="auto"/>
              </w:rPr>
            </w:pPr>
            <w:r>
              <w:rPr>
                <w:rFonts w:ascii="Arial" w:cs="Arial" w:eastAsia="Arial" w:hAnsi="Arial"/>
                <w:sz w:val="18"/>
                <w:szCs w:val="18"/>
                <w:color w:val="auto"/>
                <w:w w:val="98"/>
              </w:rPr>
              <w:t>Deferred tax valuation allowance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232</w:t>
            </w:r>
          </w:p>
        </w:tc>
        <w:tc>
          <w:tcPr>
            <w:tcW w:w="10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Material Changes to Internal Control Over Financial Reporting</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left="660" w:right="80"/>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49"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70" w:lineRule="exact"/>
        <w:rPr>
          <w:sz w:val="20"/>
          <w:szCs w:val="20"/>
          <w:color w:val="auto"/>
        </w:rPr>
      </w:pPr>
    </w:p>
    <w:p>
      <w:pPr>
        <w:ind w:left="660" w:right="40"/>
        <w:spacing w:after="0" w:line="301"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assessed the effectiveness of our internal control over financial reporting as of January 31, 2023 based on the Internal Control-Integrated Framework (2013) issued by the Committee of Sponsoring Organizations of the Treadway Commission (“COSO”). Based upon this assessment, our management concluded that our internal control over financial reporting was effective as of January 31, 2023 based on those criteria.</w:t>
      </w:r>
    </w:p>
    <w:p>
      <w:pPr>
        <w:spacing w:after="0" w:line="157" w:lineRule="exact"/>
        <w:rPr>
          <w:sz w:val="20"/>
          <w:szCs w:val="20"/>
          <w:color w:val="auto"/>
        </w:rPr>
      </w:pPr>
    </w:p>
    <w:p>
      <w:pPr>
        <w:ind w:left="660" w:right="8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January 31, 2023 has been audited by Deloitte &amp; Touche LLP, an independent registered public accounting firm, as stated in their report which is included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ind w:left="660"/>
              <w:spacing w:after="0"/>
              <w:rPr>
                <w:sz w:val="20"/>
                <w:szCs w:val="20"/>
                <w:color w:val="auto"/>
              </w:rPr>
            </w:pPr>
            <w:r>
              <w:rPr>
                <w:rFonts w:ascii="Arial" w:cs="Arial" w:eastAsia="Arial" w:hAnsi="Arial"/>
                <w:sz w:val="18"/>
                <w:szCs w:val="18"/>
                <w:color w:val="auto"/>
              </w:rPr>
              <w:t>/s/ ZAFAR A. RIZVI</w:t>
            </w:r>
          </w:p>
        </w:tc>
        <w:tc>
          <w:tcPr>
            <w:tcW w:w="5720" w:type="dxa"/>
            <w:vAlign w:val="bottom"/>
          </w:tcPr>
          <w:p>
            <w:pPr>
              <w:ind w:left="720"/>
              <w:spacing w:after="0"/>
              <w:rPr>
                <w:sz w:val="20"/>
                <w:szCs w:val="20"/>
                <w:color w:val="auto"/>
              </w:rPr>
            </w:pPr>
            <w:r>
              <w:rPr>
                <w:rFonts w:ascii="Arial" w:cs="Arial" w:eastAsia="Arial" w:hAnsi="Arial"/>
                <w:sz w:val="18"/>
                <w:szCs w:val="18"/>
                <w:color w:val="auto"/>
              </w:rPr>
              <w:t>Chief Executive Officer and President</w:t>
            </w:r>
          </w:p>
        </w:tc>
        <w:tc>
          <w:tcPr>
            <w:tcW w:w="1660" w:type="dxa"/>
            <w:vAlign w:val="bottom"/>
          </w:tcPr>
          <w:p>
            <w:pPr>
              <w:spacing w:after="0"/>
              <w:rPr>
                <w:sz w:val="18"/>
                <w:szCs w:val="18"/>
                <w:color w:val="auto"/>
              </w:rPr>
            </w:pPr>
          </w:p>
        </w:tc>
      </w:tr>
      <w:tr>
        <w:trPr>
          <w:trHeight w:val="230"/>
        </w:trPr>
        <w:tc>
          <w:tcPr>
            <w:tcW w:w="3860" w:type="dxa"/>
            <w:vAlign w:val="bottom"/>
          </w:tcPr>
          <w:p>
            <w:pPr>
              <w:ind w:left="660"/>
              <w:spacing w:after="0"/>
              <w:rPr>
                <w:sz w:val="20"/>
                <w:szCs w:val="20"/>
                <w:color w:val="auto"/>
              </w:rPr>
            </w:pPr>
            <w:r>
              <w:rPr>
                <w:rFonts w:ascii="Arial" w:cs="Arial" w:eastAsia="Arial" w:hAnsi="Arial"/>
                <w:sz w:val="18"/>
                <w:szCs w:val="18"/>
                <w:color w:val="auto"/>
              </w:rPr>
              <w:t>Zafar A. Rizvi</w:t>
            </w:r>
          </w:p>
        </w:tc>
        <w:tc>
          <w:tcPr>
            <w:tcW w:w="5720" w:type="dxa"/>
            <w:vAlign w:val="bottom"/>
          </w:tcPr>
          <w:p>
            <w:pPr>
              <w:ind w:left="720"/>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9"/>
              </w:rPr>
              <w:t>March 30, 2023</w:t>
            </w:r>
          </w:p>
        </w:tc>
      </w:tr>
      <w:tr>
        <w:trPr>
          <w:trHeight w:val="418"/>
        </w:trPr>
        <w:tc>
          <w:tcPr>
            <w:tcW w:w="3860" w:type="dxa"/>
            <w:vAlign w:val="bottom"/>
          </w:tcPr>
          <w:p>
            <w:pPr>
              <w:ind w:left="660"/>
              <w:spacing w:after="0"/>
              <w:rPr>
                <w:sz w:val="20"/>
                <w:szCs w:val="20"/>
                <w:color w:val="auto"/>
              </w:rPr>
            </w:pPr>
            <w:r>
              <w:rPr>
                <w:rFonts w:ascii="Arial" w:cs="Arial" w:eastAsia="Arial" w:hAnsi="Arial"/>
                <w:sz w:val="18"/>
                <w:szCs w:val="18"/>
                <w:color w:val="auto"/>
              </w:rPr>
              <w:t>/s/ DOUGLAS L. BRUGGEMAN</w:t>
            </w:r>
          </w:p>
        </w:tc>
        <w:tc>
          <w:tcPr>
            <w:tcW w:w="5720" w:type="dxa"/>
            <w:vAlign w:val="bottom"/>
          </w:tcPr>
          <w:p>
            <w:pPr>
              <w:ind w:left="720"/>
              <w:spacing w:after="0"/>
              <w:rPr>
                <w:sz w:val="20"/>
                <w:szCs w:val="20"/>
                <w:color w:val="auto"/>
              </w:rPr>
            </w:pPr>
            <w:r>
              <w:rPr>
                <w:rFonts w:ascii="Arial" w:cs="Arial" w:eastAsia="Arial" w:hAnsi="Arial"/>
                <w:sz w:val="18"/>
                <w:szCs w:val="18"/>
                <w:color w:val="auto"/>
              </w:rPr>
              <w:t>Vice President-Finance, Chief Financial Officer and Treasurer</w:t>
            </w:r>
          </w:p>
        </w:tc>
        <w:tc>
          <w:tcPr>
            <w:tcW w:w="1660" w:type="dxa"/>
            <w:vAlign w:val="bottom"/>
          </w:tcPr>
          <w:p>
            <w:pPr>
              <w:spacing w:after="0"/>
              <w:rPr>
                <w:sz w:val="24"/>
                <w:szCs w:val="24"/>
                <w:color w:val="auto"/>
              </w:rPr>
            </w:pPr>
          </w:p>
        </w:tc>
      </w:tr>
      <w:tr>
        <w:trPr>
          <w:trHeight w:val="230"/>
        </w:trPr>
        <w:tc>
          <w:tcPr>
            <w:tcW w:w="3860" w:type="dxa"/>
            <w:vAlign w:val="bottom"/>
          </w:tcPr>
          <w:p>
            <w:pPr>
              <w:ind w:left="660"/>
              <w:spacing w:after="0"/>
              <w:rPr>
                <w:sz w:val="20"/>
                <w:szCs w:val="20"/>
                <w:color w:val="auto"/>
              </w:rPr>
            </w:pPr>
            <w:r>
              <w:rPr>
                <w:rFonts w:ascii="Arial" w:cs="Arial" w:eastAsia="Arial" w:hAnsi="Arial"/>
                <w:sz w:val="18"/>
                <w:szCs w:val="18"/>
                <w:color w:val="auto"/>
              </w:rPr>
              <w:t>Douglas L. Bruggeman</w:t>
            </w:r>
          </w:p>
        </w:tc>
        <w:tc>
          <w:tcPr>
            <w:tcW w:w="5720" w:type="dxa"/>
            <w:vAlign w:val="bottom"/>
          </w:tcPr>
          <w:p>
            <w:pPr>
              <w:ind w:left="720"/>
              <w:spacing w:after="0"/>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9"/>
              </w:rPr>
              <w:t>March 30, 2023</w:t>
            </w:r>
          </w:p>
        </w:tc>
      </w:tr>
      <w:tr>
        <w:trPr>
          <w:trHeight w:val="405"/>
        </w:trPr>
        <w:tc>
          <w:tcPr>
            <w:tcW w:w="3860" w:type="dxa"/>
            <w:vAlign w:val="bottom"/>
          </w:tcPr>
          <w:p>
            <w:pPr>
              <w:spacing w:after="0"/>
              <w:rPr>
                <w:sz w:val="24"/>
                <w:szCs w:val="24"/>
                <w:color w:val="auto"/>
              </w:rPr>
            </w:pPr>
          </w:p>
        </w:tc>
        <w:tc>
          <w:tcPr>
            <w:tcW w:w="5720" w:type="dxa"/>
            <w:vAlign w:val="bottom"/>
          </w:tcPr>
          <w:p>
            <w:pPr>
              <w:ind w:left="1680"/>
              <w:spacing w:after="0"/>
              <w:rPr>
                <w:sz w:val="20"/>
                <w:szCs w:val="20"/>
                <w:color w:val="auto"/>
              </w:rPr>
            </w:pPr>
            <w:r>
              <w:rPr>
                <w:rFonts w:ascii="Arial" w:cs="Arial" w:eastAsia="Arial" w:hAnsi="Arial"/>
                <w:sz w:val="18"/>
                <w:szCs w:val="18"/>
                <w:color w:val="auto"/>
              </w:rPr>
              <w:t>66</w:t>
            </w:r>
          </w:p>
        </w:tc>
        <w:tc>
          <w:tcPr>
            <w:tcW w:w="1660" w:type="dxa"/>
            <w:vAlign w:val="bottom"/>
          </w:tcPr>
          <w:p>
            <w:pPr>
              <w:spacing w:after="0"/>
              <w:rPr>
                <w:sz w:val="24"/>
                <w:szCs w:val="24"/>
                <w:color w:val="auto"/>
              </w:rPr>
            </w:pPr>
          </w:p>
        </w:tc>
      </w:tr>
      <w:tr>
        <w:trPr>
          <w:trHeight w:val="250"/>
        </w:trPr>
        <w:tc>
          <w:tcPr>
            <w:tcW w:w="3860" w:type="dxa"/>
            <w:vAlign w:val="bottom"/>
            <w:tcBorders>
              <w:bottom w:val="single" w:sz="8" w:color="C0C0C0"/>
            </w:tcBorders>
          </w:tcPr>
          <w:p>
            <w:pPr>
              <w:spacing w:after="0"/>
              <w:rPr>
                <w:sz w:val="21"/>
                <w:szCs w:val="21"/>
                <w:color w:val="auto"/>
              </w:rPr>
            </w:pPr>
          </w:p>
        </w:tc>
        <w:tc>
          <w:tcPr>
            <w:tcW w:w="5720" w:type="dxa"/>
            <w:vAlign w:val="bottom"/>
            <w:tcBorders>
              <w:bottom w:val="single" w:sz="8" w:color="C0C0C0"/>
            </w:tcBorders>
          </w:tcPr>
          <w:p>
            <w:pPr>
              <w:spacing w:after="0"/>
              <w:rPr>
                <w:sz w:val="21"/>
                <w:szCs w:val="21"/>
                <w:color w:val="auto"/>
              </w:rPr>
            </w:pPr>
          </w:p>
        </w:tc>
        <w:tc>
          <w:tcPr>
            <w:tcW w:w="16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REX American Resources Corporation and subsidiaries (the “Company”) as of January 31,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31,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31, 2023 of the Company and our report dated March 30, 2023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67" w:name="page68"/>
    <w:bookmarkEnd w:id="67"/>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68" w:name="page69"/>
    <w:bookmarkEnd w:id="68"/>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10 is incorporated herein by reference to the Proxy Statement for our Annual Meeting of Shareholders on June 15, 2023, except for certain information concerning our executive officers which is set forth in Part I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11 is set forth in the Proxy Statement for our Annual Meeting of Shareholders on June 15, 2023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12 is set forth in the Proxy Statement for our Annual Meeting of Shareholders on June 15, 2023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is set forth in the Proxy Statement for our Annual Meeting of Shareholders on June 15, 2023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Accountant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14 is set forth in the Proxy Statement for our Annual Meeting of Shareholders on June 15, 2023 and is incorporated herein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REX American Resources Corporation and subsidiaries are filed as a part of this report at Item 8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January 31, 2023 and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for the years ended January 31, 2023,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years ended January 31, 2023,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Shareholders’ Equity for the years ended January 31, 2023, 2022 and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 (PCAOB ID No. 34)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(a)(2)(i) </w:t>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 schedules are filed as a part of this report at Item 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-Valuation and Qualifying Accounts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1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u w:val="single" w:color="auto"/>
          <w:color w:val="auto"/>
        </w:rPr>
        <w:t>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3(a)</w:t>
      </w:r>
      <w:r>
        <w:rPr>
          <w:sz w:val="20"/>
          <w:szCs w:val="20"/>
          <w:color w:val="auto"/>
        </w:rPr>
        <w:tab/>
      </w:r>
      <w:hyperlink r:id="rId105">
        <w:r>
          <w:rPr>
            <w:rFonts w:ascii="Arial" w:cs="Arial" w:eastAsia="Arial" w:hAnsi="Arial"/>
            <w:sz w:val="18"/>
            <w:szCs w:val="18"/>
            <w:u w:val="single" w:color="auto"/>
            <w:color w:val="0000EE"/>
          </w:rPr>
          <w:t>Certificate of Incorporation, as amended (incorporated by reference to Exhibit 3(a) to Form 10-Q for quarter ended July 31,</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2010, File No. 001-09097)</w:t>
        </w:r>
      </w:hyperlink>
    </w:p>
    <w:p>
      <w:pPr>
        <w:spacing w:after="0" w:line="211"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3(b)</w:t>
      </w:r>
      <w:r>
        <w:rPr>
          <w:sz w:val="20"/>
          <w:szCs w:val="20"/>
          <w:color w:val="auto"/>
        </w:rPr>
        <w:tab/>
      </w:r>
      <w:hyperlink r:id="rId106">
        <w:r>
          <w:rPr>
            <w:rFonts w:ascii="Arial" w:cs="Arial" w:eastAsia="Arial" w:hAnsi="Arial"/>
            <w:sz w:val="18"/>
            <w:szCs w:val="18"/>
            <w:u w:val="single" w:color="auto"/>
            <w:color w:val="0000EE"/>
          </w:rPr>
          <w:t>By-Laws, as amended (incorporated by reference to Exhibit 3(a) to Form 8-K filed June 8, 2015, File No. 001-09097)</w:t>
        </w:r>
      </w:hyperlink>
    </w:p>
    <w:p>
      <w:pPr>
        <w:spacing w:after="0" w:line="225"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7"/>
          <w:szCs w:val="17"/>
          <w:color w:val="auto"/>
        </w:rPr>
        <w:t>4(a)</w:t>
      </w:r>
      <w:r>
        <w:rPr>
          <w:sz w:val="20"/>
          <w:szCs w:val="20"/>
          <w:color w:val="auto"/>
        </w:rPr>
        <w:tab/>
      </w:r>
      <w:hyperlink r:id="rId107">
        <w:r>
          <w:rPr>
            <w:rFonts w:ascii="Arial" w:cs="Arial" w:eastAsia="Arial" w:hAnsi="Arial"/>
            <w:sz w:val="17"/>
            <w:szCs w:val="17"/>
            <w:u w:val="single" w:color="auto"/>
            <w:color w:val="0000EE"/>
          </w:rPr>
          <w:t>Description of Securities Registered Under Section 12 of the Exchange Act (incorporated by reference to Exhibit 4(a) to Form</w:t>
        </w:r>
      </w:hyperlink>
    </w:p>
    <w:p>
      <w:pPr>
        <w:spacing w:after="0" w:line="35" w:lineRule="exact"/>
        <w:rPr>
          <w:sz w:val="20"/>
          <w:szCs w:val="20"/>
          <w:color w:val="auto"/>
        </w:rPr>
      </w:pPr>
    </w:p>
    <w:p>
      <w:pPr>
        <w:ind w:left="1300"/>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10-K filed April 1, 2020, File No. 001-09097)</w:t>
        </w:r>
      </w:hyperlink>
    </w:p>
    <w:p>
      <w:pPr>
        <w:spacing w:after="0" w:line="211" w:lineRule="exact"/>
        <w:rPr>
          <w:sz w:val="20"/>
          <w:szCs w:val="20"/>
          <w:color w:val="auto"/>
        </w:rPr>
      </w:pPr>
    </w:p>
    <w:p>
      <w:pPr>
        <w:ind w:left="1300" w:right="640" w:hanging="63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10(a)*</w:t>
      </w:r>
      <w:r>
        <w:rPr>
          <w:sz w:val="20"/>
          <w:szCs w:val="20"/>
          <w:color w:val="auto"/>
        </w:rPr>
        <w:tab/>
      </w:r>
      <w:hyperlink r:id="rId108">
        <w:r>
          <w:rPr>
            <w:rFonts w:ascii="Arial" w:cs="Arial" w:eastAsia="Arial" w:hAnsi="Arial"/>
            <w:sz w:val="18"/>
            <w:szCs w:val="18"/>
            <w:u w:val="single" w:color="auto"/>
            <w:color w:val="0000EE"/>
          </w:rPr>
          <w:t>Employment Agreement dated May 24, 2022 between Rex Radio and Television, Inc. (a subsidiary of the Company) and Zafar</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A. Rizvi (incorporated by reference to Exhibit 10.1 to Form 8-K filed May 27, 2022, File No. 001-09097)</w:t>
        </w:r>
      </w:hyperlink>
    </w:p>
    <w:p>
      <w:pPr>
        <w:spacing w:after="0" w:line="170" w:lineRule="exact"/>
        <w:rPr>
          <w:sz w:val="20"/>
          <w:szCs w:val="20"/>
          <w:color w:val="auto"/>
        </w:rPr>
      </w:pPr>
    </w:p>
    <w:p>
      <w:pPr>
        <w:jc w:val="center"/>
        <w:ind w:left="980" w:right="640"/>
        <w:spacing w:after="0" w:line="308" w:lineRule="auto"/>
        <w:tabs>
          <w:tab w:leader="none" w:pos="140" w:val="left"/>
        </w:tabs>
        <w:rPr>
          <w:rFonts w:ascii="Arial" w:cs="Arial" w:eastAsia="Arial" w:hAnsi="Arial"/>
          <w:sz w:val="17"/>
          <w:szCs w:val="17"/>
          <w:u w:val="single" w:color="auto"/>
          <w:color w:val="0000EE"/>
        </w:rPr>
      </w:pPr>
      <w:r>
        <w:rPr>
          <w:rFonts w:ascii="Arial" w:cs="Arial" w:eastAsia="Arial" w:hAnsi="Arial"/>
          <w:sz w:val="17"/>
          <w:szCs w:val="17"/>
          <w:color w:val="auto"/>
        </w:rPr>
        <w:t>10(b)*</w:t>
      </w:r>
      <w:r>
        <w:rPr>
          <w:sz w:val="20"/>
          <w:szCs w:val="20"/>
          <w:color w:val="auto"/>
        </w:rPr>
        <w:tab/>
      </w:r>
      <w:hyperlink r:id="rId109">
        <w:r>
          <w:rPr>
            <w:rFonts w:ascii="Arial" w:cs="Arial" w:eastAsia="Arial" w:hAnsi="Arial"/>
            <w:sz w:val="17"/>
            <w:szCs w:val="17"/>
            <w:u w:val="single" w:color="auto"/>
            <w:color w:val="0000EE"/>
          </w:rPr>
          <w:t>Employment Agreement dated May 24, 2022 between Rex Radio and Television, Inc. (a subsidiary of the Company) and</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Douglas L. Bruggeman (incorporated by reference to Exhibit 10.2 to Form 8-K filed May 27, 2022, File No. 001-09097)</w:t>
        </w:r>
      </w:hyperlink>
    </w:p>
    <w:p>
      <w:pPr>
        <w:spacing w:after="0" w:line="146" w:lineRule="exact"/>
        <w:rPr>
          <w:sz w:val="20"/>
          <w:szCs w:val="20"/>
          <w:color w:val="auto"/>
        </w:rPr>
      </w:pPr>
    </w:p>
    <w:p>
      <w:pPr>
        <w:ind w:left="1300" w:right="640" w:hanging="63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10(c)*</w:t>
      </w:r>
      <w:r>
        <w:rPr>
          <w:sz w:val="20"/>
          <w:szCs w:val="20"/>
          <w:color w:val="auto"/>
        </w:rPr>
        <w:tab/>
      </w:r>
      <w:hyperlink r:id="rId110">
        <w:r>
          <w:rPr>
            <w:rFonts w:ascii="Arial" w:cs="Arial" w:eastAsia="Arial" w:hAnsi="Arial"/>
            <w:sz w:val="18"/>
            <w:szCs w:val="18"/>
            <w:u w:val="single" w:color="auto"/>
            <w:color w:val="0000EE"/>
          </w:rPr>
          <w:t>Employment Agreement dated May 24, 2022 between Rex Radio and Television, Inc. (a subsidiary of the Company) and Stuart</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A. Rose (incorporated by reference to Exhibit 10.3 to Form 8-K filed May 27, 2022, File No. 001-09097)</w:t>
        </w:r>
      </w:hyperlink>
    </w:p>
    <w:p>
      <w:pPr>
        <w:spacing w:after="0" w:line="170"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10(d)*</w:t>
      </w:r>
      <w:r>
        <w:rPr>
          <w:sz w:val="20"/>
          <w:szCs w:val="20"/>
          <w:color w:val="auto"/>
        </w:rPr>
        <w:tab/>
      </w:r>
      <w:hyperlink r:id="rId111">
        <w:r>
          <w:rPr>
            <w:rFonts w:ascii="Arial" w:cs="Arial" w:eastAsia="Arial" w:hAnsi="Arial"/>
            <w:sz w:val="16"/>
            <w:szCs w:val="16"/>
            <w:u w:val="single" w:color="auto"/>
            <w:color w:val="0000EE"/>
          </w:rPr>
          <w:t>2015 Incentive Plan (incorporated by reference to Exhibit 10(d) to Form 8-K filed June 8, 2015, File No. 001-09097)</w:t>
        </w:r>
      </w:hyperlink>
    </w:p>
    <w:p>
      <w:pPr>
        <w:spacing w:after="0" w:line="225" w:lineRule="exact"/>
        <w:rPr>
          <w:sz w:val="20"/>
          <w:szCs w:val="20"/>
          <w:color w:val="auto"/>
        </w:rPr>
      </w:pPr>
    </w:p>
    <w:p>
      <w:pPr>
        <w:ind w:left="1300" w:right="640" w:hanging="63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10(e)*</w:t>
      </w:r>
      <w:r>
        <w:rPr>
          <w:sz w:val="20"/>
          <w:szCs w:val="20"/>
          <w:color w:val="auto"/>
        </w:rPr>
        <w:tab/>
      </w:r>
      <w:hyperlink r:id="rId112">
        <w:r>
          <w:rPr>
            <w:rFonts w:ascii="Arial" w:cs="Arial" w:eastAsia="Arial" w:hAnsi="Arial"/>
            <w:sz w:val="18"/>
            <w:szCs w:val="18"/>
            <w:u w:val="single" w:color="auto"/>
            <w:color w:val="0000EE"/>
          </w:rPr>
          <w:t>Form of Restricted Stock Award Agreement under the REX American Resources 2015 Incentive Plan (incorporated by reference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to Exhibit 10.1 to Form 8-K filed June 22, 2022, File No. 001-09097)</w:t>
        </w:r>
      </w:hyperlink>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70" w:name="page71"/>
    <w:bookmarkEnd w:id="70"/>
    <w:p>
      <w:pPr>
        <w:ind w:left="1300" w:right="660" w:hanging="639"/>
        <w:spacing w:after="0" w:line="308" w:lineRule="auto"/>
        <w:tabs>
          <w:tab w:leader="none" w:pos="1280" w:val="left"/>
        </w:tabs>
        <w:rPr>
          <w:rFonts w:ascii="Arial" w:cs="Arial" w:eastAsia="Arial" w:hAnsi="Arial"/>
          <w:sz w:val="17"/>
          <w:szCs w:val="17"/>
          <w:u w:val="single" w:color="auto"/>
          <w:color w:val="0000EE"/>
        </w:rPr>
      </w:pPr>
      <w:r>
        <w:rPr>
          <w:rFonts w:ascii="Arial" w:cs="Arial" w:eastAsia="Arial" w:hAnsi="Arial"/>
          <w:sz w:val="17"/>
          <w:szCs w:val="17"/>
          <w:color w:val="auto"/>
        </w:rPr>
        <w:t>10(f)*</w:t>
      </w:r>
      <w:r>
        <w:rPr>
          <w:sz w:val="20"/>
          <w:szCs w:val="20"/>
          <w:color w:val="auto"/>
        </w:rPr>
        <w:tab/>
      </w:r>
      <w:hyperlink r:id="rId114">
        <w:r>
          <w:rPr>
            <w:rFonts w:ascii="Arial" w:cs="Arial" w:eastAsia="Arial" w:hAnsi="Arial"/>
            <w:sz w:val="17"/>
            <w:szCs w:val="17"/>
            <w:u w:val="single" w:color="auto"/>
            <w:color w:val="0000EE"/>
          </w:rPr>
          <w:t>Form of REX American Resources Corporation Restricted Stock Unit Award Agreement (Employee-Performance Based Vesting</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Award) (incorporated by reference to Exhibit 10.4 to Form 8-K filed May 27, 2022, File No. 001-09097)</w:t>
        </w:r>
      </w:hyperlink>
    </w:p>
    <w:p>
      <w:pPr>
        <w:spacing w:after="0" w:line="14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Subsidiaries of the registrant: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w:t>
      </w:r>
      <w:r>
        <w:rPr>
          <w:rFonts w:ascii="Arial" w:cs="Arial" w:eastAsia="Arial" w:hAnsi="Arial"/>
          <w:sz w:val="16"/>
          <w:szCs w:val="16"/>
          <w:u w:val="single" w:color="auto"/>
          <w:color w:val="0000EE"/>
        </w:rPr>
        <w:t>Subsidiaries of registrant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Consents of experts and counsel:</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23(a) </w:t>
      </w:r>
      <w:r>
        <w:rPr>
          <w:rFonts w:ascii="Arial" w:cs="Arial" w:eastAsia="Arial" w:hAnsi="Arial"/>
          <w:sz w:val="18"/>
          <w:szCs w:val="18"/>
          <w:u w:val="single" w:color="auto"/>
          <w:color w:val="0000EE"/>
        </w:rPr>
        <w:t>Consent of Deloitte &amp; Touche LLP to use its reports dated March 30, 2023 included in this annual report on Form 10-K into registrant’s</w:t>
      </w:r>
      <w:r>
        <w:rPr>
          <w:rFonts w:ascii="Arial" w:cs="Arial" w:eastAsia="Arial" w:hAnsi="Arial"/>
          <w:sz w:val="18"/>
          <w:szCs w:val="18"/>
          <w:color w:val="auto"/>
        </w:rPr>
        <w:t xml:space="preserve"> </w:t>
      </w:r>
      <w:r>
        <w:rPr>
          <w:rFonts w:ascii="Arial" w:cs="Arial" w:eastAsia="Arial" w:hAnsi="Arial"/>
          <w:sz w:val="18"/>
          <w:szCs w:val="18"/>
          <w:u w:val="single" w:color="auto"/>
          <w:color w:val="0000EE"/>
        </w:rPr>
        <w:t>Registration Statement on Form S-8 (Registration No. 333-205419)</w:t>
      </w:r>
    </w:p>
    <w:p>
      <w:pPr>
        <w:spacing w:after="0" w:line="17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Rule 13a-14(a)/15d-14(a) Certifications: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u w:val="single" w:color="auto"/>
          <w:color w:val="0000EE"/>
        </w:rPr>
        <w:t>Certifications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Section 1350 Certifications: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u w:val="single" w:color="auto"/>
          <w:color w:val="0000EE"/>
        </w:rPr>
        <w:t>Certifications</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Interactive Data File:</w:t>
      </w:r>
    </w:p>
    <w:p>
      <w:pPr>
        <w:spacing w:after="0" w:line="225" w:lineRule="exact"/>
        <w:rPr>
          <w:rFonts w:ascii="Arial" w:cs="Arial" w:eastAsia="Arial" w:hAnsi="Arial"/>
          <w:sz w:val="18"/>
          <w:szCs w:val="18"/>
          <w:color w:val="auto"/>
        </w:rPr>
      </w:pPr>
    </w:p>
    <w:p>
      <w:pPr>
        <w:ind w:left="1300" w:hanging="648"/>
        <w:spacing w:after="0" w:line="311" w:lineRule="auto"/>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The following information from REX American Resources Corporation Annual Report on Form 10-K for the fiscal year ended January 31, 2023, formatted in iXBRL: (i) Consolidated Balance Sheets, (ii) Consolidated Statements of Operations, (iii) Consolidated Statements of Shareholders’ Equity, (iv) Consolidated Statements of Cash Flows and (v) Notes to Consolidated Financial Statements.</w:t>
      </w:r>
    </w:p>
    <w:p>
      <w:pPr>
        <w:spacing w:after="0" w:line="14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The cover page from REX American Resources Corporation on Form 10-K for the year ended January 31, 2023</w:t>
      </w:r>
    </w:p>
    <w:p>
      <w:pPr>
        <w:spacing w:after="0" w:line="221"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b w:val="1"/>
          <w:bCs w:val="1"/>
          <w:color w:val="auto"/>
        </w:rPr>
        <w:t>Copies of the Exhibits not filed herewith may be obtained by writing to Edward M. Kress, Secretary, REX American Resources Corporation, 7720 Paragon Road, Dayton, Ohio 45459.</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Those exhibits marked with an asterisk (*) above are management contracts or compensatory plans or arrangements for directors or executive officers of the registrant.</w:t>
      </w:r>
    </w:p>
    <w:p>
      <w:pPr>
        <w:spacing w:after="0" w:line="166"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REX AMERICAN RESOURCES CORPORATION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ZAFAR A. RIZVI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2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58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8"/>
        </w:trPr>
        <w:tc>
          <w:tcPr>
            <w:tcW w:w="3360" w:type="dxa"/>
            <w:vAlign w:val="bottom"/>
            <w:gridSpan w:val="3"/>
          </w:tcPr>
          <w:p>
            <w:pPr>
              <w:spacing w:after="0"/>
              <w:rPr>
                <w:sz w:val="20"/>
                <w:szCs w:val="20"/>
                <w:color w:val="auto"/>
              </w:rPr>
            </w:pPr>
            <w:r>
              <w:rPr>
                <w:rFonts w:ascii="Arial" w:cs="Arial" w:eastAsia="Arial" w:hAnsi="Arial"/>
                <w:sz w:val="18"/>
                <w:szCs w:val="18"/>
                <w:color w:val="auto"/>
              </w:rPr>
              <w:t>/s/ STUART A. ROSE</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Stuart A. Rose</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Executive Chairman of the Board</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ZAFAR A. RIZVI</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w w:val="97"/>
              </w:rPr>
              <w:t>Chief Executive Officer, President and Director (principal executive</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Zafar A. Rizvi</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officer)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DOUGLAS L. BRUGGEMAN</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Vice President-Finance, Chief Financial Officer and Treasurer</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Douglas L. Bruggeman</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EDWARD M. KRESS</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Edward M. Kress</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CHARLES A. ELCAN</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Charles A. Elcan</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DAVID S. HARRIS</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David S. Harris</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MERVYN L. ALPHONSO</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Mervyn L. Alphonso</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LEE I. FISHER</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Lee I. Fisher</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ANNE C. MACMILLAN</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Anne C. MacMillan</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18"/>
        </w:trPr>
        <w:tc>
          <w:tcPr>
            <w:tcW w:w="3360" w:type="dxa"/>
            <w:vAlign w:val="bottom"/>
            <w:gridSpan w:val="3"/>
          </w:tcPr>
          <w:p>
            <w:pPr>
              <w:spacing w:after="0"/>
              <w:rPr>
                <w:sz w:val="20"/>
                <w:szCs w:val="20"/>
                <w:color w:val="auto"/>
              </w:rPr>
            </w:pPr>
            <w:r>
              <w:rPr>
                <w:rFonts w:ascii="Arial" w:cs="Arial" w:eastAsia="Arial" w:hAnsi="Arial"/>
                <w:sz w:val="18"/>
                <w:szCs w:val="18"/>
                <w:color w:val="auto"/>
              </w:rPr>
              <w:t>/s/ CHERYL L. BUSTOS</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Cheryl L. Bustos</w:t>
            </w:r>
          </w:p>
        </w:tc>
        <w:tc>
          <w:tcPr>
            <w:tcW w:w="6060" w:type="dxa"/>
            <w:vAlign w:val="bottom"/>
            <w:gridSpan w:val="3"/>
          </w:tcPr>
          <w:p>
            <w:pPr>
              <w:ind w:left="8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March 30, 2023</w:t>
            </w:r>
          </w:p>
        </w:tc>
      </w:tr>
      <w:tr>
        <w:trPr>
          <w:trHeight w:val="405"/>
        </w:trPr>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60" w:type="dxa"/>
            <w:vAlign w:val="bottom"/>
            <w:gridSpan w:val="3"/>
          </w:tcPr>
          <w:p>
            <w:pPr>
              <w:ind w:left="2180"/>
              <w:spacing w:after="0"/>
              <w:rPr>
                <w:sz w:val="20"/>
                <w:szCs w:val="20"/>
                <w:color w:val="auto"/>
              </w:rPr>
            </w:pPr>
            <w:r>
              <w:rPr>
                <w:rFonts w:ascii="Arial" w:cs="Arial" w:eastAsia="Arial" w:hAnsi="Arial"/>
                <w:sz w:val="18"/>
                <w:szCs w:val="18"/>
                <w:color w:val="auto"/>
              </w:rPr>
              <w:t>72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8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234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416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100" w:type="dxa"/>
            <w:vAlign w:val="bottom"/>
            <w:gridSpan w:val="3"/>
          </w:tcPr>
          <w:p>
            <w:pPr>
              <w:ind w:left="940"/>
              <w:spacing w:after="0"/>
              <w:rPr>
                <w:sz w:val="20"/>
                <w:szCs w:val="20"/>
                <w:color w:val="auto"/>
              </w:rPr>
            </w:pPr>
            <w:r>
              <w:rPr>
                <w:rFonts w:ascii="Arial" w:cs="Arial" w:eastAsia="Arial" w:hAnsi="Arial"/>
                <w:sz w:val="22"/>
                <w:szCs w:val="22"/>
                <w:color w:val="auto"/>
                <w:w w:val="98"/>
              </w:rPr>
              <w:t>EXHIBIT 21</w:t>
            </w:r>
          </w:p>
        </w:tc>
        <w:tc>
          <w:tcPr>
            <w:tcW w:w="0" w:type="dxa"/>
            <w:vAlign w:val="bottom"/>
          </w:tcPr>
          <w:p>
            <w:pPr>
              <w:spacing w:after="0"/>
              <w:rPr>
                <w:sz w:val="1"/>
                <w:szCs w:val="1"/>
                <w:color w:val="auto"/>
              </w:rPr>
            </w:pPr>
          </w:p>
        </w:tc>
      </w:tr>
      <w:tr>
        <w:trPr>
          <w:trHeight w:val="486"/>
        </w:trPr>
        <w:tc>
          <w:tcPr>
            <w:tcW w:w="11260" w:type="dxa"/>
            <w:vAlign w:val="bottom"/>
            <w:gridSpan w:val="6"/>
          </w:tcPr>
          <w:p>
            <w:pPr>
              <w:ind w:left="2260"/>
              <w:spacing w:after="0"/>
              <w:rPr>
                <w:sz w:val="20"/>
                <w:szCs w:val="20"/>
                <w:color w:val="auto"/>
              </w:rPr>
            </w:pPr>
            <w:r>
              <w:rPr>
                <w:rFonts w:ascii="Arial" w:cs="Arial" w:eastAsia="Arial" w:hAnsi="Arial"/>
                <w:sz w:val="22"/>
                <w:szCs w:val="22"/>
                <w:b w:val="1"/>
                <w:bCs w:val="1"/>
                <w:color w:val="auto"/>
              </w:rPr>
              <w:t>SUBSIDIARIES OF REX AMERICAN RESOURCES CORPORATION</w:t>
            </w:r>
          </w:p>
        </w:tc>
        <w:tc>
          <w:tcPr>
            <w:tcW w:w="0" w:type="dxa"/>
            <w:vAlign w:val="bottom"/>
          </w:tcPr>
          <w:p>
            <w:pPr>
              <w:spacing w:after="0"/>
              <w:rPr>
                <w:sz w:val="1"/>
                <w:szCs w:val="1"/>
                <w:color w:val="auto"/>
              </w:rPr>
            </w:pPr>
          </w:p>
        </w:tc>
      </w:tr>
      <w:tr>
        <w:trPr>
          <w:trHeight w:val="455"/>
        </w:trPr>
        <w:tc>
          <w:tcPr>
            <w:tcW w:w="3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0" w:type="dxa"/>
            <w:vAlign w:val="bottom"/>
            <w:gridSpan w:val="4"/>
          </w:tcPr>
          <w:p>
            <w:pPr>
              <w:ind w:left="4620"/>
              <w:spacing w:after="0"/>
              <w:rPr>
                <w:sz w:val="20"/>
                <w:szCs w:val="20"/>
                <w:color w:val="auto"/>
              </w:rPr>
            </w:pPr>
            <w:r>
              <w:rPr>
                <w:rFonts w:ascii="Arial" w:cs="Arial" w:eastAsia="Arial" w:hAnsi="Arial"/>
                <w:sz w:val="22"/>
                <w:szCs w:val="22"/>
                <w:color w:val="auto"/>
              </w:rPr>
              <w:t>State of Incorporation</w:t>
            </w:r>
          </w:p>
        </w:tc>
        <w:tc>
          <w:tcPr>
            <w:tcW w:w="0" w:type="dxa"/>
            <w:vAlign w:val="bottom"/>
          </w:tcPr>
          <w:p>
            <w:pPr>
              <w:spacing w:after="0"/>
              <w:rPr>
                <w:sz w:val="1"/>
                <w:szCs w:val="1"/>
                <w:color w:val="auto"/>
              </w:rPr>
            </w:pPr>
          </w:p>
        </w:tc>
      </w:tr>
      <w:tr>
        <w:trPr>
          <w:trHeight w:val="224"/>
        </w:trPr>
        <w:tc>
          <w:tcPr>
            <w:tcW w:w="4260" w:type="dxa"/>
            <w:vAlign w:val="bottom"/>
            <w:gridSpan w:val="2"/>
          </w:tcPr>
          <w:p>
            <w:pPr>
              <w:ind w:left="3740"/>
              <w:spacing w:after="0" w:line="224" w:lineRule="exact"/>
              <w:rPr>
                <w:sz w:val="20"/>
                <w:szCs w:val="20"/>
                <w:color w:val="auto"/>
              </w:rPr>
            </w:pPr>
            <w:r>
              <w:rPr>
                <w:rFonts w:ascii="Arial" w:cs="Arial" w:eastAsia="Arial" w:hAnsi="Arial"/>
                <w:sz w:val="22"/>
                <w:szCs w:val="22"/>
                <w:color w:val="auto"/>
                <w:w w:val="85"/>
              </w:rPr>
              <w:t>Name</w:t>
            </w:r>
          </w:p>
        </w:tc>
        <w:tc>
          <w:tcPr>
            <w:tcW w:w="7000" w:type="dxa"/>
            <w:vAlign w:val="bottom"/>
            <w:gridSpan w:val="4"/>
          </w:tcPr>
          <w:p>
            <w:pPr>
              <w:ind w:left="4900"/>
              <w:spacing w:after="0" w:line="224" w:lineRule="exact"/>
              <w:rPr>
                <w:sz w:val="20"/>
                <w:szCs w:val="20"/>
                <w:color w:val="auto"/>
              </w:rPr>
            </w:pPr>
            <w:r>
              <w:rPr>
                <w:rFonts w:ascii="Arial" w:cs="Arial" w:eastAsia="Arial" w:hAnsi="Arial"/>
                <w:sz w:val="22"/>
                <w:szCs w:val="22"/>
                <w:color w:val="auto"/>
              </w:rPr>
              <w:t>or Organization</w:t>
            </w: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9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Alistar Enterprises, LLC</w:t>
            </w:r>
            <w:r>
              <w:rPr>
                <w:rFonts w:ascii="Arial" w:cs="Arial" w:eastAsia="Arial" w:hAnsi="Arial"/>
                <w:sz w:val="34"/>
                <w:szCs w:val="34"/>
                <w:color w:val="auto"/>
                <w:vertAlign w:val="superscript"/>
              </w:rPr>
              <w:t>(1)</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4260" w:type="dxa"/>
            <w:vAlign w:val="bottom"/>
            <w:gridSpan w:val="2"/>
          </w:tcPr>
          <w:p>
            <w:pPr>
              <w:spacing w:after="0"/>
              <w:rPr>
                <w:sz w:val="20"/>
                <w:szCs w:val="20"/>
                <w:color w:val="auto"/>
              </w:rPr>
            </w:pPr>
            <w:r>
              <w:rPr>
                <w:rFonts w:ascii="Arial" w:cs="Arial" w:eastAsia="Arial" w:hAnsi="Arial"/>
                <w:sz w:val="22"/>
                <w:szCs w:val="22"/>
                <w:color w:val="auto"/>
              </w:rPr>
              <w:t>AVA Acquisition Corp.</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33"/>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Rex Radio and Television, Inc.</w:t>
            </w:r>
            <w:r>
              <w:rPr>
                <w:rFonts w:ascii="Arial" w:cs="Arial" w:eastAsia="Arial" w:hAnsi="Arial"/>
                <w:sz w:val="34"/>
                <w:szCs w:val="34"/>
                <w:color w:val="auto"/>
                <w:vertAlign w:val="superscript"/>
              </w:rPr>
              <w:t>(2)</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rPr>
              <w:t>Rex Acquisition, LLC</w:t>
            </w:r>
            <w:r>
              <w:rPr>
                <w:rFonts w:ascii="Arial" w:cs="Arial" w:eastAsia="Arial" w:hAnsi="Arial"/>
                <w:sz w:val="35"/>
                <w:szCs w:val="35"/>
                <w:color w:val="auto"/>
                <w:vertAlign w:val="superscript"/>
              </w:rPr>
              <w:t>(3)</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REX Carbon, LLC</w:t>
            </w:r>
          </w:p>
        </w:tc>
        <w:tc>
          <w:tcPr>
            <w:tcW w:w="6980" w:type="dxa"/>
            <w:vAlign w:val="bottom"/>
            <w:gridSpan w:val="3"/>
            <w:shd w:val="clear" w:color="auto" w:fill="E5FFFF"/>
          </w:tcPr>
          <w:p>
            <w:pPr>
              <w:ind w:left="4900"/>
              <w:spacing w:after="0" w:line="243" w:lineRule="exact"/>
              <w:rPr>
                <w:sz w:val="20"/>
                <w:szCs w:val="20"/>
                <w:color w:val="auto"/>
              </w:rPr>
            </w:pPr>
            <w:r>
              <w:rPr>
                <w:rFonts w:ascii="Arial" w:cs="Arial" w:eastAsia="Arial" w:hAnsi="Arial"/>
                <w:sz w:val="22"/>
                <w:szCs w:val="22"/>
                <w:color w:val="auto"/>
              </w:rPr>
              <w:t>Ohio</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rPr>
              <w:t>RGPP I, LLC</w:t>
            </w:r>
            <w:r>
              <w:rPr>
                <w:rFonts w:ascii="Arial" w:cs="Arial" w:eastAsia="Arial" w:hAnsi="Arial"/>
                <w:sz w:val="35"/>
                <w:szCs w:val="35"/>
                <w:color w:val="auto"/>
                <w:vertAlign w:val="superscript"/>
              </w:rPr>
              <w:t>(4)</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REX/GPP II, LLC</w:t>
            </w:r>
            <w:r>
              <w:rPr>
                <w:rFonts w:ascii="Arial" w:cs="Arial" w:eastAsia="Arial" w:hAnsi="Arial"/>
                <w:sz w:val="34"/>
                <w:szCs w:val="34"/>
                <w:color w:val="auto"/>
                <w:vertAlign w:val="superscript"/>
              </w:rPr>
              <w:t>(4)</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rPr>
              <w:t>REX Investment, LLC</w:t>
            </w:r>
            <w:r>
              <w:rPr>
                <w:rFonts w:ascii="Arial" w:cs="Arial" w:eastAsia="Arial" w:hAnsi="Arial"/>
                <w:sz w:val="35"/>
                <w:szCs w:val="35"/>
                <w:color w:val="auto"/>
                <w:vertAlign w:val="superscript"/>
              </w:rPr>
              <w:t>(5)</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REX IP, LLC</w:t>
            </w:r>
          </w:p>
        </w:tc>
        <w:tc>
          <w:tcPr>
            <w:tcW w:w="6980" w:type="dxa"/>
            <w:vAlign w:val="bottom"/>
            <w:gridSpan w:val="3"/>
            <w:shd w:val="clear" w:color="auto" w:fill="E5FFFF"/>
          </w:tcPr>
          <w:p>
            <w:pPr>
              <w:ind w:left="4900"/>
              <w:spacing w:after="0" w:line="243" w:lineRule="exact"/>
              <w:rPr>
                <w:sz w:val="20"/>
                <w:szCs w:val="20"/>
                <w:color w:val="auto"/>
              </w:rPr>
            </w:pPr>
            <w:r>
              <w:rPr>
                <w:rFonts w:ascii="Arial" w:cs="Arial" w:eastAsia="Arial" w:hAnsi="Arial"/>
                <w:sz w:val="22"/>
                <w:szCs w:val="22"/>
                <w:color w:val="auto"/>
              </w:rPr>
              <w:t>Ohio</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rPr>
              <w:t>REX Marketing Group, LLC</w:t>
            </w:r>
            <w:r>
              <w:rPr>
                <w:rFonts w:ascii="Arial" w:cs="Arial" w:eastAsia="Arial" w:hAnsi="Arial"/>
                <w:sz w:val="35"/>
                <w:szCs w:val="35"/>
                <w:color w:val="auto"/>
                <w:vertAlign w:val="superscript"/>
              </w:rPr>
              <w:t>(4)</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South Dakota</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RRC1, LLC</w:t>
            </w:r>
            <w:r>
              <w:rPr>
                <w:rFonts w:ascii="Arial" w:cs="Arial" w:eastAsia="Arial" w:hAnsi="Arial"/>
                <w:sz w:val="34"/>
                <w:szCs w:val="34"/>
                <w:color w:val="auto"/>
                <w:vertAlign w:val="superscript"/>
              </w:rPr>
              <w:t>(6)</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4260" w:type="dxa"/>
            <w:vAlign w:val="bottom"/>
            <w:gridSpan w:val="2"/>
          </w:tcPr>
          <w:p>
            <w:pPr>
              <w:spacing w:after="0"/>
              <w:rPr>
                <w:sz w:val="20"/>
                <w:szCs w:val="20"/>
                <w:color w:val="auto"/>
              </w:rPr>
            </w:pPr>
            <w:r>
              <w:rPr>
                <w:rFonts w:ascii="Arial" w:cs="Arial" w:eastAsia="Arial" w:hAnsi="Arial"/>
                <w:sz w:val="22"/>
                <w:szCs w:val="22"/>
                <w:color w:val="auto"/>
              </w:rPr>
              <w:t>Farmers Energy Incorporated</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33"/>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Farmers Energy Big River Holding, LLC</w:t>
            </w:r>
            <w:r>
              <w:rPr>
                <w:rFonts w:ascii="Arial" w:cs="Arial" w:eastAsia="Arial" w:hAnsi="Arial"/>
                <w:sz w:val="34"/>
                <w:szCs w:val="34"/>
                <w:color w:val="auto"/>
                <w:vertAlign w:val="superscript"/>
              </w:rPr>
              <w:t>(7)</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rPr>
              <w:t>Farmers Energy Big River, LLC</w:t>
            </w:r>
            <w:r>
              <w:rPr>
                <w:rFonts w:ascii="Arial" w:cs="Arial" w:eastAsia="Arial" w:hAnsi="Arial"/>
                <w:sz w:val="35"/>
                <w:szCs w:val="35"/>
                <w:color w:val="auto"/>
                <w:vertAlign w:val="superscript"/>
              </w:rPr>
              <w:t>(8)</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Farmers Energy Cardinal Holding, LLC</w:t>
            </w:r>
            <w:r>
              <w:rPr>
                <w:rFonts w:ascii="Arial" w:cs="Arial" w:eastAsia="Arial" w:hAnsi="Arial"/>
                <w:sz w:val="34"/>
                <w:szCs w:val="34"/>
                <w:color w:val="auto"/>
                <w:vertAlign w:val="superscript"/>
              </w:rPr>
              <w:t>(4)(7)</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w w:val="93"/>
              </w:rPr>
              <w:t>Farmers Energy Highwater Holding, LLC</w:t>
            </w:r>
            <w:r>
              <w:rPr>
                <w:rFonts w:ascii="Arial" w:cs="Arial" w:eastAsia="Arial" w:hAnsi="Arial"/>
                <w:sz w:val="35"/>
                <w:szCs w:val="35"/>
                <w:color w:val="auto"/>
                <w:w w:val="93"/>
                <w:vertAlign w:val="superscript"/>
              </w:rPr>
              <w:t>(4)(7)</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Farmers Energy Highwater, LLC</w:t>
            </w:r>
            <w:r>
              <w:rPr>
                <w:rFonts w:ascii="Arial" w:cs="Arial" w:eastAsia="Arial" w:hAnsi="Arial"/>
                <w:sz w:val="34"/>
                <w:szCs w:val="34"/>
                <w:color w:val="auto"/>
                <w:vertAlign w:val="superscript"/>
              </w:rPr>
              <w:t>(4)(8)</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4260" w:type="dxa"/>
            <w:vAlign w:val="bottom"/>
            <w:gridSpan w:val="2"/>
          </w:tcPr>
          <w:p>
            <w:pPr>
              <w:spacing w:after="0"/>
              <w:rPr>
                <w:sz w:val="20"/>
                <w:szCs w:val="20"/>
                <w:color w:val="auto"/>
              </w:rPr>
            </w:pPr>
            <w:r>
              <w:rPr>
                <w:rFonts w:ascii="Arial" w:cs="Arial" w:eastAsia="Arial" w:hAnsi="Arial"/>
                <w:sz w:val="22"/>
                <w:szCs w:val="22"/>
                <w:color w:val="auto"/>
                <w:w w:val="94"/>
              </w:rPr>
              <w:t>Farmers Energy Levelland Holding, LLC</w:t>
            </w:r>
            <w:r>
              <w:rPr>
                <w:rFonts w:ascii="Arial" w:cs="Arial" w:eastAsia="Arial" w:hAnsi="Arial"/>
                <w:sz w:val="35"/>
                <w:szCs w:val="35"/>
                <w:color w:val="auto"/>
                <w:w w:val="94"/>
                <w:vertAlign w:val="superscript"/>
              </w:rPr>
              <w:t>(4)(7)</w:t>
            </w:r>
          </w:p>
        </w:tc>
        <w:tc>
          <w:tcPr>
            <w:tcW w:w="7000" w:type="dxa"/>
            <w:vAlign w:val="bottom"/>
            <w:gridSpan w:val="4"/>
          </w:tcPr>
          <w:p>
            <w:pPr>
              <w:ind w:left="490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83"/>
        </w:trPr>
        <w:tc>
          <w:tcPr>
            <w:tcW w:w="3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260" w:type="dxa"/>
            <w:vAlign w:val="bottom"/>
            <w:gridSpan w:val="2"/>
            <w:shd w:val="clear" w:color="auto" w:fill="E5FFFF"/>
          </w:tcPr>
          <w:p>
            <w:pPr>
              <w:spacing w:after="0" w:line="297" w:lineRule="exact"/>
              <w:rPr>
                <w:sz w:val="20"/>
                <w:szCs w:val="20"/>
                <w:color w:val="auto"/>
              </w:rPr>
            </w:pPr>
            <w:r>
              <w:rPr>
                <w:rFonts w:ascii="Arial" w:cs="Arial" w:eastAsia="Arial" w:hAnsi="Arial"/>
                <w:sz w:val="21"/>
                <w:szCs w:val="21"/>
                <w:color w:val="auto"/>
              </w:rPr>
              <w:t>Farmers Energy Levelland, LLC</w:t>
            </w:r>
            <w:r>
              <w:rPr>
                <w:rFonts w:ascii="Arial" w:cs="Arial" w:eastAsia="Arial" w:hAnsi="Arial"/>
                <w:sz w:val="34"/>
                <w:szCs w:val="34"/>
                <w:color w:val="auto"/>
                <w:vertAlign w:val="superscript"/>
              </w:rPr>
              <w:t>(4)(8)</w:t>
            </w:r>
          </w:p>
        </w:tc>
        <w:tc>
          <w:tcPr>
            <w:tcW w:w="6980" w:type="dxa"/>
            <w:vAlign w:val="bottom"/>
            <w:gridSpan w:val="3"/>
            <w:shd w:val="clear" w:color="auto" w:fill="E5FFFF"/>
          </w:tcPr>
          <w:p>
            <w:pPr>
              <w:ind w:left="4900"/>
              <w:spacing w:after="0"/>
              <w:rPr>
                <w:sz w:val="20"/>
                <w:szCs w:val="20"/>
                <w:color w:val="auto"/>
              </w:rPr>
            </w:pPr>
            <w:r>
              <w:rPr>
                <w:rFonts w:ascii="Arial" w:cs="Arial" w:eastAsia="Arial" w:hAnsi="Arial"/>
                <w:sz w:val="22"/>
                <w:szCs w:val="22"/>
                <w:color w:val="auto"/>
              </w:rPr>
              <w:t>Ohio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4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490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6700" w:type="dxa"/>
            <w:vAlign w:val="bottom"/>
            <w:shd w:val="clear" w:color="auto" w:fill="E5FFFF"/>
          </w:tcPr>
          <w:p>
            <w:pPr>
              <w:ind w:left="100"/>
              <w:spacing w:after="0"/>
              <w:rPr>
                <w:sz w:val="20"/>
                <w:szCs w:val="20"/>
                <w:color w:val="auto"/>
              </w:rPr>
            </w:pPr>
            <w:r>
              <w:rPr>
                <w:rFonts w:ascii="Arial" w:cs="Arial" w:eastAsia="Arial" w:hAnsi="Arial"/>
                <w:sz w:val="22"/>
                <w:szCs w:val="22"/>
                <w:color w:val="auto"/>
              </w:rPr>
              <w:t>Farmers Energy Millennium Holding, LLC</w:t>
            </w:r>
            <w:r>
              <w:rPr>
                <w:rFonts w:ascii="Arial" w:cs="Arial" w:eastAsia="Arial" w:hAnsi="Arial"/>
                <w:sz w:val="35"/>
                <w:szCs w:val="35"/>
                <w:color w:val="auto"/>
                <w:vertAlign w:val="superscript"/>
              </w:rPr>
              <w:t>(4)(7)</w:t>
            </w:r>
          </w:p>
        </w:tc>
        <w:tc>
          <w:tcPr>
            <w:tcW w:w="4540" w:type="dxa"/>
            <w:vAlign w:val="bottom"/>
            <w:shd w:val="clear" w:color="auto" w:fill="E5FFFF"/>
          </w:tcPr>
          <w:p>
            <w:pPr>
              <w:ind w:left="2460"/>
              <w:spacing w:after="0"/>
              <w:rPr>
                <w:sz w:val="20"/>
                <w:szCs w:val="20"/>
                <w:color w:val="auto"/>
              </w:rPr>
            </w:pPr>
            <w:r>
              <w:rPr>
                <w:rFonts w:ascii="Arial" w:cs="Arial" w:eastAsia="Arial" w:hAnsi="Arial"/>
                <w:sz w:val="22"/>
                <w:szCs w:val="22"/>
                <w:color w:val="auto"/>
              </w:rPr>
              <w:t>Ohio</w:t>
            </w:r>
          </w:p>
        </w:tc>
      </w:tr>
      <w:tr>
        <w:trPr>
          <w:trHeight w:val="700"/>
        </w:trPr>
        <w:tc>
          <w:tcPr>
            <w:tcW w:w="6700" w:type="dxa"/>
            <w:vAlign w:val="bottom"/>
          </w:tcPr>
          <w:p>
            <w:pPr>
              <w:ind w:left="100"/>
              <w:spacing w:after="0"/>
              <w:rPr>
                <w:sz w:val="20"/>
                <w:szCs w:val="20"/>
                <w:color w:val="auto"/>
              </w:rPr>
            </w:pPr>
            <w:r>
              <w:rPr>
                <w:rFonts w:ascii="Arial" w:cs="Arial" w:eastAsia="Arial" w:hAnsi="Arial"/>
                <w:sz w:val="22"/>
                <w:szCs w:val="22"/>
                <w:color w:val="auto"/>
              </w:rPr>
              <w:t>Farmers Energy Millennium, LLC</w:t>
            </w:r>
            <w:r>
              <w:rPr>
                <w:rFonts w:ascii="Arial" w:cs="Arial" w:eastAsia="Arial" w:hAnsi="Arial"/>
                <w:sz w:val="35"/>
                <w:szCs w:val="35"/>
                <w:color w:val="auto"/>
                <w:vertAlign w:val="superscript"/>
              </w:rPr>
              <w:t>(4)(8)</w:t>
            </w:r>
          </w:p>
        </w:tc>
        <w:tc>
          <w:tcPr>
            <w:tcW w:w="4540" w:type="dxa"/>
            <w:vAlign w:val="bottom"/>
          </w:tcPr>
          <w:p>
            <w:pPr>
              <w:ind w:left="2460"/>
              <w:spacing w:after="0"/>
              <w:rPr>
                <w:sz w:val="20"/>
                <w:szCs w:val="20"/>
                <w:color w:val="auto"/>
              </w:rPr>
            </w:pPr>
            <w:r>
              <w:rPr>
                <w:rFonts w:ascii="Arial" w:cs="Arial" w:eastAsia="Arial" w:hAnsi="Arial"/>
                <w:sz w:val="22"/>
                <w:szCs w:val="22"/>
                <w:color w:val="auto"/>
              </w:rPr>
              <w:t>Ohio</w:t>
            </w:r>
          </w:p>
        </w:tc>
      </w:tr>
      <w:tr>
        <w:trPr>
          <w:trHeight w:val="83"/>
        </w:trPr>
        <w:tc>
          <w:tcPr>
            <w:tcW w:w="6700" w:type="dxa"/>
            <w:vAlign w:val="bottom"/>
          </w:tcPr>
          <w:p>
            <w:pPr>
              <w:spacing w:after="0"/>
              <w:rPr>
                <w:sz w:val="7"/>
                <w:szCs w:val="7"/>
                <w:color w:val="auto"/>
              </w:rPr>
            </w:pPr>
          </w:p>
        </w:tc>
        <w:tc>
          <w:tcPr>
            <w:tcW w:w="4540" w:type="dxa"/>
            <w:vAlign w:val="bottom"/>
          </w:tcPr>
          <w:p>
            <w:pPr>
              <w:spacing w:after="0"/>
              <w:rPr>
                <w:sz w:val="7"/>
                <w:szCs w:val="7"/>
                <w:color w:val="auto"/>
              </w:rPr>
            </w:pPr>
          </w:p>
        </w:tc>
      </w:tr>
      <w:tr>
        <w:trPr>
          <w:trHeight w:val="297"/>
        </w:trPr>
        <w:tc>
          <w:tcPr>
            <w:tcW w:w="6700" w:type="dxa"/>
            <w:vAlign w:val="bottom"/>
            <w:shd w:val="clear" w:color="auto" w:fill="E5FFFF"/>
          </w:tcPr>
          <w:p>
            <w:pPr>
              <w:ind w:left="100"/>
              <w:spacing w:after="0" w:line="297" w:lineRule="exact"/>
              <w:rPr>
                <w:sz w:val="20"/>
                <w:szCs w:val="20"/>
                <w:color w:val="auto"/>
              </w:rPr>
            </w:pPr>
            <w:r>
              <w:rPr>
                <w:rFonts w:ascii="Arial" w:cs="Arial" w:eastAsia="Arial" w:hAnsi="Arial"/>
                <w:sz w:val="21"/>
                <w:szCs w:val="21"/>
                <w:color w:val="auto"/>
              </w:rPr>
              <w:t>Farmers Energy One Earth Holding, LLC</w:t>
            </w:r>
            <w:r>
              <w:rPr>
                <w:rFonts w:ascii="Arial" w:cs="Arial" w:eastAsia="Arial" w:hAnsi="Arial"/>
                <w:sz w:val="34"/>
                <w:szCs w:val="34"/>
                <w:color w:val="auto"/>
                <w:vertAlign w:val="superscript"/>
              </w:rPr>
              <w:t>(7)</w:t>
            </w:r>
          </w:p>
        </w:tc>
        <w:tc>
          <w:tcPr>
            <w:tcW w:w="4540" w:type="dxa"/>
            <w:vAlign w:val="bottom"/>
            <w:shd w:val="clear" w:color="auto" w:fill="E5FFFF"/>
          </w:tcPr>
          <w:p>
            <w:pPr>
              <w:ind w:left="2460"/>
              <w:spacing w:after="0"/>
              <w:rPr>
                <w:sz w:val="20"/>
                <w:szCs w:val="20"/>
                <w:color w:val="auto"/>
              </w:rPr>
            </w:pPr>
            <w:r>
              <w:rPr>
                <w:rFonts w:ascii="Arial" w:cs="Arial" w:eastAsia="Arial" w:hAnsi="Arial"/>
                <w:sz w:val="22"/>
                <w:szCs w:val="22"/>
                <w:color w:val="auto"/>
              </w:rPr>
              <w:t>Ohio</w:t>
            </w:r>
          </w:p>
        </w:tc>
      </w:tr>
      <w:tr>
        <w:trPr>
          <w:trHeight w:val="700"/>
        </w:trPr>
        <w:tc>
          <w:tcPr>
            <w:tcW w:w="6700" w:type="dxa"/>
            <w:vAlign w:val="bottom"/>
          </w:tcPr>
          <w:p>
            <w:pPr>
              <w:ind w:left="100"/>
              <w:spacing w:after="0"/>
              <w:rPr>
                <w:sz w:val="20"/>
                <w:szCs w:val="20"/>
                <w:color w:val="auto"/>
              </w:rPr>
            </w:pPr>
            <w:r>
              <w:rPr>
                <w:rFonts w:ascii="Arial" w:cs="Arial" w:eastAsia="Arial" w:hAnsi="Arial"/>
                <w:sz w:val="22"/>
                <w:szCs w:val="22"/>
                <w:color w:val="auto"/>
              </w:rPr>
              <w:t>Farmers Energy One Earth, LLC</w:t>
            </w:r>
            <w:r>
              <w:rPr>
                <w:rFonts w:ascii="Arial" w:cs="Arial" w:eastAsia="Arial" w:hAnsi="Arial"/>
                <w:sz w:val="35"/>
                <w:szCs w:val="35"/>
                <w:color w:val="auto"/>
                <w:vertAlign w:val="superscript"/>
              </w:rPr>
              <w:t>(8)</w:t>
            </w:r>
          </w:p>
        </w:tc>
        <w:tc>
          <w:tcPr>
            <w:tcW w:w="4540" w:type="dxa"/>
            <w:vAlign w:val="bottom"/>
          </w:tcPr>
          <w:p>
            <w:pPr>
              <w:ind w:left="2460"/>
              <w:spacing w:after="0"/>
              <w:rPr>
                <w:sz w:val="20"/>
                <w:szCs w:val="20"/>
                <w:color w:val="auto"/>
              </w:rPr>
            </w:pPr>
            <w:r>
              <w:rPr>
                <w:rFonts w:ascii="Arial" w:cs="Arial" w:eastAsia="Arial" w:hAnsi="Arial"/>
                <w:sz w:val="22"/>
                <w:szCs w:val="22"/>
                <w:color w:val="auto"/>
              </w:rPr>
              <w:t>Ohio</w:t>
            </w:r>
          </w:p>
        </w:tc>
      </w:tr>
      <w:tr>
        <w:trPr>
          <w:trHeight w:val="83"/>
        </w:trPr>
        <w:tc>
          <w:tcPr>
            <w:tcW w:w="6700" w:type="dxa"/>
            <w:vAlign w:val="bottom"/>
          </w:tcPr>
          <w:p>
            <w:pPr>
              <w:spacing w:after="0"/>
              <w:rPr>
                <w:sz w:val="7"/>
                <w:szCs w:val="7"/>
                <w:color w:val="auto"/>
              </w:rPr>
            </w:pPr>
          </w:p>
        </w:tc>
        <w:tc>
          <w:tcPr>
            <w:tcW w:w="4540" w:type="dxa"/>
            <w:vAlign w:val="bottom"/>
          </w:tcPr>
          <w:p>
            <w:pPr>
              <w:spacing w:after="0"/>
              <w:rPr>
                <w:sz w:val="7"/>
                <w:szCs w:val="7"/>
                <w:color w:val="auto"/>
              </w:rPr>
            </w:pPr>
          </w:p>
        </w:tc>
      </w:tr>
      <w:tr>
        <w:trPr>
          <w:trHeight w:val="297"/>
        </w:trPr>
        <w:tc>
          <w:tcPr>
            <w:tcW w:w="6700" w:type="dxa"/>
            <w:vAlign w:val="bottom"/>
            <w:shd w:val="clear" w:color="auto" w:fill="E5FFFF"/>
          </w:tcPr>
          <w:p>
            <w:pPr>
              <w:ind w:left="100"/>
              <w:spacing w:after="0" w:line="297" w:lineRule="exact"/>
              <w:rPr>
                <w:sz w:val="20"/>
                <w:szCs w:val="20"/>
                <w:color w:val="auto"/>
              </w:rPr>
            </w:pPr>
            <w:r>
              <w:rPr>
                <w:rFonts w:ascii="Arial" w:cs="Arial" w:eastAsia="Arial" w:hAnsi="Arial"/>
                <w:sz w:val="21"/>
                <w:szCs w:val="21"/>
                <w:color w:val="auto"/>
              </w:rPr>
              <w:t>One Earth Energy, LLC</w:t>
            </w:r>
            <w:r>
              <w:rPr>
                <w:rFonts w:ascii="Arial" w:cs="Arial" w:eastAsia="Arial" w:hAnsi="Arial"/>
                <w:sz w:val="34"/>
                <w:szCs w:val="34"/>
                <w:color w:val="auto"/>
                <w:vertAlign w:val="superscript"/>
              </w:rPr>
              <w:t>(9)</w:t>
            </w:r>
          </w:p>
        </w:tc>
        <w:tc>
          <w:tcPr>
            <w:tcW w:w="4540" w:type="dxa"/>
            <w:vAlign w:val="bottom"/>
            <w:shd w:val="clear" w:color="auto" w:fill="E5FFFF"/>
          </w:tcPr>
          <w:p>
            <w:pPr>
              <w:ind w:left="2460"/>
              <w:spacing w:after="0"/>
              <w:rPr>
                <w:sz w:val="20"/>
                <w:szCs w:val="20"/>
                <w:color w:val="auto"/>
              </w:rPr>
            </w:pPr>
            <w:r>
              <w:rPr>
                <w:rFonts w:ascii="Arial" w:cs="Arial" w:eastAsia="Arial" w:hAnsi="Arial"/>
                <w:sz w:val="22"/>
                <w:szCs w:val="22"/>
                <w:color w:val="auto"/>
              </w:rPr>
              <w:t>Illinois</w:t>
            </w:r>
          </w:p>
        </w:tc>
      </w:tr>
      <w:tr>
        <w:trPr>
          <w:trHeight w:val="700"/>
        </w:trPr>
        <w:tc>
          <w:tcPr>
            <w:tcW w:w="6700" w:type="dxa"/>
            <w:vAlign w:val="bottom"/>
          </w:tcPr>
          <w:p>
            <w:pPr>
              <w:ind w:left="100"/>
              <w:spacing w:after="0"/>
              <w:rPr>
                <w:sz w:val="20"/>
                <w:szCs w:val="20"/>
                <w:color w:val="auto"/>
              </w:rPr>
            </w:pPr>
            <w:r>
              <w:rPr>
                <w:rFonts w:ascii="Arial" w:cs="Arial" w:eastAsia="Arial" w:hAnsi="Arial"/>
                <w:sz w:val="22"/>
                <w:szCs w:val="22"/>
                <w:color w:val="auto"/>
              </w:rPr>
              <w:t>One Earth Sequestration, LLC</w:t>
            </w:r>
            <w:r>
              <w:rPr>
                <w:rFonts w:ascii="Arial" w:cs="Arial" w:eastAsia="Arial" w:hAnsi="Arial"/>
                <w:sz w:val="35"/>
                <w:szCs w:val="35"/>
                <w:color w:val="auto"/>
                <w:vertAlign w:val="superscript"/>
              </w:rPr>
              <w:t>(10)</w:t>
            </w:r>
          </w:p>
        </w:tc>
        <w:tc>
          <w:tcPr>
            <w:tcW w:w="4540" w:type="dxa"/>
            <w:vAlign w:val="bottom"/>
          </w:tcPr>
          <w:p>
            <w:pPr>
              <w:ind w:left="2460"/>
              <w:spacing w:after="0"/>
              <w:rPr>
                <w:sz w:val="20"/>
                <w:szCs w:val="20"/>
                <w:color w:val="auto"/>
              </w:rPr>
            </w:pPr>
            <w:r>
              <w:rPr>
                <w:rFonts w:ascii="Arial" w:cs="Arial" w:eastAsia="Arial" w:hAnsi="Arial"/>
                <w:sz w:val="22"/>
                <w:szCs w:val="22"/>
                <w:color w:val="auto"/>
              </w:rPr>
              <w:t>Illinois</w:t>
            </w:r>
          </w:p>
        </w:tc>
      </w:tr>
      <w:tr>
        <w:trPr>
          <w:trHeight w:val="83"/>
        </w:trPr>
        <w:tc>
          <w:tcPr>
            <w:tcW w:w="6700" w:type="dxa"/>
            <w:vAlign w:val="bottom"/>
          </w:tcPr>
          <w:p>
            <w:pPr>
              <w:spacing w:after="0"/>
              <w:rPr>
                <w:sz w:val="7"/>
                <w:szCs w:val="7"/>
                <w:color w:val="auto"/>
              </w:rPr>
            </w:pPr>
          </w:p>
        </w:tc>
        <w:tc>
          <w:tcPr>
            <w:tcW w:w="4540" w:type="dxa"/>
            <w:vAlign w:val="bottom"/>
          </w:tcPr>
          <w:p>
            <w:pPr>
              <w:spacing w:after="0"/>
              <w:rPr>
                <w:sz w:val="7"/>
                <w:szCs w:val="7"/>
                <w:color w:val="auto"/>
              </w:rPr>
            </w:pPr>
          </w:p>
        </w:tc>
      </w:tr>
      <w:tr>
        <w:trPr>
          <w:trHeight w:val="297"/>
        </w:trPr>
        <w:tc>
          <w:tcPr>
            <w:tcW w:w="6700" w:type="dxa"/>
            <w:vAlign w:val="bottom"/>
            <w:shd w:val="clear" w:color="auto" w:fill="E5FFFF"/>
          </w:tcPr>
          <w:p>
            <w:pPr>
              <w:ind w:left="100"/>
              <w:spacing w:after="0" w:line="297" w:lineRule="exact"/>
              <w:rPr>
                <w:sz w:val="20"/>
                <w:szCs w:val="20"/>
                <w:color w:val="auto"/>
              </w:rPr>
            </w:pPr>
            <w:r>
              <w:rPr>
                <w:rFonts w:ascii="Arial" w:cs="Arial" w:eastAsia="Arial" w:hAnsi="Arial"/>
                <w:sz w:val="21"/>
                <w:szCs w:val="21"/>
                <w:color w:val="auto"/>
              </w:rPr>
              <w:t>Farmers Energy Patriot Holding, LLC</w:t>
            </w:r>
            <w:r>
              <w:rPr>
                <w:rFonts w:ascii="Arial" w:cs="Arial" w:eastAsia="Arial" w:hAnsi="Arial"/>
                <w:sz w:val="34"/>
                <w:szCs w:val="34"/>
                <w:color w:val="auto"/>
                <w:vertAlign w:val="superscript"/>
              </w:rPr>
              <w:t>(7)</w:t>
            </w:r>
          </w:p>
        </w:tc>
        <w:tc>
          <w:tcPr>
            <w:tcW w:w="4540" w:type="dxa"/>
            <w:vAlign w:val="bottom"/>
            <w:shd w:val="clear" w:color="auto" w:fill="E5FFFF"/>
          </w:tcPr>
          <w:p>
            <w:pPr>
              <w:ind w:left="2460"/>
              <w:spacing w:after="0"/>
              <w:rPr>
                <w:sz w:val="20"/>
                <w:szCs w:val="20"/>
                <w:color w:val="auto"/>
              </w:rPr>
            </w:pPr>
            <w:r>
              <w:rPr>
                <w:rFonts w:ascii="Arial" w:cs="Arial" w:eastAsia="Arial" w:hAnsi="Arial"/>
                <w:sz w:val="22"/>
                <w:szCs w:val="22"/>
                <w:color w:val="auto"/>
              </w:rPr>
              <w:t>Ohio</w:t>
            </w:r>
          </w:p>
        </w:tc>
      </w:tr>
      <w:tr>
        <w:trPr>
          <w:trHeight w:val="700"/>
        </w:trPr>
        <w:tc>
          <w:tcPr>
            <w:tcW w:w="6700" w:type="dxa"/>
            <w:vAlign w:val="bottom"/>
          </w:tcPr>
          <w:p>
            <w:pPr>
              <w:ind w:left="100"/>
              <w:spacing w:after="0"/>
              <w:rPr>
                <w:sz w:val="20"/>
                <w:szCs w:val="20"/>
                <w:color w:val="auto"/>
              </w:rPr>
            </w:pPr>
            <w:r>
              <w:rPr>
                <w:rFonts w:ascii="Arial" w:cs="Arial" w:eastAsia="Arial" w:hAnsi="Arial"/>
                <w:sz w:val="22"/>
                <w:szCs w:val="22"/>
                <w:color w:val="auto"/>
              </w:rPr>
              <w:t>Farmers Energy Patriot, LLC</w:t>
            </w:r>
            <w:r>
              <w:rPr>
                <w:rFonts w:ascii="Arial" w:cs="Arial" w:eastAsia="Arial" w:hAnsi="Arial"/>
                <w:sz w:val="35"/>
                <w:szCs w:val="35"/>
                <w:color w:val="auto"/>
                <w:vertAlign w:val="superscript"/>
              </w:rPr>
              <w:t>(8)</w:t>
            </w:r>
          </w:p>
        </w:tc>
        <w:tc>
          <w:tcPr>
            <w:tcW w:w="4540" w:type="dxa"/>
            <w:vAlign w:val="bottom"/>
          </w:tcPr>
          <w:p>
            <w:pPr>
              <w:ind w:left="2460"/>
              <w:spacing w:after="0"/>
              <w:rPr>
                <w:sz w:val="20"/>
                <w:szCs w:val="20"/>
                <w:color w:val="auto"/>
              </w:rPr>
            </w:pPr>
            <w:r>
              <w:rPr>
                <w:rFonts w:ascii="Arial" w:cs="Arial" w:eastAsia="Arial" w:hAnsi="Arial"/>
                <w:sz w:val="22"/>
                <w:szCs w:val="22"/>
                <w:color w:val="auto"/>
              </w:rPr>
              <w:t>Ohio</w:t>
            </w:r>
          </w:p>
        </w:tc>
      </w:tr>
      <w:tr>
        <w:trPr>
          <w:trHeight w:val="83"/>
        </w:trPr>
        <w:tc>
          <w:tcPr>
            <w:tcW w:w="6700" w:type="dxa"/>
            <w:vAlign w:val="bottom"/>
          </w:tcPr>
          <w:p>
            <w:pPr>
              <w:spacing w:after="0"/>
              <w:rPr>
                <w:sz w:val="7"/>
                <w:szCs w:val="7"/>
                <w:color w:val="auto"/>
              </w:rPr>
            </w:pPr>
          </w:p>
        </w:tc>
        <w:tc>
          <w:tcPr>
            <w:tcW w:w="4540" w:type="dxa"/>
            <w:vAlign w:val="bottom"/>
          </w:tcPr>
          <w:p>
            <w:pPr>
              <w:spacing w:after="0"/>
              <w:rPr>
                <w:sz w:val="7"/>
                <w:szCs w:val="7"/>
                <w:color w:val="auto"/>
              </w:rPr>
            </w:pPr>
          </w:p>
        </w:tc>
      </w:tr>
      <w:tr>
        <w:trPr>
          <w:trHeight w:val="243"/>
        </w:trPr>
        <w:tc>
          <w:tcPr>
            <w:tcW w:w="67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FEI Investment Incorporated</w:t>
            </w:r>
          </w:p>
        </w:tc>
        <w:tc>
          <w:tcPr>
            <w:tcW w:w="4540" w:type="dxa"/>
            <w:vAlign w:val="bottom"/>
            <w:shd w:val="clear" w:color="auto" w:fill="E5FFFF"/>
          </w:tcPr>
          <w:p>
            <w:pPr>
              <w:ind w:left="2460"/>
              <w:spacing w:after="0" w:line="243" w:lineRule="exact"/>
              <w:rPr>
                <w:sz w:val="20"/>
                <w:szCs w:val="20"/>
                <w:color w:val="auto"/>
              </w:rPr>
            </w:pPr>
            <w:r>
              <w:rPr>
                <w:rFonts w:ascii="Arial" w:cs="Arial" w:eastAsia="Arial" w:hAnsi="Arial"/>
                <w:sz w:val="22"/>
                <w:szCs w:val="22"/>
                <w:color w:val="auto"/>
              </w:rPr>
              <w:t>Delaware</w:t>
            </w:r>
          </w:p>
        </w:tc>
      </w:tr>
      <w:tr>
        <w:trPr>
          <w:trHeight w:val="700"/>
        </w:trPr>
        <w:tc>
          <w:tcPr>
            <w:tcW w:w="6700" w:type="dxa"/>
            <w:vAlign w:val="bottom"/>
          </w:tcPr>
          <w:p>
            <w:pPr>
              <w:ind w:left="100"/>
              <w:spacing w:after="0"/>
              <w:rPr>
                <w:sz w:val="20"/>
                <w:szCs w:val="20"/>
                <w:color w:val="auto"/>
              </w:rPr>
            </w:pPr>
            <w:r>
              <w:rPr>
                <w:rFonts w:ascii="Arial" w:cs="Arial" w:eastAsia="Arial" w:hAnsi="Arial"/>
                <w:sz w:val="22"/>
                <w:szCs w:val="22"/>
                <w:color w:val="auto"/>
              </w:rPr>
              <w:t>Future Energy, LLC</w:t>
            </w:r>
            <w:r>
              <w:rPr>
                <w:rFonts w:ascii="Arial" w:cs="Arial" w:eastAsia="Arial" w:hAnsi="Arial"/>
                <w:sz w:val="35"/>
                <w:szCs w:val="35"/>
                <w:color w:val="auto"/>
                <w:vertAlign w:val="superscript"/>
              </w:rPr>
              <w:t>(11)</w:t>
            </w:r>
          </w:p>
        </w:tc>
        <w:tc>
          <w:tcPr>
            <w:tcW w:w="4540" w:type="dxa"/>
            <w:vAlign w:val="bottom"/>
          </w:tcPr>
          <w:p>
            <w:pPr>
              <w:ind w:left="2460"/>
              <w:spacing w:after="0"/>
              <w:rPr>
                <w:sz w:val="20"/>
                <w:szCs w:val="20"/>
                <w:color w:val="auto"/>
              </w:rPr>
            </w:pPr>
            <w:r>
              <w:rPr>
                <w:rFonts w:ascii="Arial" w:cs="Arial" w:eastAsia="Arial" w:hAnsi="Arial"/>
                <w:sz w:val="22"/>
                <w:szCs w:val="22"/>
                <w:color w:val="auto"/>
              </w:rPr>
              <w:t>Ohio</w:t>
            </w:r>
          </w:p>
        </w:tc>
      </w:tr>
      <w:tr>
        <w:trPr>
          <w:trHeight w:val="83"/>
        </w:trPr>
        <w:tc>
          <w:tcPr>
            <w:tcW w:w="6700" w:type="dxa"/>
            <w:vAlign w:val="bottom"/>
          </w:tcPr>
          <w:p>
            <w:pPr>
              <w:spacing w:after="0"/>
              <w:rPr>
                <w:sz w:val="7"/>
                <w:szCs w:val="7"/>
                <w:color w:val="auto"/>
              </w:rPr>
            </w:pPr>
          </w:p>
        </w:tc>
        <w:tc>
          <w:tcPr>
            <w:tcW w:w="4540" w:type="dxa"/>
            <w:vAlign w:val="bottom"/>
          </w:tcPr>
          <w:p>
            <w:pPr>
              <w:spacing w:after="0"/>
              <w:rPr>
                <w:sz w:val="7"/>
                <w:szCs w:val="7"/>
                <w:color w:val="auto"/>
              </w:rPr>
            </w:pPr>
          </w:p>
        </w:tc>
      </w:tr>
      <w:tr>
        <w:trPr>
          <w:trHeight w:val="297"/>
        </w:trPr>
        <w:tc>
          <w:tcPr>
            <w:tcW w:w="6700" w:type="dxa"/>
            <w:vAlign w:val="bottom"/>
            <w:shd w:val="clear" w:color="auto" w:fill="E5FFFF"/>
          </w:tcPr>
          <w:p>
            <w:pPr>
              <w:ind w:left="100"/>
              <w:spacing w:after="0" w:line="297" w:lineRule="exact"/>
              <w:rPr>
                <w:sz w:val="20"/>
                <w:szCs w:val="20"/>
                <w:color w:val="auto"/>
              </w:rPr>
            </w:pPr>
            <w:r>
              <w:rPr>
                <w:rFonts w:ascii="Arial" w:cs="Arial" w:eastAsia="Arial" w:hAnsi="Arial"/>
                <w:sz w:val="21"/>
                <w:szCs w:val="21"/>
                <w:color w:val="auto"/>
              </w:rPr>
              <w:t>FE-II, LLC</w:t>
            </w:r>
            <w:r>
              <w:rPr>
                <w:rFonts w:ascii="Arial" w:cs="Arial" w:eastAsia="Arial" w:hAnsi="Arial"/>
                <w:sz w:val="34"/>
                <w:szCs w:val="34"/>
                <w:color w:val="auto"/>
                <w:vertAlign w:val="superscript"/>
              </w:rPr>
              <w:t>(12)</w:t>
            </w:r>
          </w:p>
        </w:tc>
        <w:tc>
          <w:tcPr>
            <w:tcW w:w="4540" w:type="dxa"/>
            <w:vAlign w:val="bottom"/>
            <w:shd w:val="clear" w:color="auto" w:fill="E5FFFF"/>
          </w:tcPr>
          <w:p>
            <w:pPr>
              <w:ind w:left="2460"/>
              <w:spacing w:after="0"/>
              <w:rPr>
                <w:sz w:val="20"/>
                <w:szCs w:val="20"/>
                <w:color w:val="auto"/>
              </w:rPr>
            </w:pPr>
            <w:r>
              <w:rPr>
                <w:rFonts w:ascii="Arial" w:cs="Arial" w:eastAsia="Arial" w:hAnsi="Arial"/>
                <w:sz w:val="22"/>
                <w:szCs w:val="22"/>
                <w:color w:val="auto"/>
              </w:rPr>
              <w:t>Ohio</w:t>
            </w:r>
          </w:p>
        </w:tc>
      </w:tr>
      <w:tr>
        <w:trPr>
          <w:trHeight w:val="700"/>
        </w:trPr>
        <w:tc>
          <w:tcPr>
            <w:tcW w:w="6700" w:type="dxa"/>
            <w:vAlign w:val="bottom"/>
          </w:tcPr>
          <w:p>
            <w:pPr>
              <w:ind w:left="100"/>
              <w:spacing w:after="0"/>
              <w:rPr>
                <w:sz w:val="20"/>
                <w:szCs w:val="20"/>
                <w:color w:val="auto"/>
              </w:rPr>
            </w:pPr>
            <w:r>
              <w:rPr>
                <w:rFonts w:ascii="Arial" w:cs="Arial" w:eastAsia="Arial" w:hAnsi="Arial"/>
                <w:sz w:val="22"/>
                <w:szCs w:val="22"/>
                <w:color w:val="auto"/>
              </w:rPr>
              <w:t>REX NuGen Holding, LLC</w:t>
            </w:r>
            <w:r>
              <w:rPr>
                <w:rFonts w:ascii="Arial" w:cs="Arial" w:eastAsia="Arial" w:hAnsi="Arial"/>
                <w:sz w:val="35"/>
                <w:szCs w:val="35"/>
                <w:color w:val="auto"/>
                <w:vertAlign w:val="superscript"/>
              </w:rPr>
              <w:t>(7)</w:t>
            </w:r>
          </w:p>
        </w:tc>
        <w:tc>
          <w:tcPr>
            <w:tcW w:w="4540" w:type="dxa"/>
            <w:vAlign w:val="bottom"/>
          </w:tcPr>
          <w:p>
            <w:pPr>
              <w:ind w:left="2460"/>
              <w:spacing w:after="0"/>
              <w:rPr>
                <w:sz w:val="20"/>
                <w:szCs w:val="20"/>
                <w:color w:val="auto"/>
              </w:rPr>
            </w:pPr>
            <w:r>
              <w:rPr>
                <w:rFonts w:ascii="Arial" w:cs="Arial" w:eastAsia="Arial" w:hAnsi="Arial"/>
                <w:sz w:val="22"/>
                <w:szCs w:val="22"/>
                <w:color w:val="auto"/>
              </w:rPr>
              <w:t>South Dakota</w:t>
            </w:r>
          </w:p>
        </w:tc>
      </w:tr>
      <w:tr>
        <w:trPr>
          <w:trHeight w:val="83"/>
        </w:trPr>
        <w:tc>
          <w:tcPr>
            <w:tcW w:w="6700" w:type="dxa"/>
            <w:vAlign w:val="bottom"/>
          </w:tcPr>
          <w:p>
            <w:pPr>
              <w:spacing w:after="0"/>
              <w:rPr>
                <w:sz w:val="7"/>
                <w:szCs w:val="7"/>
                <w:color w:val="auto"/>
              </w:rPr>
            </w:pPr>
          </w:p>
        </w:tc>
        <w:tc>
          <w:tcPr>
            <w:tcW w:w="4540" w:type="dxa"/>
            <w:vAlign w:val="bottom"/>
          </w:tcPr>
          <w:p>
            <w:pPr>
              <w:spacing w:after="0"/>
              <w:rPr>
                <w:sz w:val="7"/>
                <w:szCs w:val="7"/>
                <w:color w:val="auto"/>
              </w:rPr>
            </w:pPr>
          </w:p>
        </w:tc>
      </w:tr>
      <w:tr>
        <w:trPr>
          <w:trHeight w:val="297"/>
        </w:trPr>
        <w:tc>
          <w:tcPr>
            <w:tcW w:w="6700" w:type="dxa"/>
            <w:vAlign w:val="bottom"/>
            <w:shd w:val="clear" w:color="auto" w:fill="E5FFFF"/>
          </w:tcPr>
          <w:p>
            <w:pPr>
              <w:ind w:left="100"/>
              <w:spacing w:after="0" w:line="297" w:lineRule="exact"/>
              <w:rPr>
                <w:sz w:val="20"/>
                <w:szCs w:val="20"/>
                <w:color w:val="auto"/>
              </w:rPr>
            </w:pPr>
            <w:r>
              <w:rPr>
                <w:rFonts w:ascii="Arial" w:cs="Arial" w:eastAsia="Arial" w:hAnsi="Arial"/>
                <w:sz w:val="21"/>
                <w:szCs w:val="21"/>
                <w:color w:val="auto"/>
              </w:rPr>
              <w:t>REX NuGen, LLC</w:t>
            </w:r>
            <w:r>
              <w:rPr>
                <w:rFonts w:ascii="Arial" w:cs="Arial" w:eastAsia="Arial" w:hAnsi="Arial"/>
                <w:sz w:val="34"/>
                <w:szCs w:val="34"/>
                <w:color w:val="auto"/>
                <w:vertAlign w:val="superscript"/>
              </w:rPr>
              <w:t>(8)</w:t>
            </w:r>
          </w:p>
        </w:tc>
        <w:tc>
          <w:tcPr>
            <w:tcW w:w="4540" w:type="dxa"/>
            <w:vAlign w:val="bottom"/>
            <w:shd w:val="clear" w:color="auto" w:fill="E5FFFF"/>
          </w:tcPr>
          <w:p>
            <w:pPr>
              <w:ind w:left="2460"/>
              <w:spacing w:after="0"/>
              <w:rPr>
                <w:sz w:val="20"/>
                <w:szCs w:val="20"/>
                <w:color w:val="auto"/>
              </w:rPr>
            </w:pPr>
            <w:r>
              <w:rPr>
                <w:rFonts w:ascii="Arial" w:cs="Arial" w:eastAsia="Arial" w:hAnsi="Arial"/>
                <w:sz w:val="22"/>
                <w:szCs w:val="22"/>
                <w:color w:val="auto"/>
              </w:rPr>
              <w:t>South Dakota</w:t>
            </w:r>
          </w:p>
        </w:tc>
      </w:tr>
      <w:tr>
        <w:trPr>
          <w:trHeight w:val="519"/>
        </w:trPr>
        <w:tc>
          <w:tcPr>
            <w:tcW w:w="6700" w:type="dxa"/>
            <w:vAlign w:val="bottom"/>
          </w:tcPr>
          <w:p>
            <w:pPr>
              <w:ind w:left="100"/>
              <w:spacing w:after="0"/>
              <w:rPr>
                <w:sz w:val="20"/>
                <w:szCs w:val="20"/>
                <w:color w:val="auto"/>
              </w:rPr>
            </w:pPr>
            <w:r>
              <w:rPr>
                <w:rFonts w:ascii="Arial" w:cs="Arial" w:eastAsia="Arial" w:hAnsi="Arial"/>
                <w:sz w:val="22"/>
                <w:szCs w:val="22"/>
                <w:color w:val="auto"/>
              </w:rPr>
              <w:t>NuGen Energy, LLC</w:t>
            </w:r>
            <w:r>
              <w:rPr>
                <w:rFonts w:ascii="Arial" w:cs="Arial" w:eastAsia="Arial" w:hAnsi="Arial"/>
                <w:sz w:val="35"/>
                <w:szCs w:val="35"/>
                <w:color w:val="auto"/>
                <w:vertAlign w:val="superscript"/>
              </w:rPr>
              <w:t>(9)</w:t>
            </w:r>
          </w:p>
        </w:tc>
        <w:tc>
          <w:tcPr>
            <w:tcW w:w="4540" w:type="dxa"/>
            <w:vAlign w:val="bottom"/>
          </w:tcPr>
          <w:p>
            <w:pPr>
              <w:ind w:left="2460"/>
              <w:spacing w:after="0"/>
              <w:rPr>
                <w:sz w:val="20"/>
                <w:szCs w:val="20"/>
                <w:color w:val="auto"/>
              </w:rPr>
            </w:pPr>
            <w:r>
              <w:rPr>
                <w:rFonts w:ascii="Arial" w:cs="Arial" w:eastAsia="Arial" w:hAnsi="Arial"/>
                <w:sz w:val="22"/>
                <w:szCs w:val="22"/>
                <w:color w:val="auto"/>
              </w:rPr>
              <w:t>South Dakota</w:t>
            </w:r>
          </w:p>
        </w:tc>
      </w:tr>
      <w:tr>
        <w:trPr>
          <w:trHeight w:val="274"/>
        </w:trPr>
        <w:tc>
          <w:tcPr>
            <w:tcW w:w="6700" w:type="dxa"/>
            <w:vAlign w:val="bottom"/>
          </w:tcPr>
          <w:p>
            <w:pPr>
              <w:spacing w:after="0"/>
              <w:rPr>
                <w:sz w:val="20"/>
                <w:szCs w:val="20"/>
                <w:color w:val="auto"/>
              </w:rPr>
            </w:pPr>
            <w:r>
              <w:rPr>
                <w:rFonts w:ascii="Arial" w:cs="Arial" w:eastAsia="Arial" w:hAnsi="Arial"/>
                <w:sz w:val="22"/>
                <w:szCs w:val="22"/>
                <w:color w:val="auto"/>
              </w:rPr>
              <w:t>___________________</w:t>
            </w:r>
          </w:p>
        </w:tc>
        <w:tc>
          <w:tcPr>
            <w:tcW w:w="4540" w:type="dxa"/>
            <w:vAlign w:val="bottom"/>
          </w:tcPr>
          <w:p>
            <w:pPr>
              <w:spacing w:after="0"/>
              <w:rPr>
                <w:sz w:val="23"/>
                <w:szCs w:val="23"/>
                <w:color w:val="auto"/>
              </w:rPr>
            </w:pPr>
          </w:p>
        </w:tc>
      </w:tr>
    </w:tbl>
    <w:p>
      <w:pPr>
        <w:spacing w:after="0" w:line="12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36"/>
          <w:szCs w:val="36"/>
          <w:color w:val="auto"/>
          <w:vertAlign w:val="superscript"/>
        </w:rPr>
      </w:pPr>
      <w:r>
        <w:rPr>
          <w:rFonts w:ascii="Arial" w:cs="Arial" w:eastAsia="Arial" w:hAnsi="Arial"/>
          <w:sz w:val="22"/>
          <w:szCs w:val="22"/>
          <w:color w:val="auto"/>
        </w:rPr>
        <w:t>Wholly-owned subsidiary of RRC1, LLC</w:t>
      </w:r>
    </w:p>
    <w:p>
      <w:pPr>
        <w:spacing w:after="0" w:line="121" w:lineRule="exact"/>
        <w:rPr>
          <w:rFonts w:ascii="Arial" w:cs="Arial" w:eastAsia="Arial" w:hAnsi="Arial"/>
          <w:sz w:val="36"/>
          <w:szCs w:val="36"/>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Wholly-owned subsidiary of AVA Acquisition Corp.</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Wholly-owned subsidiary of Rex Radio and Television, Inc.</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Non-operating or inactive subsidiary.</w:t>
      </w:r>
    </w:p>
    <w:p>
      <w:pPr>
        <w:spacing w:after="0" w:line="67" w:lineRule="exact"/>
        <w:rPr>
          <w:rFonts w:ascii="Arial" w:cs="Arial" w:eastAsia="Arial" w:hAnsi="Arial"/>
          <w:sz w:val="28"/>
          <w:szCs w:val="28"/>
          <w:color w:val="auto"/>
          <w:vertAlign w:val="superscript"/>
        </w:rPr>
      </w:pPr>
    </w:p>
    <w:p>
      <w:pPr>
        <w:ind w:left="460" w:hanging="452"/>
        <w:spacing w:after="0" w:line="23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22"/>
          <w:szCs w:val="22"/>
          <w:color w:val="auto"/>
        </w:rPr>
        <w:t>AVA Acquisition Corp. is the managing member and owns a 98.032% Class A membership interest, a 95.46% Class B membership interest and a 100% Class C membership interest.</w:t>
      </w:r>
    </w:p>
    <w:p>
      <w:pPr>
        <w:spacing w:after="0" w:line="1" w:lineRule="exact"/>
        <w:rPr>
          <w:rFonts w:ascii="Arial" w:cs="Arial" w:eastAsia="Arial" w:hAnsi="Arial"/>
          <w:sz w:val="18"/>
          <w:szCs w:val="18"/>
          <w:color w:val="auto"/>
        </w:rPr>
      </w:pPr>
    </w:p>
    <w:p>
      <w:pPr>
        <w:ind w:left="460" w:hanging="452"/>
        <w:spacing w:after="0" w:line="219" w:lineRule="auto"/>
        <w:tabs>
          <w:tab w:leader="none" w:pos="460" w:val="left"/>
        </w:tabs>
        <w:numPr>
          <w:ilvl w:val="0"/>
          <w:numId w:val="34"/>
        </w:numPr>
        <w:rPr>
          <w:rFonts w:ascii="Arial" w:cs="Arial" w:eastAsia="Arial" w:hAnsi="Arial"/>
          <w:sz w:val="36"/>
          <w:szCs w:val="36"/>
          <w:color w:val="auto"/>
          <w:vertAlign w:val="superscript"/>
        </w:rPr>
      </w:pPr>
      <w:r>
        <w:rPr>
          <w:rFonts w:ascii="Arial" w:cs="Arial" w:eastAsia="Arial" w:hAnsi="Arial"/>
          <w:sz w:val="22"/>
          <w:szCs w:val="22"/>
          <w:color w:val="auto"/>
        </w:rPr>
        <w:t>AVA Acquisition Corp. owns a 95.35% percentage interest.</w:t>
      </w:r>
    </w:p>
    <w:p>
      <w:pPr>
        <w:spacing w:after="0" w:line="121" w:lineRule="exact"/>
        <w:rPr>
          <w:rFonts w:ascii="Arial" w:cs="Arial" w:eastAsia="Arial" w:hAnsi="Arial"/>
          <w:sz w:val="36"/>
          <w:szCs w:val="36"/>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First-tier wholly-owned subsidiary of Farmers Energy Incorporated.</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Second-tier wholly-owned subsidiary of Farmers Energy Incorporated.</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Third-tier majority-owned subsidiary of Farmers Energy Incorporated.</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Fourth-tier majority-owned subsidiary of Farmers Energy Incorporated.</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Majority-owned subsidiary of REX IP, LLC.</w:t>
      </w:r>
    </w:p>
    <w:p>
      <w:pPr>
        <w:spacing w:after="0" w:line="121" w:lineRule="exact"/>
        <w:rPr>
          <w:rFonts w:ascii="Arial" w:cs="Arial" w:eastAsia="Arial" w:hAnsi="Arial"/>
          <w:sz w:val="28"/>
          <w:szCs w:val="28"/>
          <w:color w:val="auto"/>
          <w:vertAlign w:val="superscript"/>
        </w:rPr>
      </w:pPr>
    </w:p>
    <w:p>
      <w:pPr>
        <w:ind w:left="460" w:hanging="452"/>
        <w:spacing w:after="0" w:line="191" w:lineRule="auto"/>
        <w:tabs>
          <w:tab w:leader="none" w:pos="460" w:val="left"/>
        </w:tabs>
        <w:numPr>
          <w:ilvl w:val="0"/>
          <w:numId w:val="34"/>
        </w:numPr>
        <w:rPr>
          <w:rFonts w:ascii="Arial" w:cs="Arial" w:eastAsia="Arial" w:hAnsi="Arial"/>
          <w:sz w:val="28"/>
          <w:szCs w:val="28"/>
          <w:color w:val="auto"/>
          <w:vertAlign w:val="superscript"/>
        </w:rPr>
      </w:pPr>
      <w:r>
        <w:rPr>
          <w:rFonts w:ascii="Arial" w:cs="Arial" w:eastAsia="Arial" w:hAnsi="Arial"/>
          <w:sz w:val="18"/>
          <w:szCs w:val="18"/>
          <w:color w:val="auto"/>
        </w:rPr>
        <w:t>Wholly-owned subsidiary of Future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333-205419 on Form S-8 of our reports dated March 30, 2023, relating to the financial statements of REX American Resources Corporation and subsidiaries (the “Company”) and the effectiveness of the Company’s internal control over financial reporting appearing in this Annual Report on Form 10-K for the year ended January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Zafar A. Rizvi, certify that:</w:t>
      </w:r>
    </w:p>
    <w:p>
      <w:pPr>
        <w:spacing w:after="0" w:line="225" w:lineRule="exact"/>
        <w:rPr>
          <w:sz w:val="20"/>
          <w:szCs w:val="20"/>
          <w:color w:val="auto"/>
        </w:rPr>
      </w:pPr>
    </w:p>
    <w:p>
      <w:pPr>
        <w:ind w:left="1020" w:hanging="36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REX American Resources Corporation;</w:t>
      </w:r>
    </w:p>
    <w:p>
      <w:pPr>
        <w:spacing w:after="0" w:line="225" w:lineRule="exact"/>
        <w:rPr>
          <w:rFonts w:ascii="Arial" w:cs="Arial" w:eastAsia="Arial" w:hAnsi="Arial"/>
          <w:sz w:val="18"/>
          <w:szCs w:val="18"/>
          <w:color w:val="auto"/>
        </w:rPr>
      </w:pPr>
    </w:p>
    <w:p>
      <w:pPr>
        <w:ind w:right="20" w:firstLine="656"/>
        <w:spacing w:after="0" w:line="263" w:lineRule="auto"/>
        <w:tabs>
          <w:tab w:leader="none" w:pos="10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20" w:firstLine="656"/>
        <w:spacing w:after="0" w:line="342" w:lineRule="auto"/>
        <w:tabs>
          <w:tab w:leader="none" w:pos="100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40" w:firstLine="656"/>
        <w:spacing w:after="0" w:line="263" w:lineRule="auto"/>
        <w:tabs>
          <w:tab w:leader="none" w:pos="10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34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60" w:firstLine="320"/>
        <w:spacing w:after="0" w:line="263" w:lineRule="auto"/>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0" w:firstLine="320"/>
        <w:spacing w:after="0" w:line="342" w:lineRule="auto"/>
        <w:tabs>
          <w:tab w:leader="none" w:pos="134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firstLine="320"/>
        <w:spacing w:after="0" w:line="263" w:lineRule="auto"/>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656" w:firstLine="656"/>
        <w:spacing w:after="0" w:line="308" w:lineRule="auto"/>
        <w:tabs>
          <w:tab w:leader="none" w:pos="34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20" w:firstLine="320"/>
        <w:spacing w:after="0" w:line="308" w:lineRule="auto"/>
        <w:tabs>
          <w:tab w:leader="none" w:pos="68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40" w:firstLine="320"/>
        <w:spacing w:after="0" w:line="277" w:lineRule="auto"/>
        <w:tabs>
          <w:tab w:leader="none" w:pos="6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Date: March 30, 2023</w:t>
      </w:r>
    </w:p>
    <w:p>
      <w:pPr>
        <w:spacing w:after="0" w:line="225"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/s/ Zafar A. Rizvi</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ind w:left="442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9" w:right="4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REX American Resources Corporation;</w:t>
      </w:r>
    </w:p>
    <w:p>
      <w:pPr>
        <w:spacing w:after="0" w:line="225" w:lineRule="exact"/>
        <w:rPr>
          <w:rFonts w:ascii="Arial" w:cs="Arial" w:eastAsia="Arial" w:hAnsi="Arial"/>
          <w:sz w:val="18"/>
          <w:szCs w:val="18"/>
          <w:color w:val="auto"/>
        </w:rPr>
      </w:pPr>
    </w:p>
    <w:p>
      <w:pPr>
        <w:ind w:firstLine="656"/>
        <w:spacing w:after="0" w:line="263" w:lineRule="auto"/>
        <w:tabs>
          <w:tab w:leader="none" w:pos="10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0" w:firstLine="656"/>
        <w:spacing w:after="0" w:line="342" w:lineRule="auto"/>
        <w:tabs>
          <w:tab w:leader="none" w:pos="100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20" w:firstLine="656"/>
        <w:spacing w:after="0" w:line="263" w:lineRule="auto"/>
        <w:tabs>
          <w:tab w:leader="none" w:pos="10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60" w:firstLine="320"/>
        <w:spacing w:after="0" w:line="263" w:lineRule="auto"/>
        <w:tabs>
          <w:tab w:leader="none" w:pos="122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firstLine="320"/>
        <w:spacing w:after="0" w:line="263" w:lineRule="auto"/>
        <w:tabs>
          <w:tab w:leader="none" w:pos="12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300" w:firstLine="320"/>
        <w:spacing w:after="0" w:line="342" w:lineRule="auto"/>
        <w:tabs>
          <w:tab w:leader="none" w:pos="1229"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firstLine="320"/>
        <w:spacing w:after="0" w:line="263" w:lineRule="auto"/>
        <w:tabs>
          <w:tab w:leader="none" w:pos="12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78" w:name="page79"/>
    <w:bookmarkEnd w:id="78"/>
    <w:p>
      <w:pPr>
        <w:ind w:left="-656" w:firstLine="656"/>
        <w:spacing w:after="0" w:line="308" w:lineRule="auto"/>
        <w:tabs>
          <w:tab w:leader="none" w:pos="34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100" w:firstLine="644"/>
        <w:spacing w:after="0" w:line="308" w:lineRule="auto"/>
        <w:tabs>
          <w:tab w:leader="none" w:pos="89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380" w:firstLine="644"/>
        <w:spacing w:after="0" w:line="277" w:lineRule="auto"/>
        <w:tabs>
          <w:tab w:leader="none" w:pos="9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Date: March 30, 2023</w:t>
      </w:r>
    </w:p>
    <w:p>
      <w:pPr>
        <w:spacing w:after="0" w:line="225"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442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442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9" w:right="4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Annual Report on Form 10-K for the period ended January 31</w:t>
      </w:r>
      <w:r>
        <w:rPr>
          <w:rFonts w:ascii="Arial" w:cs="Arial" w:eastAsia="Arial" w:hAnsi="Arial"/>
          <w:sz w:val="21"/>
          <w:szCs w:val="21"/>
          <w:color w:val="auto"/>
        </w:rPr>
        <w:t>,</w:t>
      </w:r>
      <w:r>
        <w:rPr>
          <w:rFonts w:ascii="Arial" w:cs="Arial" w:eastAsia="Arial" w:hAnsi="Arial"/>
          <w:sz w:val="18"/>
          <w:szCs w:val="18"/>
          <w:color w:val="auto"/>
        </w:rPr>
        <w:t xml:space="preserve"> 2023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9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A.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A.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0"/>
    </w:lvl>
  </w:abstractNum>
  <w:abstractNum w:abstractNumId="17">
    <w:nsid w:val="2CA88611"/>
    <w:multiLevelType w:val="hybridMultilevel"/>
    <w:lvl w:ilvl="0">
      <w:lvlJc w:val="left"/>
      <w:lvlText w:val="%1."/>
      <w:numFmt w:val="decimal"/>
      <w:start w:val="11"/>
    </w:lvl>
  </w:abstractNum>
  <w:abstractNum w:abstractNumId="18">
    <w:nsid w:val="836C40E"/>
    <w:multiLevelType w:val="hybridMultilevel"/>
    <w:lvl w:ilvl="0">
      <w:lvlJc w:val="left"/>
      <w:lvlText w:val="%1."/>
      <w:numFmt w:val="decimal"/>
      <w:start w:val="12"/>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decimal"/>
      <w:start w:val="165"/>
    </w:lvl>
  </w:abstractNum>
  <w:abstractNum w:abstractNumId="21">
    <w:nsid w:val="8138641"/>
    <w:multiLevelType w:val="hybridMultilevel"/>
    <w:lvl w:ilvl="0">
      <w:lvlJc w:val="left"/>
      <w:lvlText w:val="%1."/>
      <w:numFmt w:val="decimal"/>
      <w:start w:val="14"/>
    </w:lvl>
  </w:abstractNum>
  <w:abstractNum w:abstractNumId="22">
    <w:nsid w:val="1E7FF521"/>
    <w:multiLevelType w:val="hybridMultilevel"/>
    <w:lvl w:ilvl="0">
      <w:lvlJc w:val="left"/>
      <w:lvlText w:val="1"/>
      <w:numFmt w:val="bullet"/>
      <w:start w:val="1"/>
    </w:lvl>
  </w:abstractNum>
  <w:abstractNum w:abstractNumId="23">
    <w:nsid w:val="7C3DBD3D"/>
    <w:multiLevelType w:val="hybridMultilevel"/>
    <w:lvl w:ilvl="0">
      <w:lvlJc w:val="left"/>
      <w:lvlText w:val="2"/>
      <w:numFmt w:val="bullet"/>
      <w:start w:val="1"/>
    </w:lvl>
  </w:abstractNum>
  <w:abstractNum w:abstractNumId="24">
    <w:nsid w:val="737B8DDC"/>
    <w:multiLevelType w:val="hybridMultilevel"/>
    <w:lvl w:ilvl="0">
      <w:lvlJc w:val="left"/>
      <w:lvlText w:val="%1."/>
      <w:numFmt w:val="decimal"/>
      <w:start w:val="15"/>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16"/>
    </w:lvl>
  </w:abstractNum>
  <w:abstractNum w:abstractNumId="27">
    <w:nsid w:val="4516DD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21"/>
    </w:lvl>
  </w:abstractNum>
  <w:abstractNum w:abstractNumId="30">
    <w:nsid w:val="419AC241"/>
    <w:multiLevelType w:val="hybridMultilevel"/>
    <w:lvl w:ilvl="0">
      <w:lvlJc w:val="left"/>
      <w:lvlText w:val="(%1)"/>
      <w:numFmt w:val="decimal"/>
      <w:start w:val="23"/>
    </w:lvl>
  </w:abstractNum>
  <w:abstractNum w:abstractNumId="31">
    <w:nsid w:val="5577F8E1"/>
    <w:multiLevelType w:val="hybridMultilevel"/>
    <w:lvl w:ilvl="0">
      <w:lvlJc w:val="left"/>
      <w:lvlText w:val="(%1)"/>
      <w:numFmt w:val="decimal"/>
      <w:start w:val="31"/>
    </w:lvl>
  </w:abstractNum>
  <w:abstractNum w:abstractNumId="32">
    <w:nsid w:val="440BADFC"/>
    <w:multiLevelType w:val="hybridMultilevel"/>
    <w:lvl w:ilvl="0">
      <w:lvlJc w:val="left"/>
      <w:lvlText w:val="(%1)"/>
      <w:numFmt w:val="decimal"/>
      <w:start w:val="10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5"/>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3"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05" Type="http://schemas.openxmlformats.org/officeDocument/2006/relationships/hyperlink" Target="http://www.sec.gov/Archives/edgar/data/744187/000093041310004768/c62728_ex3-a.htm" TargetMode="External"/><Relationship Id="rId106" Type="http://schemas.openxmlformats.org/officeDocument/2006/relationships/hyperlink" Target="http://www.sec.gov/Archives/edgar/data/744187/000093041315002774/c81598_ex3a.htm" TargetMode="External"/><Relationship Id="rId107" Type="http://schemas.openxmlformats.org/officeDocument/2006/relationships/hyperlink" Target="http://www.sec.gov/Archives/edgar/data/744187/000093041320000944/c95495_4a.htm" TargetMode="External"/><Relationship Id="rId108" Type="http://schemas.openxmlformats.org/officeDocument/2006/relationships/hyperlink" Target="http://www.sec.gov/Archives/edgar/data/744187/000093041322001116/c103822_ex10-1.htm" TargetMode="External"/><Relationship Id="rId109" Type="http://schemas.openxmlformats.org/officeDocument/2006/relationships/hyperlink" Target="http://www.sec.gov/Archives/edgar/data/744187/000093041322001116/c103822_ex10-2.htm" TargetMode="External"/><Relationship Id="rId110" Type="http://schemas.openxmlformats.org/officeDocument/2006/relationships/hyperlink" Target="http://www.sec.gov/Archives/edgar/data/744187/000093041322001116/c103822_ex10-3.htm" TargetMode="External"/><Relationship Id="rId111" Type="http://schemas.openxmlformats.org/officeDocument/2006/relationships/hyperlink" Target="http://www.sec.gov/Archives/edgar/data/744187/000093041315002774/c81598_ex10d.htm" TargetMode="External"/><Relationship Id="rId112" Type="http://schemas.openxmlformats.org/officeDocument/2006/relationships/hyperlink" Target="http://www.sec.gov/Archives/edgar/data/744187/000093041322001197/c104000_ex10-1.htm" TargetMode="External"/><Relationship Id="rId114" Type="http://schemas.openxmlformats.org/officeDocument/2006/relationships/hyperlink" Target="http://www.sec.gov/Archives/edgar/data/744187/000093041322001116/c10382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2023-03-30T14:25:51Z</dcterms:created>
  <dcterms:modified xsi:type="dcterms:W3CDTF">2023-03-30T14:25:51Z</dcterms:modified>
</cp:coreProperties>
</file>