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right="1760" w:hanging="332"/>
        <w:spacing w:after="0" w:line="263"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19" w:lineRule="exact"/>
        <w:rPr>
          <w:sz w:val="24"/>
          <w:szCs w:val="24"/>
          <w:color w:val="auto"/>
        </w:rPr>
      </w:pPr>
    </w:p>
    <w:p>
      <w:pPr>
        <w:ind w:left="34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1715770</wp:posOffset>
            </wp:positionH>
            <wp:positionV relativeFrom="paragraph">
              <wp:posOffset>-5080</wp:posOffset>
            </wp:positionV>
            <wp:extent cx="1180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6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31-1095548</w:t>
            </w:r>
          </w:p>
        </w:tc>
      </w:tr>
      <w:tr>
        <w:trPr>
          <w:trHeight w:val="216"/>
        </w:trPr>
        <w:tc>
          <w:tcPr>
            <w:tcW w:w="46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6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460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7720 Paragon Road, Dayton, Ohio</w:t>
            </w:r>
          </w:p>
        </w:tc>
        <w:tc>
          <w:tcPr>
            <w:tcW w:w="3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45459</w:t>
            </w:r>
          </w:p>
        </w:tc>
      </w:tr>
      <w:tr>
        <w:trPr>
          <w:trHeight w:val="238"/>
        </w:trPr>
        <w:tc>
          <w:tcPr>
            <w:tcW w:w="460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(937) 276-3931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1240"/>
          </w:cols>
          <w:pgMar w:left="320" w:top="509"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840"/>
        <w:spacing w:after="0"/>
        <w:tabs>
          <w:tab w:leader="none" w:pos="3800" w:val="left"/>
        </w:tabs>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9" w:lineRule="exact"/>
        <w:rPr>
          <w:sz w:val="24"/>
          <w:szCs w:val="24"/>
          <w:color w:val="auto"/>
        </w:rPr>
      </w:pPr>
    </w:p>
    <w:p>
      <w:pPr>
        <w:ind w:left="1380"/>
        <w:spacing w:after="0"/>
        <w:tabs>
          <w:tab w:leader="none" w:pos="4500" w:val="left"/>
        </w:tabs>
        <w:rPr>
          <w:sz w:val="20"/>
          <w:szCs w:val="20"/>
          <w:color w:val="auto"/>
        </w:rPr>
      </w:pPr>
      <w:r>
        <w:rPr>
          <w:rFonts w:ascii="Times New Roman" w:cs="Times New Roman" w:eastAsia="Times New Roman" w:hAnsi="Times New Roman"/>
          <w:sz w:val="18"/>
          <w:szCs w:val="18"/>
          <w:color w:val="auto"/>
        </w:rPr>
        <w:t>REX</w:t>
      </w:r>
      <w:r>
        <w:rPr>
          <w:sz w:val="20"/>
          <w:szCs w:val="20"/>
          <w:color w:val="auto"/>
        </w:rPr>
        <w:tab/>
      </w:r>
      <w:r>
        <w:rPr>
          <w:rFonts w:ascii="Times New Roman" w:cs="Times New Roman" w:eastAsia="Times New Roman" w:hAnsi="Times New Roman"/>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wp:posOffset>
            </wp:positionH>
            <wp:positionV relativeFrom="paragraph">
              <wp:posOffset>142875</wp:posOffset>
            </wp:positionV>
            <wp:extent cx="2143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2840" w:space="720"/>
            <w:col w:w="7680"/>
          </w:cols>
          <w:pgMar w:left="320" w:top="509" w:right="339" w:bottom="1440" w:gutter="0" w:footer="0" w:header="0"/>
          <w:type w:val="continuous"/>
        </w:sectPr>
      </w:pPr>
    </w:p>
    <w:p>
      <w:pPr>
        <w:spacing w:after="0" w:line="25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509" w:right="339" w:bottom="1440" w:gutter="0" w:footer="0" w:header="0"/>
          <w:type w:val="continuous"/>
        </w:sectPr>
      </w:pP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600" w:space="720"/>
            <w:col w:w="3920"/>
          </w:cols>
          <w:pgMar w:left="320" w:top="509" w:right="339" w:bottom="1440" w:gutter="0" w:footer="0" w:header="0"/>
          <w:type w:val="continuous"/>
        </w:sectPr>
      </w:pPr>
    </w:p>
    <w:p>
      <w:pPr>
        <w:spacing w:after="0" w:line="3"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the close of business on December 4, 2024, the registrant had 17,567,152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60" w:type="dxa"/>
            <w:vAlign w:val="bottom"/>
            <w:gridSpan w:val="15"/>
          </w:tcPr>
          <w:p>
            <w:pPr>
              <w:jc w:val="center"/>
              <w:ind w:right="700"/>
              <w:spacing w:after="0"/>
              <w:rPr>
                <w:sz w:val="20"/>
                <w:szCs w:val="20"/>
                <w:color w:val="auto"/>
              </w:rPr>
            </w:pPr>
            <w:r>
              <w:rPr>
                <w:rFonts w:ascii="Times New Roman" w:cs="Times New Roman" w:eastAsia="Times New Roman" w:hAnsi="Times New Roman"/>
                <w:sz w:val="22"/>
                <w:szCs w:val="22"/>
                <w:color w:val="auto"/>
                <w:w w:val="97"/>
              </w:rPr>
              <w:t>REX AMERICAN RESOURCES CORPORATION AND SUBSIDIARIES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60" w:type="dxa"/>
            <w:vAlign w:val="bottom"/>
            <w:gridSpan w:val="4"/>
          </w:tcPr>
          <w:p>
            <w:pPr>
              <w:jc w:val="center"/>
              <w:ind w:right="3420"/>
              <w:spacing w:after="0"/>
              <w:rPr>
                <w:sz w:val="20"/>
                <w:szCs w:val="20"/>
                <w:color w:val="auto"/>
              </w:rPr>
            </w:pPr>
            <w:r>
              <w:rPr>
                <w:rFonts w:ascii="Times New Roman" w:cs="Times New Roman" w:eastAsia="Times New Roman" w:hAnsi="Times New Roman"/>
                <w:sz w:val="22"/>
                <w:szCs w:val="22"/>
                <w:color w:val="auto"/>
                <w:w w:val="99"/>
              </w:rPr>
              <w:t>INDEX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433"/>
        </w:trPr>
        <w:tc>
          <w:tcPr>
            <w:tcW w:w="1020" w:type="dxa"/>
            <w:vAlign w:val="bottom"/>
            <w:gridSpan w:val="5"/>
          </w:tcPr>
          <w:p>
            <w:pPr>
              <w:spacing w:after="0"/>
              <w:rPr>
                <w:sz w:val="20"/>
                <w:szCs w:val="20"/>
                <w:color w:val="auto"/>
              </w:rPr>
            </w:pPr>
            <w:r>
              <w:rPr>
                <w:rFonts w:ascii="Times New Roman" w:cs="Times New Roman" w:eastAsia="Times New Roman" w:hAnsi="Times New Roman"/>
                <w:sz w:val="22"/>
                <w:szCs w:val="22"/>
                <w:color w:val="0000EE"/>
              </w:rPr>
              <w:t>PART I.</w:t>
            </w: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FINANCIAL INFORMATION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80" w:type="dxa"/>
            <w:vAlign w:val="bottom"/>
            <w:tcBorders>
              <w:top w:val="single" w:sz="8" w:color="0000EE"/>
            </w:tcBorders>
          </w:tcPr>
          <w:p>
            <w:pPr>
              <w:spacing w:after="0"/>
              <w:rPr>
                <w:sz w:val="24"/>
                <w:szCs w:val="24"/>
                <w:color w:val="auto"/>
              </w:rPr>
            </w:pPr>
          </w:p>
        </w:tc>
        <w:tc>
          <w:tcPr>
            <w:tcW w:w="320" w:type="dxa"/>
            <w:vAlign w:val="bottom"/>
            <w:gridSpan w:val="3"/>
          </w:tcPr>
          <w:p>
            <w:pPr>
              <w:spacing w:after="0"/>
              <w:rPr>
                <w:sz w:val="24"/>
                <w:szCs w:val="24"/>
                <w:color w:val="auto"/>
              </w:rPr>
            </w:pPr>
          </w:p>
        </w:tc>
        <w:tc>
          <w:tcPr>
            <w:tcW w:w="27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22"/>
                <w:szCs w:val="22"/>
                <w:color w:val="0000EE"/>
              </w:rPr>
              <w:t>Financial Statements</w:t>
            </w:r>
          </w:p>
        </w:tc>
        <w:tc>
          <w:tcPr>
            <w:tcW w:w="6140" w:type="dxa"/>
            <w:vAlign w:val="bottom"/>
            <w:gridSpan w:val="9"/>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Consolidated Balance Sheets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Borders>
              <w:top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w:t>
            </w:r>
          </w:p>
        </w:tc>
        <w:tc>
          <w:tcPr>
            <w:tcW w:w="6340" w:type="dxa"/>
            <w:vAlign w:val="bottom"/>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Operations</w:t>
            </w: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Equity</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tcBorders>
              <w:top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Cash</w:t>
            </w:r>
          </w:p>
        </w:tc>
        <w:tc>
          <w:tcPr>
            <w:tcW w:w="584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Flows</w:t>
            </w: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40" w:type="dxa"/>
            <w:vAlign w:val="bottom"/>
            <w:gridSpan w:val="17"/>
          </w:tcPr>
          <w:p>
            <w:pPr>
              <w:spacing w:after="0" w:line="223" w:lineRule="exact"/>
              <w:rPr>
                <w:sz w:val="20"/>
                <w:szCs w:val="20"/>
                <w:color w:val="auto"/>
              </w:rPr>
            </w:pPr>
            <w:r>
              <w:rPr>
                <w:rFonts w:ascii="Times New Roman" w:cs="Times New Roman" w:eastAsia="Times New Roman" w:hAnsi="Times New Roman"/>
                <w:sz w:val="22"/>
                <w:szCs w:val="22"/>
                <w:color w:val="0000EE"/>
              </w:rPr>
              <w:t>Notes to Consolidated Financial Statements</w:t>
            </w: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400" w:type="dxa"/>
            <w:vAlign w:val="bottom"/>
            <w:gridSpan w:val="4"/>
          </w:tcPr>
          <w:p>
            <w:pPr>
              <w:spacing w:after="0"/>
              <w:rPr>
                <w:sz w:val="24"/>
                <w:szCs w:val="24"/>
                <w:color w:val="auto"/>
              </w:rPr>
            </w:pPr>
          </w:p>
        </w:tc>
        <w:tc>
          <w:tcPr>
            <w:tcW w:w="77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2"/>
                <w:szCs w:val="22"/>
                <w:color w:val="0000EE"/>
                <w:w w:val="97"/>
              </w:rPr>
              <w:t>Management’s Discussion and Analysis of Financial Condition and Results of Operations</w:t>
            </w:r>
          </w:p>
        </w:tc>
        <w:tc>
          <w:tcPr>
            <w:tcW w:w="10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400" w:type="dxa"/>
            <w:vAlign w:val="bottom"/>
            <w:gridSpan w:val="4"/>
          </w:tcPr>
          <w:p>
            <w:pPr>
              <w:spacing w:after="0"/>
              <w:rPr>
                <w:sz w:val="24"/>
                <w:szCs w:val="24"/>
                <w:color w:val="auto"/>
              </w:rPr>
            </w:pPr>
          </w:p>
        </w:tc>
        <w:tc>
          <w:tcPr>
            <w:tcW w:w="52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2"/>
                <w:szCs w:val="22"/>
                <w:color w:val="0000EE"/>
                <w:w w:val="97"/>
              </w:rPr>
              <w:t>Quantitative and Qualitative Disclosures About Market Risk</w:t>
            </w:r>
          </w:p>
        </w:tc>
        <w:tc>
          <w:tcPr>
            <w:tcW w:w="3600" w:type="dxa"/>
            <w:vAlign w:val="bottom"/>
            <w:gridSpan w:val="2"/>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400" w:type="dxa"/>
            <w:vAlign w:val="bottom"/>
            <w:gridSpan w:val="4"/>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Controls and Procedures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sz w:val="20"/>
                <w:szCs w:val="20"/>
                <w:color w:val="auto"/>
              </w:rPr>
            </w:pPr>
            <w:r>
              <w:rPr>
                <w:rFonts w:ascii="Times New Roman" w:cs="Times New Roman" w:eastAsia="Times New Roman" w:hAnsi="Times New Roman"/>
                <w:sz w:val="22"/>
                <w:szCs w:val="22"/>
                <w:color w:val="0000EE"/>
                <w:w w:val="95"/>
              </w:rPr>
              <w:t>PART II.</w:t>
            </w:r>
          </w:p>
        </w:tc>
        <w:tc>
          <w:tcPr>
            <w:tcW w:w="220" w:type="dxa"/>
            <w:vAlign w:val="bottom"/>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OTHER INFORMATION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180" w:type="dxa"/>
            <w:vAlign w:val="bottom"/>
            <w:tcBorders>
              <w:top w:val="single" w:sz="8" w:color="0000EE"/>
            </w:tcBorders>
            <w:gridSpan w:val="3"/>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rPr>
              <w:t>Legal Proceedings</w:t>
            </w:r>
          </w:p>
        </w:tc>
        <w:tc>
          <w:tcPr>
            <w:tcW w:w="6580" w:type="dxa"/>
            <w:vAlign w:val="bottom"/>
            <w:gridSpan w:val="11"/>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sz w:val="20"/>
                <w:szCs w:val="20"/>
                <w:color w:val="auto"/>
              </w:rPr>
            </w:pPr>
            <w:r>
              <w:rPr>
                <w:rFonts w:ascii="Times New Roman" w:cs="Times New Roman" w:eastAsia="Times New Roman" w:hAnsi="Times New Roman"/>
                <w:sz w:val="22"/>
                <w:szCs w:val="22"/>
                <w:color w:val="0000EE"/>
                <w:w w:val="97"/>
              </w:rPr>
              <w:t>Item 1A.</w:t>
            </w:r>
          </w:p>
        </w:tc>
        <w:tc>
          <w:tcPr>
            <w:tcW w:w="240" w:type="dxa"/>
            <w:vAlign w:val="bottom"/>
            <w:gridSpan w:val="2"/>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Risk Factors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160" w:type="dxa"/>
            <w:vAlign w:val="bottom"/>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52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22"/>
                <w:szCs w:val="22"/>
                <w:color w:val="0000EE"/>
                <w:w w:val="97"/>
              </w:rPr>
              <w:t>Unregistered Sales of Equity Securities and Use of Proceeds</w:t>
            </w:r>
          </w:p>
        </w:tc>
        <w:tc>
          <w:tcPr>
            <w:tcW w:w="3620" w:type="dxa"/>
            <w:vAlign w:val="bottom"/>
            <w:gridSpan w:val="3"/>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400" w:type="dxa"/>
            <w:vAlign w:val="bottom"/>
            <w:gridSpan w:val="4"/>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Defaults upon Senior Securities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400" w:type="dxa"/>
            <w:vAlign w:val="bottom"/>
            <w:gridSpan w:val="4"/>
          </w:tcPr>
          <w:p>
            <w:pPr>
              <w:spacing w:after="0"/>
              <w:rPr>
                <w:sz w:val="24"/>
                <w:szCs w:val="24"/>
                <w:color w:val="auto"/>
              </w:rPr>
            </w:pPr>
          </w:p>
        </w:tc>
        <w:tc>
          <w:tcPr>
            <w:tcW w:w="27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22"/>
                <w:szCs w:val="22"/>
                <w:color w:val="0000EE"/>
              </w:rPr>
              <w:t>Mine Safety Disclosures</w:t>
            </w:r>
          </w:p>
        </w:tc>
        <w:tc>
          <w:tcPr>
            <w:tcW w:w="6100" w:type="dxa"/>
            <w:vAlign w:val="bottom"/>
            <w:gridSpan w:val="8"/>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5.</w:t>
            </w:r>
          </w:p>
        </w:tc>
        <w:tc>
          <w:tcPr>
            <w:tcW w:w="40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w w:val="97"/>
              </w:rPr>
              <w:t>Other Information</w:t>
            </w:r>
          </w:p>
        </w:tc>
        <w:tc>
          <w:tcPr>
            <w:tcW w:w="520" w:type="dxa"/>
            <w:vAlign w:val="bottom"/>
            <w:tcBorders>
              <w:top w:val="single" w:sz="8" w:color="0000EE"/>
            </w:tcBorders>
            <w:gridSpan w:val="2"/>
          </w:tcPr>
          <w:p>
            <w:pPr>
              <w:spacing w:after="0"/>
              <w:rPr>
                <w:sz w:val="24"/>
                <w:szCs w:val="24"/>
                <w:color w:val="auto"/>
              </w:rPr>
            </w:pPr>
          </w:p>
        </w:tc>
        <w:tc>
          <w:tcPr>
            <w:tcW w:w="6720" w:type="dxa"/>
            <w:vAlign w:val="bottom"/>
            <w:gridSpan w:val="12"/>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6.</w:t>
            </w:r>
          </w:p>
        </w:tc>
        <w:tc>
          <w:tcPr>
            <w:tcW w:w="400" w:type="dxa"/>
            <w:vAlign w:val="bottom"/>
            <w:gridSpan w:val="4"/>
          </w:tcPr>
          <w:p>
            <w:pPr>
              <w:spacing w:after="0"/>
              <w:rPr>
                <w:sz w:val="24"/>
                <w:szCs w:val="24"/>
                <w:color w:val="auto"/>
              </w:rPr>
            </w:pPr>
          </w:p>
        </w:tc>
        <w:tc>
          <w:tcPr>
            <w:tcW w:w="884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Exhibits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rPr>
                <w:sz w:val="1"/>
                <w:szCs w:val="1"/>
                <w:color w:val="auto"/>
              </w:rPr>
            </w:pPr>
          </w:p>
        </w:tc>
      </w:tr>
      <w:tr>
        <w:trPr>
          <w:trHeight w:val="464"/>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500" w:type="dxa"/>
            <w:vAlign w:val="bottom"/>
            <w:gridSpan w:val="13"/>
          </w:tcPr>
          <w:p>
            <w:pPr>
              <w:jc w:val="center"/>
              <w:ind w:left="3172"/>
              <w:spacing w:after="0"/>
              <w:rPr>
                <w:sz w:val="20"/>
                <w:szCs w:val="20"/>
                <w:color w:val="auto"/>
              </w:rPr>
            </w:pPr>
            <w:r>
              <w:rPr>
                <w:rFonts w:ascii="Times New Roman" w:cs="Times New Roman" w:eastAsia="Times New Roman" w:hAnsi="Times New Roman"/>
                <w:sz w:val="22"/>
                <w:szCs w:val="22"/>
                <w:color w:val="auto"/>
                <w:w w:val="90"/>
              </w:rPr>
              <w:t>2</w:t>
            </w: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4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2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c>
          <w:tcPr>
            <w:tcW w:w="13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r>
      <w:tr>
        <w:trPr>
          <w:trHeight w:val="238"/>
        </w:trPr>
        <w:tc>
          <w:tcPr>
            <w:tcW w:w="8220" w:type="dxa"/>
            <w:vAlign w:val="bottom"/>
            <w:tcBorders>
              <w:bottom w:val="single" w:sz="8" w:color="E5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E5FFFF"/>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5FFFF"/>
            </w:tcBorders>
          </w:tcPr>
          <w:p>
            <w:pPr>
              <w:spacing w:after="0"/>
              <w:rPr>
                <w:sz w:val="20"/>
                <w:szCs w:val="20"/>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298,249</w:t>
            </w:r>
          </w:p>
        </w:tc>
        <w:tc>
          <w:tcPr>
            <w:tcW w:w="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223,397</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66,826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155,260</w:t>
            </w: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22,331</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23,185</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26,984</w:t>
            </w: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1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5,556</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5,728</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17,549</w:t>
            </w:r>
          </w:p>
        </w:tc>
      </w:tr>
      <w:tr>
        <w:trPr>
          <w:trHeight w:val="209"/>
        </w:trPr>
        <w:tc>
          <w:tcPr>
            <w:tcW w:w="82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436,497</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452,103</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200,496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155,587</w:t>
            </w: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22,580</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13,038</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9,138</w:t>
            </w: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39,015</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34,936</w:t>
            </w:r>
          </w:p>
        </w:tc>
      </w:tr>
      <w:tr>
        <w:trPr>
          <w:trHeight w:val="22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715,662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664,802</w:t>
            </w:r>
          </w:p>
        </w:tc>
        <w:tc>
          <w:tcPr>
            <w:tcW w:w="10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4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220" w:type="dxa"/>
            <w:vAlign w:val="bottom"/>
            <w:shd w:val="clear" w:color="auto" w:fill="E5FF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 trade (includes $1.2 million and $5.8 million with related parties at October 31, 2024</w:t>
            </w:r>
          </w:p>
        </w:tc>
        <w:tc>
          <w:tcPr>
            <w:tcW w:w="1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4"/>
        </w:trPr>
        <w:tc>
          <w:tcPr>
            <w:tcW w:w="8220" w:type="dxa"/>
            <w:vAlign w:val="bottom"/>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and January 31, 2024, respectively)</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22,220</w:t>
            </w:r>
          </w:p>
        </w:tc>
        <w:tc>
          <w:tcPr>
            <w:tcW w:w="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42,073</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4,469</w:t>
            </w: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15,883</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19,717</w:t>
            </w:r>
          </w:p>
        </w:tc>
      </w:tr>
      <w:tr>
        <w:trPr>
          <w:trHeight w:val="210"/>
        </w:trPr>
        <w:tc>
          <w:tcPr>
            <w:tcW w:w="822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43,960</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66,259</w:t>
            </w:r>
          </w:p>
        </w:tc>
        <w:tc>
          <w:tcPr>
            <w:tcW w:w="100" w:type="dxa"/>
            <w:vAlign w:val="bottom"/>
            <w:tcBorders>
              <w:bottom w:val="single" w:sz="8" w:color="E5FFFF"/>
            </w:tcBorders>
          </w:tcPr>
          <w:p>
            <w:pPr>
              <w:spacing w:after="0"/>
              <w:rPr>
                <w:sz w:val="18"/>
                <w:szCs w:val="18"/>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w:t>
            </w: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16,761</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8,378</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r>
      <w:tr>
        <w:trPr>
          <w:trHeight w:val="210"/>
        </w:trPr>
        <w:tc>
          <w:tcPr>
            <w:tcW w:w="82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25,102</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100" w:type="dxa"/>
            <w:vAlign w:val="bottom"/>
            <w:tcBorders>
              <w:top w:val="single" w:sz="8" w:color="E5FFFF"/>
            </w:tcBorders>
            <w:shd w:val="clear" w:color="auto" w:fill="E5FFFF"/>
          </w:tcPr>
          <w:p>
            <w:pPr>
              <w:spacing w:after="0"/>
              <w:rPr>
                <w:sz w:val="18"/>
                <w:szCs w:val="18"/>
                <w:color w:val="auto"/>
              </w:rPr>
            </w:pP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REX shareholders’ equity:</w:t>
            </w:r>
          </w:p>
        </w:tc>
        <w:tc>
          <w:tcPr>
            <w:tcW w:w="14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1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6,254</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3,769</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748,830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701,761</w:t>
            </w: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(190,892)</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(191,911)</w:t>
            </w:r>
          </w:p>
        </w:tc>
      </w:tr>
      <w:tr>
        <w:trPr>
          <w:trHeight w:val="21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REX shareholders’ equity</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513,918</w:t>
            </w:r>
          </w:p>
        </w:tc>
        <w:tc>
          <w:tcPr>
            <w:tcW w:w="100" w:type="dxa"/>
            <w:vAlign w:val="bottom"/>
          </w:tcPr>
          <w:p>
            <w:pPr>
              <w:spacing w:after="0"/>
              <w:rPr>
                <w:sz w:val="18"/>
                <w:szCs w:val="18"/>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82,109</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73,679</w:t>
            </w:r>
          </w:p>
        </w:tc>
      </w:tr>
      <w:tr>
        <w:trPr>
          <w:trHeight w:val="210"/>
        </w:trPr>
        <w:tc>
          <w:tcPr>
            <w:tcW w:w="8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646,600</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587,597</w:t>
            </w:r>
          </w:p>
        </w:tc>
        <w:tc>
          <w:tcPr>
            <w:tcW w:w="100" w:type="dxa"/>
            <w:vAlign w:val="bottom"/>
            <w:tcBorders>
              <w:bottom w:val="single" w:sz="8" w:color="E5FFFF"/>
            </w:tcBorders>
          </w:tcPr>
          <w:p>
            <w:pPr>
              <w:spacing w:after="0"/>
              <w:rPr>
                <w:sz w:val="18"/>
                <w:szCs w:val="18"/>
                <w:color w:val="auto"/>
              </w:rPr>
            </w:pPr>
          </w:p>
        </w:tc>
      </w:tr>
      <w:tr>
        <w:trPr>
          <w:trHeight w:val="223"/>
        </w:trPr>
        <w:tc>
          <w:tcPr>
            <w:tcW w:w="8220" w:type="dxa"/>
            <w:vAlign w:val="bottom"/>
            <w:tcBorders>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715,662</w:t>
            </w:r>
          </w:p>
        </w:tc>
        <w:tc>
          <w:tcPr>
            <w:tcW w:w="20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664,802</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 w:name="page4"/>
    <w:bookmarkEnd w:id="3"/>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Operations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42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174,877</w:t>
            </w:r>
          </w:p>
        </w:tc>
        <w:tc>
          <w:tcPr>
            <w:tcW w:w="500" w:type="dxa"/>
            <w:vAlign w:val="bottom"/>
            <w:gridSpan w:val="2"/>
            <w:shd w:val="clear" w:color="auto" w:fill="E5FF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221,079</w:t>
            </w:r>
          </w:p>
        </w:tc>
        <w:tc>
          <w:tcPr>
            <w:tcW w:w="2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484,263</w:t>
            </w:r>
          </w:p>
        </w:tc>
        <w:tc>
          <w:tcPr>
            <w:tcW w:w="260" w:type="dxa"/>
            <w:vAlign w:val="bottom"/>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645,770</w:t>
            </w:r>
          </w:p>
        </w:tc>
        <w:tc>
          <w:tcPr>
            <w:tcW w:w="0" w:type="dxa"/>
            <w:vAlign w:val="bottom"/>
          </w:tcPr>
          <w:p>
            <w:pPr>
              <w:spacing w:after="0"/>
              <w:rPr>
                <w:sz w:val="1"/>
                <w:szCs w:val="1"/>
                <w:color w:val="auto"/>
              </w:rPr>
            </w:pPr>
          </w:p>
        </w:tc>
      </w:tr>
      <w:tr>
        <w:trPr>
          <w:trHeight w:val="198"/>
        </w:trPr>
        <w:tc>
          <w:tcPr>
            <w:tcW w:w="5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$22,739 and $32,723 with related parties for the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October 31, 2024 and 2023, respectively, and $81,726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and $92,610 with related parties for the nine months ended October 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135,196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181,789</w:t>
            </w:r>
          </w:p>
        </w:tc>
        <w:tc>
          <w:tcPr>
            <w:tcW w:w="2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410,358</w:t>
            </w: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577,962</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39,681</w:t>
            </w:r>
          </w:p>
        </w:tc>
        <w:tc>
          <w:tcPr>
            <w:tcW w:w="2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39,290</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73,905</w:t>
            </w:r>
          </w:p>
        </w:tc>
        <w:tc>
          <w:tcPr>
            <w:tcW w:w="26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67,808</w:t>
            </w:r>
          </w:p>
        </w:tc>
        <w:tc>
          <w:tcPr>
            <w:tcW w:w="0" w:type="dxa"/>
            <w:vAlign w:val="bottom"/>
          </w:tcPr>
          <w:p>
            <w:pPr>
              <w:spacing w:after="0"/>
              <w:rPr>
                <w:sz w:val="1"/>
                <w:szCs w:val="1"/>
                <w:color w:val="auto"/>
              </w:rPr>
            </w:pPr>
          </w:p>
        </w:tc>
      </w:tr>
      <w:tr>
        <w:trPr>
          <w:trHeight w:val="432"/>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(8,426)</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(7,609)</w:t>
            </w:r>
          </w:p>
        </w:tc>
        <w:tc>
          <w:tcPr>
            <w:tcW w:w="2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(20,977)</w:t>
            </w:r>
          </w:p>
        </w:tc>
        <w:tc>
          <w:tcPr>
            <w:tcW w:w="2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(21,996)</w:t>
            </w:r>
          </w:p>
        </w:tc>
        <w:tc>
          <w:tcPr>
            <w:tcW w:w="0" w:type="dxa"/>
            <w:vAlign w:val="bottom"/>
          </w:tcPr>
          <w:p>
            <w:pPr>
              <w:spacing w:after="0"/>
              <w:rPr>
                <w:sz w:val="1"/>
                <w:szCs w:val="1"/>
                <w:color w:val="auto"/>
              </w:rPr>
            </w:pPr>
          </w:p>
        </w:tc>
      </w:tr>
      <w:tr>
        <w:trPr>
          <w:trHeight w:val="216"/>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3,621</w:t>
            </w:r>
          </w:p>
        </w:tc>
        <w:tc>
          <w:tcPr>
            <w:tcW w:w="2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4,738</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7,086</w:t>
            </w:r>
          </w:p>
        </w:tc>
        <w:tc>
          <w:tcPr>
            <w:tcW w:w="26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9,275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4,863</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14,950</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10,935</w:t>
            </w: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39,505</w:t>
            </w:r>
          </w:p>
        </w:tc>
        <w:tc>
          <w:tcPr>
            <w:tcW w:w="2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41,282</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74,964</w:t>
            </w:r>
          </w:p>
        </w:tc>
        <w:tc>
          <w:tcPr>
            <w:tcW w:w="26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66,022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(9,640)</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(17,581)</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(15,396)</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30,103</w:t>
            </w:r>
          </w:p>
        </w:tc>
        <w:tc>
          <w:tcPr>
            <w:tcW w:w="2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20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31,642</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57,383</w:t>
            </w:r>
          </w:p>
        </w:tc>
        <w:tc>
          <w:tcPr>
            <w:tcW w:w="26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50,626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(5,566)</w:t>
            </w:r>
          </w:p>
        </w:tc>
        <w:tc>
          <w:tcPr>
            <w:tcW w:w="2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(10,314)</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(10,259)</w:t>
            </w:r>
          </w:p>
        </w:tc>
        <w:tc>
          <w:tcPr>
            <w:tcW w:w="0" w:type="dxa"/>
            <w:vAlign w:val="bottom"/>
          </w:tcPr>
          <w:p>
            <w:pPr>
              <w:spacing w:after="0"/>
              <w:rPr>
                <w:sz w:val="1"/>
                <w:szCs w:val="1"/>
                <w:color w:val="auto"/>
              </w:rPr>
            </w:pPr>
          </w:p>
        </w:tc>
      </w:tr>
      <w:tr>
        <w:trPr>
          <w:trHeight w:val="223"/>
        </w:trPr>
        <w:tc>
          <w:tcPr>
            <w:tcW w:w="554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24,500</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47,069</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17,595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17,531</w:t>
            </w:r>
          </w:p>
        </w:tc>
        <w:tc>
          <w:tcPr>
            <w:tcW w:w="2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17,550</w:t>
            </w:r>
          </w:p>
        </w:tc>
        <w:tc>
          <w:tcPr>
            <w:tcW w:w="2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17,461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REX common shareholders</w:t>
            </w:r>
          </w:p>
        </w:tc>
        <w:tc>
          <w:tcPr>
            <w:tcW w:w="200" w:type="dxa"/>
            <w:vAlign w:val="bottom"/>
            <w:shd w:val="clear" w:color="auto" w:fill="E5FFFF"/>
          </w:tcPr>
          <w:p>
            <w:pPr>
              <w:spacing w:after="0"/>
              <w:rPr>
                <w:sz w:val="21"/>
                <w:szCs w:val="21"/>
                <w:color w:val="auto"/>
              </w:rPr>
            </w:pPr>
          </w:p>
        </w:tc>
        <w:tc>
          <w:tcPr>
            <w:tcW w:w="220" w:type="dxa"/>
            <w:vAlign w:val="bottom"/>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E5FFFF"/>
          </w:tcPr>
          <w:p>
            <w:pPr>
              <w:spacing w:after="0"/>
              <w:rPr>
                <w:sz w:val="21"/>
                <w:szCs w:val="21"/>
                <w:color w:val="auto"/>
              </w:rPr>
            </w:pPr>
          </w:p>
        </w:tc>
        <w:tc>
          <w:tcPr>
            <w:tcW w:w="500" w:type="dxa"/>
            <w:vAlign w:val="bottom"/>
            <w:gridSpan w:val="2"/>
            <w:shd w:val="clear" w:color="auto" w:fill="E5FF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554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17,723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17,531</w:t>
            </w:r>
          </w:p>
        </w:tc>
        <w:tc>
          <w:tcPr>
            <w:tcW w:w="2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17,673</w:t>
            </w:r>
          </w:p>
        </w:tc>
        <w:tc>
          <w:tcPr>
            <w:tcW w:w="2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17,461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REX common shareholders</w:t>
            </w:r>
          </w:p>
        </w:tc>
        <w:tc>
          <w:tcPr>
            <w:tcW w:w="42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500" w:type="dxa"/>
            <w:vAlign w:val="bottom"/>
            <w:gridSpan w:val="2"/>
            <w:shd w:val="clear" w:color="auto" w:fill="E5FF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2.66</w:t>
            </w:r>
          </w:p>
        </w:tc>
        <w:tc>
          <w:tcPr>
            <w:tcW w:w="260" w:type="dxa"/>
            <w:vAlign w:val="bottom"/>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55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October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color w:val="auto"/>
              </w:rPr>
              <w:t>REX Shareholders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3300" w:type="dxa"/>
            <w:vAlign w:val="bottom"/>
          </w:tcPr>
          <w:p>
            <w:pPr>
              <w:spacing w:after="0"/>
              <w:rPr>
                <w:sz w:val="23"/>
                <w:szCs w:val="23"/>
                <w:color w:val="auto"/>
              </w:rPr>
            </w:pPr>
          </w:p>
        </w:tc>
        <w:tc>
          <w:tcPr>
            <w:tcW w:w="19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2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2"/>
                <w:szCs w:val="12"/>
                <w:color w:val="auto"/>
              </w:rPr>
            </w:pPr>
          </w:p>
        </w:tc>
        <w:tc>
          <w:tcPr>
            <w:tcW w:w="82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2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July 31, 2024</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12,286</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(190,957)</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5,961</w:t>
            </w:r>
          </w:p>
        </w:tc>
        <w:tc>
          <w:tcPr>
            <w:tcW w:w="1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724,330</w:t>
            </w:r>
          </w:p>
        </w:tc>
        <w:tc>
          <w:tcPr>
            <w:tcW w:w="30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76,553</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616,186</w:t>
            </w:r>
          </w:p>
        </w:tc>
        <w:tc>
          <w:tcPr>
            <w:tcW w:w="0" w:type="dxa"/>
            <w:vAlign w:val="bottom"/>
          </w:tcPr>
          <w:p>
            <w:pPr>
              <w:spacing w:after="0"/>
              <w:rPr>
                <w:sz w:val="1"/>
                <w:szCs w:val="1"/>
                <w:color w:val="auto"/>
              </w:rPr>
            </w:pPr>
          </w:p>
        </w:tc>
      </w:tr>
      <w:tr>
        <w:trPr>
          <w:trHeight w:val="31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24,500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5,603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30,103</w:t>
            </w: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7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 based</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293</w:t>
            </w:r>
          </w:p>
        </w:tc>
        <w:tc>
          <w:tcPr>
            <w:tcW w:w="140" w:type="dxa"/>
            <w:vAlign w:val="bottom"/>
          </w:tcPr>
          <w:p>
            <w:pPr>
              <w:spacing w:after="0"/>
              <w:rPr>
                <w:sz w:val="23"/>
                <w:szCs w:val="23"/>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Balance at October 31, 2024</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12,286</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 (190,892)</w:t>
            </w: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6,254</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748,830</w:t>
            </w:r>
          </w:p>
        </w:tc>
        <w:tc>
          <w:tcPr>
            <w:tcW w:w="300" w:type="dxa"/>
            <w:vAlign w:val="bottom"/>
            <w:gridSpan w:val="2"/>
            <w:shd w:val="clear" w:color="auto" w:fill="E5FF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82,109</w:t>
            </w: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646,600</w:t>
            </w:r>
          </w:p>
        </w:tc>
        <w:tc>
          <w:tcPr>
            <w:tcW w:w="0" w:type="dxa"/>
            <w:vAlign w:val="bottom"/>
          </w:tcPr>
          <w:p>
            <w:pPr>
              <w:spacing w:after="0"/>
              <w:rPr>
                <w:sz w:val="1"/>
                <w:szCs w:val="1"/>
                <w:color w:val="auto"/>
              </w:rPr>
            </w:pPr>
          </w:p>
        </w:tc>
      </w:tr>
      <w:tr>
        <w:trPr>
          <w:trHeight w:val="20"/>
        </w:trPr>
        <w:tc>
          <w:tcPr>
            <w:tcW w:w="330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Balance at January 31, 2024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12,350</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(191,911)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3,769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701,761</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73,679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587,597</w:t>
            </w: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47,069</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10,314</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57,383</w:t>
            </w:r>
          </w:p>
        </w:tc>
        <w:tc>
          <w:tcPr>
            <w:tcW w:w="0" w:type="dxa"/>
            <w:vAlign w:val="bottom"/>
          </w:tcPr>
          <w:p>
            <w:pPr>
              <w:spacing w:after="0"/>
              <w:rPr>
                <w:sz w:val="1"/>
                <w:szCs w:val="1"/>
                <w:color w:val="auto"/>
              </w:rPr>
            </w:pPr>
          </w:p>
        </w:tc>
      </w:tr>
      <w:tr>
        <w:trPr>
          <w:trHeight w:val="31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(1,884)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(1,884)</w:t>
            </w:r>
          </w:p>
        </w:tc>
        <w:tc>
          <w:tcPr>
            <w:tcW w:w="0" w:type="dxa"/>
            <w:vAlign w:val="bottom"/>
          </w:tcPr>
          <w:p>
            <w:pPr>
              <w:spacing w:after="0"/>
              <w:rPr>
                <w:sz w:val="1"/>
                <w:szCs w:val="1"/>
                <w:color w:val="auto"/>
              </w:rPr>
            </w:pPr>
          </w:p>
        </w:tc>
      </w:tr>
      <w:tr>
        <w:trPr>
          <w:trHeight w:val="172"/>
        </w:trPr>
        <w:tc>
          <w:tcPr>
            <w:tcW w:w="3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0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 based</w:t>
            </w:r>
          </w:p>
        </w:tc>
        <w:tc>
          <w:tcPr>
            <w:tcW w:w="820" w:type="dxa"/>
            <w:vAlign w:val="bottom"/>
            <w:gridSpan w:val="2"/>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920" w:type="dxa"/>
            <w:vAlign w:val="bottom"/>
            <w:gridSpan w:val="2"/>
            <w:vMerge w:val="restart"/>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(64)</w:t>
            </w:r>
          </w:p>
        </w:tc>
        <w:tc>
          <w:tcPr>
            <w:tcW w:w="1000" w:type="dxa"/>
            <w:vAlign w:val="bottom"/>
            <w:gridSpan w:val="3"/>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1,019</w:t>
            </w: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900" w:type="dxa"/>
            <w:vAlign w:val="bottom"/>
            <w:gridSpan w:val="2"/>
            <w:vMerge w:val="restart"/>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2,485</w:t>
            </w:r>
          </w:p>
        </w:tc>
        <w:tc>
          <w:tcPr>
            <w:tcW w:w="140" w:type="dxa"/>
            <w:vAlign w:val="bottom"/>
            <w:shd w:val="clear" w:color="auto" w:fill="E5FFFF"/>
          </w:tcPr>
          <w:p>
            <w:pPr>
              <w:spacing w:after="0"/>
              <w:rPr>
                <w:sz w:val="10"/>
                <w:szCs w:val="10"/>
                <w:color w:val="auto"/>
              </w:rPr>
            </w:pPr>
          </w:p>
        </w:tc>
        <w:tc>
          <w:tcPr>
            <w:tcW w:w="680" w:type="dxa"/>
            <w:vAlign w:val="bottom"/>
            <w:gridSpan w:val="2"/>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960" w:type="dxa"/>
            <w:vAlign w:val="bottom"/>
            <w:gridSpan w:val="2"/>
            <w:vMerge w:val="restart"/>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680" w:type="dxa"/>
            <w:vAlign w:val="bottom"/>
            <w:gridSpan w:val="2"/>
            <w:vMerge w:val="restart"/>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3,504</w:t>
            </w:r>
          </w:p>
        </w:tc>
        <w:tc>
          <w:tcPr>
            <w:tcW w:w="0" w:type="dxa"/>
            <w:vAlign w:val="bottom"/>
          </w:tcPr>
          <w:p>
            <w:pPr>
              <w:spacing w:after="0"/>
              <w:rPr>
                <w:sz w:val="1"/>
                <w:szCs w:val="1"/>
                <w:color w:val="auto"/>
              </w:rPr>
            </w:pPr>
          </w:p>
        </w:tc>
      </w:tr>
      <w:tr>
        <w:trPr>
          <w:trHeight w:val="171"/>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820" w:type="dxa"/>
            <w:vAlign w:val="bottom"/>
            <w:gridSpan w:val="2"/>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920" w:type="dxa"/>
            <w:vAlign w:val="bottom"/>
            <w:gridSpan w:val="2"/>
            <w:vMerge w:val="continue"/>
            <w:shd w:val="clear" w:color="auto" w:fill="E5FFFF"/>
          </w:tcPr>
          <w:p>
            <w:pPr>
              <w:spacing w:after="0"/>
              <w:rPr>
                <w:sz w:val="14"/>
                <w:szCs w:val="14"/>
                <w:color w:val="auto"/>
              </w:rPr>
            </w:pPr>
          </w:p>
        </w:tc>
        <w:tc>
          <w:tcPr>
            <w:tcW w:w="820" w:type="dxa"/>
            <w:vAlign w:val="bottom"/>
            <w:gridSpan w:val="2"/>
            <w:vMerge w:val="continue"/>
            <w:shd w:val="clear" w:color="auto" w:fill="E5FFFF"/>
          </w:tcPr>
          <w:p>
            <w:pPr>
              <w:spacing w:after="0"/>
              <w:rPr>
                <w:sz w:val="14"/>
                <w:szCs w:val="14"/>
                <w:color w:val="auto"/>
              </w:rPr>
            </w:pPr>
          </w:p>
        </w:tc>
        <w:tc>
          <w:tcPr>
            <w:tcW w:w="1000" w:type="dxa"/>
            <w:vAlign w:val="bottom"/>
            <w:gridSpan w:val="3"/>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900" w:type="dxa"/>
            <w:vAlign w:val="bottom"/>
            <w:gridSpan w:val="2"/>
            <w:vMerge w:val="continue"/>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680" w:type="dxa"/>
            <w:vAlign w:val="bottom"/>
            <w:gridSpan w:val="2"/>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60" w:type="dxa"/>
            <w:vAlign w:val="bottom"/>
            <w:gridSpan w:val="2"/>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680" w:type="dxa"/>
            <w:vAlign w:val="bottom"/>
            <w:gridSpan w:val="2"/>
            <w:vMerge w:val="continue"/>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October 31, 2024</w:t>
            </w: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300" w:type="dxa"/>
            <w:vAlign w:val="bottom"/>
            <w:vMerge w:val="continue"/>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12,286</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(190,892)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6,254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748,830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82,109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646,600</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Continued on the following page</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3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Continued from the previous page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33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color w:val="auto"/>
              </w:rPr>
              <w:t>REX Shareholders</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300" w:type="dxa"/>
            <w:vAlign w:val="bottom"/>
          </w:tcPr>
          <w:p>
            <w:pPr>
              <w:spacing w:after="0"/>
              <w:rPr>
                <w:sz w:val="23"/>
                <w:szCs w:val="23"/>
                <w:color w:val="auto"/>
              </w:rPr>
            </w:pPr>
          </w:p>
        </w:tc>
        <w:tc>
          <w:tcPr>
            <w:tcW w:w="19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2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2"/>
                <w:szCs w:val="12"/>
                <w:color w:val="auto"/>
              </w:rPr>
            </w:pPr>
          </w:p>
        </w:tc>
        <w:tc>
          <w:tcPr>
            <w:tcW w:w="82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2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July 31, 2023</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12,350</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(192,037)</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3,181</w:t>
            </w:r>
          </w:p>
        </w:tc>
        <w:tc>
          <w:tcPr>
            <w:tcW w:w="1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655,117</w:t>
            </w:r>
          </w:p>
        </w:tc>
        <w:tc>
          <w:tcPr>
            <w:tcW w:w="30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66,989</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533,549</w:t>
            </w:r>
          </w:p>
        </w:tc>
        <w:tc>
          <w:tcPr>
            <w:tcW w:w="0" w:type="dxa"/>
            <w:vAlign w:val="bottom"/>
          </w:tcPr>
          <w:p>
            <w:pPr>
              <w:spacing w:after="0"/>
              <w:rPr>
                <w:sz w:val="1"/>
                <w:szCs w:val="1"/>
                <w:color w:val="auto"/>
              </w:rPr>
            </w:pPr>
          </w:p>
        </w:tc>
      </w:tr>
      <w:tr>
        <w:trPr>
          <w:trHeight w:val="31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26,076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5,566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31,642</w:t>
            </w:r>
          </w:p>
        </w:tc>
        <w:tc>
          <w:tcPr>
            <w:tcW w:w="0" w:type="dxa"/>
            <w:vAlign w:val="bottom"/>
          </w:tcPr>
          <w:p>
            <w:pPr>
              <w:spacing w:after="0"/>
              <w:rPr>
                <w:sz w:val="1"/>
                <w:szCs w:val="1"/>
                <w:color w:val="auto"/>
              </w:rPr>
            </w:pPr>
          </w:p>
        </w:tc>
      </w:tr>
      <w:tr>
        <w:trPr>
          <w:trHeight w:val="132"/>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30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 based</w:t>
            </w:r>
          </w:p>
        </w:tc>
        <w:tc>
          <w:tcPr>
            <w:tcW w:w="820" w:type="dxa"/>
            <w:vAlign w:val="bottom"/>
            <w:gridSpan w:val="2"/>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920" w:type="dxa"/>
            <w:vAlign w:val="bottom"/>
            <w:gridSpan w:val="2"/>
            <w:vMerge w:val="restart"/>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900" w:type="dxa"/>
            <w:vAlign w:val="bottom"/>
            <w:gridSpan w:val="2"/>
            <w:vMerge w:val="restart"/>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294</w:t>
            </w:r>
          </w:p>
        </w:tc>
        <w:tc>
          <w:tcPr>
            <w:tcW w:w="140" w:type="dxa"/>
            <w:vAlign w:val="bottom"/>
            <w:shd w:val="clear" w:color="auto" w:fill="E5FFFF"/>
          </w:tcPr>
          <w:p>
            <w:pPr>
              <w:spacing w:after="0"/>
              <w:rPr>
                <w:sz w:val="10"/>
                <w:szCs w:val="10"/>
                <w:color w:val="auto"/>
              </w:rPr>
            </w:pPr>
          </w:p>
        </w:tc>
        <w:tc>
          <w:tcPr>
            <w:tcW w:w="680" w:type="dxa"/>
            <w:vAlign w:val="bottom"/>
            <w:gridSpan w:val="2"/>
            <w:vMerge w:val="restart"/>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960" w:type="dxa"/>
            <w:vAlign w:val="bottom"/>
            <w:gridSpan w:val="2"/>
            <w:vMerge w:val="restart"/>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680" w:type="dxa"/>
            <w:vAlign w:val="bottom"/>
            <w:gridSpan w:val="2"/>
            <w:vMerge w:val="restart"/>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71"/>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820" w:type="dxa"/>
            <w:vAlign w:val="bottom"/>
            <w:gridSpan w:val="2"/>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920" w:type="dxa"/>
            <w:vAlign w:val="bottom"/>
            <w:gridSpan w:val="2"/>
            <w:vMerge w:val="continue"/>
            <w:shd w:val="clear" w:color="auto" w:fill="E5FFFF"/>
          </w:tcPr>
          <w:p>
            <w:pPr>
              <w:spacing w:after="0"/>
              <w:rPr>
                <w:sz w:val="14"/>
                <w:szCs w:val="14"/>
                <w:color w:val="auto"/>
              </w:rPr>
            </w:pPr>
          </w:p>
        </w:tc>
        <w:tc>
          <w:tcPr>
            <w:tcW w:w="820" w:type="dxa"/>
            <w:vAlign w:val="bottom"/>
            <w:gridSpan w:val="2"/>
            <w:vMerge w:val="continue"/>
            <w:shd w:val="clear" w:color="auto" w:fill="E5FFFF"/>
          </w:tcPr>
          <w:p>
            <w:pPr>
              <w:spacing w:after="0"/>
              <w:rPr>
                <w:sz w:val="14"/>
                <w:szCs w:val="14"/>
                <w:color w:val="auto"/>
              </w:rPr>
            </w:pPr>
          </w:p>
        </w:tc>
        <w:tc>
          <w:tcPr>
            <w:tcW w:w="1000" w:type="dxa"/>
            <w:vAlign w:val="bottom"/>
            <w:gridSpan w:val="3"/>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900" w:type="dxa"/>
            <w:vAlign w:val="bottom"/>
            <w:gridSpan w:val="2"/>
            <w:vMerge w:val="continue"/>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680" w:type="dxa"/>
            <w:vAlign w:val="bottom"/>
            <w:gridSpan w:val="2"/>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60" w:type="dxa"/>
            <w:vAlign w:val="bottom"/>
            <w:gridSpan w:val="2"/>
            <w:vMerge w:val="continue"/>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680" w:type="dxa"/>
            <w:vAlign w:val="bottom"/>
            <w:gridSpan w:val="2"/>
            <w:vMerge w:val="continue"/>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at October 31, 2023</w:t>
            </w: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300" w:type="dxa"/>
            <w:vAlign w:val="bottom"/>
            <w:vMerge w:val="continue"/>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12,350</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(191,974)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3,475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681,193</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72,555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565,548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2023</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12,463</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(193,721)</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1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640,826</w:t>
            </w:r>
          </w:p>
        </w:tc>
        <w:tc>
          <w:tcPr>
            <w:tcW w:w="30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63,012</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510,994</w:t>
            </w:r>
          </w:p>
        </w:tc>
        <w:tc>
          <w:tcPr>
            <w:tcW w:w="0" w:type="dxa"/>
            <w:vAlign w:val="bottom"/>
          </w:tcPr>
          <w:p>
            <w:pPr>
              <w:spacing w:after="0"/>
              <w:rPr>
                <w:sz w:val="1"/>
                <w:szCs w:val="1"/>
                <w:color w:val="auto"/>
              </w:rPr>
            </w:pPr>
          </w:p>
        </w:tc>
      </w:tr>
      <w:tr>
        <w:trPr>
          <w:trHeight w:val="31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40,367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10,259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50,626</w:t>
            </w: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27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 based</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(113)</w:t>
            </w: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1,747</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2,897</w:t>
            </w:r>
          </w:p>
        </w:tc>
        <w:tc>
          <w:tcPr>
            <w:tcW w:w="140" w:type="dxa"/>
            <w:vAlign w:val="bottom"/>
          </w:tcPr>
          <w:p>
            <w:pPr>
              <w:spacing w:after="0"/>
              <w:rPr>
                <w:sz w:val="23"/>
                <w:szCs w:val="23"/>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4,644</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Balance at October 31, 2023</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12,350</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 (191,974)</w:t>
            </w: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3,475</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681,193</w:t>
            </w:r>
          </w:p>
        </w:tc>
        <w:tc>
          <w:tcPr>
            <w:tcW w:w="300" w:type="dxa"/>
            <w:vAlign w:val="bottom"/>
            <w:gridSpan w:val="2"/>
            <w:shd w:val="clear" w:color="auto" w:fill="E5FF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72,555</w:t>
            </w: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565,548</w:t>
            </w:r>
          </w:p>
        </w:tc>
        <w:tc>
          <w:tcPr>
            <w:tcW w:w="0" w:type="dxa"/>
            <w:vAlign w:val="bottom"/>
          </w:tcPr>
          <w:p>
            <w:pPr>
              <w:spacing w:after="0"/>
              <w:rPr>
                <w:sz w:val="1"/>
                <w:szCs w:val="1"/>
                <w:color w:val="auto"/>
              </w:rPr>
            </w:pPr>
          </w:p>
        </w:tc>
      </w:tr>
      <w:tr>
        <w:trPr>
          <w:trHeight w:val="20"/>
        </w:trPr>
        <w:tc>
          <w:tcPr>
            <w:tcW w:w="330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 w:name="page7"/>
    <w:bookmarkEnd w:id="6"/>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Cash Flows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20" w:type="dxa"/>
            <w:vAlign w:val="bottom"/>
            <w:tcBorders>
              <w:bottom w:val="single" w:sz="8" w:color="E5FFFF"/>
            </w:tcBorders>
          </w:tcPr>
          <w:p>
            <w:pPr>
              <w:spacing w:after="0"/>
              <w:rPr>
                <w:sz w:val="20"/>
                <w:szCs w:val="20"/>
                <w:color w:val="auto"/>
              </w:rPr>
            </w:pPr>
          </w:p>
        </w:tc>
        <w:tc>
          <w:tcPr>
            <w:tcW w:w="1340" w:type="dxa"/>
            <w:vAlign w:val="bottom"/>
            <w:tcBorders>
              <w:bottom w:val="single" w:sz="8" w:color="E5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E5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57,383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50,626</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12,433</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13,371</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4,192</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3,766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(7,086)</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(9,275)</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Dividends received from equity method investments</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3,007</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(4,219)</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(6,950)</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Deferred income tax</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11,934</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10,048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2,980</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5,146</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 – net</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854</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(4,976)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(2,143)</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11,229</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(12,639)</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(21,629)</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(5,622)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(6,178)</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(4,819)</w:t>
            </w:r>
          </w:p>
        </w:tc>
        <w:tc>
          <w:tcPr>
            <w:tcW w:w="0" w:type="dxa"/>
            <w:vAlign w:val="bottom"/>
          </w:tcPr>
          <w:p>
            <w:pPr>
              <w:spacing w:after="0"/>
              <w:rPr>
                <w:sz w:val="1"/>
                <w:szCs w:val="1"/>
                <w:color w:val="auto"/>
              </w:rPr>
            </w:pPr>
          </w:p>
        </w:tc>
      </w:tr>
      <w:tr>
        <w:trPr>
          <w:trHeight w:val="210"/>
        </w:trPr>
        <w:tc>
          <w:tcPr>
            <w:tcW w:w="73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39,106</w:t>
            </w:r>
          </w:p>
        </w:tc>
        <w:tc>
          <w:tcPr>
            <w:tcW w:w="46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65,464</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(55,428)</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(22,359)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(210,328)</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(378,381)</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302,981</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337,490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real estate and property and equipment</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37,630</w:t>
            </w:r>
          </w:p>
        </w:tc>
        <w:tc>
          <w:tcPr>
            <w:tcW w:w="4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noncontrolling interests holders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(1,884)</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0"/>
        </w:trPr>
        <w:tc>
          <w:tcPr>
            <w:tcW w:w="73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4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46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74,852</w:t>
            </w:r>
          </w:p>
        </w:tc>
        <w:tc>
          <w:tcPr>
            <w:tcW w:w="2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16"/>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223,397</w:t>
            </w:r>
          </w:p>
        </w:tc>
        <w:tc>
          <w:tcPr>
            <w:tcW w:w="24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71,347</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298,249</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 cash investing activities – Accrued capital expenditures</w:t>
            </w:r>
          </w:p>
        </w:tc>
        <w:tc>
          <w:tcPr>
            <w:tcW w:w="1540" w:type="dxa"/>
            <w:vAlign w:val="bottom"/>
            <w:gridSpan w:val="2"/>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3,275</w:t>
            </w:r>
          </w:p>
        </w:tc>
        <w:tc>
          <w:tcPr>
            <w:tcW w:w="240" w:type="dxa"/>
            <w:vAlign w:val="bottom"/>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0"/>
        </w:trPr>
        <w:tc>
          <w:tcPr>
            <w:tcW w:w="732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Non cash investing activities – Capital additions transferred from prepaid expenses</w:t>
            </w:r>
          </w:p>
        </w:tc>
        <w:tc>
          <w:tcPr>
            <w:tcW w:w="1340" w:type="dxa"/>
            <w:vAlign w:val="bottom"/>
            <w:tcBorders>
              <w:top w:val="single" w:sz="8" w:color="E5FFFF"/>
              <w:bottom w:val="single" w:sz="8" w:color="E5FF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bottom w:val="single" w:sz="8" w:color="E5FF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bottom w:val="single" w:sz="8" w:color="E5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E5FFFF"/>
            </w:tcBorders>
            <w:vMerge w:val="continue"/>
          </w:tcPr>
          <w:p>
            <w:pPr>
              <w:spacing w:after="0"/>
              <w:rPr>
                <w:sz w:val="20"/>
                <w:szCs w:val="20"/>
                <w:color w:val="auto"/>
              </w:rPr>
            </w:pPr>
          </w:p>
        </w:tc>
        <w:tc>
          <w:tcPr>
            <w:tcW w:w="1340" w:type="dxa"/>
            <w:vAlign w:val="bottom"/>
            <w:tcBorders>
              <w:bottom w:val="single" w:sz="8" w:color="E5FF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188</w:t>
            </w:r>
          </w:p>
        </w:tc>
        <w:tc>
          <w:tcPr>
            <w:tcW w:w="460" w:type="dxa"/>
            <w:vAlign w:val="bottom"/>
            <w:tcBorders>
              <w:bottom w:val="single" w:sz="8" w:color="E5FF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Non cash financing activities – Stock awards accrued</w:t>
            </w:r>
          </w:p>
        </w:tc>
        <w:tc>
          <w:tcPr>
            <w:tcW w:w="134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1,648</w:t>
            </w:r>
          </w:p>
        </w:tc>
        <w:tc>
          <w:tcPr>
            <w:tcW w:w="46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 cash financing activities – Stock awards issued</w:t>
            </w:r>
          </w:p>
        </w:tc>
        <w:tc>
          <w:tcPr>
            <w:tcW w:w="13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E5FFFF"/>
            </w:tcBorders>
            <w:vMerge w:val="continue"/>
          </w:tcPr>
          <w:p>
            <w:pPr>
              <w:spacing w:after="0"/>
              <w:rPr>
                <w:sz w:val="20"/>
                <w:szCs w:val="20"/>
                <w:color w:val="auto"/>
              </w:rPr>
            </w:pPr>
          </w:p>
        </w:tc>
        <w:tc>
          <w:tcPr>
            <w:tcW w:w="1340" w:type="dxa"/>
            <w:vAlign w:val="bottom"/>
            <w:tcBorders>
              <w:bottom w:val="single" w:sz="8" w:color="E5FF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2,172</w:t>
            </w:r>
          </w:p>
        </w:tc>
        <w:tc>
          <w:tcPr>
            <w:tcW w:w="460" w:type="dxa"/>
            <w:vAlign w:val="bottom"/>
            <w:tcBorders>
              <w:bottom w:val="single" w:sz="8" w:color="E5FF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Right-of-use assets acquired and liabilities incurred upon lease execution</w:t>
            </w:r>
          </w:p>
        </w:tc>
        <w:tc>
          <w:tcPr>
            <w:tcW w:w="134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13,734</w:t>
            </w:r>
          </w:p>
        </w:tc>
        <w:tc>
          <w:tcPr>
            <w:tcW w:w="46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NOTES TO UNAUDITED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October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w:t>
      </w:r>
      <w:r>
        <w:rPr>
          <w:rFonts w:ascii="Times New Roman" w:cs="Times New Roman" w:eastAsia="Times New Roman" w:hAnsi="Times New Roman"/>
          <w:sz w:val="22"/>
          <w:szCs w:val="22"/>
          <w:b w:val="1"/>
          <w:bCs w:val="1"/>
          <w:i w:val="1"/>
          <w:iCs w:val="1"/>
          <w:color w:val="auto"/>
        </w:rPr>
        <w:t>Consolidated Financial Statements</w:t>
      </w:r>
    </w:p>
    <w:p>
      <w:pPr>
        <w:spacing w:after="0" w:line="239"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References to the Company – References to “REX” or the “Company” in the consolidated financial statements and in these notes to the consolidated financial statements refer to REX American Resources Corporation, a Delaware corporation, and its majority and wholly owned subsidiaries.</w:t>
      </w:r>
    </w:p>
    <w:p>
      <w:pPr>
        <w:spacing w:after="0" w:line="20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The consolidated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2024 included in these financial statements has been derived from the audited consolidated financial statements included in the Company’s Annual Report on Form 10-K for the year ended January 31, 2024 (fiscal year 2023). These unaudited consolidated financial statements should be read in conjunction with the consolidated financial statements and the notes thereto included in the Company’s Annual Report on Form 10-K for the year ended January 31, 2024. The results of operations for the interim periods are not necessarily indicative of the results to be expected for the year.</w:t>
      </w:r>
    </w:p>
    <w:p>
      <w:pPr>
        <w:spacing w:after="0" w:line="200"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Basis of Consolidation </w:t>
      </w:r>
      <w:r>
        <w:rPr>
          <w:rFonts w:ascii="Times New Roman" w:cs="Times New Roman" w:eastAsia="Times New Roman" w:hAnsi="Times New Roman"/>
          <w:sz w:val="22"/>
          <w:szCs w:val="22"/>
          <w:color w:val="auto"/>
        </w:rPr>
        <w:t>– The consolidated financial statements in this report include the operating results and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position of the Company. All intercompany balances and transactions have been eliminated. The Company consolidates the results of its wholly owned and majority owned subsidiaries. The Company includes the results of operations of One Earth Energy, LLC (“One Earth”) in its Consolidated Statements of Operations on a delayed basis of one month as One Earth has a fiscal year end of December 31.</w:t>
      </w:r>
    </w:p>
    <w:p>
      <w:pPr>
        <w:spacing w:after="0" w:line="204"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Nature of Operations </w:t>
      </w:r>
      <w:r>
        <w:rPr>
          <w:rFonts w:ascii="Times New Roman" w:cs="Times New Roman" w:eastAsia="Times New Roman" w:hAnsi="Times New Roman"/>
          <w:sz w:val="22"/>
          <w:szCs w:val="22"/>
          <w:color w:val="auto"/>
        </w:rPr>
        <w:t>– The Company has one reportable segment, ethanol and by-products. Within the ethanol and by-products segment, the Company has equity investments in three ethanol limited liability companies, two of which are majority ownership interests.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w:t>
      </w:r>
      <w:r>
        <w:rPr>
          <w:rFonts w:ascii="Times New Roman" w:cs="Times New Roman" w:eastAsia="Times New Roman" w:hAnsi="Times New Roman"/>
          <w:sz w:val="22"/>
          <w:szCs w:val="22"/>
          <w:b w:val="1"/>
          <w:bCs w:val="1"/>
          <w:i w:val="1"/>
          <w:iCs w:val="1"/>
          <w:color w:val="auto"/>
        </w:rPr>
        <w:t>Accounting Policies</w:t>
      </w:r>
    </w:p>
    <w:p>
      <w:pPr>
        <w:spacing w:after="0" w:line="239"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The interim consolidated financial statements have been prepared in accordance with the accounting policies described in the notes to the consolidated financial statements included in the Company’s fiscal year 2023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Cash and Cash Equivalents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Cash and cash equivalents includes bank deposits as well as short-term, highly liquid investments with original maturities of three months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 Recognition</w:t>
      </w:r>
    </w:p>
    <w:p>
      <w:pPr>
        <w:spacing w:after="0" w:line="237"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The Company recognizes sales of ethanol, distillers grains and distillers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 of Sales</w:t>
      </w:r>
    </w:p>
    <w:p>
      <w:pPr>
        <w:spacing w:after="0" w:line="237"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Cost of sales includes depreciation, costs of raw materials, third-party freight charges, purchasing and receiving costs, inspection costs, other distribution expenses, warehousing costs, plant repair and maintenance costs, plant management, certain compensation costs and general facility overhead charges.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Selling, General and Administrative (“SG&amp;A”) Expenses</w:t>
      </w:r>
    </w:p>
    <w:p>
      <w:pPr>
        <w:spacing w:after="0" w:line="23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The Company includes non-production related costs such as professional fees, selling charges, operating lease expense, and certain payroll in SG&amp;A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Instruments</w:t>
      </w:r>
    </w:p>
    <w:p>
      <w:pPr>
        <w:spacing w:after="0" w:line="237"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1"/>
          <w:szCs w:val="21"/>
          <w:color w:val="auto"/>
        </w:rPr>
        <w:t>Certain of the forward corn and natural gas purchase contracts and ethanol, distillers grains and distillers corn oil sale contracts are accounted for under the “normal purchases and normal sales” scope exemption of Accounting Standards Codification (“ASC”) 815, “</w:t>
      </w:r>
      <w:r>
        <w:rPr>
          <w:rFonts w:ascii="Times New Roman" w:cs="Times New Roman" w:eastAsia="Times New Roman" w:hAnsi="Times New Roman"/>
          <w:sz w:val="21"/>
          <w:szCs w:val="21"/>
          <w:i w:val="1"/>
          <w:iCs w:val="1"/>
          <w:color w:val="auto"/>
        </w:rPr>
        <w:t>Derivatives and Hedging</w:t>
      </w:r>
      <w:r>
        <w:rPr>
          <w:rFonts w:ascii="Times New Roman" w:cs="Times New Roman" w:eastAsia="Times New Roman" w:hAnsi="Times New Roman"/>
          <w:sz w:val="21"/>
          <w:szCs w:val="21"/>
          <w:color w:val="auto"/>
        </w:rPr>
        <w:t>” (“ASC 815”) because these arrangements are for purchases of corn that will be delivered in quantities expected to be used by the Company and sales of ethanol, distillers grains and distillers corn oil in quantities expected to be produced by the Company over a reasonable period of time in the normal course of business.</w:t>
      </w:r>
    </w:p>
    <w:p>
      <w:pPr>
        <w:spacing w:after="0" w:line="19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Company uses derivative financial instruments (exchange-traded futures contracts and swaps)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2"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Income Taxes</w:t>
      </w:r>
    </w:p>
    <w:p>
      <w:pPr>
        <w:spacing w:after="0" w:line="237" w:lineRule="exact"/>
        <w:rPr>
          <w:sz w:val="20"/>
          <w:szCs w:val="20"/>
          <w:color w:val="auto"/>
        </w:rPr>
      </w:pPr>
    </w:p>
    <w:p>
      <w:pPr>
        <w:ind w:right="120" w:firstLine="648"/>
        <w:spacing w:after="0" w:line="235"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approximately $5.5 million and $8.7 million and received no refunds during the nine months ended October 31, 2024 and 2023, respectively.</w:t>
      </w:r>
    </w:p>
    <w:p>
      <w:pPr>
        <w:spacing w:after="0" w:line="210" w:lineRule="exact"/>
        <w:rPr>
          <w:sz w:val="20"/>
          <w:szCs w:val="20"/>
          <w:color w:val="auto"/>
        </w:rPr>
      </w:pPr>
    </w:p>
    <w:p>
      <w:pPr>
        <w:ind w:right="180" w:firstLine="648"/>
        <w:spacing w:after="0" w:line="235" w:lineRule="auto"/>
        <w:rPr>
          <w:sz w:val="20"/>
          <w:szCs w:val="20"/>
          <w:color w:val="auto"/>
        </w:rPr>
      </w:pPr>
      <w:r>
        <w:rPr>
          <w:rFonts w:ascii="Times New Roman" w:cs="Times New Roman" w:eastAsia="Times New Roman" w:hAnsi="Times New Roman"/>
          <w:sz w:val="22"/>
          <w:szCs w:val="22"/>
          <w:color w:val="auto"/>
        </w:rPr>
        <w:t>As of October 31, 2024, and January 31, 2024, total unrecognized tax benefits were approximately $18.9 million. Accrued penalties and interest were approximately $91,600 and approximately $70,000 at October 31, 2024 and January 31, 2024, respectively. If the Company were to prevail on all unrecognized tax benefits recorded, the provision for income taxes would be reduced by approximately $18.8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Inventory</w:t>
      </w:r>
    </w:p>
    <w:p>
      <w:pPr>
        <w:spacing w:after="0" w:line="237"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Inventories are carried at the lower of cost or net realizable value. Cost for all inventories is determined using the first-in, first-out 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by-products. Inventory is permanently written down in instances when cost exceeds estimated net realizable value; such write-downs are based primarily upon commodity prices as the market value of inventory is often dependent upon changes in commodity prices. The Company did not record any inventory write-downs at October 31, 2024. The Company recorded approximately $0.8 million of inventory write-downs in cost of sales at January 31, 2024. Fluctuations in the write-down of inventory generally relate to the levels and composition of such inventory and changes in commodity prices at a given point in time.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inventory are as follows as of the dates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6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January 31,</w:t>
            </w:r>
          </w:p>
        </w:tc>
        <w:tc>
          <w:tcPr>
            <w:tcW w:w="3380" w:type="dxa"/>
            <w:vAlign w:val="bottom"/>
          </w:tcPr>
          <w:p>
            <w:pPr>
              <w:spacing w:after="0"/>
              <w:rPr>
                <w:sz w:val="21"/>
                <w:szCs w:val="21"/>
                <w:color w:val="auto"/>
              </w:rPr>
            </w:pPr>
          </w:p>
        </w:tc>
      </w:tr>
      <w:tr>
        <w:trPr>
          <w:trHeight w:val="274"/>
        </w:trPr>
        <w:tc>
          <w:tcPr>
            <w:tcW w:w="53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380" w:type="dxa"/>
            <w:vAlign w:val="bottom"/>
          </w:tcPr>
          <w:p>
            <w:pPr>
              <w:spacing w:after="0"/>
              <w:rPr>
                <w:sz w:val="23"/>
                <w:szCs w:val="23"/>
                <w:color w:val="auto"/>
              </w:rPr>
            </w:pPr>
          </w:p>
        </w:tc>
      </w:tr>
      <w:tr>
        <w:trPr>
          <w:trHeight w:val="236"/>
        </w:trPr>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43"/>
        </w:trPr>
        <w:tc>
          <w:tcPr>
            <w:tcW w:w="53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 and other finished goods</w:t>
            </w:r>
          </w:p>
        </w:tc>
        <w:tc>
          <w:tcPr>
            <w:tcW w:w="1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4,239</w:t>
            </w: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9,102</w:t>
            </w:r>
          </w:p>
        </w:tc>
        <w:tc>
          <w:tcPr>
            <w:tcW w:w="3380" w:type="dxa"/>
            <w:vAlign w:val="bottom"/>
          </w:tcPr>
          <w:p>
            <w:pPr>
              <w:spacing w:after="0"/>
              <w:rPr>
                <w:sz w:val="21"/>
                <w:szCs w:val="21"/>
                <w:color w:val="auto"/>
              </w:rPr>
            </w:pPr>
          </w:p>
        </w:tc>
      </w:tr>
      <w:tr>
        <w:trPr>
          <w:trHeight w:val="243"/>
        </w:trPr>
        <w:tc>
          <w:tcPr>
            <w:tcW w:w="5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Work in process</w:t>
            </w:r>
          </w:p>
        </w:tc>
        <w:tc>
          <w:tcPr>
            <w:tcW w:w="12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4,352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5,299</w:t>
            </w:r>
          </w:p>
        </w:tc>
        <w:tc>
          <w:tcPr>
            <w:tcW w:w="3380" w:type="dxa"/>
            <w:vAlign w:val="bottom"/>
          </w:tcPr>
          <w:p>
            <w:pPr>
              <w:spacing w:after="0"/>
              <w:rPr>
                <w:sz w:val="21"/>
                <w:szCs w:val="21"/>
                <w:color w:val="auto"/>
              </w:rPr>
            </w:pPr>
          </w:p>
        </w:tc>
      </w:tr>
      <w:tr>
        <w:trPr>
          <w:trHeight w:val="243"/>
        </w:trPr>
        <w:tc>
          <w:tcPr>
            <w:tcW w:w="53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Corn and other raw materials</w:t>
            </w:r>
          </w:p>
        </w:tc>
        <w:tc>
          <w:tcPr>
            <w:tcW w:w="12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20,536</w:t>
            </w:r>
          </w:p>
        </w:tc>
        <w:tc>
          <w:tcPr>
            <w:tcW w:w="280" w:type="dxa"/>
            <w:vAlign w:val="bottom"/>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12,583</w:t>
            </w:r>
          </w:p>
        </w:tc>
        <w:tc>
          <w:tcPr>
            <w:tcW w:w="3380" w:type="dxa"/>
            <w:vAlign w:val="bottom"/>
          </w:tcPr>
          <w:p>
            <w:pPr>
              <w:spacing w:after="0"/>
              <w:rPr>
                <w:sz w:val="21"/>
                <w:szCs w:val="21"/>
                <w:color w:val="auto"/>
              </w:rPr>
            </w:pPr>
          </w:p>
        </w:tc>
      </w:tr>
      <w:tr>
        <w:trPr>
          <w:trHeight w:val="250"/>
        </w:trPr>
        <w:tc>
          <w:tcPr>
            <w:tcW w:w="53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2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29,127</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26,984</w:t>
            </w:r>
          </w:p>
        </w:tc>
        <w:tc>
          <w:tcPr>
            <w:tcW w:w="3380" w:type="dxa"/>
            <w:vAlign w:val="bottom"/>
          </w:tcPr>
          <w:p>
            <w:pPr>
              <w:spacing w:after="0"/>
              <w:rPr>
                <w:sz w:val="21"/>
                <w:szCs w:val="2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4"/>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10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8"/>
        </w:trPr>
        <w:tc>
          <w:tcPr>
            <w:tcW w:w="536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33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Property and Equipment</w:t>
      </w:r>
    </w:p>
    <w:p>
      <w:pPr>
        <w:spacing w:after="0" w:line="237"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20 years for fixtures and equipment.</w:t>
      </w:r>
    </w:p>
    <w:p>
      <w:pPr>
        <w:spacing w:after="0" w:line="196"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color w:val="auto"/>
        </w:rPr>
        <w:t>In accordance with ASC 360-10 “</w:t>
      </w:r>
      <w:r>
        <w:rPr>
          <w:rFonts w:ascii="Times New Roman" w:cs="Times New Roman" w:eastAsia="Times New Roman" w:hAnsi="Times New Roman"/>
          <w:sz w:val="22"/>
          <w:szCs w:val="22"/>
          <w:i w:val="1"/>
          <w:iCs w:val="1"/>
          <w:color w:val="auto"/>
        </w:rPr>
        <w:t>Impairment or Disposal of Long-Lived Assets</w:t>
      </w:r>
      <w:r>
        <w:rPr>
          <w:rFonts w:ascii="Times New Roman" w:cs="Times New Roman" w:eastAsia="Times New Roman" w:hAnsi="Times New Roman"/>
          <w:sz w:val="22"/>
          <w:szCs w:val="22"/>
          <w:color w:val="auto"/>
        </w:rPr>
        <w:t>”, the carrying value of long-lived assets is assessed for recoverability by management when changes in circumstances indicate that the carrying amount may not be recoverable. The Company did not identify any indicators of impairment or record any impairment charges during the first nine months of fiscal years 2024 or 2023.</w:t>
      </w:r>
    </w:p>
    <w:p>
      <w:pPr>
        <w:spacing w:after="0" w:line="20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237" w:lineRule="exact"/>
        <w:rPr>
          <w:sz w:val="20"/>
          <w:szCs w:val="20"/>
          <w:color w:val="auto"/>
        </w:rPr>
      </w:pPr>
    </w:p>
    <w:p>
      <w:pPr>
        <w:ind w:right="100" w:firstLine="648"/>
        <w:spacing w:after="0" w:line="234" w:lineRule="auto"/>
        <w:rPr>
          <w:sz w:val="20"/>
          <w:szCs w:val="20"/>
          <w:color w:val="auto"/>
        </w:rPr>
      </w:pPr>
      <w:r>
        <w:rPr>
          <w:rFonts w:ascii="Times New Roman" w:cs="Times New Roman" w:eastAsia="Times New Roman" w:hAnsi="Times New Roman"/>
          <w:sz w:val="22"/>
          <w:szCs w:val="22"/>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Times New Roman" w:cs="Times New Roman" w:eastAsia="Times New Roman" w:hAnsi="Times New Roman"/>
          <w:sz w:val="22"/>
          <w:szCs w:val="22"/>
          <w:i w:val="1"/>
          <w:iCs w:val="1"/>
          <w:color w:val="auto"/>
        </w:rPr>
        <w:t>Investments-Equity Method and Joint Ventures</w:t>
      </w:r>
      <w:r>
        <w:rPr>
          <w:rFonts w:ascii="Times New Roman" w:cs="Times New Roman" w:eastAsia="Times New Roman" w:hAnsi="Times New Roman"/>
          <w:sz w:val="22"/>
          <w:szCs w:val="22"/>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206"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207"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Short-term investments, consisting of U.S. government obligations, are considered held to maturity, and therefore are carried at amortized historical cost.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Reclassifications</w:t>
      </w:r>
    </w:p>
    <w:p>
      <w:pPr>
        <w:spacing w:after="0" w:line="237"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21"/>
          <w:szCs w:val="21"/>
          <w:color w:val="auto"/>
        </w:rPr>
        <w:t>Certain immaterial amounts previously presented for prior periods have been reclassified to conform to the current presentation. The reclassification had no effect on net income, working capital, or members’ equity previously reported.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Recently Issued Accounting Standards</w:t>
      </w:r>
    </w:p>
    <w:p>
      <w:pPr>
        <w:spacing w:after="0" w:line="237"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 xml:space="preserve">In November 2023, the Financial Accounting Standards Board (“FASB”) issued Accounting Standards Updated (“ASU”) 2023-07, </w:t>
      </w:r>
      <w:r>
        <w:rPr>
          <w:rFonts w:ascii="Times New Roman" w:cs="Times New Roman" w:eastAsia="Times New Roman" w:hAnsi="Times New Roman"/>
          <w:sz w:val="22"/>
          <w:szCs w:val="22"/>
          <w:i w:val="1"/>
          <w:iCs w:val="1"/>
          <w:color w:val="auto"/>
        </w:rPr>
        <w:t>Segment Reporting (Topic 280): Improvements to Reportable Segment Disclosures</w:t>
      </w:r>
      <w:r>
        <w:rPr>
          <w:rFonts w:ascii="Times New Roman" w:cs="Times New Roman" w:eastAsia="Times New Roman" w:hAnsi="Times New Roman"/>
          <w:sz w:val="22"/>
          <w:szCs w:val="22"/>
          <w:color w:val="auto"/>
        </w:rPr>
        <w:t>,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with early adoption permitted. The amendments should be applied retrospectively to all prior periods presented in the financial statements. Management has evaluated the impact of this disclosure and is prepared to adopt the amendments when effective.</w:t>
      </w:r>
    </w:p>
    <w:p>
      <w:pPr>
        <w:spacing w:after="0" w:line="210"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In December 2023, the FASB issued ASU 2023-09, “Income Taxes (Topic 740): Improvements to Income Tax Disclosures”, to enhance the transparency and decision usefulness of income tax disclosures. This ASU is effective for all entities that are subject to Topic 740 for fiscal years beginning after December 15, 2024. Early adoption and retrospective application are permitted, but not required. The Company is currently evaluating the impact of this ASU.</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w:t>
      </w:r>
      <w:r>
        <w:rPr>
          <w:rFonts w:ascii="Times New Roman" w:cs="Times New Roman" w:eastAsia="Times New Roman" w:hAnsi="Times New Roman"/>
          <w:sz w:val="22"/>
          <w:szCs w:val="22"/>
          <w:b w:val="1"/>
          <w:bCs w:val="1"/>
          <w:i w:val="1"/>
          <w:iCs w:val="1"/>
          <w:color w:val="auto"/>
        </w:rPr>
        <w:t>Net Sales and Revenue</w:t>
      </w:r>
    </w:p>
    <w:p>
      <w:pPr>
        <w:spacing w:after="0" w:line="239"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or truck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04"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entered into sales contracts in which payment is due from a customer prior to transferring product to the customer. Thus, the Company does not record unearned revenue.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tables shows disaggregated revenue by product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20" w:type="dxa"/>
            <w:vAlign w:val="bottom"/>
            <w:gridSpan w:val="5"/>
          </w:tcPr>
          <w:p>
            <w:pPr>
              <w:jc w:val="right"/>
              <w:ind w:right="8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20" w:type="dxa"/>
            <w:vAlign w:val="bottom"/>
          </w:tcPr>
          <w:p>
            <w:pPr>
              <w:spacing w:after="0"/>
              <w:rPr>
                <w:sz w:val="21"/>
                <w:szCs w:val="21"/>
                <w:color w:val="auto"/>
              </w:rPr>
            </w:pPr>
          </w:p>
        </w:tc>
        <w:tc>
          <w:tcPr>
            <w:tcW w:w="2540" w:type="dxa"/>
            <w:vAlign w:val="bottom"/>
            <w:gridSpan w:val="5"/>
          </w:tcPr>
          <w:p>
            <w:pPr>
              <w:ind w:left="18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4"/>
        </w:trPr>
        <w:tc>
          <w:tcPr>
            <w:tcW w:w="5300" w:type="dxa"/>
            <w:vAlign w:val="bottom"/>
            <w:tcBorders>
              <w:bottom w:val="single" w:sz="8" w:color="E5FF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Borders>
              <w:bottom w:val="single" w:sz="8" w:color="E5FF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460" w:type="dxa"/>
            <w:vAlign w:val="bottom"/>
            <w:tcBorders>
              <w:bottom w:val="single" w:sz="8" w:color="E5FF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Borders>
              <w:bottom w:val="single" w:sz="8" w:color="E5FF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95"/>
              </w:rPr>
              <w:t>2023</w:t>
            </w:r>
          </w:p>
        </w:tc>
        <w:tc>
          <w:tcPr>
            <w:tcW w:w="100" w:type="dxa"/>
            <w:vAlign w:val="bottom"/>
            <w:tcBorders>
              <w:bottom w:val="single" w:sz="8" w:color="E5FFFF"/>
            </w:tcBorders>
          </w:tcPr>
          <w:p>
            <w:pPr>
              <w:spacing w:after="0"/>
              <w:rPr>
                <w:sz w:val="23"/>
                <w:szCs w:val="23"/>
                <w:color w:val="auto"/>
              </w:rPr>
            </w:pPr>
          </w:p>
        </w:tc>
      </w:tr>
      <w:tr>
        <w:trPr>
          <w:trHeight w:val="237"/>
        </w:trPr>
        <w:tc>
          <w:tcPr>
            <w:tcW w:w="5300" w:type="dxa"/>
            <w:vAlign w:val="bottom"/>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Ethanol</w:t>
            </w:r>
          </w:p>
        </w:tc>
        <w:tc>
          <w:tcPr>
            <w:tcW w:w="16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138,107</w:t>
            </w:r>
          </w:p>
        </w:tc>
        <w:tc>
          <w:tcPr>
            <w:tcW w:w="460" w:type="dxa"/>
            <w:vAlign w:val="bottom"/>
            <w:shd w:val="clear" w:color="auto" w:fill="E5FFFF"/>
          </w:tcPr>
          <w:p>
            <w:pPr>
              <w:spacing w:after="0"/>
              <w:rPr>
                <w:sz w:val="20"/>
                <w:szCs w:val="20"/>
                <w:color w:val="auto"/>
              </w:rPr>
            </w:pPr>
          </w:p>
        </w:tc>
        <w:tc>
          <w:tcPr>
            <w:tcW w:w="320" w:type="dxa"/>
            <w:vAlign w:val="bottom"/>
            <w:shd w:val="clear" w:color="auto" w:fill="E5FFFF"/>
          </w:tcPr>
          <w:p>
            <w:pPr>
              <w:jc w:val="right"/>
              <w:ind w:right="1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170,174</w:t>
            </w:r>
          </w:p>
        </w:tc>
        <w:tc>
          <w:tcPr>
            <w:tcW w:w="460" w:type="dxa"/>
            <w:vAlign w:val="bottom"/>
            <w:shd w:val="clear" w:color="auto" w:fill="E5FFFF"/>
          </w:tcPr>
          <w:p>
            <w:pPr>
              <w:spacing w:after="0"/>
              <w:rPr>
                <w:sz w:val="20"/>
                <w:szCs w:val="20"/>
                <w:color w:val="auto"/>
              </w:rPr>
            </w:pPr>
          </w:p>
        </w:tc>
        <w:tc>
          <w:tcPr>
            <w:tcW w:w="22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373,634</w:t>
            </w:r>
          </w:p>
        </w:tc>
        <w:tc>
          <w:tcPr>
            <w:tcW w:w="420" w:type="dxa"/>
            <w:vAlign w:val="bottom"/>
            <w:shd w:val="clear" w:color="auto" w:fill="E5FFFF"/>
          </w:tcPr>
          <w:p>
            <w:pPr>
              <w:spacing w:after="0"/>
              <w:rPr>
                <w:sz w:val="20"/>
                <w:szCs w:val="20"/>
                <w:color w:val="auto"/>
              </w:rPr>
            </w:pPr>
          </w:p>
        </w:tc>
        <w:tc>
          <w:tcPr>
            <w:tcW w:w="340" w:type="dxa"/>
            <w:vAlign w:val="bottom"/>
            <w:shd w:val="clear" w:color="auto" w:fill="E5FFFF"/>
          </w:tcPr>
          <w:p>
            <w:pPr>
              <w:jc w:val="right"/>
              <w:ind w:right="11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495,972</w:t>
            </w:r>
          </w:p>
        </w:tc>
        <w:tc>
          <w:tcPr>
            <w:tcW w:w="100" w:type="dxa"/>
            <w:vAlign w:val="bottom"/>
            <w:shd w:val="clear" w:color="auto" w:fill="E5FFFF"/>
          </w:tcPr>
          <w:p>
            <w:pPr>
              <w:spacing w:after="0"/>
              <w:rPr>
                <w:sz w:val="20"/>
                <w:szCs w:val="20"/>
                <w:color w:val="auto"/>
              </w:rPr>
            </w:pPr>
          </w:p>
        </w:tc>
      </w:tr>
      <w:tr>
        <w:trPr>
          <w:trHeight w:val="243"/>
        </w:trPr>
        <w:tc>
          <w:tcPr>
            <w:tcW w:w="5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160" w:type="dxa"/>
            <w:vAlign w:val="bottom"/>
          </w:tcPr>
          <w:p>
            <w:pPr>
              <w:spacing w:after="0"/>
              <w:rPr>
                <w:sz w:val="21"/>
                <w:szCs w:val="21"/>
                <w:color w:val="auto"/>
              </w:rPr>
            </w:pPr>
          </w:p>
        </w:tc>
        <w:tc>
          <w:tcPr>
            <w:tcW w:w="144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25,032</w:t>
            </w:r>
          </w:p>
        </w:tc>
        <w:tc>
          <w:tcPr>
            <w:tcW w:w="320" w:type="dxa"/>
            <w:vAlign w:val="bottom"/>
          </w:tcPr>
          <w:p>
            <w:pPr>
              <w:spacing w:after="0"/>
              <w:rPr>
                <w:sz w:val="21"/>
                <w:szCs w:val="21"/>
                <w:color w:val="auto"/>
              </w:rPr>
            </w:pPr>
          </w:p>
        </w:tc>
        <w:tc>
          <w:tcPr>
            <w:tcW w:w="126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34,983</w:t>
            </w:r>
          </w:p>
        </w:tc>
        <w:tc>
          <w:tcPr>
            <w:tcW w:w="220" w:type="dxa"/>
            <w:vAlign w:val="bottom"/>
          </w:tcPr>
          <w:p>
            <w:pPr>
              <w:spacing w:after="0"/>
              <w:rPr>
                <w:sz w:val="21"/>
                <w:szCs w:val="21"/>
                <w:color w:val="auto"/>
              </w:rPr>
            </w:pPr>
          </w:p>
        </w:tc>
        <w:tc>
          <w:tcPr>
            <w:tcW w:w="13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77,564</w:t>
            </w:r>
          </w:p>
        </w:tc>
        <w:tc>
          <w:tcPr>
            <w:tcW w:w="340" w:type="dxa"/>
            <w:vAlign w:val="bottom"/>
          </w:tcPr>
          <w:p>
            <w:pPr>
              <w:spacing w:after="0"/>
              <w:rPr>
                <w:sz w:val="21"/>
                <w:szCs w:val="21"/>
                <w:color w:val="auto"/>
              </w:rPr>
            </w:pPr>
          </w:p>
        </w:tc>
        <w:tc>
          <w:tcPr>
            <w:tcW w:w="8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106,632</w:t>
            </w:r>
          </w:p>
        </w:tc>
      </w:tr>
      <w:tr>
        <w:trPr>
          <w:trHeight w:val="243"/>
        </w:trPr>
        <w:tc>
          <w:tcPr>
            <w:tcW w:w="5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160" w:type="dxa"/>
            <w:vAlign w:val="bottom"/>
            <w:shd w:val="clear" w:color="auto" w:fill="E5FFFF"/>
          </w:tcPr>
          <w:p>
            <w:pPr>
              <w:spacing w:after="0"/>
              <w:rPr>
                <w:sz w:val="21"/>
                <w:szCs w:val="21"/>
                <w:color w:val="auto"/>
              </w:rPr>
            </w:pPr>
          </w:p>
        </w:tc>
        <w:tc>
          <w:tcPr>
            <w:tcW w:w="144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10,249</w:t>
            </w:r>
          </w:p>
        </w:tc>
        <w:tc>
          <w:tcPr>
            <w:tcW w:w="320" w:type="dxa"/>
            <w:vAlign w:val="bottom"/>
            <w:shd w:val="clear" w:color="auto" w:fill="E5FFFF"/>
          </w:tcPr>
          <w:p>
            <w:pPr>
              <w:spacing w:after="0"/>
              <w:rPr>
                <w:sz w:val="21"/>
                <w:szCs w:val="21"/>
                <w:color w:val="auto"/>
              </w:rPr>
            </w:pPr>
          </w:p>
        </w:tc>
        <w:tc>
          <w:tcPr>
            <w:tcW w:w="126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14,756</w:t>
            </w:r>
          </w:p>
        </w:tc>
        <w:tc>
          <w:tcPr>
            <w:tcW w:w="220" w:type="dxa"/>
            <w:vAlign w:val="bottom"/>
            <w:shd w:val="clear" w:color="auto" w:fill="E5FFFF"/>
          </w:tcPr>
          <w:p>
            <w:pPr>
              <w:spacing w:after="0"/>
              <w:rPr>
                <w:sz w:val="21"/>
                <w:szCs w:val="21"/>
                <w:color w:val="auto"/>
              </w:rPr>
            </w:pPr>
          </w:p>
        </w:tc>
        <w:tc>
          <w:tcPr>
            <w:tcW w:w="132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28,633</w:t>
            </w:r>
          </w:p>
        </w:tc>
        <w:tc>
          <w:tcPr>
            <w:tcW w:w="34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39,257</w:t>
            </w:r>
          </w:p>
        </w:tc>
      </w:tr>
      <w:tr>
        <w:trPr>
          <w:trHeight w:val="243"/>
        </w:trPr>
        <w:tc>
          <w:tcPr>
            <w:tcW w:w="5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160" w:type="dxa"/>
            <w:vAlign w:val="bottom"/>
          </w:tcPr>
          <w:p>
            <w:pPr>
              <w:spacing w:after="0"/>
              <w:rPr>
                <w:sz w:val="21"/>
                <w:szCs w:val="21"/>
                <w:color w:val="auto"/>
              </w:rPr>
            </w:pPr>
          </w:p>
        </w:tc>
        <w:tc>
          <w:tcPr>
            <w:tcW w:w="144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1,159</w:t>
            </w:r>
          </w:p>
        </w:tc>
        <w:tc>
          <w:tcPr>
            <w:tcW w:w="320" w:type="dxa"/>
            <w:vAlign w:val="bottom"/>
          </w:tcPr>
          <w:p>
            <w:pPr>
              <w:spacing w:after="0"/>
              <w:rPr>
                <w:sz w:val="21"/>
                <w:szCs w:val="21"/>
                <w:color w:val="auto"/>
              </w:rPr>
            </w:pPr>
          </w:p>
        </w:tc>
        <w:tc>
          <w:tcPr>
            <w:tcW w:w="126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1,159</w:t>
            </w:r>
          </w:p>
        </w:tc>
        <w:tc>
          <w:tcPr>
            <w:tcW w:w="220" w:type="dxa"/>
            <w:vAlign w:val="bottom"/>
          </w:tcPr>
          <w:p>
            <w:pPr>
              <w:spacing w:after="0"/>
              <w:rPr>
                <w:sz w:val="21"/>
                <w:szCs w:val="21"/>
                <w:color w:val="auto"/>
              </w:rPr>
            </w:pPr>
          </w:p>
        </w:tc>
        <w:tc>
          <w:tcPr>
            <w:tcW w:w="13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3,479</w:t>
            </w:r>
          </w:p>
        </w:tc>
        <w:tc>
          <w:tcPr>
            <w:tcW w:w="340" w:type="dxa"/>
            <w:vAlign w:val="bottom"/>
          </w:tcPr>
          <w:p>
            <w:pPr>
              <w:spacing w:after="0"/>
              <w:rPr>
                <w:sz w:val="21"/>
                <w:szCs w:val="21"/>
                <w:color w:val="auto"/>
              </w:rPr>
            </w:pPr>
          </w:p>
        </w:tc>
        <w:tc>
          <w:tcPr>
            <w:tcW w:w="8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3,814</w:t>
            </w:r>
          </w:p>
        </w:tc>
      </w:tr>
      <w:tr>
        <w:trPr>
          <w:trHeight w:val="243"/>
        </w:trPr>
        <w:tc>
          <w:tcPr>
            <w:tcW w:w="5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gains (losses)</w:t>
            </w:r>
          </w:p>
        </w:tc>
        <w:tc>
          <w:tcPr>
            <w:tcW w:w="160" w:type="dxa"/>
            <w:vAlign w:val="bottom"/>
            <w:shd w:val="clear" w:color="auto" w:fill="E5FFFF"/>
          </w:tcPr>
          <w:p>
            <w:pPr>
              <w:spacing w:after="0"/>
              <w:rPr>
                <w:sz w:val="21"/>
                <w:szCs w:val="21"/>
                <w:color w:val="auto"/>
              </w:rPr>
            </w:pPr>
          </w:p>
        </w:tc>
        <w:tc>
          <w:tcPr>
            <w:tcW w:w="144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320" w:type="dxa"/>
            <w:vAlign w:val="bottom"/>
            <w:shd w:val="clear" w:color="auto" w:fill="E5FFFF"/>
          </w:tcPr>
          <w:p>
            <w:pPr>
              <w:spacing w:after="0"/>
              <w:rPr>
                <w:sz w:val="21"/>
                <w:szCs w:val="21"/>
                <w:color w:val="auto"/>
              </w:rPr>
            </w:pPr>
          </w:p>
        </w:tc>
        <w:tc>
          <w:tcPr>
            <w:tcW w:w="126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E5FFFF"/>
          </w:tcPr>
          <w:p>
            <w:pPr>
              <w:spacing w:after="0"/>
              <w:rPr>
                <w:sz w:val="21"/>
                <w:szCs w:val="21"/>
                <w:color w:val="auto"/>
              </w:rPr>
            </w:pPr>
          </w:p>
        </w:tc>
        <w:tc>
          <w:tcPr>
            <w:tcW w:w="132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737</w:t>
            </w:r>
          </w:p>
        </w:tc>
        <w:tc>
          <w:tcPr>
            <w:tcW w:w="34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5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60" w:type="dxa"/>
            <w:vAlign w:val="bottom"/>
          </w:tcPr>
          <w:p>
            <w:pPr>
              <w:spacing w:after="0"/>
              <w:rPr>
                <w:sz w:val="21"/>
                <w:szCs w:val="21"/>
                <w:color w:val="auto"/>
              </w:rPr>
            </w:pPr>
          </w:p>
        </w:tc>
        <w:tc>
          <w:tcPr>
            <w:tcW w:w="144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30</w:t>
            </w:r>
          </w:p>
        </w:tc>
        <w:tc>
          <w:tcPr>
            <w:tcW w:w="320" w:type="dxa"/>
            <w:vAlign w:val="bottom"/>
          </w:tcPr>
          <w:p>
            <w:pPr>
              <w:spacing w:after="0"/>
              <w:rPr>
                <w:sz w:val="21"/>
                <w:szCs w:val="21"/>
                <w:color w:val="auto"/>
              </w:rPr>
            </w:pPr>
          </w:p>
        </w:tc>
        <w:tc>
          <w:tcPr>
            <w:tcW w:w="126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20" w:type="dxa"/>
            <w:vAlign w:val="bottom"/>
          </w:tcPr>
          <w:p>
            <w:pPr>
              <w:spacing w:after="0"/>
              <w:rPr>
                <w:sz w:val="21"/>
                <w:szCs w:val="21"/>
                <w:color w:val="auto"/>
              </w:rPr>
            </w:pPr>
          </w:p>
        </w:tc>
        <w:tc>
          <w:tcPr>
            <w:tcW w:w="13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216</w:t>
            </w:r>
          </w:p>
        </w:tc>
        <w:tc>
          <w:tcPr>
            <w:tcW w:w="340" w:type="dxa"/>
            <w:vAlign w:val="bottom"/>
          </w:tcPr>
          <w:p>
            <w:pPr>
              <w:spacing w:after="0"/>
              <w:rPr>
                <w:sz w:val="21"/>
                <w:szCs w:val="21"/>
                <w:color w:val="auto"/>
              </w:rPr>
            </w:pPr>
          </w:p>
        </w:tc>
        <w:tc>
          <w:tcPr>
            <w:tcW w:w="8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124</w:t>
            </w:r>
          </w:p>
        </w:tc>
      </w:tr>
      <w:tr>
        <w:trPr>
          <w:trHeight w:val="250"/>
        </w:trPr>
        <w:tc>
          <w:tcPr>
            <w:tcW w:w="53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174,877</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221,079</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484,263</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340" w:type="dxa"/>
            <w:vAlign w:val="bottom"/>
            <w:tcBorders>
              <w:top w:val="single" w:sz="8" w:color="auto"/>
              <w:bottom w:val="single" w:sz="8" w:color="auto"/>
            </w:tcBorders>
            <w:shd w:val="clear" w:color="auto" w:fill="E5FFFF"/>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645,770</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4"/>
        </w:trPr>
        <w:tc>
          <w:tcPr>
            <w:tcW w:w="5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12</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3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 xml:space="preserve">Note 4. </w:t>
      </w:r>
      <w:r>
        <w:rPr>
          <w:rFonts w:ascii="Times New Roman" w:cs="Times New Roman" w:eastAsia="Times New Roman" w:hAnsi="Times New Roman"/>
          <w:sz w:val="22"/>
          <w:szCs w:val="22"/>
          <w:b w:val="1"/>
          <w:bCs w:val="1"/>
          <w:i w:val="1"/>
          <w:iCs w:val="1"/>
          <w:color w:val="auto"/>
        </w:rPr>
        <w:t>Leases</w:t>
      </w:r>
    </w:p>
    <w:p>
      <w:pPr>
        <w:spacing w:after="0" w:line="239"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At October 31, 2024, the Company had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208" w:lineRule="exact"/>
        <w:rPr>
          <w:sz w:val="20"/>
          <w:szCs w:val="20"/>
          <w:color w:val="auto"/>
        </w:rPr>
      </w:pPr>
    </w:p>
    <w:p>
      <w:pPr>
        <w:ind w:right="56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lease expense, classified as SG&amp;A expenses on the Consolidated Statement of Operations are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60" w:type="dxa"/>
            <w:vAlign w:val="bottom"/>
            <w:gridSpan w:val="5"/>
          </w:tcPr>
          <w:p>
            <w:pPr>
              <w:jc w:val="right"/>
              <w:ind w:right="8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20" w:type="dxa"/>
            <w:vAlign w:val="bottom"/>
          </w:tcPr>
          <w:p>
            <w:pPr>
              <w:spacing w:after="0"/>
              <w:rPr>
                <w:sz w:val="22"/>
                <w:szCs w:val="22"/>
                <w:color w:val="auto"/>
              </w:rPr>
            </w:pPr>
          </w:p>
        </w:tc>
        <w:tc>
          <w:tcPr>
            <w:tcW w:w="2540" w:type="dxa"/>
            <w:vAlign w:val="bottom"/>
            <w:gridSpan w:val="5"/>
          </w:tcPr>
          <w:p>
            <w:pPr>
              <w:ind w:left="18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5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4"/>
        </w:trPr>
        <w:tc>
          <w:tcPr>
            <w:tcW w:w="5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4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w w:val="95"/>
              </w:rPr>
              <w:t>2023</w:t>
            </w:r>
          </w:p>
        </w:tc>
        <w:tc>
          <w:tcPr>
            <w:tcW w:w="100" w:type="dxa"/>
            <w:vAlign w:val="bottom"/>
          </w:tcPr>
          <w:p>
            <w:pPr>
              <w:spacing w:after="0"/>
              <w:rPr>
                <w:sz w:val="23"/>
                <w:szCs w:val="23"/>
                <w:color w:val="auto"/>
              </w:rPr>
            </w:pPr>
          </w:p>
        </w:tc>
      </w:tr>
      <w:tr>
        <w:trPr>
          <w:trHeight w:val="237"/>
        </w:trPr>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Operating lease expense</w:t>
            </w:r>
          </w:p>
        </w:tc>
        <w:tc>
          <w:tcPr>
            <w:tcW w:w="22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2,014</w:t>
            </w:r>
          </w:p>
        </w:tc>
        <w:tc>
          <w:tcPr>
            <w:tcW w:w="320" w:type="dxa"/>
            <w:vAlign w:val="bottom"/>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6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1,499</w:t>
            </w:r>
          </w:p>
        </w:tc>
        <w:tc>
          <w:tcPr>
            <w:tcW w:w="2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5,384</w:t>
            </w:r>
          </w:p>
        </w:tc>
        <w:tc>
          <w:tcPr>
            <w:tcW w:w="340" w:type="dxa"/>
            <w:vAlign w:val="bottom"/>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4,691</w:t>
            </w:r>
          </w:p>
        </w:tc>
      </w:tr>
      <w:tr>
        <w:trPr>
          <w:trHeight w:val="243"/>
        </w:trPr>
        <w:tc>
          <w:tcPr>
            <w:tcW w:w="5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Variable lease expense</w:t>
            </w:r>
          </w:p>
        </w:tc>
        <w:tc>
          <w:tcPr>
            <w:tcW w:w="220" w:type="dxa"/>
            <w:vAlign w:val="bottom"/>
          </w:tcPr>
          <w:p>
            <w:pPr>
              <w:spacing w:after="0"/>
              <w:rPr>
                <w:sz w:val="21"/>
                <w:szCs w:val="21"/>
                <w:color w:val="auto"/>
              </w:rPr>
            </w:pPr>
          </w:p>
        </w:tc>
        <w:tc>
          <w:tcPr>
            <w:tcW w:w="138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134</w:t>
            </w:r>
          </w:p>
        </w:tc>
        <w:tc>
          <w:tcPr>
            <w:tcW w:w="320" w:type="dxa"/>
            <w:vAlign w:val="bottom"/>
          </w:tcPr>
          <w:p>
            <w:pPr>
              <w:spacing w:after="0"/>
              <w:rPr>
                <w:sz w:val="21"/>
                <w:szCs w:val="21"/>
                <w:color w:val="auto"/>
              </w:rPr>
            </w:pPr>
          </w:p>
        </w:tc>
        <w:tc>
          <w:tcPr>
            <w:tcW w:w="126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220" w:type="dxa"/>
            <w:vAlign w:val="bottom"/>
          </w:tcPr>
          <w:p>
            <w:pPr>
              <w:spacing w:after="0"/>
              <w:rPr>
                <w:sz w:val="21"/>
                <w:szCs w:val="21"/>
                <w:color w:val="auto"/>
              </w:rPr>
            </w:pPr>
          </w:p>
        </w:tc>
        <w:tc>
          <w:tcPr>
            <w:tcW w:w="13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129</w:t>
            </w:r>
          </w:p>
        </w:tc>
        <w:tc>
          <w:tcPr>
            <w:tcW w:w="340" w:type="dxa"/>
            <w:vAlign w:val="bottom"/>
          </w:tcPr>
          <w:p>
            <w:pPr>
              <w:spacing w:after="0"/>
              <w:rPr>
                <w:sz w:val="21"/>
                <w:szCs w:val="21"/>
                <w:color w:val="auto"/>
              </w:rPr>
            </w:pPr>
          </w:p>
        </w:tc>
        <w:tc>
          <w:tcPr>
            <w:tcW w:w="8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277</w:t>
            </w:r>
          </w:p>
        </w:tc>
      </w:tr>
      <w:tr>
        <w:trPr>
          <w:trHeight w:val="250"/>
        </w:trPr>
        <w:tc>
          <w:tcPr>
            <w:tcW w:w="53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lease expense</w:t>
            </w:r>
          </w:p>
        </w:tc>
        <w:tc>
          <w:tcPr>
            <w:tcW w:w="220" w:type="dxa"/>
            <w:vAlign w:val="bottom"/>
            <w:tcBorders>
              <w:top w:val="single" w:sz="8" w:color="auto"/>
              <w:bottom w:val="single" w:sz="8" w:color="auto"/>
            </w:tcBorders>
            <w:shd w:val="clear" w:color="auto" w:fill="E5FFFF"/>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2,148</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1,473</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5,513</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340" w:type="dxa"/>
            <w:vAlign w:val="bottom"/>
            <w:tcBorders>
              <w:top w:val="single" w:sz="8" w:color="auto"/>
              <w:bottom w:val="single" w:sz="8" w:color="auto"/>
            </w:tcBorders>
            <w:shd w:val="clear" w:color="auto" w:fill="E5FFFF"/>
          </w:tcPr>
          <w:p>
            <w:pPr>
              <w:jc w:val="right"/>
              <w:ind w:right="11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4,968</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following table is a summary of future minimum rentals on such leases at October 31, 2024 (amounts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w w:val="99"/>
              </w:rPr>
              <w:t>Minimum</w:t>
            </w:r>
          </w:p>
        </w:tc>
      </w:tr>
      <w:tr>
        <w:trPr>
          <w:trHeight w:val="268"/>
        </w:trPr>
        <w:tc>
          <w:tcPr>
            <w:tcW w:w="35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Years Ended January 31,</w:t>
            </w:r>
          </w:p>
        </w:tc>
        <w:tc>
          <w:tcPr>
            <w:tcW w:w="160" w:type="dxa"/>
            <w:vAlign w:val="bottom"/>
          </w:tcPr>
          <w:p>
            <w:pPr>
              <w:spacing w:after="0"/>
              <w:rPr>
                <w:sz w:val="23"/>
                <w:szCs w:val="2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Rentals</w:t>
            </w:r>
          </w:p>
        </w:tc>
      </w:tr>
      <w:tr>
        <w:trPr>
          <w:trHeight w:val="243"/>
        </w:trPr>
        <w:tc>
          <w:tcPr>
            <w:tcW w:w="2320" w:type="dxa"/>
            <w:vAlign w:val="bottom"/>
            <w:tcBorders>
              <w:top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350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2025</w:t>
            </w:r>
          </w:p>
        </w:tc>
        <w:tc>
          <w:tcPr>
            <w:tcW w:w="1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1,876</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2026</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6,789</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1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6,740</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5,497</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2029</w:t>
            </w:r>
          </w:p>
        </w:tc>
        <w:tc>
          <w:tcPr>
            <w:tcW w:w="1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2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3,207</w:t>
            </w:r>
          </w:p>
        </w:tc>
      </w:tr>
      <w:tr>
        <w:trPr>
          <w:trHeight w:val="243"/>
        </w:trPr>
        <w:tc>
          <w:tcPr>
            <w:tcW w:w="35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Thereafter</w:t>
            </w:r>
          </w:p>
        </w:tc>
        <w:tc>
          <w:tcPr>
            <w:tcW w:w="160" w:type="dxa"/>
            <w:vAlign w:val="bottom"/>
          </w:tcPr>
          <w:p>
            <w:pPr>
              <w:spacing w:after="0"/>
              <w:rPr>
                <w:sz w:val="21"/>
                <w:szCs w:val="21"/>
                <w:color w:val="auto"/>
              </w:rPr>
            </w:pPr>
          </w:p>
        </w:tc>
        <w:tc>
          <w:tcPr>
            <w:tcW w:w="8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1,744</w:t>
            </w:r>
          </w:p>
        </w:tc>
      </w:tr>
      <w:tr>
        <w:trPr>
          <w:trHeight w:val="236"/>
        </w:trPr>
        <w:tc>
          <w:tcPr>
            <w:tcW w:w="3500" w:type="dxa"/>
            <w:vAlign w:val="bottom"/>
            <w:tcBorders>
              <w:top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160" w:type="dxa"/>
            <w:vAlign w:val="bottom"/>
            <w:tcBorders>
              <w:top w:val="single" w:sz="8" w:color="auto"/>
            </w:tcBorders>
            <w:shd w:val="clear" w:color="auto" w:fill="E5FFFF"/>
          </w:tcPr>
          <w:p>
            <w:pPr>
              <w:spacing w:after="0"/>
              <w:rPr>
                <w:sz w:val="20"/>
                <w:szCs w:val="20"/>
                <w:color w:val="auto"/>
              </w:rPr>
            </w:pPr>
          </w:p>
        </w:tc>
        <w:tc>
          <w:tcPr>
            <w:tcW w:w="7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25,853</w:t>
            </w:r>
          </w:p>
        </w:tc>
        <w:tc>
          <w:tcPr>
            <w:tcW w:w="40" w:type="dxa"/>
            <w:vAlign w:val="bottom"/>
            <w:tcBorders>
              <w:top w:val="single" w:sz="8" w:color="E5FFFF"/>
            </w:tcBorders>
            <w:shd w:val="clear" w:color="auto" w:fill="E5FFFF"/>
          </w:tcPr>
          <w:p>
            <w:pPr>
              <w:spacing w:after="0"/>
              <w:rPr>
                <w:sz w:val="20"/>
                <w:szCs w:val="20"/>
                <w:color w:val="auto"/>
              </w:rPr>
            </w:pPr>
          </w:p>
        </w:tc>
      </w:tr>
      <w:tr>
        <w:trPr>
          <w:trHeight w:val="243"/>
        </w:trPr>
        <w:tc>
          <w:tcPr>
            <w:tcW w:w="35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Less: present value discount</w:t>
            </w:r>
          </w:p>
        </w:tc>
        <w:tc>
          <w:tcPr>
            <w:tcW w:w="160" w:type="dxa"/>
            <w:vAlign w:val="bottom"/>
          </w:tcPr>
          <w:p>
            <w:pPr>
              <w:spacing w:after="0"/>
              <w:rPr>
                <w:sz w:val="21"/>
                <w:szCs w:val="21"/>
                <w:color w:val="auto"/>
              </w:rPr>
            </w:pPr>
          </w:p>
        </w:tc>
        <w:tc>
          <w:tcPr>
            <w:tcW w:w="82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3,235</w:t>
            </w:r>
          </w:p>
        </w:tc>
      </w:tr>
      <w:tr>
        <w:trPr>
          <w:trHeight w:val="237"/>
        </w:trPr>
        <w:tc>
          <w:tcPr>
            <w:tcW w:w="3500" w:type="dxa"/>
            <w:vAlign w:val="bottom"/>
            <w:tcBorders>
              <w:top w:val="single" w:sz="8" w:color="E5FFFF"/>
              <w:bottom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Operating lease liabilities</w:t>
            </w:r>
          </w:p>
        </w:tc>
        <w:tc>
          <w:tcPr>
            <w:tcW w:w="16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22,618</w:t>
            </w:r>
          </w:p>
        </w:tc>
        <w:tc>
          <w:tcPr>
            <w:tcW w:w="4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6" w:lineRule="exact"/>
        <w:rPr>
          <w:sz w:val="20"/>
          <w:szCs w:val="20"/>
          <w:color w:val="auto"/>
        </w:rPr>
      </w:pPr>
    </w:p>
    <w:p>
      <w:pPr>
        <w:ind w:right="300" w:firstLine="648"/>
        <w:spacing w:after="0" w:line="244" w:lineRule="auto"/>
        <w:rPr>
          <w:sz w:val="20"/>
          <w:szCs w:val="20"/>
          <w:color w:val="auto"/>
        </w:rPr>
      </w:pPr>
      <w:r>
        <w:rPr>
          <w:rFonts w:ascii="Times New Roman" w:cs="Times New Roman" w:eastAsia="Times New Roman" w:hAnsi="Times New Roman"/>
          <w:sz w:val="22"/>
          <w:szCs w:val="22"/>
          <w:color w:val="auto"/>
        </w:rPr>
        <w:t>At October 31, 2024, the weighted average remaining lease term is 3.8 years, and the weighted average discount rate is 6.57% for the outstanding leases. At January 31, 2024, the weighted average remaining lease term was 3.4 years, and the weighted average discount rate was 5.94% for the outstanding leases.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w:t>
      </w:r>
      <w:r>
        <w:rPr>
          <w:rFonts w:ascii="Times New Roman" w:cs="Times New Roman" w:eastAsia="Times New Roman" w:hAnsi="Times New Roman"/>
          <w:sz w:val="22"/>
          <w:szCs w:val="22"/>
          <w:b w:val="1"/>
          <w:bCs w:val="1"/>
          <w:i w:val="1"/>
          <w:iCs w:val="1"/>
          <w:color w:val="auto"/>
        </w:rPr>
        <w:t>Fair Value</w:t>
      </w:r>
    </w:p>
    <w:p>
      <w:pPr>
        <w:spacing w:after="0" w:line="23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22"/>
          <w:szCs w:val="22"/>
          <w:color w:val="auto"/>
        </w:rPr>
        <w:t>The Company applies ASC 820, “</w:t>
      </w:r>
      <w:r>
        <w:rPr>
          <w:rFonts w:ascii="Times New Roman" w:cs="Times New Roman" w:eastAsia="Times New Roman" w:hAnsi="Times New Roman"/>
          <w:sz w:val="22"/>
          <w:szCs w:val="22"/>
          <w:i w:val="1"/>
          <w:iCs w:val="1"/>
          <w:color w:val="auto"/>
        </w:rPr>
        <w:t>Fair Value Measurements and Disclosures”</w:t>
      </w:r>
      <w:r>
        <w:rPr>
          <w:rFonts w:ascii="Times New Roman" w:cs="Times New Roman" w:eastAsia="Times New Roman" w:hAnsi="Times New Roman"/>
          <w:sz w:val="22"/>
          <w:szCs w:val="22"/>
          <w:color w:val="auto"/>
        </w:rPr>
        <w:t xml:space="preserve"> (“ASC 820”), which provides a framework for measuring fair value under accounting principles generally accepted in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3" w:name="page14"/>
    <w:bookmarkEnd w:id="13"/>
    <w:p>
      <w:pPr>
        <w:ind w:right="20"/>
        <w:spacing w:after="0" w:line="244" w:lineRule="auto"/>
        <w:rPr>
          <w:sz w:val="20"/>
          <w:szCs w:val="20"/>
          <w:color w:val="auto"/>
        </w:rPr>
      </w:pPr>
      <w:r>
        <w:rPr>
          <w:rFonts w:ascii="Times New Roman" w:cs="Times New Roman" w:eastAsia="Times New Roman" w:hAnsi="Times New Roman"/>
          <w:sz w:val="22"/>
          <w:szCs w:val="22"/>
          <w:color w:val="auto"/>
        </w:rPr>
        <w:t>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0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21"/>
          <w:szCs w:val="21"/>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89"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205"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1"/>
          <w:szCs w:val="21"/>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820" w:firstLine="8"/>
        <w:spacing w:after="0" w:line="258" w:lineRule="auto"/>
        <w:tabs>
          <w:tab w:leader="none" w:pos="25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model validation that requires a review and approval for pricing, financial statement fair value determination and risk quantification; and (ii) periodic review and substantiation of profit and loss reporting for all derivative instruments.</w:t>
      </w:r>
    </w:p>
    <w:p>
      <w:pPr>
        <w:spacing w:after="0" w:line="186"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October 31, 2024 are summarized below (amounts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1680" w:type="dxa"/>
            <w:vAlign w:val="bottom"/>
          </w:tcPr>
          <w:p>
            <w:pPr>
              <w:spacing w:after="0"/>
              <w:rPr>
                <w:sz w:val="23"/>
                <w:szCs w:val="23"/>
                <w:color w:val="auto"/>
              </w:rPr>
            </w:pPr>
          </w:p>
        </w:tc>
      </w:tr>
      <w:tr>
        <w:trPr>
          <w:trHeight w:val="237"/>
        </w:trPr>
        <w:tc>
          <w:tcPr>
            <w:tcW w:w="396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52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40" w:type="dxa"/>
            <w:vAlign w:val="bottom"/>
            <w:tcBorders>
              <w:top w:val="single" w:sz="8" w:color="E5FFFF"/>
            </w:tcBorders>
            <w:shd w:val="clear" w:color="auto" w:fill="E5FFFF"/>
          </w:tcPr>
          <w:p>
            <w:pPr>
              <w:spacing w:after="0"/>
              <w:rPr>
                <w:sz w:val="20"/>
                <w:szCs w:val="20"/>
                <w:color w:val="auto"/>
              </w:rPr>
            </w:pPr>
          </w:p>
        </w:tc>
        <w:tc>
          <w:tcPr>
            <w:tcW w:w="34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597</w:t>
            </w:r>
          </w:p>
        </w:tc>
        <w:tc>
          <w:tcPr>
            <w:tcW w:w="18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top w:val="single" w:sz="8" w:color="auto"/>
            </w:tcBorders>
            <w:shd w:val="clear" w:color="auto" w:fill="E5FFFF"/>
          </w:tcPr>
          <w:p>
            <w:pPr>
              <w:ind w:left="7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E5FFFF"/>
            </w:tcBorders>
            <w:shd w:val="clear" w:color="auto" w:fill="E5FFFF"/>
          </w:tcPr>
          <w:p>
            <w:pPr>
              <w:spacing w:after="0"/>
              <w:rPr>
                <w:sz w:val="20"/>
                <w:szCs w:val="20"/>
                <w:color w:val="auto"/>
              </w:rPr>
            </w:pPr>
          </w:p>
        </w:tc>
        <w:tc>
          <w:tcPr>
            <w:tcW w:w="300" w:type="dxa"/>
            <w:vAlign w:val="bottom"/>
            <w:tcBorders>
              <w:top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597</w:t>
            </w:r>
          </w:p>
        </w:tc>
        <w:tc>
          <w:tcPr>
            <w:tcW w:w="100" w:type="dxa"/>
            <w:vAlign w:val="bottom"/>
            <w:tcBorders>
              <w:top w:val="single" w:sz="8" w:color="E5FFFF"/>
            </w:tcBorders>
            <w:shd w:val="clear" w:color="auto" w:fill="E5FFFF"/>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Commodity futures asset (2)</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ind w:left="7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1"/>
                <w:szCs w:val="21"/>
                <w:color w:val="auto"/>
              </w:rPr>
            </w:pPr>
          </w:p>
        </w:tc>
        <w:tc>
          <w:tcPr>
            <w:tcW w:w="7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1680" w:type="dxa"/>
            <w:vAlign w:val="bottom"/>
          </w:tcPr>
          <w:p>
            <w:pPr>
              <w:spacing w:after="0"/>
              <w:rPr>
                <w:sz w:val="21"/>
                <w:szCs w:val="21"/>
                <w:color w:val="auto"/>
              </w:rPr>
            </w:pPr>
          </w:p>
        </w:tc>
      </w:tr>
      <w:tr>
        <w:trPr>
          <w:trHeight w:val="250"/>
        </w:trPr>
        <w:tc>
          <w:tcPr>
            <w:tcW w:w="39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52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(76)</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c>
          <w:tcPr>
            <w:tcW w:w="3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597</w:t>
            </w:r>
          </w:p>
        </w:tc>
        <w:tc>
          <w:tcPr>
            <w:tcW w:w="18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top w:val="single" w:sz="8" w:color="auto"/>
              <w:bottom w:val="single" w:sz="8" w:color="auto"/>
            </w:tcBorders>
            <w:shd w:val="clear" w:color="auto" w:fill="E5FFFF"/>
          </w:tcPr>
          <w:p>
            <w:pPr>
              <w:ind w:left="7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30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521</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3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78"/>
        </w:trPr>
        <w:tc>
          <w:tcPr>
            <w:tcW w:w="3960" w:type="dxa"/>
            <w:vAlign w:val="bottom"/>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1,061</w:t>
            </w:r>
          </w:p>
        </w:tc>
        <w:tc>
          <w:tcPr>
            <w:tcW w:w="18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1,061</w:t>
            </w:r>
          </w:p>
        </w:tc>
        <w:tc>
          <w:tcPr>
            <w:tcW w:w="1680" w:type="dxa"/>
            <w:vAlign w:val="bottom"/>
          </w:tcPr>
          <w:p>
            <w:pPr>
              <w:spacing w:after="0"/>
              <w:rPr>
                <w:sz w:val="24"/>
                <w:szCs w:val="24"/>
                <w:color w:val="auto"/>
              </w:rPr>
            </w:pPr>
          </w:p>
        </w:tc>
      </w:tr>
      <w:tr>
        <w:trPr>
          <w:trHeight w:val="432"/>
        </w:trPr>
        <w:tc>
          <w:tcPr>
            <w:tcW w:w="3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8"/>
        </w:trPr>
        <w:tc>
          <w:tcPr>
            <w:tcW w:w="39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6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4" w:name="page15"/>
    <w:bookmarkEnd w:id="14"/>
    <w:p>
      <w:pPr>
        <w:ind w:right="52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January 31, 2024 are summarized below (amounts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200" w:type="dxa"/>
            <w:vAlign w:val="bottom"/>
          </w:tcPr>
          <w:p>
            <w:pPr>
              <w:spacing w:after="0"/>
              <w:rPr>
                <w:sz w:val="23"/>
                <w:szCs w:val="23"/>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Fair Value</w:t>
            </w:r>
          </w:p>
        </w:tc>
      </w:tr>
      <w:tr>
        <w:trPr>
          <w:trHeight w:val="237"/>
        </w:trPr>
        <w:tc>
          <w:tcPr>
            <w:tcW w:w="396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52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38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579</w:t>
            </w:r>
          </w:p>
        </w:tc>
        <w:tc>
          <w:tcPr>
            <w:tcW w:w="18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top w:val="single" w:sz="8" w:color="auto"/>
            </w:tcBorders>
            <w:shd w:val="clear" w:color="auto" w:fill="E5FFFF"/>
          </w:tcPr>
          <w:p>
            <w:pPr>
              <w:ind w:left="7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E5FFFF"/>
            </w:tcBorders>
            <w:shd w:val="clear" w:color="auto" w:fill="E5FFFF"/>
          </w:tcPr>
          <w:p>
            <w:pPr>
              <w:spacing w:after="0"/>
              <w:rPr>
                <w:sz w:val="20"/>
                <w:szCs w:val="20"/>
                <w:color w:val="auto"/>
              </w:rPr>
            </w:pPr>
          </w:p>
        </w:tc>
        <w:tc>
          <w:tcPr>
            <w:tcW w:w="320" w:type="dxa"/>
            <w:vAlign w:val="bottom"/>
            <w:tcBorders>
              <w:top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579</w:t>
            </w:r>
          </w:p>
        </w:tc>
        <w:tc>
          <w:tcPr>
            <w:tcW w:w="100" w:type="dxa"/>
            <w:vAlign w:val="bottom"/>
            <w:tcBorders>
              <w:top w:val="single" w:sz="8" w:color="E5FFFF"/>
            </w:tcBorders>
            <w:shd w:val="clear" w:color="auto" w:fill="E5FFFF"/>
          </w:tcPr>
          <w:p>
            <w:pPr>
              <w:spacing w:after="0"/>
              <w:rPr>
                <w:sz w:val="20"/>
                <w:szCs w:val="20"/>
                <w:color w:val="auto"/>
              </w:rPr>
            </w:pP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Commodity futures (2)</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(297)</w:t>
            </w:r>
          </w:p>
        </w:tc>
        <w:tc>
          <w:tcPr>
            <w:tcW w:w="20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ind w:left="7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1"/>
                <w:szCs w:val="21"/>
                <w:color w:val="auto"/>
              </w:rPr>
            </w:pPr>
          </w:p>
        </w:tc>
        <w:tc>
          <w:tcPr>
            <w:tcW w:w="7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(297)</w:t>
            </w:r>
          </w:p>
        </w:tc>
      </w:tr>
      <w:tr>
        <w:trPr>
          <w:trHeight w:val="250"/>
        </w:trPr>
        <w:tc>
          <w:tcPr>
            <w:tcW w:w="39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52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(297)</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579</w:t>
            </w:r>
          </w:p>
        </w:tc>
        <w:tc>
          <w:tcPr>
            <w:tcW w:w="18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60" w:type="dxa"/>
            <w:vAlign w:val="bottom"/>
            <w:tcBorders>
              <w:top w:val="single" w:sz="8" w:color="auto"/>
              <w:bottom w:val="single" w:sz="8" w:color="auto"/>
            </w:tcBorders>
            <w:shd w:val="clear" w:color="auto" w:fill="E5FFFF"/>
          </w:tcPr>
          <w:p>
            <w:pPr>
              <w:ind w:left="7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282</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3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8"/>
        </w:trPr>
        <w:tc>
          <w:tcPr>
            <w:tcW w:w="3960" w:type="dxa"/>
            <w:vAlign w:val="bottom"/>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802</w:t>
            </w:r>
          </w:p>
        </w:tc>
        <w:tc>
          <w:tcPr>
            <w:tcW w:w="18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802</w:t>
            </w:r>
          </w:p>
        </w:tc>
      </w:tr>
    </w:tbl>
    <w:p>
      <w:pPr>
        <w:spacing w:after="0" w:line="204" w:lineRule="exact"/>
        <w:rPr>
          <w:sz w:val="20"/>
          <w:szCs w:val="20"/>
          <w:color w:val="auto"/>
        </w:rPr>
      </w:pPr>
    </w:p>
    <w:p>
      <w:pPr>
        <w:ind w:left="660" w:right="460" w:hanging="328"/>
        <w:spacing w:after="0" w:line="241"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asset is included in “Prepaid expenses and other” on the accompanying Consolidated Balance Sheets.</w:t>
      </w:r>
    </w:p>
    <w:p>
      <w:pPr>
        <w:spacing w:after="0" w:line="1" w:lineRule="exact"/>
        <w:rPr>
          <w:rFonts w:ascii="Times New Roman" w:cs="Times New Roman" w:eastAsia="Times New Roman" w:hAnsi="Times New Roman"/>
          <w:sz w:val="22"/>
          <w:szCs w:val="22"/>
          <w:color w:val="auto"/>
        </w:rPr>
      </w:pPr>
    </w:p>
    <w:p>
      <w:pPr>
        <w:ind w:left="660" w:right="48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commodity futures assets and liabilities are netted with cash collateral due from broker and included in “Prepaid expenses and other” on the accompanying Consolidated Balance Sheets.</w:t>
      </w:r>
    </w:p>
    <w:p>
      <w:pPr>
        <w:spacing w:after="0" w:line="1" w:lineRule="exact"/>
        <w:rPr>
          <w:rFonts w:ascii="Times New Roman" w:cs="Times New Roman" w:eastAsia="Times New Roman" w:hAnsi="Times New Roman"/>
          <w:sz w:val="22"/>
          <w:szCs w:val="22"/>
          <w:color w:val="auto"/>
        </w:rPr>
      </w:pPr>
    </w:p>
    <w:p>
      <w:pPr>
        <w:ind w:left="660" w:right="1120" w:hanging="328"/>
        <w:spacing w:after="0" w:line="237"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liability is included in “Accrued expenses and other current liabilities” on the accompanying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w:t>
      </w:r>
      <w:r>
        <w:rPr>
          <w:rFonts w:ascii="Times New Roman" w:cs="Times New Roman" w:eastAsia="Times New Roman" w:hAnsi="Times New Roman"/>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property and equipment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0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240" w:type="dxa"/>
            <w:vAlign w:val="bottom"/>
            <w:gridSpan w:val="4"/>
          </w:tcPr>
          <w:p>
            <w:pPr>
              <w:ind w:left="120"/>
              <w:spacing w:after="0"/>
              <w:rPr>
                <w:sz w:val="20"/>
                <w:szCs w:val="20"/>
                <w:color w:val="auto"/>
              </w:rPr>
            </w:pPr>
            <w:r>
              <w:rPr>
                <w:rFonts w:ascii="Times New Roman" w:cs="Times New Roman" w:eastAsia="Times New Roman" w:hAnsi="Times New Roman"/>
                <w:sz w:val="22"/>
                <w:szCs w:val="22"/>
                <w:b w:val="1"/>
                <w:bCs w:val="1"/>
                <w:color w:val="auto"/>
                <w:w w:val="98"/>
              </w:rPr>
              <w:t>January 31,</w:t>
            </w:r>
          </w:p>
        </w:tc>
      </w:tr>
      <w:tr>
        <w:trPr>
          <w:trHeight w:val="274"/>
        </w:trPr>
        <w:tc>
          <w:tcPr>
            <w:tcW w:w="43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0" w:type="dxa"/>
            <w:vAlign w:val="bottom"/>
          </w:tcPr>
          <w:p>
            <w:pPr>
              <w:spacing w:after="0"/>
              <w:rPr>
                <w:sz w:val="23"/>
                <w:szCs w:val="23"/>
                <w:color w:val="auto"/>
              </w:rPr>
            </w:pPr>
          </w:p>
        </w:tc>
      </w:tr>
      <w:tr>
        <w:trPr>
          <w:trHeight w:val="237"/>
        </w:trPr>
        <w:tc>
          <w:tcPr>
            <w:tcW w:w="4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Land and improvements</w:t>
            </w:r>
          </w:p>
        </w:tc>
        <w:tc>
          <w:tcPr>
            <w:tcW w:w="1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gridSpan w:val="2"/>
            <w:shd w:val="clear" w:color="auto" w:fill="E5FF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34,112</w:t>
            </w:r>
          </w:p>
        </w:tc>
        <w:tc>
          <w:tcPr>
            <w:tcW w:w="2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32,403</w:t>
            </w:r>
          </w:p>
        </w:tc>
        <w:tc>
          <w:tcPr>
            <w:tcW w:w="40" w:type="dxa"/>
            <w:vAlign w:val="bottom"/>
            <w:shd w:val="clear" w:color="auto" w:fill="E5FFFF"/>
          </w:tcPr>
          <w:p>
            <w:pPr>
              <w:spacing w:after="0"/>
              <w:rPr>
                <w:sz w:val="21"/>
                <w:szCs w:val="21"/>
                <w:color w:val="auto"/>
              </w:rPr>
            </w:pPr>
          </w:p>
        </w:tc>
      </w:tr>
      <w:tr>
        <w:trPr>
          <w:trHeight w:val="243"/>
        </w:trPr>
        <w:tc>
          <w:tcPr>
            <w:tcW w:w="4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Buildings and improvements</w:t>
            </w:r>
          </w:p>
        </w:tc>
        <w:tc>
          <w:tcPr>
            <w:tcW w:w="180" w:type="dxa"/>
            <w:vAlign w:val="bottom"/>
          </w:tcPr>
          <w:p>
            <w:pPr>
              <w:spacing w:after="0"/>
              <w:rPr>
                <w:sz w:val="21"/>
                <w:szCs w:val="21"/>
                <w:color w:val="auto"/>
              </w:rPr>
            </w:pPr>
          </w:p>
        </w:tc>
        <w:tc>
          <w:tcPr>
            <w:tcW w:w="10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24,009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23,810</w:t>
            </w:r>
          </w:p>
        </w:tc>
        <w:tc>
          <w:tcPr>
            <w:tcW w:w="40" w:type="dxa"/>
            <w:vAlign w:val="bottom"/>
          </w:tcPr>
          <w:p>
            <w:pPr>
              <w:spacing w:after="0"/>
              <w:rPr>
                <w:sz w:val="21"/>
                <w:szCs w:val="21"/>
                <w:color w:val="auto"/>
              </w:rPr>
            </w:pPr>
          </w:p>
        </w:tc>
      </w:tr>
      <w:tr>
        <w:trPr>
          <w:trHeight w:val="243"/>
        </w:trPr>
        <w:tc>
          <w:tcPr>
            <w:tcW w:w="4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Machinery, equipment, and fixtures</w:t>
            </w:r>
          </w:p>
        </w:tc>
        <w:tc>
          <w:tcPr>
            <w:tcW w:w="180" w:type="dxa"/>
            <w:vAlign w:val="bottom"/>
            <w:shd w:val="clear" w:color="auto" w:fill="E5FFFF"/>
          </w:tcPr>
          <w:p>
            <w:pPr>
              <w:spacing w:after="0"/>
              <w:rPr>
                <w:sz w:val="21"/>
                <w:szCs w:val="21"/>
                <w:color w:val="auto"/>
              </w:rPr>
            </w:pPr>
          </w:p>
        </w:tc>
        <w:tc>
          <w:tcPr>
            <w:tcW w:w="1020" w:type="dxa"/>
            <w:vAlign w:val="bottom"/>
            <w:gridSpan w:val="2"/>
            <w:shd w:val="clear" w:color="auto" w:fill="E5FF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317,733</w:t>
            </w:r>
          </w:p>
        </w:tc>
        <w:tc>
          <w:tcPr>
            <w:tcW w:w="1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307,326</w:t>
            </w:r>
          </w:p>
        </w:tc>
        <w:tc>
          <w:tcPr>
            <w:tcW w:w="40" w:type="dxa"/>
            <w:vAlign w:val="bottom"/>
            <w:shd w:val="clear" w:color="auto" w:fill="E5FFFF"/>
          </w:tcPr>
          <w:p>
            <w:pPr>
              <w:spacing w:after="0"/>
              <w:rPr>
                <w:sz w:val="21"/>
                <w:szCs w:val="21"/>
                <w:color w:val="auto"/>
              </w:rPr>
            </w:pPr>
          </w:p>
        </w:tc>
      </w:tr>
      <w:tr>
        <w:trPr>
          <w:trHeight w:val="243"/>
        </w:trPr>
        <w:tc>
          <w:tcPr>
            <w:tcW w:w="4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Construction in progress</w:t>
            </w:r>
          </w:p>
        </w:tc>
        <w:tc>
          <w:tcPr>
            <w:tcW w:w="180" w:type="dxa"/>
            <w:vAlign w:val="bottom"/>
          </w:tcPr>
          <w:p>
            <w:pPr>
              <w:spacing w:after="0"/>
              <w:rPr>
                <w:sz w:val="21"/>
                <w:szCs w:val="21"/>
                <w:color w:val="auto"/>
              </w:rPr>
            </w:pPr>
          </w:p>
        </w:tc>
        <w:tc>
          <w:tcPr>
            <w:tcW w:w="10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81,279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37,334</w:t>
            </w:r>
          </w:p>
        </w:tc>
        <w:tc>
          <w:tcPr>
            <w:tcW w:w="40" w:type="dxa"/>
            <w:vAlign w:val="bottom"/>
          </w:tcPr>
          <w:p>
            <w:pPr>
              <w:spacing w:after="0"/>
              <w:rPr>
                <w:sz w:val="21"/>
                <w:szCs w:val="21"/>
                <w:color w:val="auto"/>
              </w:rPr>
            </w:pPr>
          </w:p>
        </w:tc>
      </w:tr>
      <w:tr>
        <w:trPr>
          <w:trHeight w:val="237"/>
        </w:trPr>
        <w:tc>
          <w:tcPr>
            <w:tcW w:w="430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 property and equipment</w:t>
            </w:r>
          </w:p>
        </w:tc>
        <w:tc>
          <w:tcPr>
            <w:tcW w:w="180" w:type="dxa"/>
            <w:vAlign w:val="bottom"/>
            <w:tcBorders>
              <w:top w:val="single" w:sz="8" w:color="auto"/>
            </w:tcBorders>
            <w:shd w:val="clear" w:color="auto" w:fill="E5FFFF"/>
          </w:tcPr>
          <w:p>
            <w:pPr>
              <w:spacing w:after="0"/>
              <w:rPr>
                <w:sz w:val="20"/>
                <w:szCs w:val="20"/>
                <w:color w:val="auto"/>
              </w:rPr>
            </w:pPr>
          </w:p>
        </w:tc>
        <w:tc>
          <w:tcPr>
            <w:tcW w:w="90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457,133</w:t>
            </w:r>
          </w:p>
        </w:tc>
        <w:tc>
          <w:tcPr>
            <w:tcW w:w="12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E5FFFF"/>
            </w:tcBorders>
            <w:shd w:val="clear" w:color="auto" w:fill="E5FFFF"/>
          </w:tcPr>
          <w:p>
            <w:pPr>
              <w:spacing w:after="0"/>
              <w:rPr>
                <w:sz w:val="20"/>
                <w:szCs w:val="20"/>
                <w:color w:val="auto"/>
              </w:rPr>
            </w:pPr>
          </w:p>
        </w:tc>
        <w:tc>
          <w:tcPr>
            <w:tcW w:w="160" w:type="dxa"/>
            <w:vAlign w:val="bottom"/>
            <w:tcBorders>
              <w:top w:val="single" w:sz="8" w:color="auto"/>
            </w:tcBorders>
            <w:shd w:val="clear" w:color="auto" w:fill="E5FFFF"/>
          </w:tcPr>
          <w:p>
            <w:pPr>
              <w:spacing w:after="0"/>
              <w:rPr>
                <w:sz w:val="20"/>
                <w:szCs w:val="20"/>
                <w:color w:val="auto"/>
              </w:rPr>
            </w:pPr>
          </w:p>
        </w:tc>
        <w:tc>
          <w:tcPr>
            <w:tcW w:w="92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400,873</w:t>
            </w:r>
          </w:p>
        </w:tc>
        <w:tc>
          <w:tcPr>
            <w:tcW w:w="40" w:type="dxa"/>
            <w:vAlign w:val="bottom"/>
            <w:tcBorders>
              <w:top w:val="single" w:sz="8" w:color="E5FFFF"/>
            </w:tcBorders>
            <w:shd w:val="clear" w:color="auto" w:fill="E5FFFF"/>
          </w:tcPr>
          <w:p>
            <w:pPr>
              <w:spacing w:after="0"/>
              <w:rPr>
                <w:sz w:val="20"/>
                <w:szCs w:val="20"/>
                <w:color w:val="auto"/>
              </w:rPr>
            </w:pPr>
          </w:p>
        </w:tc>
      </w:tr>
      <w:tr>
        <w:trPr>
          <w:trHeight w:val="243"/>
        </w:trPr>
        <w:tc>
          <w:tcPr>
            <w:tcW w:w="4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Less: Accumulated depreciation</w:t>
            </w:r>
          </w:p>
        </w:tc>
        <w:tc>
          <w:tcPr>
            <w:tcW w:w="180" w:type="dxa"/>
            <w:vAlign w:val="bottom"/>
          </w:tcPr>
          <w:p>
            <w:pPr>
              <w:spacing w:after="0"/>
              <w:rPr>
                <w:sz w:val="21"/>
                <w:szCs w:val="21"/>
                <w:color w:val="auto"/>
              </w:rPr>
            </w:pPr>
          </w:p>
        </w:tc>
        <w:tc>
          <w:tcPr>
            <w:tcW w:w="102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(256,637)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(245,286)</w:t>
            </w:r>
          </w:p>
        </w:tc>
        <w:tc>
          <w:tcPr>
            <w:tcW w:w="40" w:type="dxa"/>
            <w:vAlign w:val="bottom"/>
          </w:tcPr>
          <w:p>
            <w:pPr>
              <w:spacing w:after="0"/>
              <w:rPr>
                <w:sz w:val="21"/>
                <w:szCs w:val="21"/>
                <w:color w:val="auto"/>
              </w:rPr>
            </w:pPr>
          </w:p>
        </w:tc>
      </w:tr>
      <w:tr>
        <w:trPr>
          <w:trHeight w:val="250"/>
        </w:trPr>
        <w:tc>
          <w:tcPr>
            <w:tcW w:w="43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8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200,496</w:t>
            </w:r>
          </w:p>
        </w:tc>
        <w:tc>
          <w:tcPr>
            <w:tcW w:w="12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155,587</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Other Assets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other assets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0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w w:val="95"/>
              </w:rPr>
              <w:t>January 31,</w:t>
            </w:r>
          </w:p>
        </w:tc>
        <w:tc>
          <w:tcPr>
            <w:tcW w:w="4500" w:type="dxa"/>
            <w:vAlign w:val="bottom"/>
          </w:tcPr>
          <w:p>
            <w:pPr>
              <w:spacing w:after="0"/>
              <w:rPr>
                <w:sz w:val="21"/>
                <w:szCs w:val="21"/>
                <w:color w:val="auto"/>
              </w:rPr>
            </w:pPr>
          </w:p>
        </w:tc>
      </w:tr>
      <w:tr>
        <w:trPr>
          <w:trHeight w:val="274"/>
        </w:trPr>
        <w:tc>
          <w:tcPr>
            <w:tcW w:w="4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500" w:type="dxa"/>
            <w:vAlign w:val="bottom"/>
          </w:tcPr>
          <w:p>
            <w:pPr>
              <w:spacing w:after="0"/>
              <w:rPr>
                <w:sz w:val="23"/>
                <w:szCs w:val="23"/>
                <w:color w:val="auto"/>
              </w:rPr>
            </w:pPr>
          </w:p>
        </w:tc>
      </w:tr>
      <w:tr>
        <w:trPr>
          <w:trHeight w:val="237"/>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43"/>
        </w:trPr>
        <w:tc>
          <w:tcPr>
            <w:tcW w:w="4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Prepaid utility lease</w:t>
            </w:r>
          </w:p>
        </w:tc>
        <w:tc>
          <w:tcPr>
            <w:tcW w:w="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gridSpan w:val="2"/>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15,600</w:t>
            </w:r>
          </w:p>
        </w:tc>
        <w:tc>
          <w:tcPr>
            <w:tcW w:w="400" w:type="dxa"/>
            <w:vAlign w:val="bottom"/>
            <w:gridSpan w:val="3"/>
            <w:shd w:val="clear" w:color="auto" w:fill="E5FFFF"/>
          </w:tcPr>
          <w:p>
            <w:pPr>
              <w:jc w:val="right"/>
              <w:ind w:right="34"/>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500" w:type="dxa"/>
            <w:vAlign w:val="bottom"/>
          </w:tcPr>
          <w:p>
            <w:pPr>
              <w:spacing w:after="0"/>
              <w:rPr>
                <w:sz w:val="21"/>
                <w:szCs w:val="21"/>
                <w:color w:val="auto"/>
              </w:rPr>
            </w:pPr>
          </w:p>
        </w:tc>
      </w:tr>
      <w:tr>
        <w:trPr>
          <w:trHeight w:val="243"/>
        </w:trPr>
        <w:tc>
          <w:tcPr>
            <w:tcW w:w="4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Deferred taxes</w:t>
            </w:r>
          </w:p>
        </w:tc>
        <w:tc>
          <w:tcPr>
            <w:tcW w:w="220" w:type="dxa"/>
            <w:vAlign w:val="bottom"/>
          </w:tcPr>
          <w:p>
            <w:pPr>
              <w:spacing w:after="0"/>
              <w:rPr>
                <w:sz w:val="21"/>
                <w:szCs w:val="21"/>
                <w:color w:val="auto"/>
              </w:rPr>
            </w:pPr>
          </w:p>
        </w:tc>
        <w:tc>
          <w:tcPr>
            <w:tcW w:w="9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7,837</w:t>
            </w:r>
          </w:p>
        </w:tc>
        <w:tc>
          <w:tcPr>
            <w:tcW w:w="4500" w:type="dxa"/>
            <w:vAlign w:val="bottom"/>
          </w:tcPr>
          <w:p>
            <w:pPr>
              <w:spacing w:after="0"/>
              <w:rPr>
                <w:sz w:val="21"/>
                <w:szCs w:val="21"/>
                <w:color w:val="auto"/>
              </w:rPr>
            </w:pPr>
          </w:p>
        </w:tc>
      </w:tr>
      <w:tr>
        <w:trPr>
          <w:trHeight w:val="243"/>
        </w:trPr>
        <w:tc>
          <w:tcPr>
            <w:tcW w:w="4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22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1,474</w:t>
            </w: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90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1,301</w:t>
            </w:r>
          </w:p>
        </w:tc>
        <w:tc>
          <w:tcPr>
            <w:tcW w:w="4500" w:type="dxa"/>
            <w:vAlign w:val="bottom"/>
          </w:tcPr>
          <w:p>
            <w:pPr>
              <w:spacing w:after="0"/>
              <w:rPr>
                <w:sz w:val="21"/>
                <w:szCs w:val="21"/>
                <w:color w:val="auto"/>
              </w:rPr>
            </w:pPr>
          </w:p>
        </w:tc>
      </w:tr>
      <w:tr>
        <w:trPr>
          <w:trHeight w:val="250"/>
        </w:trPr>
        <w:tc>
          <w:tcPr>
            <w:tcW w:w="43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22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17,074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9,138</w:t>
            </w:r>
          </w:p>
        </w:tc>
        <w:tc>
          <w:tcPr>
            <w:tcW w:w="4500" w:type="dxa"/>
            <w:vAlign w:val="bottom"/>
          </w:tcPr>
          <w:p>
            <w:pPr>
              <w:spacing w:after="0"/>
              <w:rPr>
                <w:sz w:val="21"/>
                <w:szCs w:val="2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25"/>
        </w:trPr>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3"/>
          </w:tcPr>
          <w:p>
            <w:pPr>
              <w:jc w:val="right"/>
              <w:ind w:right="14"/>
              <w:spacing w:after="0"/>
              <w:rPr>
                <w:sz w:val="20"/>
                <w:szCs w:val="20"/>
                <w:color w:val="auto"/>
              </w:rPr>
            </w:pPr>
            <w:r>
              <w:rPr>
                <w:rFonts w:ascii="Times New Roman" w:cs="Times New Roman" w:eastAsia="Times New Roman" w:hAnsi="Times New Roman"/>
                <w:sz w:val="22"/>
                <w:szCs w:val="22"/>
                <w:color w:val="auto"/>
              </w:rPr>
              <w:t>15</w:t>
            </w:r>
          </w:p>
        </w:tc>
        <w:tc>
          <w:tcPr>
            <w:tcW w:w="9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38"/>
        </w:trPr>
        <w:tc>
          <w:tcPr>
            <w:tcW w:w="43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45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 xml:space="preserve">Note 8. </w:t>
      </w:r>
      <w:r>
        <w:rPr>
          <w:rFonts w:ascii="Times New Roman" w:cs="Times New Roman" w:eastAsia="Times New Roman" w:hAnsi="Times New Roman"/>
          <w:sz w:val="22"/>
          <w:szCs w:val="22"/>
          <w:b w:val="1"/>
          <w:bCs w:val="1"/>
          <w:i w:val="1"/>
          <w:iCs w:val="1"/>
          <w:color w:val="auto"/>
        </w:rPr>
        <w:t>Accrued Expenses and Other Current Liabilities</w:t>
      </w:r>
    </w:p>
    <w:p>
      <w:pPr>
        <w:spacing w:after="0" w:line="239"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accrued expenses and other current liabilities are as follows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0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240" w:type="dxa"/>
            <w:vAlign w:val="bottom"/>
            <w:gridSpan w:val="4"/>
          </w:tcPr>
          <w:p>
            <w:pPr>
              <w:ind w:left="120"/>
              <w:spacing w:after="0"/>
              <w:rPr>
                <w:sz w:val="20"/>
                <w:szCs w:val="20"/>
                <w:color w:val="auto"/>
              </w:rPr>
            </w:pPr>
            <w:r>
              <w:rPr>
                <w:rFonts w:ascii="Times New Roman" w:cs="Times New Roman" w:eastAsia="Times New Roman" w:hAnsi="Times New Roman"/>
                <w:sz w:val="22"/>
                <w:szCs w:val="22"/>
                <w:b w:val="1"/>
                <w:bCs w:val="1"/>
                <w:color w:val="auto"/>
                <w:w w:val="98"/>
              </w:rPr>
              <w:t>January 31,</w:t>
            </w:r>
          </w:p>
        </w:tc>
      </w:tr>
      <w:tr>
        <w:trPr>
          <w:trHeight w:val="274"/>
        </w:trPr>
        <w:tc>
          <w:tcPr>
            <w:tcW w:w="4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0" w:type="dxa"/>
            <w:vAlign w:val="bottom"/>
          </w:tcPr>
          <w:p>
            <w:pPr>
              <w:spacing w:after="0"/>
              <w:rPr>
                <w:sz w:val="23"/>
                <w:szCs w:val="23"/>
                <w:color w:val="auto"/>
              </w:rPr>
            </w:pPr>
          </w:p>
        </w:tc>
      </w:tr>
      <w:tr>
        <w:trPr>
          <w:trHeight w:val="237"/>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payroll and related items</w:t>
            </w:r>
          </w:p>
        </w:tc>
        <w:tc>
          <w:tcPr>
            <w:tcW w:w="2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E5FF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8,315</w:t>
            </w:r>
          </w:p>
        </w:tc>
        <w:tc>
          <w:tcPr>
            <w:tcW w:w="3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9,457</w:t>
            </w:r>
          </w:p>
        </w:tc>
        <w:tc>
          <w:tcPr>
            <w:tcW w:w="40" w:type="dxa"/>
            <w:vAlign w:val="bottom"/>
            <w:shd w:val="clear" w:color="auto" w:fill="E5FFFF"/>
          </w:tcPr>
          <w:p>
            <w:pPr>
              <w:spacing w:after="0"/>
              <w:rPr>
                <w:sz w:val="21"/>
                <w:szCs w:val="21"/>
                <w:color w:val="auto"/>
              </w:rPr>
            </w:pPr>
          </w:p>
        </w:tc>
      </w:tr>
      <w:tr>
        <w:trPr>
          <w:trHeight w:val="243"/>
        </w:trPr>
        <w:tc>
          <w:tcPr>
            <w:tcW w:w="4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utility charges</w:t>
            </w:r>
          </w:p>
        </w:tc>
        <w:tc>
          <w:tcPr>
            <w:tcW w:w="220" w:type="dxa"/>
            <w:vAlign w:val="bottom"/>
          </w:tcPr>
          <w:p>
            <w:pPr>
              <w:spacing w:after="0"/>
              <w:rPr>
                <w:sz w:val="21"/>
                <w:szCs w:val="21"/>
                <w:color w:val="auto"/>
              </w:rPr>
            </w:pPr>
          </w:p>
        </w:tc>
        <w:tc>
          <w:tcPr>
            <w:tcW w:w="98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2,029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3,373</w:t>
            </w:r>
          </w:p>
        </w:tc>
        <w:tc>
          <w:tcPr>
            <w:tcW w:w="40" w:type="dxa"/>
            <w:vAlign w:val="bottom"/>
          </w:tcPr>
          <w:p>
            <w:pPr>
              <w:spacing w:after="0"/>
              <w:rPr>
                <w:sz w:val="21"/>
                <w:szCs w:val="21"/>
                <w:color w:val="auto"/>
              </w:rPr>
            </w:pPr>
          </w:p>
        </w:tc>
      </w:tr>
      <w:tr>
        <w:trPr>
          <w:trHeight w:val="243"/>
        </w:trPr>
        <w:tc>
          <w:tcPr>
            <w:tcW w:w="4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transportation related items</w:t>
            </w:r>
          </w:p>
        </w:tc>
        <w:tc>
          <w:tcPr>
            <w:tcW w:w="22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834</w:t>
            </w:r>
          </w:p>
        </w:tc>
        <w:tc>
          <w:tcPr>
            <w:tcW w:w="1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2,972</w:t>
            </w:r>
          </w:p>
        </w:tc>
        <w:tc>
          <w:tcPr>
            <w:tcW w:w="40" w:type="dxa"/>
            <w:vAlign w:val="bottom"/>
            <w:shd w:val="clear" w:color="auto" w:fill="E5FFFF"/>
          </w:tcPr>
          <w:p>
            <w:pPr>
              <w:spacing w:after="0"/>
              <w:rPr>
                <w:sz w:val="21"/>
                <w:szCs w:val="21"/>
                <w:color w:val="auto"/>
              </w:rPr>
            </w:pPr>
          </w:p>
        </w:tc>
      </w:tr>
      <w:tr>
        <w:trPr>
          <w:trHeight w:val="243"/>
        </w:trPr>
        <w:tc>
          <w:tcPr>
            <w:tcW w:w="4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real estate taxes</w:t>
            </w:r>
          </w:p>
        </w:tc>
        <w:tc>
          <w:tcPr>
            <w:tcW w:w="220" w:type="dxa"/>
            <w:vAlign w:val="bottom"/>
          </w:tcPr>
          <w:p>
            <w:pPr>
              <w:spacing w:after="0"/>
              <w:rPr>
                <w:sz w:val="21"/>
                <w:szCs w:val="21"/>
                <w:color w:val="auto"/>
              </w:rPr>
            </w:pPr>
          </w:p>
        </w:tc>
        <w:tc>
          <w:tcPr>
            <w:tcW w:w="98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1,344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1,742</w:t>
            </w:r>
          </w:p>
        </w:tc>
        <w:tc>
          <w:tcPr>
            <w:tcW w:w="40" w:type="dxa"/>
            <w:vAlign w:val="bottom"/>
          </w:tcPr>
          <w:p>
            <w:pPr>
              <w:spacing w:after="0"/>
              <w:rPr>
                <w:sz w:val="21"/>
                <w:szCs w:val="21"/>
                <w:color w:val="auto"/>
              </w:rPr>
            </w:pPr>
          </w:p>
        </w:tc>
      </w:tr>
      <w:tr>
        <w:trPr>
          <w:trHeight w:val="243"/>
        </w:trPr>
        <w:tc>
          <w:tcPr>
            <w:tcW w:w="4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w:t>
            </w:r>
          </w:p>
        </w:tc>
        <w:tc>
          <w:tcPr>
            <w:tcW w:w="22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1,061</w:t>
            </w:r>
          </w:p>
        </w:tc>
        <w:tc>
          <w:tcPr>
            <w:tcW w:w="1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802</w:t>
            </w:r>
          </w:p>
        </w:tc>
        <w:tc>
          <w:tcPr>
            <w:tcW w:w="40" w:type="dxa"/>
            <w:vAlign w:val="bottom"/>
            <w:shd w:val="clear" w:color="auto" w:fill="E5FFFF"/>
          </w:tcPr>
          <w:p>
            <w:pPr>
              <w:spacing w:after="0"/>
              <w:rPr>
                <w:sz w:val="21"/>
                <w:szCs w:val="21"/>
                <w:color w:val="auto"/>
              </w:rPr>
            </w:pPr>
          </w:p>
        </w:tc>
      </w:tr>
      <w:tr>
        <w:trPr>
          <w:trHeight w:val="243"/>
        </w:trPr>
        <w:tc>
          <w:tcPr>
            <w:tcW w:w="4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220" w:type="dxa"/>
            <w:vAlign w:val="bottom"/>
          </w:tcPr>
          <w:p>
            <w:pPr>
              <w:spacing w:after="0"/>
              <w:rPr>
                <w:sz w:val="21"/>
                <w:szCs w:val="21"/>
                <w:color w:val="auto"/>
              </w:rPr>
            </w:pPr>
          </w:p>
        </w:tc>
        <w:tc>
          <w:tcPr>
            <w:tcW w:w="98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2,300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1,371</w:t>
            </w:r>
          </w:p>
        </w:tc>
        <w:tc>
          <w:tcPr>
            <w:tcW w:w="40" w:type="dxa"/>
            <w:vAlign w:val="bottom"/>
          </w:tcPr>
          <w:p>
            <w:pPr>
              <w:spacing w:after="0"/>
              <w:rPr>
                <w:sz w:val="21"/>
                <w:szCs w:val="21"/>
                <w:color w:val="auto"/>
              </w:rPr>
            </w:pPr>
          </w:p>
        </w:tc>
      </w:tr>
      <w:tr>
        <w:trPr>
          <w:trHeight w:val="250"/>
        </w:trPr>
        <w:tc>
          <w:tcPr>
            <w:tcW w:w="43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2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15,883</w:t>
            </w:r>
          </w:p>
        </w:tc>
        <w:tc>
          <w:tcPr>
            <w:tcW w:w="12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19,717</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w:t>
      </w:r>
      <w:r>
        <w:rPr>
          <w:rFonts w:ascii="Times New Roman" w:cs="Times New Roman" w:eastAsia="Times New Roman" w:hAnsi="Times New Roman"/>
          <w:sz w:val="22"/>
          <w:szCs w:val="22"/>
          <w:b w:val="1"/>
          <w:bCs w:val="1"/>
          <w:i w:val="1"/>
          <w:iCs w:val="1"/>
          <w:color w:val="auto"/>
        </w:rPr>
        <w:t>Derivative Financial Instruments</w:t>
      </w:r>
    </w:p>
    <w:p>
      <w:pPr>
        <w:spacing w:after="0" w:line="239" w:lineRule="exact"/>
        <w:rPr>
          <w:sz w:val="20"/>
          <w:szCs w:val="20"/>
          <w:color w:val="auto"/>
        </w:rPr>
      </w:pPr>
    </w:p>
    <w:p>
      <w:pPr>
        <w:ind w:right="240" w:firstLine="648"/>
        <w:spacing w:after="0" w:line="248" w:lineRule="auto"/>
        <w:rPr>
          <w:sz w:val="20"/>
          <w:szCs w:val="20"/>
          <w:color w:val="auto"/>
        </w:rPr>
      </w:pPr>
      <w:r>
        <w:rPr>
          <w:rFonts w:ascii="Times New Roman" w:cs="Times New Roman" w:eastAsia="Times New Roman" w:hAnsi="Times New Roman"/>
          <w:sz w:val="21"/>
          <w:szCs w:val="21"/>
          <w:color w:val="auto"/>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natural gas)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97"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provides information about the fair values of the Company’s derivative financial instruments (that are not accounted for under the “normal purchases and normal sales” scope exemption of ASC 815) and the line items on the Consolidated Balance Sheets in which the fair values are reflected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440"/>
              <w:spacing w:after="0"/>
              <w:rPr>
                <w:sz w:val="20"/>
                <w:szCs w:val="20"/>
                <w:color w:val="auto"/>
              </w:rPr>
            </w:pPr>
            <w:r>
              <w:rPr>
                <w:rFonts w:ascii="Times New Roman" w:cs="Times New Roman" w:eastAsia="Times New Roman" w:hAnsi="Times New Roman"/>
                <w:sz w:val="22"/>
                <w:szCs w:val="22"/>
                <w:b w:val="1"/>
                <w:bCs w:val="1"/>
                <w:color w:val="auto"/>
              </w:rPr>
              <w:t>Asset Derivatives</w:t>
            </w:r>
          </w:p>
        </w:tc>
        <w:tc>
          <w:tcPr>
            <w:tcW w:w="260" w:type="dxa"/>
            <w:vAlign w:val="bottom"/>
          </w:tcPr>
          <w:p>
            <w:pPr>
              <w:spacing w:after="0"/>
              <w:rPr>
                <w:sz w:val="21"/>
                <w:szCs w:val="21"/>
                <w:color w:val="auto"/>
              </w:rPr>
            </w:pPr>
          </w:p>
        </w:tc>
        <w:tc>
          <w:tcPr>
            <w:tcW w:w="2280" w:type="dxa"/>
            <w:vAlign w:val="bottom"/>
            <w:gridSpan w:val="3"/>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Liability Derivatives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Fair Value</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80" w:type="dxa"/>
            <w:vAlign w:val="bottom"/>
            <w:gridSpan w:val="3"/>
          </w:tcPr>
          <w:p>
            <w:pPr>
              <w:jc w:val="right"/>
              <w:ind w:right="492"/>
              <w:spacing w:after="0" w:line="243" w:lineRule="exact"/>
              <w:rPr>
                <w:sz w:val="20"/>
                <w:szCs w:val="20"/>
                <w:color w:val="auto"/>
              </w:rPr>
            </w:pPr>
            <w:r>
              <w:rPr>
                <w:rFonts w:ascii="Times New Roman" w:cs="Times New Roman" w:eastAsia="Times New Roman" w:hAnsi="Times New Roman"/>
                <w:sz w:val="22"/>
                <w:szCs w:val="22"/>
                <w:b w:val="1"/>
                <w:bCs w:val="1"/>
                <w:color w:val="auto"/>
              </w:rPr>
              <w:t>Fair Value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2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60" w:type="dxa"/>
            <w:vAlign w:val="bottom"/>
          </w:tcPr>
          <w:p>
            <w:pPr>
              <w:spacing w:after="0"/>
              <w:rPr>
                <w:sz w:val="21"/>
                <w:szCs w:val="21"/>
                <w:color w:val="auto"/>
              </w:rPr>
            </w:pPr>
          </w:p>
        </w:tc>
        <w:tc>
          <w:tcPr>
            <w:tcW w:w="168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c>
          <w:tcPr>
            <w:tcW w:w="12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20" w:type="dxa"/>
            <w:vAlign w:val="bottom"/>
          </w:tcPr>
          <w:p>
            <w:pPr>
              <w:spacing w:after="0"/>
              <w:rPr>
                <w:sz w:val="21"/>
                <w:szCs w:val="21"/>
                <w:color w:val="auto"/>
              </w:rPr>
            </w:pPr>
          </w:p>
        </w:tc>
        <w:tc>
          <w:tcPr>
            <w:tcW w:w="134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4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2024</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48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(1)</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597</w:t>
            </w:r>
          </w:p>
        </w:tc>
        <w:tc>
          <w:tcPr>
            <w:tcW w:w="780" w:type="dxa"/>
            <w:vAlign w:val="bottom"/>
            <w:gridSpan w:val="2"/>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579</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1,061</w:t>
            </w:r>
          </w:p>
        </w:tc>
        <w:tc>
          <w:tcPr>
            <w:tcW w:w="1300" w:type="dxa"/>
            <w:vAlign w:val="bottom"/>
            <w:gridSpan w:val="2"/>
            <w:shd w:val="clear" w:color="auto" w:fill="E5FFFF"/>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802</w:t>
            </w:r>
          </w:p>
        </w:tc>
      </w:tr>
      <w:tr>
        <w:trPr>
          <w:trHeight w:val="486"/>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Cash collateral balance (3)</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1,209</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2,152</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gridSpan w:val="2"/>
          </w:tcPr>
          <w:p>
            <w:pPr>
              <w:jc w:val="right"/>
              <w:ind w:right="652"/>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Commodity futures (2)</w:t>
            </w:r>
          </w:p>
        </w:tc>
        <w:tc>
          <w:tcPr>
            <w:tcW w:w="26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4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36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(297)</w:t>
            </w:r>
          </w:p>
        </w:tc>
        <w:tc>
          <w:tcPr>
            <w:tcW w:w="26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4840" w:type="dxa"/>
            <w:vAlign w:val="bottom"/>
          </w:tcPr>
          <w:p>
            <w:pPr>
              <w:ind w:left="180"/>
              <w:spacing w:after="0" w:line="237" w:lineRule="exact"/>
              <w:rPr>
                <w:sz w:val="20"/>
                <w:szCs w:val="20"/>
                <w:color w:val="auto"/>
              </w:rPr>
            </w:pPr>
            <w:r>
              <w:rPr>
                <w:rFonts w:ascii="Times New Roman" w:cs="Times New Roman" w:eastAsia="Times New Roman" w:hAnsi="Times New Roman"/>
                <w:sz w:val="22"/>
                <w:szCs w:val="22"/>
                <w:color w:val="auto"/>
              </w:rPr>
              <w:t>Net position with broker</w:t>
            </w:r>
          </w:p>
        </w:tc>
        <w:tc>
          <w:tcPr>
            <w:tcW w:w="260" w:type="dxa"/>
            <w:vAlign w:val="bottom"/>
            <w:tcBorders>
              <w:top w:val="single" w:sz="8" w:color="auto"/>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1,133</w:t>
            </w:r>
          </w:p>
        </w:tc>
        <w:tc>
          <w:tcPr>
            <w:tcW w:w="4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4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1,855</w:t>
            </w:r>
          </w:p>
        </w:tc>
        <w:tc>
          <w:tcPr>
            <w:tcW w:w="4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3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6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3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0"/>
                <w:szCs w:val="20"/>
                <w:color w:val="auto"/>
              </w:rPr>
            </w:pPr>
          </w:p>
        </w:tc>
      </w:tr>
      <w:tr>
        <w:trPr>
          <w:trHeight w:val="236"/>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Total</w:t>
            </w:r>
          </w:p>
        </w:tc>
        <w:tc>
          <w:tcPr>
            <w:tcW w:w="260" w:type="dxa"/>
            <w:vAlign w:val="bottom"/>
            <w:shd w:val="clear" w:color="auto" w:fill="E5FFFF"/>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1,730</w:t>
            </w:r>
          </w:p>
        </w:tc>
        <w:tc>
          <w:tcPr>
            <w:tcW w:w="780" w:type="dxa"/>
            <w:vAlign w:val="bottom"/>
            <w:gridSpan w:val="2"/>
            <w:shd w:val="clear" w:color="auto" w:fill="E5FF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2,434</w:t>
            </w:r>
          </w:p>
        </w:tc>
        <w:tc>
          <w:tcPr>
            <w:tcW w:w="260" w:type="dxa"/>
            <w:vAlign w:val="bottom"/>
            <w:shd w:val="clear" w:color="auto" w:fill="E5FF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1,061</w:t>
            </w:r>
          </w:p>
        </w:tc>
        <w:tc>
          <w:tcPr>
            <w:tcW w:w="1300" w:type="dxa"/>
            <w:vAlign w:val="bottom"/>
            <w:gridSpan w:val="2"/>
            <w:shd w:val="clear" w:color="auto" w:fill="E5FFFF"/>
          </w:tcPr>
          <w:p>
            <w:pPr>
              <w:jc w:val="right"/>
              <w:ind w:right="652"/>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802</w:t>
            </w:r>
          </w:p>
        </w:tc>
      </w:tr>
      <w:tr>
        <w:trPr>
          <w:trHeight w:val="20"/>
        </w:trPr>
        <w:tc>
          <w:tcPr>
            <w:tcW w:w="48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r>
        <w:trPr>
          <w:trHeight w:val="425"/>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16</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8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0" w:right="339" w:bottom="1440" w:gutter="0" w:footer="0" w:header="0"/>
        </w:sectPr>
      </w:pPr>
    </w:p>
    <w:bookmarkStart w:id="16" w:name="page17"/>
    <w:bookmarkEnd w:id="16"/>
    <w:p>
      <w:pPr>
        <w:ind w:left="660" w:right="600" w:hanging="328"/>
        <w:spacing w:after="0" w:line="244"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assets are included in “Prepaid expenses and other” on the accompanying Consolidated Balance Sheets. These contracts are for purchases of approximately 11.8 million and 9.3 million bushels of corn at October 31, 2024 and January 31, 2024, respectively.</w:t>
      </w:r>
    </w:p>
    <w:p>
      <w:pPr>
        <w:spacing w:after="0" w:line="200" w:lineRule="exact"/>
        <w:rPr>
          <w:rFonts w:ascii="Times New Roman" w:cs="Times New Roman" w:eastAsia="Times New Roman" w:hAnsi="Times New Roman"/>
          <w:sz w:val="22"/>
          <w:szCs w:val="22"/>
          <w:color w:val="auto"/>
        </w:rPr>
      </w:pPr>
    </w:p>
    <w:p>
      <w:pPr>
        <w:ind w:left="660" w:right="54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liabilities are included in “Accrued expenses and other current liabilities” on the accompanying Consolidated Balance Sheets. These contracts are for purchases of approximately 4.7 million and 8.2 million bushels of corn at October 31, 2024 and January 31, 2024, respectively.</w:t>
      </w:r>
    </w:p>
    <w:p>
      <w:pPr>
        <w:spacing w:after="0" w:line="200" w:lineRule="exact"/>
        <w:rPr>
          <w:rFonts w:ascii="Times New Roman" w:cs="Times New Roman" w:eastAsia="Times New Roman" w:hAnsi="Times New Roman"/>
          <w:sz w:val="22"/>
          <w:szCs w:val="22"/>
          <w:color w:val="auto"/>
        </w:rPr>
      </w:pPr>
    </w:p>
    <w:p>
      <w:pPr>
        <w:ind w:left="660" w:right="80" w:hanging="328"/>
        <w:spacing w:after="0" w:line="238"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Commodity futures assets and liabilities are included in “Prepaid expenses and other” on the accompanying Consolidated Balance Sheets. These contracts included short/sell positions for approximately 7.0 million bushels of corn and 2.1 million gallons of ethanol at October 31, 2024. These contracts included short/sell positions and long/buy positions for approximately 255,000 and 6.9 million bushels of corn, respectively, at January 31, 2024. These contracts also included short/sell positions for approximately 210,000 gallons of ethanol at January 31, 2024.</w:t>
      </w:r>
    </w:p>
    <w:p>
      <w:pPr>
        <w:spacing w:after="0" w:line="203" w:lineRule="exact"/>
        <w:rPr>
          <w:rFonts w:ascii="Times New Roman" w:cs="Times New Roman" w:eastAsia="Times New Roman" w:hAnsi="Times New Roman"/>
          <w:sz w:val="22"/>
          <w:szCs w:val="22"/>
          <w:color w:val="auto"/>
        </w:rPr>
      </w:pPr>
    </w:p>
    <w:p>
      <w:pPr>
        <w:ind w:left="660" w:right="20" w:hanging="328"/>
        <w:spacing w:after="0" w:line="235"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October 31, 2024 and January 31, 2024, all of the derivative financial instruments held by the Company were subject to enforceable master netting arrangements. The Company’s accounting policy is to offset position amounts owed or owing with the same counterparty. Depending on the amount of unrealized gains and losses on derivative contracts held by the Company, the counterparty may require collateral to secure the Company’s derivative contract positions. As of October 31, 2024 and January 31, 2024, the Company was required to maintain collateral with the counterparty in the amount of approximately $1.2 million and $2.2 million, respectively, recorded within “Prepaid expenses and other” on the accompanying Consolidated Balance Sheets.</w:t>
      </w:r>
    </w:p>
    <w:p>
      <w:pPr>
        <w:spacing w:after="0" w:line="210"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Note 5 which contains fair value information related to derivative financial instruments.</w:t>
      </w:r>
    </w:p>
    <w:p>
      <w:pPr>
        <w:spacing w:after="0" w:line="23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The Company recognized gains, which are included in “Cost of sales” in the accompanying Consolidated Statement of Operations, on derivative financial instruments related to corn purchase contracts of approximately $3.8 million and of $10.6 million for the third quarter of fiscal years 2024 and 2023, respectively. The Company recognized (losses) and gains on derivative financial instruments related to corn purchase contracts of approximately $(2.4) million and $15.7 million for the first nine months of fiscal years 2024 and 2023, respectively.</w:t>
      </w:r>
    </w:p>
    <w:p>
      <w:pPr>
        <w:spacing w:after="0" w:line="204"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The Company recognized gains, which are recorded in “Net sales and revenue” in the accompanying Consolidated Statement of Operations, on derivative financial instruments related to ethanol sales contracts of approximately $0.3 million and $0.7 million for the three- and nine-month periods ended October 31, 2024, respectively. Gains or losses on derivative financial instruments related to ethanol sales contracts were insignificant for the same periods in 2023.</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 xml:space="preserve">Note 10. </w:t>
      </w:r>
      <w:r>
        <w:rPr>
          <w:rFonts w:ascii="Times New Roman" w:cs="Times New Roman" w:eastAsia="Times New Roman" w:hAnsi="Times New Roman"/>
          <w:sz w:val="22"/>
          <w:szCs w:val="22"/>
          <w:b w:val="1"/>
          <w:bCs w:val="1"/>
          <w:i w:val="1"/>
          <w:iCs w:val="1"/>
          <w:color w:val="auto"/>
        </w:rPr>
        <w:t>Investments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Method Investment in Big River</w:t>
      </w:r>
    </w:p>
    <w:p>
      <w:pPr>
        <w:spacing w:after="0" w:line="237"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Company’s equity method investment at October 31, 2024 and January 31, 2024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360" w:type="dxa"/>
            <w:vAlign w:val="bottom"/>
            <w:gridSpan w:val="3"/>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Carrying Amount</w:t>
            </w:r>
          </w:p>
        </w:tc>
      </w:tr>
      <w:tr>
        <w:trPr>
          <w:trHeight w:val="234"/>
        </w:trPr>
        <w:tc>
          <w:tcPr>
            <w:tcW w:w="236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Entity</w:t>
            </w:r>
          </w:p>
        </w:tc>
        <w:tc>
          <w:tcPr>
            <w:tcW w:w="3840" w:type="dxa"/>
            <w:vAlign w:val="bottom"/>
            <w:gridSpan w:val="3"/>
          </w:tcPr>
          <w:p>
            <w:pPr>
              <w:jc w:val="center"/>
              <w:ind w:left="1192"/>
              <w:spacing w:after="0" w:line="233" w:lineRule="exact"/>
              <w:rPr>
                <w:sz w:val="20"/>
                <w:szCs w:val="20"/>
                <w:color w:val="auto"/>
              </w:rPr>
            </w:pPr>
            <w:r>
              <w:rPr>
                <w:rFonts w:ascii="Times New Roman" w:cs="Times New Roman" w:eastAsia="Times New Roman" w:hAnsi="Times New Roman"/>
                <w:sz w:val="22"/>
                <w:szCs w:val="22"/>
                <w:b w:val="1"/>
                <w:bCs w:val="1"/>
                <w:color w:val="auto"/>
                <w:w w:val="98"/>
              </w:rPr>
              <w:t>Ownership Percentage</w:t>
            </w:r>
          </w:p>
        </w:tc>
        <w:tc>
          <w:tcPr>
            <w:tcW w:w="1780" w:type="dxa"/>
            <w:vAlign w:val="bottom"/>
            <w:gridSpan w:val="2"/>
          </w:tcPr>
          <w:p>
            <w:pPr>
              <w:jc w:val="right"/>
              <w:ind w:right="220"/>
              <w:spacing w:after="0" w:line="233" w:lineRule="exact"/>
              <w:rPr>
                <w:sz w:val="20"/>
                <w:szCs w:val="20"/>
                <w:color w:val="auto"/>
              </w:rPr>
            </w:pPr>
            <w:r>
              <w:rPr>
                <w:rFonts w:ascii="Times New Roman" w:cs="Times New Roman" w:eastAsia="Times New Roman" w:hAnsi="Times New Roman"/>
                <w:sz w:val="22"/>
                <w:szCs w:val="22"/>
                <w:b w:val="1"/>
                <w:bCs w:val="1"/>
                <w:color w:val="auto"/>
                <w:w w:val="96"/>
              </w:rPr>
              <w:t>October 31, 2024</w:t>
            </w:r>
          </w:p>
        </w:tc>
        <w:tc>
          <w:tcPr>
            <w:tcW w:w="158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7"/>
              </w:rPr>
              <w:t>January 31, 2024</w:t>
            </w:r>
          </w:p>
        </w:tc>
      </w:tr>
      <w:tr>
        <w:trPr>
          <w:trHeight w:val="21"/>
        </w:trPr>
        <w:tc>
          <w:tcPr>
            <w:tcW w:w="58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92"/>
        </w:trPr>
        <w:tc>
          <w:tcPr>
            <w:tcW w:w="2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Big River</w:t>
            </w:r>
          </w:p>
        </w:tc>
        <w:tc>
          <w:tcPr>
            <w:tcW w:w="3620" w:type="dxa"/>
            <w:vAlign w:val="bottom"/>
            <w:gridSpan w:val="2"/>
          </w:tcPr>
          <w:p>
            <w:pPr>
              <w:jc w:val="right"/>
              <w:ind w:right="780"/>
              <w:spacing w:after="0"/>
              <w:rPr>
                <w:sz w:val="20"/>
                <w:szCs w:val="20"/>
                <w:color w:val="auto"/>
              </w:rPr>
            </w:pPr>
            <w:r>
              <w:rPr>
                <w:rFonts w:ascii="Times New Roman" w:cs="Times New Roman" w:eastAsia="Times New Roman" w:hAnsi="Times New Roman"/>
                <w:sz w:val="22"/>
                <w:szCs w:val="22"/>
                <w:color w:val="auto"/>
              </w:rPr>
              <w:t>10.3%</w:t>
            </w:r>
          </w:p>
        </w:tc>
        <w:tc>
          <w:tcPr>
            <w:tcW w:w="220" w:type="dxa"/>
            <w:vAlign w:val="bottom"/>
          </w:tcPr>
          <w:p>
            <w:pPr>
              <w:spacing w:after="0"/>
              <w:rPr>
                <w:sz w:val="24"/>
                <w:szCs w:val="24"/>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$39,015</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$34,936</w:t>
            </w:r>
          </w:p>
        </w:tc>
      </w:tr>
    </w:tbl>
    <w:p>
      <w:pPr>
        <w:spacing w:after="0" w:line="204"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21"/>
          <w:szCs w:val="21"/>
          <w:color w:val="auto"/>
        </w:rPr>
        <w:t>Undistributed earnings of the Company’s equity method investee totaled approximately $19.0 million and approximately $14.9 million at October 31, 2024 and January 31, 2024, respectively. The Company received dividends from its equity method investee of approximately $3.0 million and $5.5 million in the first nine months of fiscal year 2024 or 2023, respectively.</w:t>
      </w:r>
    </w:p>
    <w:p>
      <w:pPr>
        <w:spacing w:after="0" w:line="18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Summarized financial information for the Company’s equity method investee is presented in the following table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40" w:type="dxa"/>
            <w:vAlign w:val="bottom"/>
            <w:gridSpan w:val="5"/>
          </w:tcPr>
          <w:p>
            <w:pPr>
              <w:ind w:left="2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2"/>
                <w:szCs w:val="22"/>
                <w:color w:val="auto"/>
              </w:rPr>
            </w:pPr>
          </w:p>
        </w:tc>
        <w:tc>
          <w:tcPr>
            <w:tcW w:w="2740" w:type="dxa"/>
            <w:vAlign w:val="bottom"/>
            <w:gridSpan w:val="5"/>
          </w:tcPr>
          <w:p>
            <w:pPr>
              <w:ind w:left="26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4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3"/>
          </w:tcPr>
          <w:p>
            <w:pPr>
              <w:jc w:val="right"/>
              <w:ind w:right="4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4"/>
        </w:trPr>
        <w:tc>
          <w:tcPr>
            <w:tcW w:w="48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4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3"/>
                <w:szCs w:val="23"/>
                <w:color w:val="auto"/>
              </w:rPr>
            </w:pPr>
          </w:p>
        </w:tc>
      </w:tr>
      <w:tr>
        <w:trPr>
          <w:trHeight w:val="236"/>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272,481</w:t>
            </w:r>
          </w:p>
        </w:tc>
        <w:tc>
          <w:tcPr>
            <w:tcW w:w="840" w:type="dxa"/>
            <w:vAlign w:val="bottom"/>
            <w:gridSpan w:val="2"/>
            <w:shd w:val="clear" w:color="auto" w:fill="E5FFFF"/>
          </w:tcPr>
          <w:p>
            <w:pPr>
              <w:jc w:val="right"/>
              <w:ind w:right="2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351,390</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808,844</w:t>
            </w:r>
          </w:p>
        </w:tc>
        <w:tc>
          <w:tcPr>
            <w:tcW w:w="780" w:type="dxa"/>
            <w:vAlign w:val="bottom"/>
            <w:gridSpan w:val="2"/>
            <w:shd w:val="clear" w:color="auto" w:fill="E5FFFF"/>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7"/>
              </w:rPr>
              <w:t>1,128,012</w:t>
            </w: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2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46,996</w:t>
            </w:r>
          </w:p>
        </w:tc>
        <w:tc>
          <w:tcPr>
            <w:tcW w:w="840" w:type="dxa"/>
            <w:vAlign w:val="bottom"/>
            <w:gridSpan w:val="2"/>
          </w:tcPr>
          <w:p>
            <w:pPr>
              <w:jc w:val="right"/>
              <w:ind w:right="2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52,869</w:t>
            </w:r>
          </w:p>
        </w:tc>
        <w:tc>
          <w:tcPr>
            <w:tcW w:w="2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88,110</w:t>
            </w:r>
          </w:p>
        </w:tc>
        <w:tc>
          <w:tcPr>
            <w:tcW w:w="78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107,395</w:t>
            </w: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Depreciation expense</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3,433</w:t>
            </w:r>
          </w:p>
        </w:tc>
        <w:tc>
          <w:tcPr>
            <w:tcW w:w="840" w:type="dxa"/>
            <w:vAlign w:val="bottom"/>
            <w:gridSpan w:val="2"/>
            <w:shd w:val="clear" w:color="auto" w:fill="E5FFFF"/>
          </w:tcPr>
          <w:p>
            <w:pPr>
              <w:jc w:val="right"/>
              <w:ind w:right="2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6,470</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16,639</w:t>
            </w:r>
          </w:p>
        </w:tc>
        <w:tc>
          <w:tcPr>
            <w:tcW w:w="780" w:type="dxa"/>
            <w:vAlign w:val="bottom"/>
            <w:gridSpan w:val="2"/>
            <w:shd w:val="clear" w:color="auto" w:fill="E5FFFF"/>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19,629</w:t>
            </w: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2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44,900</w:t>
            </w:r>
          </w:p>
        </w:tc>
        <w:tc>
          <w:tcPr>
            <w:tcW w:w="840" w:type="dxa"/>
            <w:vAlign w:val="bottom"/>
            <w:gridSpan w:val="2"/>
          </w:tcPr>
          <w:p>
            <w:pPr>
              <w:jc w:val="right"/>
              <w:ind w:right="2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53,112</w:t>
            </w:r>
          </w:p>
        </w:tc>
        <w:tc>
          <w:tcPr>
            <w:tcW w:w="2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84,127</w:t>
            </w:r>
          </w:p>
        </w:tc>
        <w:tc>
          <w:tcPr>
            <w:tcW w:w="780" w:type="dxa"/>
            <w:vAlign w:val="bottom"/>
            <w:gridSpan w:val="2"/>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104,930</w:t>
            </w: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income attributable to members</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38,708</w:t>
            </w:r>
          </w:p>
        </w:tc>
        <w:tc>
          <w:tcPr>
            <w:tcW w:w="840" w:type="dxa"/>
            <w:vAlign w:val="bottom"/>
            <w:gridSpan w:val="2"/>
            <w:shd w:val="clear" w:color="auto" w:fill="E5FFFF"/>
          </w:tcPr>
          <w:p>
            <w:pPr>
              <w:jc w:val="right"/>
              <w:ind w:right="2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0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45,955</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72,311</w:t>
            </w:r>
          </w:p>
        </w:tc>
        <w:tc>
          <w:tcPr>
            <w:tcW w:w="780" w:type="dxa"/>
            <w:vAlign w:val="bottom"/>
            <w:gridSpan w:val="2"/>
            <w:shd w:val="clear" w:color="auto" w:fill="E5FFFF"/>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89,954</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Short-term Investments</w:t>
      </w:r>
    </w:p>
    <w:p>
      <w:pPr>
        <w:spacing w:after="0" w:line="237"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At October 31, 2024, the Company owned United States Treasury Bills (classified as short-term investments) that had an amortized cost, or carrying value, of approximately $66.8 million. The contractual maturity of these investments was less than one year. The yield to maturity rate was approximately 5.1%. Unrecognized holding gains at October 31, 2024 were approximately $18,000.</w:t>
      </w:r>
    </w:p>
    <w:p>
      <w:pPr>
        <w:spacing w:after="0" w:line="207"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At January 31, 2024, the Company owned United States Treasury Bills (classified as short-term investments) that had an amortized cost, or carrying value, of approximately $155.3 million. The contractual maturity of these investments was less than one year. The yield to maturity rate was approximately 5.5%. Unrecognized holding losses at January 31, 2024 were approximately $94,000.</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w:t>
      </w:r>
      <w:r>
        <w:rPr>
          <w:rFonts w:ascii="Times New Roman" w:cs="Times New Roman" w:eastAsia="Times New Roman" w:hAnsi="Times New Roman"/>
          <w:sz w:val="22"/>
          <w:szCs w:val="22"/>
          <w:b w:val="1"/>
          <w:bCs w:val="1"/>
          <w:i w:val="1"/>
          <w:iCs w:val="1"/>
          <w:color w:val="auto"/>
        </w:rPr>
        <w:t>Employee Benefits</w:t>
      </w:r>
    </w:p>
    <w:p>
      <w:pPr>
        <w:spacing w:after="0" w:line="239"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The Company maintains the REX 2015 Incentive Plan, approved by its shareholders, which reserves a total of 1,650,000 shares of common stock for issuance pursuant to its terms. The plan provides for the granting of shares of stock, including options to purchase shares of common stock, stock</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8" w:name="page19"/>
    <w:bookmarkEnd w:id="18"/>
    <w:p>
      <w:pPr>
        <w:ind w:right="80"/>
        <w:spacing w:after="0" w:line="234" w:lineRule="auto"/>
        <w:rPr>
          <w:sz w:val="20"/>
          <w:szCs w:val="20"/>
          <w:color w:val="auto"/>
        </w:rPr>
      </w:pPr>
      <w:r>
        <w:rPr>
          <w:rFonts w:ascii="Times New Roman" w:cs="Times New Roman" w:eastAsia="Times New Roman" w:hAnsi="Times New Roman"/>
          <w:sz w:val="22"/>
          <w:szCs w:val="22"/>
          <w:color w:val="auto"/>
        </w:rPr>
        <w:t>appreciation rights tied to the value of common stock, restricted stock, and restricted stock unit awards to eligible employees, non-employee directors and consultants. Until 2022, the Company had only granted restricted stock awards. In May 2022, the Company issued restricted stock units to certain officers of the Company which vest based on the Company’s Total Shareholder Return (“TSR”) compared to the TSRs of companies that comprise the Russell 2000 Index over a three-year performance period.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October 31, 2024, 1,165,709 shares remain available for issuance under the Plan, excluding the impact of the 67,500 restricted stock units that may vest between zero and 135,000 shares of stock depending on certain performance metrics being achieved.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Stock Awards</w:t>
      </w:r>
    </w:p>
    <w:p>
      <w:pPr>
        <w:spacing w:after="0" w:line="237" w:lineRule="exact"/>
        <w:rPr>
          <w:sz w:val="20"/>
          <w:szCs w:val="20"/>
          <w:color w:val="auto"/>
        </w:rPr>
      </w:pPr>
    </w:p>
    <w:p>
      <w:pPr>
        <w:ind w:right="40" w:firstLine="690"/>
        <w:spacing w:after="0" w:line="251" w:lineRule="auto"/>
        <w:rPr>
          <w:sz w:val="20"/>
          <w:szCs w:val="20"/>
          <w:color w:val="auto"/>
        </w:rPr>
      </w:pPr>
      <w:r>
        <w:rPr>
          <w:rFonts w:ascii="Times New Roman" w:cs="Times New Roman" w:eastAsia="Times New Roman" w:hAnsi="Times New Roman"/>
          <w:sz w:val="21"/>
          <w:szCs w:val="21"/>
          <w:color w:val="auto"/>
        </w:rPr>
        <w:t>As a component of their compensation, restricted stock has been granted to directors and certain employees at the closing market price of REX common stock on the grant date. In addition, one quarter of executives’ incentive compensation is payable by an award of restricted stock based on the then closing market price of REX common stock on the grant date. The Company’s</w:t>
      </w:r>
    </w:p>
    <w:p>
      <w:pPr>
        <w:ind w:right="120"/>
        <w:spacing w:after="0" w:line="201" w:lineRule="auto"/>
        <w:rPr>
          <w:sz w:val="20"/>
          <w:szCs w:val="20"/>
          <w:color w:val="auto"/>
        </w:rPr>
      </w:pPr>
      <w:r>
        <w:rPr>
          <w:rFonts w:ascii="Times New Roman" w:cs="Times New Roman" w:eastAsia="Times New Roman" w:hAnsi="Times New Roman"/>
          <w:sz w:val="22"/>
          <w:szCs w:val="22"/>
          <w:color w:val="auto"/>
        </w:rPr>
        <w:t>board of directors has determined that the grant date will be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or the next business day if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is not a business day, for all grants of restricted stock.</w:t>
      </w:r>
    </w:p>
    <w:p>
      <w:pPr>
        <w:spacing w:after="0" w:line="205"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Based on retirement eligibility provisions, a portion of restricted stock grants are expensed at grant date, based on grant date fair value, thus considered vested for accounting purposes. At October 31, 2024, 20,046 shares were unvested for accounting purposes and unrecognized compensation cost related to these nonvested restricted stock awards was approximately $643,000, to be recognized over a weighted average vesting term of 2.1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tables summarize legally non-vested restricted stock award activity for the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00" w:type="dxa"/>
            <w:vAlign w:val="bottom"/>
          </w:tcPr>
          <w:p>
            <w:pPr>
              <w:spacing w:after="0"/>
              <w:rPr>
                <w:sz w:val="24"/>
                <w:szCs w:val="24"/>
                <w:color w:val="auto"/>
              </w:rPr>
            </w:pPr>
          </w:p>
        </w:tc>
        <w:tc>
          <w:tcPr>
            <w:tcW w:w="5240" w:type="dxa"/>
            <w:vAlign w:val="bottom"/>
            <w:gridSpan w:val="7"/>
          </w:tcPr>
          <w:p>
            <w:pPr>
              <w:ind w:left="840"/>
              <w:spacing w:after="0"/>
              <w:rPr>
                <w:sz w:val="20"/>
                <w:szCs w:val="20"/>
                <w:color w:val="auto"/>
              </w:rPr>
            </w:pPr>
            <w:r>
              <w:rPr>
                <w:rFonts w:ascii="Times New Roman" w:cs="Times New Roman" w:eastAsia="Times New Roman" w:hAnsi="Times New Roman"/>
                <w:sz w:val="22"/>
                <w:szCs w:val="22"/>
                <w:b w:val="1"/>
                <w:bCs w:val="1"/>
                <w:color w:val="auto"/>
              </w:rPr>
              <w:t>Nine Months Ended October 31, 2024</w:t>
            </w:r>
          </w:p>
        </w:tc>
        <w:tc>
          <w:tcPr>
            <w:tcW w:w="2800" w:type="dxa"/>
            <w:vAlign w:val="bottom"/>
          </w:tcPr>
          <w:p>
            <w:pPr>
              <w:spacing w:after="0"/>
              <w:rPr>
                <w:sz w:val="24"/>
                <w:szCs w:val="24"/>
                <w:color w:val="auto"/>
              </w:rPr>
            </w:pPr>
          </w:p>
        </w:tc>
      </w:tr>
      <w:tr>
        <w:trPr>
          <w:trHeight w:val="443"/>
        </w:trPr>
        <w:tc>
          <w:tcPr>
            <w:tcW w:w="3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2800" w:type="dxa"/>
            <w:vAlign w:val="bottom"/>
          </w:tcPr>
          <w:p>
            <w:pPr>
              <w:spacing w:after="0"/>
              <w:rPr>
                <w:sz w:val="24"/>
                <w:szCs w:val="24"/>
                <w:color w:val="auto"/>
              </w:rPr>
            </w:pPr>
          </w:p>
        </w:tc>
      </w:tr>
      <w:tr>
        <w:trPr>
          <w:trHeight w:val="243"/>
        </w:trPr>
        <w:tc>
          <w:tcPr>
            <w:tcW w:w="3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Grant</w:t>
            </w:r>
          </w:p>
        </w:tc>
        <w:tc>
          <w:tcPr>
            <w:tcW w:w="19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c>
          <w:tcPr>
            <w:tcW w:w="2800" w:type="dxa"/>
            <w:vAlign w:val="bottom"/>
          </w:tcPr>
          <w:p>
            <w:pPr>
              <w:spacing w:after="0"/>
              <w:rPr>
                <w:sz w:val="21"/>
                <w:szCs w:val="21"/>
                <w:color w:val="auto"/>
              </w:rPr>
            </w:pPr>
          </w:p>
        </w:tc>
      </w:tr>
      <w:tr>
        <w:trPr>
          <w:trHeight w:val="243"/>
        </w:trPr>
        <w:tc>
          <w:tcPr>
            <w:tcW w:w="3200" w:type="dxa"/>
            <w:vAlign w:val="bottom"/>
          </w:tcPr>
          <w:p>
            <w:pPr>
              <w:spacing w:after="0"/>
              <w:rPr>
                <w:sz w:val="21"/>
                <w:szCs w:val="21"/>
                <w:color w:val="auto"/>
              </w:rPr>
            </w:pPr>
          </w:p>
        </w:tc>
        <w:tc>
          <w:tcPr>
            <w:tcW w:w="140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6"/>
              </w:rPr>
              <w:t>Non-Vested</w:t>
            </w:r>
          </w:p>
        </w:tc>
        <w:tc>
          <w:tcPr>
            <w:tcW w:w="1940" w:type="dxa"/>
            <w:vAlign w:val="bottom"/>
            <w:gridSpan w:val="3"/>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Fair Value</w:t>
            </w:r>
          </w:p>
        </w:tc>
        <w:tc>
          <w:tcPr>
            <w:tcW w:w="19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2800" w:type="dxa"/>
            <w:vAlign w:val="bottom"/>
          </w:tcPr>
          <w:p>
            <w:pPr>
              <w:spacing w:after="0"/>
              <w:rPr>
                <w:sz w:val="21"/>
                <w:szCs w:val="21"/>
                <w:color w:val="auto"/>
              </w:rPr>
            </w:pPr>
          </w:p>
        </w:tc>
      </w:tr>
      <w:tr>
        <w:trPr>
          <w:trHeight w:val="274"/>
        </w:trPr>
        <w:tc>
          <w:tcPr>
            <w:tcW w:w="3200" w:type="dxa"/>
            <w:vAlign w:val="bottom"/>
          </w:tcPr>
          <w:p>
            <w:pPr>
              <w:spacing w:after="0"/>
              <w:rPr>
                <w:sz w:val="23"/>
                <w:szCs w:val="2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Shares</w:t>
            </w:r>
          </w:p>
        </w:tc>
        <w:tc>
          <w:tcPr>
            <w:tcW w:w="120" w:type="dxa"/>
            <w:vAlign w:val="bottom"/>
          </w:tcPr>
          <w:p>
            <w:pPr>
              <w:spacing w:after="0"/>
              <w:rPr>
                <w:sz w:val="23"/>
                <w:szCs w:val="23"/>
                <w:color w:val="auto"/>
              </w:rPr>
            </w:pPr>
          </w:p>
        </w:tc>
        <w:tc>
          <w:tcPr>
            <w:tcW w:w="182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7"/>
              </w:rPr>
              <w:t>(000’s)</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7"/>
              </w:rPr>
              <w:t>(in years)</w:t>
            </w:r>
          </w:p>
        </w:tc>
        <w:tc>
          <w:tcPr>
            <w:tcW w:w="2800" w:type="dxa"/>
            <w:vAlign w:val="bottom"/>
          </w:tcPr>
          <w:p>
            <w:pPr>
              <w:spacing w:after="0"/>
              <w:rPr>
                <w:sz w:val="23"/>
                <w:szCs w:val="23"/>
                <w:color w:val="auto"/>
              </w:rPr>
            </w:pPr>
          </w:p>
        </w:tc>
      </w:tr>
      <w:tr>
        <w:trPr>
          <w:trHeight w:val="237"/>
        </w:trPr>
        <w:tc>
          <w:tcPr>
            <w:tcW w:w="32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43"/>
        </w:trPr>
        <w:tc>
          <w:tcPr>
            <w:tcW w:w="3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2024</w:t>
            </w:r>
          </w:p>
        </w:tc>
        <w:tc>
          <w:tcPr>
            <w:tcW w:w="14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162,855</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82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5,369</w:t>
            </w:r>
          </w:p>
        </w:tc>
        <w:tc>
          <w:tcPr>
            <w:tcW w:w="190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2800" w:type="dxa"/>
            <w:vAlign w:val="bottom"/>
          </w:tcPr>
          <w:p>
            <w:pPr>
              <w:spacing w:after="0"/>
              <w:rPr>
                <w:sz w:val="21"/>
                <w:szCs w:val="21"/>
                <w:color w:val="auto"/>
              </w:rPr>
            </w:pPr>
          </w:p>
        </w:tc>
      </w:tr>
      <w:tr>
        <w:trPr>
          <w:trHeight w:val="243"/>
        </w:trPr>
        <w:tc>
          <w:tcPr>
            <w:tcW w:w="3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40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63,407</w:t>
            </w:r>
          </w:p>
        </w:tc>
        <w:tc>
          <w:tcPr>
            <w:tcW w:w="120" w:type="dxa"/>
            <w:vAlign w:val="bottom"/>
          </w:tcPr>
          <w:p>
            <w:pPr>
              <w:spacing w:after="0"/>
              <w:rPr>
                <w:sz w:val="21"/>
                <w:szCs w:val="21"/>
                <w:color w:val="auto"/>
              </w:rPr>
            </w:pPr>
          </w:p>
        </w:tc>
        <w:tc>
          <w:tcPr>
            <w:tcW w:w="182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2,894</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243"/>
        </w:trPr>
        <w:tc>
          <w:tcPr>
            <w:tcW w:w="3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4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shd w:val="clear" w:color="auto" w:fill="E5FFFF"/>
          </w:tcPr>
          <w:p>
            <w:pPr>
              <w:spacing w:after="0"/>
              <w:rPr>
                <w:sz w:val="21"/>
                <w:szCs w:val="21"/>
                <w:color w:val="auto"/>
              </w:rPr>
            </w:pPr>
          </w:p>
        </w:tc>
        <w:tc>
          <w:tcPr>
            <w:tcW w:w="182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800" w:type="dxa"/>
            <w:vAlign w:val="bottom"/>
          </w:tcPr>
          <w:p>
            <w:pPr>
              <w:spacing w:after="0"/>
              <w:rPr>
                <w:sz w:val="21"/>
                <w:szCs w:val="21"/>
                <w:color w:val="auto"/>
              </w:rPr>
            </w:pPr>
          </w:p>
        </w:tc>
      </w:tr>
      <w:tr>
        <w:trPr>
          <w:trHeight w:val="25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63,870</w:t>
            </w:r>
          </w:p>
        </w:tc>
        <w:tc>
          <w:tcPr>
            <w:tcW w:w="120" w:type="dxa"/>
            <w:vAlign w:val="bottom"/>
          </w:tcPr>
          <w:p>
            <w:pPr>
              <w:spacing w:after="0"/>
              <w:rPr>
                <w:sz w:val="22"/>
                <w:szCs w:val="22"/>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2,073</w:t>
            </w: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236"/>
        </w:trPr>
        <w:tc>
          <w:tcPr>
            <w:tcW w:w="32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70"/>
        </w:trPr>
        <w:tc>
          <w:tcPr>
            <w:tcW w:w="32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Non-Vested at October 31, 2024</w:t>
            </w:r>
          </w:p>
        </w:tc>
        <w:tc>
          <w:tcPr>
            <w:tcW w:w="14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22"/>
                <w:szCs w:val="22"/>
                <w:color w:val="auto"/>
              </w:rPr>
              <w:t>162,392</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8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22"/>
                <w:szCs w:val="22"/>
                <w:color w:val="auto"/>
              </w:rPr>
              <w:t>6,190</w:t>
            </w:r>
          </w:p>
        </w:tc>
        <w:tc>
          <w:tcPr>
            <w:tcW w:w="19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22"/>
                <w:szCs w:val="22"/>
                <w:color w:val="auto"/>
              </w:rPr>
              <w:t>2</w:t>
            </w:r>
          </w:p>
        </w:tc>
        <w:tc>
          <w:tcPr>
            <w:tcW w:w="2800" w:type="dxa"/>
            <w:vAlign w:val="bottom"/>
          </w:tcPr>
          <w:p>
            <w:pPr>
              <w:spacing w:after="0"/>
              <w:rPr>
                <w:sz w:val="23"/>
                <w:szCs w:val="23"/>
                <w:color w:val="auto"/>
              </w:rPr>
            </w:pPr>
          </w:p>
        </w:tc>
      </w:tr>
      <w:tr>
        <w:trPr>
          <w:trHeight w:val="20"/>
        </w:trPr>
        <w:tc>
          <w:tcPr>
            <w:tcW w:w="3200" w:type="dxa"/>
            <w:vAlign w:val="bottom"/>
            <w:tcBorders>
              <w:top w:val="single" w:sz="8" w:color="E5FF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8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24"/>
        </w:trPr>
        <w:tc>
          <w:tcPr>
            <w:tcW w:w="3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19</w:t>
            </w: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320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5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8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8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00" w:type="dxa"/>
            <w:vAlign w:val="bottom"/>
          </w:tcPr>
          <w:p>
            <w:pPr>
              <w:spacing w:after="0"/>
              <w:rPr>
                <w:sz w:val="24"/>
                <w:szCs w:val="24"/>
                <w:color w:val="auto"/>
              </w:rPr>
            </w:pPr>
          </w:p>
        </w:tc>
        <w:tc>
          <w:tcPr>
            <w:tcW w:w="5240" w:type="dxa"/>
            <w:vAlign w:val="bottom"/>
            <w:gridSpan w:val="7"/>
          </w:tcPr>
          <w:p>
            <w:pPr>
              <w:ind w:left="840"/>
              <w:spacing w:after="0"/>
              <w:rPr>
                <w:sz w:val="20"/>
                <w:szCs w:val="20"/>
                <w:color w:val="auto"/>
              </w:rPr>
            </w:pPr>
            <w:r>
              <w:rPr>
                <w:rFonts w:ascii="Times New Roman" w:cs="Times New Roman" w:eastAsia="Times New Roman" w:hAnsi="Times New Roman"/>
                <w:sz w:val="22"/>
                <w:szCs w:val="22"/>
                <w:b w:val="1"/>
                <w:bCs w:val="1"/>
                <w:color w:val="auto"/>
              </w:rPr>
              <w:t>Nine Months Ended October 31, 2023</w:t>
            </w:r>
          </w:p>
        </w:tc>
        <w:tc>
          <w:tcPr>
            <w:tcW w:w="0" w:type="dxa"/>
            <w:vAlign w:val="bottom"/>
          </w:tcPr>
          <w:p>
            <w:pPr>
              <w:spacing w:after="0"/>
              <w:rPr>
                <w:sz w:val="1"/>
                <w:szCs w:val="1"/>
                <w:color w:val="auto"/>
              </w:rPr>
            </w:pPr>
          </w:p>
        </w:tc>
      </w:tr>
      <w:tr>
        <w:trPr>
          <w:trHeight w:val="443"/>
        </w:trPr>
        <w:tc>
          <w:tcPr>
            <w:tcW w:w="3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Grant</w:t>
            </w:r>
          </w:p>
        </w:tc>
        <w:tc>
          <w:tcPr>
            <w:tcW w:w="19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40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6"/>
              </w:rPr>
              <w:t>Non-Vested</w:t>
            </w:r>
          </w:p>
        </w:tc>
        <w:tc>
          <w:tcPr>
            <w:tcW w:w="1940" w:type="dxa"/>
            <w:vAlign w:val="bottom"/>
            <w:gridSpan w:val="3"/>
          </w:tcPr>
          <w:p>
            <w:pPr>
              <w:jc w:val="center"/>
              <w:ind w:right="3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Fair Value</w:t>
            </w:r>
          </w:p>
        </w:tc>
        <w:tc>
          <w:tcPr>
            <w:tcW w:w="19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0" w:type="dxa"/>
            <w:vAlign w:val="bottom"/>
          </w:tcPr>
          <w:p>
            <w:pPr>
              <w:spacing w:after="0"/>
              <w:rPr>
                <w:sz w:val="1"/>
                <w:szCs w:val="1"/>
                <w:color w:val="auto"/>
              </w:rPr>
            </w:pPr>
          </w:p>
        </w:tc>
      </w:tr>
      <w:tr>
        <w:trPr>
          <w:trHeight w:val="274"/>
        </w:trPr>
        <w:tc>
          <w:tcPr>
            <w:tcW w:w="3200" w:type="dxa"/>
            <w:vAlign w:val="bottom"/>
          </w:tcPr>
          <w:p>
            <w:pPr>
              <w:spacing w:after="0"/>
              <w:rPr>
                <w:sz w:val="23"/>
                <w:szCs w:val="2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Shares</w:t>
            </w:r>
          </w:p>
        </w:tc>
        <w:tc>
          <w:tcPr>
            <w:tcW w:w="120" w:type="dxa"/>
            <w:vAlign w:val="bottom"/>
          </w:tcPr>
          <w:p>
            <w:pPr>
              <w:spacing w:after="0"/>
              <w:rPr>
                <w:sz w:val="23"/>
                <w:szCs w:val="23"/>
                <w:color w:val="auto"/>
              </w:rPr>
            </w:pPr>
          </w:p>
        </w:tc>
        <w:tc>
          <w:tcPr>
            <w:tcW w:w="182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7"/>
              </w:rPr>
              <w:t>(000’s)</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7"/>
              </w:rPr>
              <w:t>(in years)</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2023</w:t>
            </w:r>
          </w:p>
        </w:tc>
        <w:tc>
          <w:tcPr>
            <w:tcW w:w="14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81,264</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82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2,320</w:t>
            </w:r>
          </w:p>
        </w:tc>
        <w:tc>
          <w:tcPr>
            <w:tcW w:w="190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43"/>
        </w:trPr>
        <w:tc>
          <w:tcPr>
            <w:tcW w:w="3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40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113,726</w:t>
            </w:r>
          </w:p>
        </w:tc>
        <w:tc>
          <w:tcPr>
            <w:tcW w:w="120" w:type="dxa"/>
            <w:vAlign w:val="bottom"/>
          </w:tcPr>
          <w:p>
            <w:pPr>
              <w:spacing w:after="0"/>
              <w:rPr>
                <w:sz w:val="21"/>
                <w:szCs w:val="21"/>
                <w:color w:val="auto"/>
              </w:rPr>
            </w:pPr>
          </w:p>
        </w:tc>
        <w:tc>
          <w:tcPr>
            <w:tcW w:w="182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3,945</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40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shd w:val="clear" w:color="auto" w:fill="E5FFFF"/>
          </w:tcPr>
          <w:p>
            <w:pPr>
              <w:spacing w:after="0"/>
              <w:rPr>
                <w:sz w:val="21"/>
                <w:szCs w:val="21"/>
                <w:color w:val="auto"/>
              </w:rPr>
            </w:pPr>
          </w:p>
        </w:tc>
        <w:tc>
          <w:tcPr>
            <w:tcW w:w="182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32,135</w:t>
            </w:r>
          </w:p>
        </w:tc>
        <w:tc>
          <w:tcPr>
            <w:tcW w:w="120" w:type="dxa"/>
            <w:vAlign w:val="bottom"/>
          </w:tcPr>
          <w:p>
            <w:pPr>
              <w:spacing w:after="0"/>
              <w:rPr>
                <w:sz w:val="22"/>
                <w:szCs w:val="22"/>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896</w:t>
            </w: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Non-Vested at October 31, 2023</w:t>
            </w:r>
          </w:p>
        </w:tc>
        <w:tc>
          <w:tcPr>
            <w:tcW w:w="14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22"/>
                <w:szCs w:val="22"/>
                <w:color w:val="auto"/>
              </w:rPr>
              <w:t>162,855</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8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22"/>
                <w:szCs w:val="22"/>
                <w:color w:val="auto"/>
              </w:rPr>
              <w:t>5,369</w:t>
            </w:r>
          </w:p>
        </w:tc>
        <w:tc>
          <w:tcPr>
            <w:tcW w:w="19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0"/>
        </w:trPr>
        <w:tc>
          <w:tcPr>
            <w:tcW w:w="320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Restricted Stock Units (“RSUs”)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8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2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In May 2022, the Company issued a total of 67,500 RSUs to certain officers. The number of RSUs eligible to vest will be determined based on how the Company’s TSR compares to the TSR of companies that comprise the Russell 2000 Index during the performance period ending December 31, 2024. The number of RSUs eligible to vest ranges from zero percent to two hundred percent, depending on actual performance during the performance period.</w:t>
      </w:r>
    </w:p>
    <w:p>
      <w:pPr>
        <w:spacing w:after="0" w:line="207"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The Company recognized approximately $0.3 million in each of the three-month periods ended October 31, 2024 and 2023. The Company recognized $0.8 million in each of the nine-month periods ended October 31, 2024 and 2023. Unrecognized compensation cost related to the RSUs at October 31, 2024 was approximately $0.2 million, to be recognized over a weighted average vesting term of 2 months.</w:t>
      </w:r>
    </w:p>
    <w:p>
      <w:pPr>
        <w:spacing w:after="0" w:line="207" w:lineRule="exact"/>
        <w:rPr>
          <w:sz w:val="20"/>
          <w:szCs w:val="20"/>
          <w:color w:val="auto"/>
        </w:rPr>
      </w:pPr>
    </w:p>
    <w:p>
      <w:pPr>
        <w:ind w:right="320" w:firstLine="648"/>
        <w:spacing w:after="0" w:line="244" w:lineRule="auto"/>
        <w:rPr>
          <w:sz w:val="20"/>
          <w:szCs w:val="20"/>
          <w:color w:val="auto"/>
        </w:rPr>
      </w:pPr>
      <w:r>
        <w:rPr>
          <w:rFonts w:ascii="Times New Roman" w:cs="Times New Roman" w:eastAsia="Times New Roman" w:hAnsi="Times New Roman"/>
          <w:sz w:val="22"/>
          <w:szCs w:val="22"/>
          <w:color w:val="auto"/>
        </w:rPr>
        <w:t>The Company determined there to be no dilutive impact on earnings per share for the first three quarters of fiscal year 2023. For the three- and nine-months periods ended October 31, 2024, we calculated the diluted weighted average shares as follows (amounts in thousands):</w:t>
      </w:r>
    </w:p>
    <w:p>
      <w:pPr>
        <w:sectPr>
          <w:pgSz w:w="11900" w:h="16838" w:orient="portrait"/>
          <w:cols w:equalWidth="0" w:num="1">
            <w:col w:w="11160"/>
          </w:cols>
          <w:pgMar w:left="320" w:top="39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300"/>
        <w:spacing w:after="0" w:line="268" w:lineRule="auto"/>
        <w:rPr>
          <w:sz w:val="20"/>
          <w:szCs w:val="20"/>
          <w:color w:val="auto"/>
        </w:rPr>
      </w:pPr>
      <w:r>
        <w:rPr>
          <w:rFonts w:ascii="Times New Roman" w:cs="Times New Roman" w:eastAsia="Times New Roman" w:hAnsi="Times New Roman"/>
          <w:sz w:val="21"/>
          <w:szCs w:val="21"/>
          <w:color w:val="auto"/>
        </w:rPr>
        <w:t>Weighted average shares – basic Dilutive effect of RSUs Weighted average shares – diluted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w:t>
      </w:r>
      <w:r>
        <w:rPr>
          <w:rFonts w:ascii="Times New Roman" w:cs="Times New Roman" w:eastAsia="Times New Roman" w:hAnsi="Times New Roman"/>
          <w:sz w:val="22"/>
          <w:szCs w:val="22"/>
          <w:b w:val="1"/>
          <w:bCs w:val="1"/>
          <w:i w:val="1"/>
          <w:iCs w:val="1"/>
          <w:color w:val="auto"/>
        </w:rPr>
        <w:t>. Income Taxes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08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Nine Months Ended</w:t>
            </w:r>
          </w:p>
        </w:tc>
      </w:tr>
      <w:tr>
        <w:trPr>
          <w:trHeight w:val="247"/>
        </w:trPr>
        <w:tc>
          <w:tcPr>
            <w:tcW w:w="2080" w:type="dxa"/>
            <w:vAlign w:val="bottom"/>
            <w:gridSpan w:val="3"/>
          </w:tcPr>
          <w:p>
            <w:pPr>
              <w:jc w:val="center"/>
              <w:ind w:right="120"/>
              <w:spacing w:after="0" w:line="247" w:lineRule="exact"/>
              <w:rPr>
                <w:sz w:val="20"/>
                <w:szCs w:val="20"/>
                <w:color w:val="auto"/>
              </w:rPr>
            </w:pPr>
            <w:r>
              <w:rPr>
                <w:rFonts w:ascii="Times New Roman" w:cs="Times New Roman" w:eastAsia="Times New Roman" w:hAnsi="Times New Roman"/>
                <w:sz w:val="22"/>
                <w:szCs w:val="22"/>
                <w:b w:val="1"/>
                <w:bCs w:val="1"/>
                <w:color w:val="auto"/>
                <w:w w:val="97"/>
              </w:rPr>
              <w:t>October 31, 2024</w:t>
            </w:r>
          </w:p>
        </w:tc>
        <w:tc>
          <w:tcPr>
            <w:tcW w:w="1960" w:type="dxa"/>
            <w:vAlign w:val="bottom"/>
            <w:gridSpan w:val="3"/>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7"/>
              </w:rPr>
              <w:t>October 31, 2024</w:t>
            </w:r>
          </w:p>
        </w:tc>
      </w:tr>
      <w:tr>
        <w:trPr>
          <w:trHeight w:val="256"/>
        </w:trPr>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17,595</w:t>
            </w:r>
          </w:p>
        </w:tc>
        <w:tc>
          <w:tcPr>
            <w:tcW w:w="78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17,550</w:t>
            </w:r>
          </w:p>
        </w:tc>
        <w:tc>
          <w:tcPr>
            <w:tcW w:w="640" w:type="dxa"/>
            <w:vAlign w:val="bottom"/>
          </w:tcPr>
          <w:p>
            <w:pPr>
              <w:spacing w:after="0"/>
              <w:rPr>
                <w:sz w:val="22"/>
                <w:szCs w:val="22"/>
                <w:color w:val="auto"/>
              </w:rPr>
            </w:pPr>
          </w:p>
        </w:tc>
      </w:tr>
      <w:tr>
        <w:trPr>
          <w:trHeight w:val="270"/>
        </w:trPr>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128</w:t>
            </w:r>
          </w:p>
        </w:tc>
        <w:tc>
          <w:tcPr>
            <w:tcW w:w="78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123</w:t>
            </w:r>
          </w:p>
        </w:tc>
        <w:tc>
          <w:tcPr>
            <w:tcW w:w="640" w:type="dxa"/>
            <w:vAlign w:val="bottom"/>
          </w:tcPr>
          <w:p>
            <w:pPr>
              <w:spacing w:after="0"/>
              <w:rPr>
                <w:sz w:val="23"/>
                <w:szCs w:val="23"/>
                <w:color w:val="auto"/>
              </w:rPr>
            </w:pPr>
          </w:p>
        </w:tc>
      </w:tr>
      <w:tr>
        <w:trPr>
          <w:trHeight w:val="250"/>
        </w:trPr>
        <w:tc>
          <w:tcPr>
            <w:tcW w:w="66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17,723</w:t>
            </w: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5"/>
              </w:rPr>
              <w:t>17,673</w:t>
            </w:r>
          </w:p>
        </w:tc>
        <w:tc>
          <w:tcPr>
            <w:tcW w:w="64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-513715</wp:posOffset>
            </wp:positionV>
            <wp:extent cx="570039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-196215</wp:posOffset>
            </wp:positionV>
            <wp:extent cx="570039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662" w:lineRule="exact"/>
        <w:rPr>
          <w:sz w:val="20"/>
          <w:szCs w:val="20"/>
          <w:color w:val="auto"/>
        </w:rPr>
      </w:pPr>
    </w:p>
    <w:p>
      <w:pPr>
        <w:sectPr>
          <w:pgSz w:w="11900" w:h="16838" w:orient="portrait"/>
          <w:cols w:equalWidth="0" w:num="2">
            <w:col w:w="4260" w:space="720"/>
            <w:col w:w="6180"/>
          </w:cols>
          <w:pgMar w:left="320" w:top="392" w:right="419" w:bottom="1440" w:gutter="0" w:footer="0" w:header="0"/>
          <w:type w:val="continuous"/>
        </w:sectPr>
      </w:pPr>
    </w:p>
    <w:p>
      <w:pPr>
        <w:spacing w:after="0" w:line="39" w:lineRule="exact"/>
        <w:rPr>
          <w:sz w:val="20"/>
          <w:szCs w:val="20"/>
          <w:color w:val="auto"/>
        </w:rPr>
      </w:pPr>
    </w:p>
    <w:p>
      <w:pPr>
        <w:ind w:right="480" w:firstLine="648"/>
        <w:spacing w:after="0" w:line="244" w:lineRule="auto"/>
        <w:rPr>
          <w:sz w:val="20"/>
          <w:szCs w:val="20"/>
          <w:color w:val="auto"/>
        </w:rPr>
      </w:pPr>
      <w:r>
        <w:rPr>
          <w:rFonts w:ascii="Times New Roman" w:cs="Times New Roman" w:eastAsia="Times New Roman" w:hAnsi="Times New Roman"/>
          <w:sz w:val="22"/>
          <w:szCs w:val="22"/>
          <w:color w:val="auto"/>
        </w:rPr>
        <w:t>The Company’s income tax provision was approximately $9.4 million and $9.6 million for the three months ended October 31, 2024 and 2023, respectively. The Company’s income tax provision was approximately $17.6 million and $15.4 million for the nine months ended October 31, 2024 and 2023, respectively.</w:t>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392" w:right="419" w:bottom="1440" w:gutter="0" w:footer="0" w:header="0"/>
          <w:type w:val="continuous"/>
        </w:sectPr>
      </w:pPr>
    </w:p>
    <w:bookmarkStart w:id="20" w:name="page21"/>
    <w:bookmarkEnd w:id="20"/>
    <w:p>
      <w:pPr>
        <w:ind w:firstLine="648"/>
        <w:spacing w:after="0" w:line="239" w:lineRule="auto"/>
        <w:rPr>
          <w:sz w:val="20"/>
          <w:szCs w:val="20"/>
          <w:color w:val="auto"/>
        </w:rPr>
      </w:pPr>
      <w:r>
        <w:rPr>
          <w:rFonts w:ascii="Times New Roman" w:cs="Times New Roman" w:eastAsia="Times New Roman" w:hAnsi="Times New Roman"/>
          <w:sz w:val="22"/>
          <w:szCs w:val="22"/>
          <w:color w:val="auto"/>
        </w:rPr>
        <w:t>The Company assessed all available positive and negative evidence to determine whether it expects sufficient future taxable income will be generated to allow for the realization of existing federal deferred tax assets. There is sufficient objectively verifiable income for management to conclude that it is more likely than not that the Company will utilize available federal deferred tax assets prior to their expiration.</w:t>
      </w:r>
    </w:p>
    <w:p>
      <w:pPr>
        <w:spacing w:after="0" w:line="207"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through January 31, 2022 related to refined coal production tax credits pursuant to IRC Section 45 and research and experimentation credits pursuant to IRC Section 41 claimed during those years.</w:t>
      </w:r>
    </w:p>
    <w:p>
      <w:pPr>
        <w:spacing w:after="0" w:line="204" w:lineRule="exact"/>
        <w:rPr>
          <w:sz w:val="20"/>
          <w:szCs w:val="20"/>
          <w:color w:val="auto"/>
        </w:rPr>
      </w:pPr>
    </w:p>
    <w:p>
      <w:pPr>
        <w:ind w:right="240" w:firstLine="648"/>
        <w:spacing w:after="0" w:line="239" w:lineRule="auto"/>
        <w:rPr>
          <w:sz w:val="20"/>
          <w:szCs w:val="20"/>
          <w:color w:val="auto"/>
        </w:rPr>
      </w:pPr>
      <w:r>
        <w:rPr>
          <w:rFonts w:ascii="Times New Roman" w:cs="Times New Roman" w:eastAsia="Times New Roman" w:hAnsi="Times New Roman"/>
          <w:sz w:val="22"/>
          <w:szCs w:val="22"/>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w:t>
      </w:r>
    </w:p>
    <w:p>
      <w:pPr>
        <w:spacing w:after="0" w:line="20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A reconciliation of the beginning and ending amount of unrecognized tax benefits, including interest and penalties, is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60" w:type="dxa"/>
            <w:vAlign w:val="bottom"/>
            <w:gridSpan w:val="6"/>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7"/>
              </w:rPr>
              <w:t>Nine Months Ended</w:t>
            </w:r>
          </w:p>
        </w:tc>
      </w:tr>
      <w:tr>
        <w:trPr>
          <w:trHeight w:val="257"/>
        </w:trPr>
        <w:tc>
          <w:tcPr>
            <w:tcW w:w="6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60" w:type="dxa"/>
            <w:vAlign w:val="bottom"/>
            <w:gridSpan w:val="6"/>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October 31,</w:t>
            </w:r>
          </w:p>
        </w:tc>
      </w:tr>
      <w:tr>
        <w:trPr>
          <w:trHeight w:val="274"/>
        </w:trPr>
        <w:tc>
          <w:tcPr>
            <w:tcW w:w="60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37"/>
        </w:trPr>
        <w:tc>
          <w:tcPr>
            <w:tcW w:w="6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0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Unrecognized tax benefits, beginning of period</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gridSpan w:val="2"/>
            <w:shd w:val="clear" w:color="auto" w:fill="E5FFFF"/>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18,965</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19,088</w:t>
            </w:r>
          </w:p>
        </w:tc>
        <w:tc>
          <w:tcPr>
            <w:tcW w:w="120" w:type="dxa"/>
            <w:vAlign w:val="bottom"/>
            <w:shd w:val="clear" w:color="auto" w:fill="E5FFFF"/>
          </w:tcPr>
          <w:p>
            <w:pPr>
              <w:spacing w:after="0"/>
              <w:rPr>
                <w:sz w:val="21"/>
                <w:szCs w:val="21"/>
                <w:color w:val="auto"/>
              </w:rPr>
            </w:pPr>
          </w:p>
        </w:tc>
      </w:tr>
      <w:tr>
        <w:trPr>
          <w:trHeight w:val="243"/>
        </w:trPr>
        <w:tc>
          <w:tcPr>
            <w:tcW w:w="6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Changes for prior years’ tax positions</w:t>
            </w:r>
          </w:p>
        </w:tc>
        <w:tc>
          <w:tcPr>
            <w:tcW w:w="160" w:type="dxa"/>
            <w:vAlign w:val="bottom"/>
          </w:tcPr>
          <w:p>
            <w:pPr>
              <w:spacing w:after="0"/>
              <w:rPr>
                <w:sz w:val="21"/>
                <w:szCs w:val="21"/>
                <w:color w:val="auto"/>
              </w:rPr>
            </w:pPr>
          </w:p>
        </w:tc>
        <w:tc>
          <w:tcPr>
            <w:tcW w:w="1180" w:type="dxa"/>
            <w:vAlign w:val="bottom"/>
            <w:gridSpan w:val="2"/>
          </w:tcPr>
          <w:p>
            <w:pPr>
              <w:jc w:val="right"/>
              <w:ind w:right="380"/>
              <w:spacing w:after="0" w:line="243" w:lineRule="exact"/>
              <w:rPr>
                <w:sz w:val="20"/>
                <w:szCs w:val="20"/>
                <w:color w:val="auto"/>
              </w:rPr>
            </w:pPr>
            <w:r>
              <w:rPr>
                <w:rFonts w:ascii="Times New Roman" w:cs="Times New Roman" w:eastAsia="Times New Roman" w:hAnsi="Times New Roman"/>
                <w:sz w:val="22"/>
                <w:szCs w:val="22"/>
                <w:color w:val="auto"/>
              </w:rPr>
              <w:t>21</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120" w:type="dxa"/>
            <w:vAlign w:val="bottom"/>
          </w:tcPr>
          <w:p>
            <w:pPr>
              <w:spacing w:after="0"/>
              <w:rPr>
                <w:sz w:val="21"/>
                <w:szCs w:val="21"/>
                <w:color w:val="auto"/>
              </w:rPr>
            </w:pPr>
          </w:p>
        </w:tc>
      </w:tr>
      <w:tr>
        <w:trPr>
          <w:trHeight w:val="256"/>
        </w:trPr>
        <w:tc>
          <w:tcPr>
            <w:tcW w:w="602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Changes for current year tax positions</w:t>
            </w:r>
          </w:p>
        </w:tc>
        <w:tc>
          <w:tcPr>
            <w:tcW w:w="160" w:type="dxa"/>
            <w:vAlign w:val="bottom"/>
            <w:shd w:val="clear" w:color="auto" w:fill="E5FFFF"/>
          </w:tcPr>
          <w:p>
            <w:pPr>
              <w:spacing w:after="0"/>
              <w:rPr>
                <w:sz w:val="22"/>
                <w:szCs w:val="22"/>
                <w:color w:val="auto"/>
              </w:rPr>
            </w:pPr>
          </w:p>
        </w:tc>
        <w:tc>
          <w:tcPr>
            <w:tcW w:w="1180" w:type="dxa"/>
            <w:vAlign w:val="bottom"/>
            <w:gridSpan w:val="2"/>
            <w:shd w:val="clear" w:color="auto" w:fill="E5FFFF"/>
          </w:tcPr>
          <w:p>
            <w:pPr>
              <w:jc w:val="right"/>
              <w:ind w:right="38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E5FFFF"/>
          </w:tcPr>
          <w:p>
            <w:pPr>
              <w:spacing w:after="0"/>
              <w:rPr>
                <w:sz w:val="22"/>
                <w:szCs w:val="22"/>
                <w:color w:val="auto"/>
              </w:rPr>
            </w:pPr>
          </w:p>
        </w:tc>
        <w:tc>
          <w:tcPr>
            <w:tcW w:w="7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shd w:val="clear" w:color="auto" w:fill="E5FFFF"/>
          </w:tcPr>
          <w:p>
            <w:pPr>
              <w:spacing w:after="0"/>
              <w:rPr>
                <w:sz w:val="22"/>
                <w:szCs w:val="22"/>
                <w:color w:val="auto"/>
              </w:rPr>
            </w:pPr>
          </w:p>
        </w:tc>
      </w:tr>
      <w:tr>
        <w:trPr>
          <w:trHeight w:val="250"/>
        </w:trPr>
        <w:tc>
          <w:tcPr>
            <w:tcW w:w="60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Unrecognized tax benefits, end of period</w:t>
            </w:r>
          </w:p>
        </w:tc>
        <w:tc>
          <w:tcPr>
            <w:tcW w:w="1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18,986</w:t>
            </w:r>
          </w:p>
        </w:tc>
        <w:tc>
          <w:tcPr>
            <w:tcW w:w="3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19,097</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21"/>
          <w:szCs w:val="21"/>
          <w:color w:val="auto"/>
        </w:rPr>
        <w:t>At October 31, 2024 and January 31, 2024, approximately $16.4 million of the unrecognized tax benefits balance was recorded on the accompanying Consolidated Balance Sheets within “Deferred taxes” and “Other assets”, respectively, $0.6 million was recorded within “Other long-term liabilities”, and $2.0 million was recorded within “Refundable income taxes”.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w:t>
      </w:r>
      <w:r>
        <w:rPr>
          <w:rFonts w:ascii="Times New Roman" w:cs="Times New Roman" w:eastAsia="Times New Roman" w:hAnsi="Times New Roman"/>
          <w:sz w:val="22"/>
          <w:szCs w:val="22"/>
          <w:b w:val="1"/>
          <w:bCs w:val="1"/>
          <w:i w:val="1"/>
          <w:iCs w:val="1"/>
          <w:color w:val="auto"/>
        </w:rPr>
        <w:t>Commitments and Contingencies</w:t>
      </w:r>
    </w:p>
    <w:p>
      <w:pPr>
        <w:spacing w:after="0" w:line="239"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The Company may be involved in various legal actions arising in the normal course of business, from time to time. After taking into consideration legal counsel’s evaluations of any such action(s), management is of the opinion that their outcome will not have a material adverse effect on the Company’s Consolidated Financial Statements. There were no liabilities recorded at October 31, 2024 and January 31, 2024, as the Company did not believe that there was a probable and reasonably estimable loss associated with any legal contingencies.</w:t>
      </w:r>
    </w:p>
    <w:p>
      <w:pPr>
        <w:spacing w:after="0" w:line="204"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At October 31, 2024, One Earth and NuGen had combined forward purchase contracts for approximately 16.5 million bushels of corn, the principal raw material for their ethanol plants, and they</w:t>
      </w:r>
    </w:p>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have combined forward purchase contracts for approximately 1.1 million MmBtu (million British thermal unit) of natural gas.</w:t>
      </w:r>
    </w:p>
    <w:p>
      <w:pPr>
        <w:spacing w:after="0" w:line="23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At October 31, 2024, One Earth and NuGen had combined sales commitments for approximately 53.5 million gallons of ethanol, approximately 102,900 tons of distillers grains and approximately 8.2 million pounds of distillers corn oil.</w:t>
      </w:r>
    </w:p>
    <w:p>
      <w:pPr>
        <w:spacing w:after="0" w:line="185"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At October 31, 2024, One Earth had signed non-cancelable contracts for capital projects with approximately $9.8 million remaining in future payments, of which $2.4 million is related to One Earth’s carbon sequestration project and $7.4 million relates to its ongoing plant expansion.</w:t>
      </w:r>
    </w:p>
    <w:p>
      <w:pPr>
        <w:spacing w:after="0" w:line="200" w:lineRule="exact"/>
        <w:rPr>
          <w:sz w:val="20"/>
          <w:szCs w:val="20"/>
          <w:color w:val="auto"/>
        </w:rPr>
      </w:pPr>
    </w:p>
    <w:p>
      <w:pPr>
        <w:ind w:right="260" w:firstLine="648"/>
        <w:spacing w:after="0" w:line="239" w:lineRule="auto"/>
        <w:rPr>
          <w:sz w:val="20"/>
          <w:szCs w:val="20"/>
          <w:color w:val="auto"/>
        </w:rPr>
      </w:pPr>
      <w:r>
        <w:rPr>
          <w:rFonts w:ascii="Times New Roman" w:cs="Times New Roman" w:eastAsia="Times New Roman" w:hAnsi="Times New Roman"/>
          <w:sz w:val="22"/>
          <w:szCs w:val="22"/>
          <w:color w:val="auto"/>
        </w:rPr>
        <w:t>At October 31, 2024, One Earth had a facilities rental agreement with a utility provider that has been executed and is scheduled to commence in early 2025. The remaining future payments are estimated to be approximately $4.7 million over an initial term of ten years. The facility will service both the One Earth Energy ethanol plant and the planned carbon sequestration compression facility.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w:t>
      </w:r>
      <w:r>
        <w:rPr>
          <w:rFonts w:ascii="Times New Roman" w:cs="Times New Roman" w:eastAsia="Times New Roman" w:hAnsi="Times New Roman"/>
          <w:sz w:val="22"/>
          <w:szCs w:val="22"/>
          <w:b w:val="1"/>
          <w:bCs w:val="1"/>
          <w:i w:val="1"/>
          <w:iCs w:val="1"/>
          <w:color w:val="auto"/>
        </w:rPr>
        <w:t>Related-Party Transactions</w:t>
      </w:r>
    </w:p>
    <w:p>
      <w:pPr>
        <w:spacing w:after="0" w:line="23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During the third quarters of fiscal years 2024 and 2023, One Earth and NuGen purchased approximately $22.7 million and $32.7 million, respectively, of corn (and other supplies) from minority equity investors and board members of those affiliates. Such purchases totaled approximately $81.7 million and $92.6 million for the nine months ended October 31, 2024 and 2023, respectively. The Company had amounts payable to related parties of approximately $1.2 million and $5.8 million at October, 31, 2024 and January 31, 2024, respectively.</w:t>
      </w:r>
    </w:p>
    <w:p>
      <w:pPr>
        <w:spacing w:after="0" w:line="204"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During the nine months ended October 31, 2024, $1.5 million was paid to landowners who are minority equity investors of One Earth Energy, for land easements related to the carbon sequestration project. There were no amounts paid to related parties for land easements in the three-month period ended October 31, 2024.</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Ethanol and By-Products</w:t>
      </w:r>
    </w:p>
    <w:p>
      <w:pPr>
        <w:spacing w:after="0" w:line="23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At October 31, 2024, we had investments in three ethanol limited liability companies, in two of which we have a majority ownership interest. The following table is a summary of ethanol entity ownership interests at October 31, 2024:</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6760" w:type="dxa"/>
            <w:vAlign w:val="bottom"/>
            <w:tcBorders>
              <w:top w:val="single" w:sz="8" w:color="auto"/>
              <w:left w:val="single" w:sz="8" w:color="auto"/>
              <w:right w:val="single" w:sz="8" w:color="auto"/>
            </w:tcBorders>
          </w:tcPr>
          <w:p>
            <w:pPr>
              <w:spacing w:after="0"/>
              <w:rPr>
                <w:sz w:val="19"/>
                <w:szCs w:val="19"/>
                <w:color w:val="auto"/>
              </w:rPr>
            </w:pPr>
          </w:p>
        </w:tc>
        <w:tc>
          <w:tcPr>
            <w:tcW w:w="2240" w:type="dxa"/>
            <w:vAlign w:val="bottom"/>
            <w:tcBorders>
              <w:top w:val="single" w:sz="8" w:color="auto"/>
              <w:right w:val="single" w:sz="8" w:color="auto"/>
            </w:tcBorders>
          </w:tcPr>
          <w:p>
            <w:pPr>
              <w:spacing w:after="0"/>
              <w:rPr>
                <w:sz w:val="19"/>
                <w:szCs w:val="19"/>
                <w:color w:val="auto"/>
              </w:rPr>
            </w:pPr>
          </w:p>
        </w:tc>
        <w:tc>
          <w:tcPr>
            <w:tcW w:w="2240" w:type="dxa"/>
            <w:vAlign w:val="bottom"/>
            <w:tcBorders>
              <w:top w:val="single" w:sz="8" w:color="auto"/>
              <w:right w:val="single" w:sz="8" w:color="auto"/>
            </w:tcBorders>
          </w:tcPr>
          <w:p>
            <w:pPr>
              <w:jc w:val="right"/>
              <w:ind w:right="312"/>
              <w:spacing w:after="0" w:line="225" w:lineRule="exact"/>
              <w:rPr>
                <w:sz w:val="20"/>
                <w:szCs w:val="20"/>
                <w:color w:val="auto"/>
              </w:rPr>
            </w:pPr>
            <w:r>
              <w:rPr>
                <w:rFonts w:ascii="Times New Roman" w:cs="Times New Roman" w:eastAsia="Times New Roman" w:hAnsi="Times New Roman"/>
                <w:sz w:val="22"/>
                <w:szCs w:val="22"/>
                <w:b w:val="1"/>
                <w:bCs w:val="1"/>
                <w:color w:val="auto"/>
              </w:rPr>
              <w:t>REX’s Current</w:t>
            </w:r>
          </w:p>
        </w:tc>
      </w:tr>
      <w:tr>
        <w:trPr>
          <w:trHeight w:val="274"/>
        </w:trPr>
        <w:tc>
          <w:tcPr>
            <w:tcW w:w="6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2240" w:type="dxa"/>
            <w:vAlign w:val="bottom"/>
            <w:tcBorders>
              <w:bottom w:val="single" w:sz="8" w:color="auto"/>
              <w:right w:val="single" w:sz="8" w:color="auto"/>
            </w:tcBorders>
          </w:tcPr>
          <w:p>
            <w:pPr>
              <w:jc w:val="right"/>
              <w:ind w:right="612"/>
              <w:spacing w:after="0"/>
              <w:rPr>
                <w:sz w:val="20"/>
                <w:szCs w:val="20"/>
                <w:color w:val="auto"/>
              </w:rPr>
            </w:pPr>
            <w:r>
              <w:rPr>
                <w:rFonts w:ascii="Times New Roman" w:cs="Times New Roman" w:eastAsia="Times New Roman" w:hAnsi="Times New Roman"/>
                <w:sz w:val="22"/>
                <w:szCs w:val="22"/>
                <w:b w:val="1"/>
                <w:bCs w:val="1"/>
                <w:color w:val="auto"/>
              </w:rPr>
              <w:t>Location</w:t>
            </w:r>
          </w:p>
        </w:tc>
        <w:tc>
          <w:tcPr>
            <w:tcW w:w="224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Ownership Interest</w:t>
            </w:r>
          </w:p>
        </w:tc>
      </w:tr>
      <w:tr>
        <w:trPr>
          <w:trHeight w:val="237"/>
        </w:trPr>
        <w:tc>
          <w:tcPr>
            <w:tcW w:w="676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One Earth Energy, LLC</w:t>
            </w:r>
          </w:p>
        </w:tc>
        <w:tc>
          <w:tcPr>
            <w:tcW w:w="22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Gibson City, IL</w:t>
            </w:r>
          </w:p>
        </w:tc>
        <w:tc>
          <w:tcPr>
            <w:tcW w:w="22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75.9%</w:t>
            </w:r>
          </w:p>
        </w:tc>
      </w:tr>
      <w:tr>
        <w:trPr>
          <w:trHeight w:val="237"/>
        </w:trPr>
        <w:tc>
          <w:tcPr>
            <w:tcW w:w="676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NuGen Energy, LLC</w:t>
            </w:r>
          </w:p>
        </w:tc>
        <w:tc>
          <w:tcPr>
            <w:tcW w:w="22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Marion, SD</w:t>
            </w:r>
          </w:p>
        </w:tc>
        <w:tc>
          <w:tcPr>
            <w:tcW w:w="22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99.7%</w:t>
            </w:r>
          </w:p>
        </w:tc>
      </w:tr>
      <w:tr>
        <w:trPr>
          <w:trHeight w:val="209"/>
        </w:trPr>
        <w:tc>
          <w:tcPr>
            <w:tcW w:w="67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Big River Resources, LLC:</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43"/>
        </w:trPr>
        <w:tc>
          <w:tcPr>
            <w:tcW w:w="676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W Burlington, LLC</w:t>
            </w:r>
          </w:p>
        </w:tc>
        <w:tc>
          <w:tcPr>
            <w:tcW w:w="224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 Burlington, IA</w:t>
            </w:r>
          </w:p>
        </w:tc>
        <w:tc>
          <w:tcPr>
            <w:tcW w:w="224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676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Galva, LLC</w:t>
            </w:r>
          </w:p>
        </w:tc>
        <w:tc>
          <w:tcPr>
            <w:tcW w:w="224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Galva, IL</w:t>
            </w:r>
          </w:p>
        </w:tc>
        <w:tc>
          <w:tcPr>
            <w:tcW w:w="224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676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United Energy, LLC</w:t>
            </w:r>
          </w:p>
        </w:tc>
        <w:tc>
          <w:tcPr>
            <w:tcW w:w="224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Dyersville, IA</w:t>
            </w:r>
          </w:p>
        </w:tc>
        <w:tc>
          <w:tcPr>
            <w:tcW w:w="224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70"/>
        </w:trPr>
        <w:tc>
          <w:tcPr>
            <w:tcW w:w="676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Big River Resources Boyceville, LLC</w:t>
            </w:r>
          </w:p>
        </w:tc>
        <w:tc>
          <w:tcPr>
            <w:tcW w:w="22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Boyceville, WI</w:t>
            </w:r>
          </w:p>
        </w:tc>
        <w:tc>
          <w:tcPr>
            <w:tcW w:w="22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10.3%</w:t>
            </w:r>
          </w:p>
        </w:tc>
      </w:tr>
    </w:tbl>
    <w:p>
      <w:pPr>
        <w:spacing w:after="0" w:line="216"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Our ethanol operations and the results thereof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21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208" w:lineRule="exact"/>
        <w:rPr>
          <w:sz w:val="20"/>
          <w:szCs w:val="20"/>
          <w:color w:val="auto"/>
        </w:rPr>
      </w:pPr>
    </w:p>
    <w:p>
      <w:pPr>
        <w:ind w:right="220" w:firstLine="648"/>
        <w:spacing w:after="0" w:line="251" w:lineRule="auto"/>
        <w:rPr>
          <w:sz w:val="20"/>
          <w:szCs w:val="20"/>
          <w:color w:val="auto"/>
        </w:rPr>
      </w:pPr>
      <w:r>
        <w:rPr>
          <w:rFonts w:ascii="Times New Roman" w:cs="Times New Roman" w:eastAsia="Times New Roman" w:hAnsi="Times New Roman"/>
          <w:sz w:val="21"/>
          <w:szCs w:val="21"/>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 contracts with an appropriate quantity of corn purchase contracts over a given period of time when we can obtain an adequate gross margin resulting from the crush spread inherent in the contracts we have executed. However, the market for future ethanol sales contracts generally lags the spot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23" w:name="page24"/>
    <w:bookmarkEnd w:id="23"/>
    <w:p>
      <w:pPr>
        <w:ind w:right="40"/>
        <w:spacing w:after="0" w:line="235" w:lineRule="auto"/>
        <w:rPr>
          <w:sz w:val="20"/>
          <w:szCs w:val="20"/>
          <w:color w:val="auto"/>
        </w:rPr>
      </w:pPr>
      <w:r>
        <w:rPr>
          <w:rFonts w:ascii="Times New Roman" w:cs="Times New Roman" w:eastAsia="Times New Roman" w:hAnsi="Times New Roman"/>
          <w:sz w:val="22"/>
          <w:szCs w:val="22"/>
          <w:color w:val="auto"/>
        </w:rPr>
        <w:t>market with respect to ethanol price. Consequently, we generally execute fixed price ethanol contracts for no more than four months into the future at any given time and we may lock in our corn or ethanol price without having a corresponding locked in ethanol or corn price for short durations of time. As a result of the relatively short period of time during which our fixed price contracts are fulfilled,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and swap contracts, in conjunction with certain of our corn procurement activities and commodity marketing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One Earth Energy, LLC Carbon Sequestration and Plant Expansion</w:t>
      </w:r>
    </w:p>
    <w:p>
      <w:pPr>
        <w:spacing w:after="0" w:line="23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Through our affiliate, One Earth Energy, LLC, we are in the developmental stage of a carbon sequestration project near the One Earth Energy ethanol plant in Gibson City, IL. A test well has been drilled to a total depth of approximately 7,100 feet, in which almost 2,000 feet of Mt. Simon Sandstone was encountered, which is the geological formation that is the region’s primary carbon storage resource. Three-dimensional seismic testing has been performed, as well as geological modeling for predicting the movement of injected carbon and the plume area to determine maximum injection pressure, reservoir quality and storage capacity for the potential wells. In October 2022, we applied for a Class VI injection well permit for three wells with the U.S. Environmental Protection Agency (“EPA”), and we continue to provide information to the EPA during the technical review of our application upon request. We currently expect the EPA to prepare a draft permit by the first quarter of 2025 and make a final permit decision by the third quarter of 2025, according to the EPA’s Class VI Permit Tracker Dashboard on their website. We have now secured sufficient subsurface easements for the proposed first injection well to allow for sequestration of all the carbon emissions from the One Earth Energy ethanol plant for a minimum of 15 years. We also need to obtain a county special-use zoning permit for the sequestration site. Last year, we began construction of a facility to capture, dehydrate, and compress carbon dioxide from the One Earth Energy ethanol plant to a state suitable for sequestration. We are nearing the completion of construction of the capture and compression facility.</w:t>
      </w:r>
    </w:p>
    <w:p>
      <w:pPr>
        <w:spacing w:after="0" w:line="207"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21"/>
          <w:szCs w:val="21"/>
          <w:color w:val="auto"/>
        </w:rPr>
        <w:t>In October 2023, we submitted an application to the Illinois Commerce Commission (“ICC”) for a certificate of authority under the state’s Carbon Dioxide Transportation and Sequestration Act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Act”) to build a short pipeline to deliver carbon</w:t>
      </w:r>
    </w:p>
    <w:p>
      <w:pPr>
        <w:ind w:right="100"/>
        <w:spacing w:after="0" w:line="224" w:lineRule="auto"/>
        <w:rPr>
          <w:sz w:val="20"/>
          <w:szCs w:val="20"/>
          <w:color w:val="auto"/>
        </w:rPr>
      </w:pPr>
      <w:r>
        <w:rPr>
          <w:rFonts w:ascii="Times New Roman" w:cs="Times New Roman" w:eastAsia="Times New Roman" w:hAnsi="Times New Roman"/>
          <w:sz w:val="21"/>
          <w:szCs w:val="21"/>
          <w:color w:val="auto"/>
        </w:rPr>
        <w:t>dioxide from the One Earth Energy ethanol plant to the proposed sequestration site. We also have obtained easements from all of the necessary landowners for the use of their land for the pipeline for the first two wells. On May 26, 2024, however, the Illinois General Assembly passed the Safety and Aid for the Environment in Carbon Capture and Sequestration Act (Senate Bill 1289), which was signed by the governor in July 2024. The new legislation imposes additional safety, environmental and other requirements on obtaining permits and approvals for carbon capture and sequestration facilities in Illinois, including CO</w:t>
      </w:r>
      <w:r>
        <w:rPr>
          <w:rFonts w:ascii="Times New Roman" w:cs="Times New Roman" w:eastAsia="Times New Roman" w:hAnsi="Times New Roman"/>
          <w:sz w:val="34"/>
          <w:szCs w:val="34"/>
          <w:color w:val="auto"/>
          <w:vertAlign w:val="subscript"/>
        </w:rPr>
        <w:t>2</w:t>
      </w:r>
    </w:p>
    <w:p>
      <w:pPr>
        <w:spacing w:after="0" w:line="3" w:lineRule="exact"/>
        <w:rPr>
          <w:sz w:val="20"/>
          <w:szCs w:val="20"/>
          <w:color w:val="auto"/>
        </w:rPr>
      </w:pPr>
    </w:p>
    <w:p>
      <w:pPr>
        <w:ind w:right="160"/>
        <w:spacing w:after="0" w:line="204" w:lineRule="auto"/>
        <w:rPr>
          <w:sz w:val="20"/>
          <w:szCs w:val="20"/>
          <w:color w:val="auto"/>
        </w:rPr>
      </w:pPr>
      <w:r>
        <w:rPr>
          <w:rFonts w:ascii="Times New Roman" w:cs="Times New Roman" w:eastAsia="Times New Roman" w:hAnsi="Times New Roman"/>
          <w:sz w:val="21"/>
          <w:szCs w:val="21"/>
          <w:color w:val="auto"/>
        </w:rPr>
        <w:t>pipelines. Further, the new legislation imposes a moratorium on the issuance of new certificates of authority for the construction of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pipelines until the earlier of the date proposed federal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 safety standards are finalized by the federal Pipeline</w:t>
      </w:r>
    </w:p>
    <w:p>
      <w:pPr>
        <w:spacing w:after="0" w:line="2"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t>and Hazardous Materials Safety Administration (PHMSA) or, subject to certain other conditions, July 1, 2026. As a result of this legislation, the ICC dismissed our application without prejudice, and we will be required to resubmit an application after rules are finalized or subsequent to July 1, 2026.</w:t>
      </w:r>
    </w:p>
    <w:p>
      <w:pPr>
        <w:spacing w:after="0" w:line="20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Although we have made meaningful progress and significant investments in the carbon sequestration project at One Earth Energy, we continue to work with the various government agencies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4" w:name="page25"/>
    <w:bookmarkEnd w:id="24"/>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involved to obtain all required permits and approvals, with no assurance of the ultimate success or timing of the project. Also see the discussion under “Trends and Uncertainties” on page 27 of certain recently proposed legislation that, if enacted, could impact our carbon sequestration project.</w:t>
      </w:r>
    </w:p>
    <w:p>
      <w:pPr>
        <w:spacing w:after="0" w:line="200"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We also are concurrently expanding the One Earth ethanol plant. We received a construction permit from the EPA to increase production from 150 million gallons of ethanol per year to 175 million gallons of ethanol per year. Once we achieve that level of production, planned for the third quarter of fiscal 2025, we intend to apply for another permit to further increase production to 200 million gallon per year.</w:t>
      </w:r>
    </w:p>
    <w:p>
      <w:pPr>
        <w:spacing w:after="0" w:line="207"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1"/>
          <w:szCs w:val="21"/>
          <w:color w:val="auto"/>
        </w:rPr>
        <w:t>We continue to work to identify ways to reduce our carbon intensity (“CI”) score at the One Earth plant with the intention of maximizing the tax credits available under the Inflation Reduction Act, which created a new Clean Fuel Production Credit under 45Z of the Internal Revenue Code (“45Z”), available for calendar years 2025 – 2027, of approximately $0.02 per ethanol gallon per CI point reduction below a 50 CI point threshold to incentivize further increases in plant efficiencies within the industry. The U.S. Department of the Treasury has not yet issued final rules on qualification for 45Z tax credits.</w:t>
      </w:r>
    </w:p>
    <w:p>
      <w:pPr>
        <w:spacing w:after="0" w:line="195" w:lineRule="exact"/>
        <w:rPr>
          <w:sz w:val="20"/>
          <w:szCs w:val="20"/>
          <w:color w:val="auto"/>
        </w:rPr>
      </w:pPr>
    </w:p>
    <w:p>
      <w:pPr>
        <w:ind w:right="60" w:firstLine="648"/>
        <w:spacing w:after="0" w:line="235" w:lineRule="auto"/>
        <w:rPr>
          <w:sz w:val="20"/>
          <w:szCs w:val="20"/>
          <w:color w:val="auto"/>
        </w:rPr>
      </w:pPr>
      <w:r>
        <w:rPr>
          <w:rFonts w:ascii="Times New Roman" w:cs="Times New Roman" w:eastAsia="Times New Roman" w:hAnsi="Times New Roman"/>
          <w:sz w:val="22"/>
          <w:szCs w:val="22"/>
          <w:color w:val="auto"/>
        </w:rPr>
        <w:t>We expect the total cost of these projects to be approximately $165-175 million, which we continue to pay from our available cash. As of October 31, 2024, we have spent $52.9 million life-to-date and are contractually committed to spend an additional $2.4 million toward the carbon sequestration project. If the carbon sequestration project is successful, we believe we will qualify for tax credits under section 45Q of the Internal Revenue Code (“45Q”) and section 45Z of the Internal Revenue Code, as outlined in the Inflation Reduction Act, with 45Z credits being subject to final guidance yet to be issued by the U.S. Department of the Treasury. As of October 31, 2024, we have spent $50.2 million life-to-date and are contractually committed to spend an additional $7.4 million at the One Earth plant toward plant capacity expansion and ongoing efforts to reduce our CI scoring.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Refined Coal</w:t>
      </w:r>
    </w:p>
    <w:p>
      <w:pPr>
        <w:spacing w:after="0" w:line="237"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On August 10, 2017, we purchased, through a 95.35% owned subsidiary, for approximately $12.0 million,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We began classifying this operation as discontinued operations in the third quarter of fiscal 2021. Over the course of operation, we recognized $58.2 million in tax credits. The federal production tax credits received through operation of this facility remain under IRS audit.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During the three months ended October 31, 2024, we did not change any of our critical accounting policies as disclosed in our 2023 Annual Report on Form 10-K as filed with the Securities and Exchange Commission on March 29, 2024.</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auto"/>
        </w:rPr>
        <w:t>Fiscal Year</w:t>
      </w:r>
    </w:p>
    <w:p>
      <w:pPr>
        <w:spacing w:after="0" w:line="237"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All references in this report to a particular fiscal year are to REX’s fiscal year ended January 31. The Company refers to its fiscal year by reference to the year immediately preceding the January 31 fiscal year end date. For example, “fiscal year 2024” means the period February 1, 2024 to January 31, 2025. The Company includes the results of operations of One Earth Energy, LLC (“One Earth”) in its Consolidated Statements of Operations on a delayed basis of one month as One Earth has a fiscal year end of December 31.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Trends and Uncertainties</w:t>
      </w:r>
    </w:p>
    <w:p>
      <w:pPr>
        <w:spacing w:after="0" w:line="237"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Renewable Fuel Standard II (“RFS II”), established in October 2010, has been an important factor in the growth of ethanol usage in the United States. In recent years, there has been much uncertainty in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with the EPA to issue volume obligations in those subsequent years. The EPA also has the authority to waive the biofuel mandate, in whole or in part, if there is inadequate domestic renewable fuel supply or the requirement severely harms the domestic economy or environment.</w:t>
      </w:r>
    </w:p>
    <w:p>
      <w:pPr>
        <w:spacing w:after="0" w:line="210"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In addition, under RFS II, a small refiner that processes less than 75,000 barrels of oil per day can petition the EPA for a waiver of their obligation to submit renewable identification numbers (“RINs”). The EPA, through consultation with the Department of Energy and the U.S. Department of Agriculture (“USDA”), can grant the refiner a full or partial waiver, or deny the waiver petition. The EPA issued 88 small refinery exemptions (“SREs”) for the 2016-2018 compliance years, undercutting the statutory renewable fuel volumes by a total of 4.3 billion gallons. The EPA did not grant any small refinery waivers for 2019-2022 and has continued that stance in the proposed volumes for 2023-2025. There remain multiple ongoing legal challenges to how the EPA has handled the small refinery waivers. In July 2024, the U.S. Court of Appeals for the District of Columbia Circuit vacated many of the EPA’s 2022 SRE denials. The EPA had denied 105 SREs in 2022. As a result of this Court ruling, the EPA has voluntarily moved to rescind the agency’s 2023 denial of 26 SREs. On November 21, 2024, the EPA reported that 130 SRE petitions were then pending under the RFS, up from 50 as of mid-September. The increase is attributed to submissions from small refineries seeking reconsideration of petitions that were previously denied.</w:t>
      </w:r>
    </w:p>
    <w:p>
      <w:pPr>
        <w:spacing w:after="0" w:line="214"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The EPA has issued Renewable Fuel Standard volume obligations for calendar years 2023-2025 for conventional biofuels (which includes corn-based ethanol) of 15.0 billion gallons for each year. Additionally, for 2023, the EPA restored 250 million gallons previously waived.</w:t>
      </w:r>
    </w:p>
    <w:p>
      <w:pPr>
        <w:spacing w:after="0" w:line="200"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The Inflation Reduction Act will likely impact our business by creating a new Clean Fuel Production Credit, section 45Z of the Internal Revenue Code (“45Z”), available for the years 2025 to 2027. The Clean Fuel Production Credit is approximately $0.02 per ethanol gallon per CI point reduction below a 50 CI point threshold. The Act also raises the carbon capture tax credit from $50 per metric ton to $85 per metric ton under section 45Q. Taxpayers may elect to be treated as making a payment against tax for 100%</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26" w:name="page27"/>
    <w:bookmarkEnd w:id="26"/>
    <w:p>
      <w:pPr>
        <w:spacing w:after="0" w:line="235" w:lineRule="auto"/>
        <w:rPr>
          <w:sz w:val="20"/>
          <w:szCs w:val="20"/>
          <w:color w:val="auto"/>
        </w:rPr>
      </w:pPr>
      <w:r>
        <w:rPr>
          <w:rFonts w:ascii="Times New Roman" w:cs="Times New Roman" w:eastAsia="Times New Roman" w:hAnsi="Times New Roman"/>
          <w:sz w:val="22"/>
          <w:szCs w:val="22"/>
          <w:color w:val="auto"/>
        </w:rPr>
        <w:t>of the value of the 45Q credit (“direct pay”) for the first five years, starting with the year a qualifying carbon sequestration facility is placed in service, but not beyond December 31, 2032. Companies may elect either the 45Q credit or the 45Z credit in periods in which both tax credits are available. Other potential impacts of the Inflation Reduction Act include (a) extension of the biodiesel tax credit, which could support the value of our renewable corn oil, as this co-product serves as a low-carbon feedstock for renewable diesel and biomass based diesel production; (b) creation of new tax credit for sustainable aviation fuel (“SAF”); (c) funding of biofuel refueling infrastructure which could increase the availability of higher level ethanol blended fuel; and (d) provision for production and purchase credits for electric vehicles, which could reduce the amount of internal combustion engines on the road over time, and ultimately reduce the demand for gasoline, diesel fuels and ethanol.</w:t>
      </w:r>
    </w:p>
    <w:p>
      <w:pPr>
        <w:spacing w:after="0" w:line="205"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In April 2024, the U.S Department of the Treasury and the IRS released updated guidance which included an updated GREET (Greenhouse Gases, Regulated Emissions, and Energy use in Technologies) lifecycle model for the section 40B SAF tax credit. This model provides a pathway for U.S. corn-based ethanol to be considered a qualifying feedstock for SAF if certain measures are taken to lower carbon intensity of production. GREET is used as a model to calculate greenhouse gas (“GHG”) reductions. The GREET model aims to provide a comprehensive assessment of the environmental impact of aviation fuels focusing on reducing GHG emissions through the entire lifecycle of the fuel, including through carbon capture and certain climate-smart agricultural (“CSA) practices. CSA practices for corn production must include no-till farming, planting cover crops and using enhanced efficiency nitrogen fertilizers. The section 40B credit expires on December 31, 2024 and is being replaced by the 45Z tax credit. A new 45Z-GREET model has not yet been developed by the U.S. Department of the Treasury, but will likely require further modeling, data assumptions, and verification.</w:t>
      </w:r>
    </w:p>
    <w:p>
      <w:pPr>
        <w:spacing w:after="0" w:line="206"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21"/>
          <w:szCs w:val="21"/>
          <w:color w:val="auto"/>
        </w:rPr>
        <w:t>Illinois Senate Bill 3968, which was recently introduced into the Illinois Senate and assigned to the Executive Senate Committee would, if eventually enacted, ban carbon sequestration projects if they overlie, underlie, or pass through a sole-source aquifer, including the aquifer’s upstream areas that are part of the aquifer’s project review area, as identified by the U.S. EPA. On November 14, 2024, the Executive Senate Committee paused the bill until they can gather additional information. The first well for our proposed carbon sequestration project is located inside, at the edge of the Mahomet Sole Source Aquifer Project Review Area, within the Sangamon River near Fisher Upstream Area. It is approximately five miles north of the Sangamon River and nearly six miles from the mapped boundary of the Mahomet Aquifer, which has been designated as a sole source or principal aquifer by the U.S. EPA. We believe our second and third sequestration well sites are outside the Mahomet Sole Source Aquifer Project Review Area. The Company is closely monitoring this bill and any impact it would have on our project.</w:t>
      </w:r>
    </w:p>
    <w:p>
      <w:pPr>
        <w:spacing w:after="0" w:line="20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Additionally, see “One Earth Energy, LLC Carbon Sequestration and Plant Expansion” above for a discussion of certain other uncertainties associated with our Illinois carbon sequestration and plant expansion projects.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trends and uncertainties mentioned above could impact our future operating results in both positive and negative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ways.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86"/>
        </w:trPr>
        <w:tc>
          <w:tcPr>
            <w:tcW w:w="69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w w:val="99"/>
              </w:rPr>
              <w:t>Comparison of Three and Nine Months Ended October 31, 2024 and 2023</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40" w:type="dxa"/>
            <w:vAlign w:val="bottom"/>
            <w:gridSpan w:val="7"/>
          </w:tcPr>
          <w:p>
            <w:pPr>
              <w:ind w:left="660"/>
              <w:spacing w:after="0"/>
              <w:rPr>
                <w:sz w:val="20"/>
                <w:szCs w:val="20"/>
                <w:color w:val="auto"/>
              </w:rPr>
            </w:pPr>
            <w:r>
              <w:rPr>
                <w:rFonts w:ascii="Times New Roman" w:cs="Times New Roman" w:eastAsia="Times New Roman" w:hAnsi="Times New Roman"/>
                <w:sz w:val="22"/>
                <w:szCs w:val="22"/>
                <w:color w:val="auto"/>
              </w:rPr>
              <w:t>The following table summarizes our results from operations (amounts in thousands):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ind w:left="2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4"/>
                <w:szCs w:val="24"/>
                <w:color w:val="auto"/>
              </w:rPr>
            </w:pPr>
          </w:p>
        </w:tc>
        <w:tc>
          <w:tcPr>
            <w:tcW w:w="2740" w:type="dxa"/>
            <w:vAlign w:val="bottom"/>
            <w:gridSpan w:val="7"/>
          </w:tcPr>
          <w:p>
            <w:pPr>
              <w:ind w:left="260"/>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2023</w:t>
            </w:r>
          </w:p>
        </w:tc>
        <w:tc>
          <w:tcPr>
            <w:tcW w:w="4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174,877</w:t>
            </w:r>
          </w:p>
        </w:tc>
        <w:tc>
          <w:tcPr>
            <w:tcW w:w="820" w:type="dxa"/>
            <w:vAlign w:val="bottom"/>
            <w:gridSpan w:val="2"/>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221,079</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484,263</w:t>
            </w:r>
          </w:p>
        </w:tc>
        <w:tc>
          <w:tcPr>
            <w:tcW w:w="42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645,770</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135,196</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181,789</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410,358</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577,962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Gross profit</w:t>
            </w:r>
          </w:p>
        </w:tc>
        <w:tc>
          <w:tcPr>
            <w:tcW w:w="260" w:type="dxa"/>
            <w:vAlign w:val="bottom"/>
            <w:tcBorders>
              <w:top w:val="single" w:sz="8" w:color="auto"/>
              <w:bottom w:val="single" w:sz="8" w:color="auto"/>
            </w:tcBorders>
            <w:shd w:val="clear" w:color="auto" w:fill="E5FFFF"/>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39,681</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jc w:val="right"/>
              <w:ind w:right="1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39,290</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73,905</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340" w:type="dxa"/>
            <w:vAlign w:val="bottom"/>
            <w:tcBorders>
              <w:top w:val="single" w:sz="8" w:color="auto"/>
              <w:bottom w:val="single" w:sz="8" w:color="auto"/>
            </w:tcBorders>
            <w:shd w:val="clear" w:color="auto" w:fill="E5FFFF"/>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67,808</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840" w:type="dxa"/>
            <w:vAlign w:val="bottom"/>
            <w:vMerge w:val="continue"/>
          </w:tcPr>
          <w:p>
            <w:pPr>
              <w:spacing w:after="0"/>
              <w:rPr>
                <w:sz w:val="24"/>
                <w:szCs w:val="24"/>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39,505</w:t>
            </w:r>
          </w:p>
        </w:tc>
        <w:tc>
          <w:tcPr>
            <w:tcW w:w="8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41,282</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74,964</w:t>
            </w:r>
          </w:p>
        </w:tc>
        <w:tc>
          <w:tcPr>
            <w:tcW w:w="420" w:type="dxa"/>
            <w:vAlign w:val="bottom"/>
          </w:tcPr>
          <w:p>
            <w:pPr>
              <w:spacing w:after="0"/>
              <w:rPr>
                <w:sz w:val="24"/>
                <w:szCs w:val="24"/>
                <w:color w:val="auto"/>
              </w:rPr>
            </w:pPr>
          </w:p>
        </w:tc>
        <w:tc>
          <w:tcPr>
            <w:tcW w:w="36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66,022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260" w:type="dxa"/>
            <w:vAlign w:val="bottom"/>
            <w:shd w:val="clear" w:color="auto" w:fill="E5FFFF"/>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(9,402)</w:t>
            </w:r>
          </w:p>
        </w:tc>
        <w:tc>
          <w:tcPr>
            <w:tcW w:w="820" w:type="dxa"/>
            <w:vAlign w:val="bottom"/>
            <w:gridSpan w:val="2"/>
            <w:shd w:val="clear" w:color="auto" w:fill="E5FF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(9,640)</w:t>
            </w:r>
          </w:p>
        </w:tc>
        <w:tc>
          <w:tcPr>
            <w:tcW w:w="260" w:type="dxa"/>
            <w:vAlign w:val="bottom"/>
            <w:shd w:val="clear" w:color="auto" w:fill="E5FF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(17,581)</w:t>
            </w:r>
          </w:p>
        </w:tc>
        <w:tc>
          <w:tcPr>
            <w:tcW w:w="420" w:type="dxa"/>
            <w:vAlign w:val="bottom"/>
            <w:shd w:val="clear" w:color="auto" w:fill="E5FFFF"/>
          </w:tcPr>
          <w:p>
            <w:pPr>
              <w:spacing w:after="0"/>
              <w:rPr>
                <w:sz w:val="23"/>
                <w:szCs w:val="23"/>
                <w:color w:val="auto"/>
              </w:rPr>
            </w:pPr>
          </w:p>
        </w:tc>
        <w:tc>
          <w:tcPr>
            <w:tcW w:w="360" w:type="dxa"/>
            <w:vAlign w:val="bottom"/>
            <w:gridSpan w:val="2"/>
            <w:shd w:val="clear" w:color="auto" w:fill="E5FFFF"/>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(15,396)</w:t>
            </w:r>
          </w:p>
        </w:tc>
        <w:tc>
          <w:tcPr>
            <w:tcW w:w="8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color w:val="auto"/>
              </w:rPr>
              <w:t>Net income attributable to REX common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shareholders</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24,500</w:t>
            </w:r>
          </w:p>
        </w:tc>
        <w:tc>
          <w:tcPr>
            <w:tcW w:w="8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26,076</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47,069</w:t>
            </w:r>
          </w:p>
        </w:tc>
        <w:tc>
          <w:tcPr>
            <w:tcW w:w="420" w:type="dxa"/>
            <w:vAlign w:val="bottom"/>
          </w:tcPr>
          <w:p>
            <w:pPr>
              <w:spacing w:after="0"/>
              <w:rPr>
                <w:sz w:val="24"/>
                <w:szCs w:val="24"/>
                <w:color w:val="auto"/>
              </w:rPr>
            </w:pPr>
          </w:p>
        </w:tc>
        <w:tc>
          <w:tcPr>
            <w:tcW w:w="36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w w:val="9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40,367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summarizes net sales and revenue by product group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40" w:type="dxa"/>
            <w:vAlign w:val="bottom"/>
            <w:gridSpan w:val="5"/>
          </w:tcPr>
          <w:p>
            <w:pPr>
              <w:ind w:left="2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2"/>
                <w:szCs w:val="22"/>
                <w:color w:val="auto"/>
              </w:rPr>
            </w:pPr>
          </w:p>
        </w:tc>
        <w:tc>
          <w:tcPr>
            <w:tcW w:w="2740" w:type="dxa"/>
            <w:vAlign w:val="bottom"/>
            <w:gridSpan w:val="5"/>
          </w:tcPr>
          <w:p>
            <w:pPr>
              <w:ind w:left="26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57"/>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4"/>
        </w:trPr>
        <w:tc>
          <w:tcPr>
            <w:tcW w:w="48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2023</w:t>
            </w:r>
          </w:p>
        </w:tc>
        <w:tc>
          <w:tcPr>
            <w:tcW w:w="4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3"/>
                <w:szCs w:val="23"/>
                <w:color w:val="auto"/>
              </w:rPr>
            </w:pPr>
          </w:p>
        </w:tc>
      </w:tr>
      <w:tr>
        <w:trPr>
          <w:trHeight w:val="236"/>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138,107</w:t>
            </w:r>
          </w:p>
        </w:tc>
        <w:tc>
          <w:tcPr>
            <w:tcW w:w="820" w:type="dxa"/>
            <w:vAlign w:val="bottom"/>
            <w:gridSpan w:val="2"/>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170,174</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373,634</w:t>
            </w:r>
          </w:p>
        </w:tc>
        <w:tc>
          <w:tcPr>
            <w:tcW w:w="780" w:type="dxa"/>
            <w:vAlign w:val="bottom"/>
            <w:gridSpan w:val="2"/>
            <w:shd w:val="clear" w:color="auto" w:fill="E5FFFF"/>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495,972</w:t>
            </w: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25,032</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34,983</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77,564</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106,632</w:t>
            </w: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26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10,249</w:t>
            </w:r>
          </w:p>
        </w:tc>
        <w:tc>
          <w:tcPr>
            <w:tcW w:w="46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32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14,756</w:t>
            </w:r>
          </w:p>
        </w:tc>
        <w:tc>
          <w:tcPr>
            <w:tcW w:w="26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28,633</w:t>
            </w:r>
          </w:p>
        </w:tc>
        <w:tc>
          <w:tcPr>
            <w:tcW w:w="42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39,257</w:t>
            </w: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1,159</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1,159</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3,479</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3,814</w:t>
            </w: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gains (losses)</w:t>
            </w:r>
          </w:p>
        </w:tc>
        <w:tc>
          <w:tcPr>
            <w:tcW w:w="260" w:type="dxa"/>
            <w:vAlign w:val="bottom"/>
            <w:shd w:val="clear" w:color="auto" w:fill="E5FFFF"/>
          </w:tcPr>
          <w:p>
            <w:pPr>
              <w:spacing w:after="0"/>
              <w:rPr>
                <w:sz w:val="21"/>
                <w:szCs w:val="21"/>
                <w:color w:val="auto"/>
              </w:rPr>
            </w:pPr>
          </w:p>
        </w:tc>
        <w:tc>
          <w:tcPr>
            <w:tcW w:w="10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46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32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60" w:type="dxa"/>
            <w:vAlign w:val="bottom"/>
            <w:shd w:val="clear" w:color="auto" w:fill="E5FFFF"/>
          </w:tcPr>
          <w:p>
            <w:pPr>
              <w:spacing w:after="0"/>
              <w:rPr>
                <w:sz w:val="21"/>
                <w:szCs w:val="21"/>
                <w:color w:val="auto"/>
              </w:rPr>
            </w:pPr>
          </w:p>
        </w:tc>
        <w:tc>
          <w:tcPr>
            <w:tcW w:w="9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737</w:t>
            </w:r>
          </w:p>
        </w:tc>
        <w:tc>
          <w:tcPr>
            <w:tcW w:w="42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7</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w:t>
            </w: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124</w:t>
            </w:r>
          </w:p>
        </w:tc>
      </w:tr>
      <w:tr>
        <w:trPr>
          <w:trHeight w:val="250"/>
        </w:trPr>
        <w:tc>
          <w:tcPr>
            <w:tcW w:w="48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260" w:type="dxa"/>
            <w:vAlign w:val="bottom"/>
            <w:tcBorders>
              <w:top w:val="single" w:sz="8" w:color="auto"/>
              <w:bottom w:val="single" w:sz="8" w:color="auto"/>
            </w:tcBorders>
            <w:shd w:val="clear" w:color="auto" w:fill="E5FFFF"/>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174,877</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jc w:val="right"/>
              <w:ind w:right="1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221,079</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484,263</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645,770</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28</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8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2"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22"/>
          <w:szCs w:val="22"/>
          <w:color w:val="auto"/>
        </w:rPr>
        <w:t>The following table summarizes selected operating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40" w:type="dxa"/>
            <w:vAlign w:val="bottom"/>
            <w:gridSpan w:val="5"/>
          </w:tcPr>
          <w:p>
            <w:pPr>
              <w:ind w:left="2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2"/>
                <w:szCs w:val="22"/>
                <w:color w:val="auto"/>
              </w:rPr>
            </w:pPr>
          </w:p>
        </w:tc>
        <w:tc>
          <w:tcPr>
            <w:tcW w:w="2740" w:type="dxa"/>
            <w:vAlign w:val="bottom"/>
            <w:gridSpan w:val="5"/>
          </w:tcPr>
          <w:p>
            <w:pPr>
              <w:ind w:left="26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57"/>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4"/>
        </w:trPr>
        <w:tc>
          <w:tcPr>
            <w:tcW w:w="48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2023</w:t>
            </w:r>
          </w:p>
        </w:tc>
        <w:tc>
          <w:tcPr>
            <w:tcW w:w="4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100" w:type="dxa"/>
            <w:vAlign w:val="bottom"/>
          </w:tcPr>
          <w:p>
            <w:pPr>
              <w:spacing w:after="0"/>
              <w:rPr>
                <w:sz w:val="23"/>
                <w:szCs w:val="23"/>
                <w:color w:val="auto"/>
              </w:rPr>
            </w:pPr>
          </w:p>
        </w:tc>
      </w:tr>
      <w:tr>
        <w:trPr>
          <w:trHeight w:val="237"/>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gallon of ethanol (net of</w:t>
            </w:r>
          </w:p>
        </w:tc>
        <w:tc>
          <w:tcPr>
            <w:tcW w:w="260" w:type="dxa"/>
            <w:vAlign w:val="bottom"/>
            <w:shd w:val="clear" w:color="auto" w:fill="E5FFFF"/>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1.83</w:t>
            </w: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jc w:val="right"/>
              <w:ind w:right="1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2"/>
            <w:shd w:val="clear" w:color="auto" w:fill="E5FFFF"/>
          </w:tcPr>
          <w:p>
            <w:pPr>
              <w:jc w:val="right"/>
              <w:ind w:right="420"/>
              <w:spacing w:after="0" w:line="216" w:lineRule="exact"/>
              <w:rPr>
                <w:sz w:val="20"/>
                <w:szCs w:val="20"/>
                <w:color w:val="auto"/>
              </w:rPr>
            </w:pPr>
            <w:r>
              <w:rPr>
                <w:rFonts w:ascii="Times New Roman" w:cs="Times New Roman" w:eastAsia="Times New Roman" w:hAnsi="Times New Roman"/>
                <w:sz w:val="22"/>
                <w:szCs w:val="22"/>
                <w:color w:val="auto"/>
              </w:rPr>
              <w:t>2.32</w:t>
            </w:r>
          </w:p>
        </w:tc>
        <w:tc>
          <w:tcPr>
            <w:tcW w:w="260" w:type="dxa"/>
            <w:vAlign w:val="bottom"/>
            <w:shd w:val="clear" w:color="auto" w:fill="E5FFFF"/>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1.74</w:t>
            </w:r>
          </w:p>
        </w:tc>
        <w:tc>
          <w:tcPr>
            <w:tcW w:w="780" w:type="dxa"/>
            <w:vAlign w:val="bottom"/>
            <w:gridSpan w:val="2"/>
            <w:shd w:val="clear" w:color="auto" w:fill="E5FFFF"/>
          </w:tcPr>
          <w:p>
            <w:pPr>
              <w:jc w:val="right"/>
              <w:ind w:right="240"/>
              <w:spacing w:after="0" w:line="216"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E5FFFF"/>
          </w:tcPr>
          <w:p>
            <w:pPr>
              <w:jc w:val="right"/>
              <w:ind w:right="100"/>
              <w:spacing w:after="0" w:line="216" w:lineRule="exact"/>
              <w:rPr>
                <w:sz w:val="20"/>
                <w:szCs w:val="20"/>
                <w:color w:val="auto"/>
              </w:rPr>
            </w:pPr>
            <w:r>
              <w:rPr>
                <w:rFonts w:ascii="Times New Roman" w:cs="Times New Roman" w:eastAsia="Times New Roman" w:hAnsi="Times New Roman"/>
                <w:sz w:val="22"/>
                <w:szCs w:val="22"/>
                <w:color w:val="auto"/>
              </w:rPr>
              <w:t>2.32</w:t>
            </w: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hedging)</w:t>
            </w:r>
          </w:p>
        </w:tc>
        <w:tc>
          <w:tcPr>
            <w:tcW w:w="260" w:type="dxa"/>
            <w:vAlign w:val="bottom"/>
            <w:shd w:val="clear" w:color="auto" w:fill="E5FFFF"/>
          </w:tcPr>
          <w:p>
            <w:pPr>
              <w:spacing w:after="0"/>
              <w:rPr>
                <w:sz w:val="23"/>
                <w:szCs w:val="23"/>
                <w:color w:val="auto"/>
              </w:rPr>
            </w:pPr>
          </w:p>
        </w:tc>
        <w:tc>
          <w:tcPr>
            <w:tcW w:w="1000" w:type="dxa"/>
            <w:vAlign w:val="bottom"/>
            <w:shd w:val="clear" w:color="auto" w:fill="E5FFFF"/>
          </w:tcPr>
          <w:p>
            <w:pPr>
              <w:spacing w:after="0"/>
              <w:rPr>
                <w:sz w:val="23"/>
                <w:szCs w:val="23"/>
                <w:color w:val="auto"/>
              </w:rPr>
            </w:pPr>
          </w:p>
        </w:tc>
        <w:tc>
          <w:tcPr>
            <w:tcW w:w="46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98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Gallons of ethanol sold (in millions)</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75.5</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73.2</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215.1</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213.8</w:t>
            </w: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ton of dried distillers</w:t>
            </w:r>
          </w:p>
        </w:tc>
        <w:tc>
          <w:tcPr>
            <w:tcW w:w="260" w:type="dxa"/>
            <w:vAlign w:val="bottom"/>
            <w:shd w:val="clear" w:color="auto" w:fill="E5FFFF"/>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147.14</w:t>
            </w: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jc w:val="right"/>
              <w:ind w:right="1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2"/>
            <w:shd w:val="clear" w:color="auto" w:fill="E5FFFF"/>
          </w:tcPr>
          <w:p>
            <w:pPr>
              <w:jc w:val="right"/>
              <w:ind w:right="420"/>
              <w:spacing w:after="0" w:line="216" w:lineRule="exact"/>
              <w:rPr>
                <w:sz w:val="20"/>
                <w:szCs w:val="20"/>
                <w:color w:val="auto"/>
              </w:rPr>
            </w:pPr>
            <w:r>
              <w:rPr>
                <w:rFonts w:ascii="Times New Roman" w:cs="Times New Roman" w:eastAsia="Times New Roman" w:hAnsi="Times New Roman"/>
                <w:sz w:val="22"/>
                <w:szCs w:val="22"/>
                <w:color w:val="auto"/>
              </w:rPr>
              <w:t>194.94</w:t>
            </w:r>
          </w:p>
        </w:tc>
        <w:tc>
          <w:tcPr>
            <w:tcW w:w="260" w:type="dxa"/>
            <w:vAlign w:val="bottom"/>
            <w:shd w:val="clear" w:color="auto" w:fill="E5FFFF"/>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166.27</w:t>
            </w:r>
          </w:p>
        </w:tc>
        <w:tc>
          <w:tcPr>
            <w:tcW w:w="780" w:type="dxa"/>
            <w:vAlign w:val="bottom"/>
            <w:gridSpan w:val="2"/>
            <w:shd w:val="clear" w:color="auto" w:fill="E5FFFF"/>
          </w:tcPr>
          <w:p>
            <w:pPr>
              <w:jc w:val="right"/>
              <w:ind w:right="240"/>
              <w:spacing w:after="0" w:line="216"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E5FFFF"/>
          </w:tcPr>
          <w:p>
            <w:pPr>
              <w:jc w:val="right"/>
              <w:ind w:right="100"/>
              <w:spacing w:after="0" w:line="216" w:lineRule="exact"/>
              <w:rPr>
                <w:sz w:val="20"/>
                <w:szCs w:val="20"/>
                <w:color w:val="auto"/>
              </w:rPr>
            </w:pPr>
            <w:r>
              <w:rPr>
                <w:rFonts w:ascii="Times New Roman" w:cs="Times New Roman" w:eastAsia="Times New Roman" w:hAnsi="Times New Roman"/>
                <w:sz w:val="22"/>
                <w:szCs w:val="22"/>
                <w:color w:val="auto"/>
              </w:rPr>
              <w:t>220.92</w:t>
            </w: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grains</w:t>
            </w:r>
          </w:p>
        </w:tc>
        <w:tc>
          <w:tcPr>
            <w:tcW w:w="260" w:type="dxa"/>
            <w:vAlign w:val="bottom"/>
            <w:shd w:val="clear" w:color="auto" w:fill="E5FFFF"/>
          </w:tcPr>
          <w:p>
            <w:pPr>
              <w:spacing w:after="0"/>
              <w:rPr>
                <w:sz w:val="23"/>
                <w:szCs w:val="23"/>
                <w:color w:val="auto"/>
              </w:rPr>
            </w:pPr>
          </w:p>
        </w:tc>
        <w:tc>
          <w:tcPr>
            <w:tcW w:w="1000" w:type="dxa"/>
            <w:vAlign w:val="bottom"/>
            <w:shd w:val="clear" w:color="auto" w:fill="E5FFFF"/>
          </w:tcPr>
          <w:p>
            <w:pPr>
              <w:spacing w:after="0"/>
              <w:rPr>
                <w:sz w:val="23"/>
                <w:szCs w:val="23"/>
                <w:color w:val="auto"/>
              </w:rPr>
            </w:pPr>
          </w:p>
        </w:tc>
        <w:tc>
          <w:tcPr>
            <w:tcW w:w="46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98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Tons of dried distillers grains sold</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170,116</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179,451</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466,497</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482,660</w:t>
            </w: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pound of distillers corn</w:t>
            </w:r>
          </w:p>
        </w:tc>
        <w:tc>
          <w:tcPr>
            <w:tcW w:w="260" w:type="dxa"/>
            <w:vAlign w:val="bottom"/>
            <w:shd w:val="clear" w:color="auto" w:fill="E5FFFF"/>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0.44</w:t>
            </w: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jc w:val="right"/>
              <w:ind w:right="1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2"/>
            <w:shd w:val="clear" w:color="auto" w:fill="E5FFFF"/>
          </w:tcPr>
          <w:p>
            <w:pPr>
              <w:jc w:val="right"/>
              <w:ind w:right="420"/>
              <w:spacing w:after="0" w:line="216" w:lineRule="exact"/>
              <w:rPr>
                <w:sz w:val="20"/>
                <w:szCs w:val="20"/>
                <w:color w:val="auto"/>
              </w:rPr>
            </w:pPr>
            <w:r>
              <w:rPr>
                <w:rFonts w:ascii="Times New Roman" w:cs="Times New Roman" w:eastAsia="Times New Roman" w:hAnsi="Times New Roman"/>
                <w:sz w:val="22"/>
                <w:szCs w:val="22"/>
                <w:color w:val="auto"/>
              </w:rPr>
              <w:t>0.61</w:t>
            </w:r>
          </w:p>
        </w:tc>
        <w:tc>
          <w:tcPr>
            <w:tcW w:w="260" w:type="dxa"/>
            <w:vAlign w:val="bottom"/>
            <w:shd w:val="clear" w:color="auto" w:fill="E5FFFF"/>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0.44</w:t>
            </w:r>
          </w:p>
        </w:tc>
        <w:tc>
          <w:tcPr>
            <w:tcW w:w="780" w:type="dxa"/>
            <w:vAlign w:val="bottom"/>
            <w:gridSpan w:val="2"/>
            <w:shd w:val="clear" w:color="auto" w:fill="E5FFFF"/>
          </w:tcPr>
          <w:p>
            <w:pPr>
              <w:jc w:val="right"/>
              <w:ind w:right="240"/>
              <w:spacing w:after="0" w:line="216"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E5FFFF"/>
          </w:tcPr>
          <w:p>
            <w:pPr>
              <w:jc w:val="right"/>
              <w:ind w:right="100"/>
              <w:spacing w:after="0" w:line="216" w:lineRule="exact"/>
              <w:rPr>
                <w:sz w:val="20"/>
                <w:szCs w:val="20"/>
                <w:color w:val="auto"/>
              </w:rPr>
            </w:pPr>
            <w:r>
              <w:rPr>
                <w:rFonts w:ascii="Times New Roman" w:cs="Times New Roman" w:eastAsia="Times New Roman" w:hAnsi="Times New Roman"/>
                <w:sz w:val="22"/>
                <w:szCs w:val="22"/>
                <w:color w:val="auto"/>
              </w:rPr>
              <w:t>0.60</w:t>
            </w: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oil</w:t>
            </w:r>
          </w:p>
        </w:tc>
        <w:tc>
          <w:tcPr>
            <w:tcW w:w="260" w:type="dxa"/>
            <w:vAlign w:val="bottom"/>
            <w:shd w:val="clear" w:color="auto" w:fill="E5FFFF"/>
          </w:tcPr>
          <w:p>
            <w:pPr>
              <w:spacing w:after="0"/>
              <w:rPr>
                <w:sz w:val="23"/>
                <w:szCs w:val="23"/>
                <w:color w:val="auto"/>
              </w:rPr>
            </w:pPr>
          </w:p>
        </w:tc>
        <w:tc>
          <w:tcPr>
            <w:tcW w:w="1000" w:type="dxa"/>
            <w:vAlign w:val="bottom"/>
            <w:shd w:val="clear" w:color="auto" w:fill="E5FFFF"/>
          </w:tcPr>
          <w:p>
            <w:pPr>
              <w:spacing w:after="0"/>
              <w:rPr>
                <w:sz w:val="23"/>
                <w:szCs w:val="23"/>
                <w:color w:val="auto"/>
              </w:rPr>
            </w:pPr>
          </w:p>
        </w:tc>
        <w:tc>
          <w:tcPr>
            <w:tcW w:w="46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98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Pounds of distillers corn oil sold (in millions)</w:t>
            </w:r>
          </w:p>
        </w:tc>
        <w:tc>
          <w:tcPr>
            <w:tcW w:w="2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23.4</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24.1</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64.6</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65.5</w:t>
            </w: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ton of modified distillers</w:t>
            </w:r>
          </w:p>
        </w:tc>
        <w:tc>
          <w:tcPr>
            <w:tcW w:w="260" w:type="dxa"/>
            <w:vAlign w:val="bottom"/>
            <w:shd w:val="clear" w:color="auto" w:fill="E5FFFF"/>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63.00</w:t>
            </w: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jc w:val="right"/>
              <w:ind w:right="1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gridSpan w:val="2"/>
            <w:shd w:val="clear" w:color="auto" w:fill="E5FFFF"/>
          </w:tcPr>
          <w:p>
            <w:pPr>
              <w:jc w:val="right"/>
              <w:ind w:right="420"/>
              <w:spacing w:after="0" w:line="216" w:lineRule="exact"/>
              <w:rPr>
                <w:sz w:val="20"/>
                <w:szCs w:val="20"/>
                <w:color w:val="auto"/>
              </w:rPr>
            </w:pPr>
            <w:r>
              <w:rPr>
                <w:rFonts w:ascii="Times New Roman" w:cs="Times New Roman" w:eastAsia="Times New Roman" w:hAnsi="Times New Roman"/>
                <w:sz w:val="22"/>
                <w:szCs w:val="22"/>
                <w:color w:val="auto"/>
              </w:rPr>
              <w:t>85.86</w:t>
            </w:r>
          </w:p>
        </w:tc>
        <w:tc>
          <w:tcPr>
            <w:tcW w:w="260" w:type="dxa"/>
            <w:vAlign w:val="bottom"/>
            <w:shd w:val="clear" w:color="auto" w:fill="E5FFFF"/>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shd w:val="clear" w:color="auto" w:fill="E5FFFF"/>
          </w:tcPr>
          <w:p>
            <w:pPr>
              <w:jc w:val="right"/>
              <w:spacing w:after="0" w:line="216" w:lineRule="exact"/>
              <w:rPr>
                <w:sz w:val="20"/>
                <w:szCs w:val="20"/>
                <w:color w:val="auto"/>
              </w:rPr>
            </w:pPr>
            <w:r>
              <w:rPr>
                <w:rFonts w:ascii="Times New Roman" w:cs="Times New Roman" w:eastAsia="Times New Roman" w:hAnsi="Times New Roman"/>
                <w:sz w:val="22"/>
                <w:szCs w:val="22"/>
                <w:color w:val="auto"/>
              </w:rPr>
              <w:t>68.81</w:t>
            </w:r>
          </w:p>
        </w:tc>
        <w:tc>
          <w:tcPr>
            <w:tcW w:w="780" w:type="dxa"/>
            <w:vAlign w:val="bottom"/>
            <w:gridSpan w:val="2"/>
            <w:shd w:val="clear" w:color="auto" w:fill="E5FFFF"/>
          </w:tcPr>
          <w:p>
            <w:pPr>
              <w:jc w:val="right"/>
              <w:ind w:right="240"/>
              <w:spacing w:after="0" w:line="216" w:lineRule="exact"/>
              <w:rPr>
                <w:sz w:val="20"/>
                <w:szCs w:val="20"/>
                <w:color w:val="auto"/>
              </w:rPr>
            </w:pPr>
            <w:r>
              <w:rPr>
                <w:rFonts w:ascii="Times New Roman" w:cs="Times New Roman" w:eastAsia="Times New Roman" w:hAnsi="Times New Roman"/>
                <w:sz w:val="22"/>
                <w:szCs w:val="22"/>
                <w:color w:val="auto"/>
              </w:rPr>
              <w:t>$</w:t>
            </w:r>
          </w:p>
        </w:tc>
        <w:tc>
          <w:tcPr>
            <w:tcW w:w="980" w:type="dxa"/>
            <w:vAlign w:val="bottom"/>
            <w:gridSpan w:val="2"/>
            <w:shd w:val="clear" w:color="auto" w:fill="E5FFFF"/>
          </w:tcPr>
          <w:p>
            <w:pPr>
              <w:jc w:val="right"/>
              <w:ind w:right="100"/>
              <w:spacing w:after="0" w:line="216" w:lineRule="exact"/>
              <w:rPr>
                <w:sz w:val="20"/>
                <w:szCs w:val="20"/>
                <w:color w:val="auto"/>
              </w:rPr>
            </w:pPr>
            <w:r>
              <w:rPr>
                <w:rFonts w:ascii="Times New Roman" w:cs="Times New Roman" w:eastAsia="Times New Roman" w:hAnsi="Times New Roman"/>
                <w:sz w:val="22"/>
                <w:szCs w:val="22"/>
                <w:color w:val="auto"/>
              </w:rPr>
              <w:t>104.94</w:t>
            </w: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grains</w:t>
            </w:r>
          </w:p>
        </w:tc>
        <w:tc>
          <w:tcPr>
            <w:tcW w:w="260" w:type="dxa"/>
            <w:vAlign w:val="bottom"/>
            <w:shd w:val="clear" w:color="auto" w:fill="E5FFFF"/>
          </w:tcPr>
          <w:p>
            <w:pPr>
              <w:spacing w:after="0"/>
              <w:rPr>
                <w:sz w:val="23"/>
                <w:szCs w:val="23"/>
                <w:color w:val="auto"/>
              </w:rPr>
            </w:pPr>
          </w:p>
        </w:tc>
        <w:tc>
          <w:tcPr>
            <w:tcW w:w="1000" w:type="dxa"/>
            <w:vAlign w:val="bottom"/>
            <w:shd w:val="clear" w:color="auto" w:fill="E5FFFF"/>
          </w:tcPr>
          <w:p>
            <w:pPr>
              <w:spacing w:after="0"/>
              <w:rPr>
                <w:sz w:val="23"/>
                <w:szCs w:val="23"/>
                <w:color w:val="auto"/>
              </w:rPr>
            </w:pPr>
          </w:p>
        </w:tc>
        <w:tc>
          <w:tcPr>
            <w:tcW w:w="46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90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260" w:type="dxa"/>
            <w:vAlign w:val="bottom"/>
            <w:shd w:val="clear" w:color="auto" w:fill="E5FFFF"/>
          </w:tcPr>
          <w:p>
            <w:pPr>
              <w:spacing w:after="0"/>
              <w:rPr>
                <w:sz w:val="23"/>
                <w:szCs w:val="23"/>
                <w:color w:val="auto"/>
              </w:rPr>
            </w:pPr>
          </w:p>
        </w:tc>
        <w:tc>
          <w:tcPr>
            <w:tcW w:w="980" w:type="dxa"/>
            <w:vAlign w:val="bottom"/>
            <w:shd w:val="clear" w:color="auto" w:fill="E5FFFF"/>
          </w:tcPr>
          <w:p>
            <w:pPr>
              <w:spacing w:after="0"/>
              <w:rPr>
                <w:sz w:val="23"/>
                <w:szCs w:val="23"/>
                <w:color w:val="auto"/>
              </w:rPr>
            </w:pPr>
          </w:p>
        </w:tc>
        <w:tc>
          <w:tcPr>
            <w:tcW w:w="420" w:type="dxa"/>
            <w:vAlign w:val="bottom"/>
            <w:shd w:val="clear" w:color="auto" w:fill="E5FFFF"/>
          </w:tcPr>
          <w:p>
            <w:pPr>
              <w:spacing w:after="0"/>
              <w:rPr>
                <w:sz w:val="23"/>
                <w:szCs w:val="23"/>
                <w:color w:val="auto"/>
              </w:rPr>
            </w:pPr>
          </w:p>
        </w:tc>
        <w:tc>
          <w:tcPr>
            <w:tcW w:w="360" w:type="dxa"/>
            <w:vAlign w:val="bottom"/>
            <w:shd w:val="clear" w:color="auto" w:fill="E5FFFF"/>
          </w:tcPr>
          <w:p>
            <w:pPr>
              <w:spacing w:after="0"/>
              <w:rPr>
                <w:sz w:val="23"/>
                <w:szCs w:val="23"/>
                <w:color w:val="auto"/>
              </w:rPr>
            </w:pPr>
          </w:p>
        </w:tc>
        <w:tc>
          <w:tcPr>
            <w:tcW w:w="8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r>
      <w:tr>
        <w:trPr>
          <w:trHeight w:val="282"/>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Tons of modified distillers grains sold</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18,392</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13,496</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50,555</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36,349</w:t>
            </w:r>
          </w:p>
        </w:tc>
      </w:tr>
    </w:tbl>
    <w:p>
      <w:pPr>
        <w:spacing w:after="0" w:line="176" w:lineRule="exact"/>
        <w:rPr>
          <w:sz w:val="20"/>
          <w:szCs w:val="20"/>
          <w:color w:val="auto"/>
        </w:rPr>
      </w:pPr>
    </w:p>
    <w:p>
      <w:pPr>
        <w:jc w:val="both"/>
        <w:ind w:right="220" w:firstLine="648"/>
        <w:spacing w:after="0" w:line="244" w:lineRule="auto"/>
        <w:rPr>
          <w:sz w:val="20"/>
          <w:szCs w:val="20"/>
          <w:color w:val="auto"/>
        </w:rPr>
      </w:pPr>
      <w:r>
        <w:rPr>
          <w:rFonts w:ascii="Times New Roman" w:cs="Times New Roman" w:eastAsia="Times New Roman" w:hAnsi="Times New Roman"/>
          <w:sz w:val="22"/>
          <w:szCs w:val="22"/>
          <w:color w:val="auto"/>
        </w:rPr>
        <w:t>Net sales and revenue in the quarter ended October 31, 2024 decreased 21% compared to the prior year’s third quarter. Net sales and revenue in the first nine months ended October 31, 2024 decreased approximately 25% compared to the first nine months of 2023.</w:t>
      </w:r>
    </w:p>
    <w:p>
      <w:pPr>
        <w:spacing w:after="0" w:line="20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Ethanol revenue decreased 19% in the third quarter of fiscal year 2024 compared to the third quarter of fiscal year 2023 as the average selling price of ethanol at our consolidated plants decreased 21% during the third quarter of fiscal year 2024 compared to the prior year comparable period, partially offset by a 3% increase in gallons of ethanol sold. Ethanol revenue decreased 25% in the first nine months of fiscal year 2024 compared to the first nine months of fiscal year 2023, driven by a 25% decrease in selling price while gallons sold did not change significantly. The decrease in the ethanol selling price resulted primarily from a decrease in corn prices as the market price for ethanol often correlates with the market price for corn.</w:t>
      </w:r>
    </w:p>
    <w:p>
      <w:pPr>
        <w:spacing w:after="0" w:line="208"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Dried distillers grains revenue decreased 28% in the third quarter of fiscal year 2024 compared to the third quarter of fiscal year 2023 as the average price per ton sold decreased 25%, coupled with a 5% decrease in tons sold. Dried distillers grains revenue decreased 27% in the first nine months of fiscal year 2024 compared to the first nine months of fiscal year 2023, driven by a 25% decrease in the average selling price, along with a 3% decrease in the tons sold. The decrease in the dried distillers grains selling price resulted primarily from a decrease in corn prices as dried distillers grains prices often correlate with corn pricing.</w:t>
      </w:r>
    </w:p>
    <w:p>
      <w:pPr>
        <w:spacing w:after="0" w:line="208" w:lineRule="exact"/>
        <w:rPr>
          <w:sz w:val="20"/>
          <w:szCs w:val="20"/>
          <w:color w:val="auto"/>
        </w:rPr>
      </w:pPr>
    </w:p>
    <w:p>
      <w:pPr>
        <w:ind w:right="440" w:firstLine="648"/>
        <w:spacing w:after="0" w:line="239" w:lineRule="auto"/>
        <w:rPr>
          <w:sz w:val="20"/>
          <w:szCs w:val="20"/>
          <w:color w:val="auto"/>
        </w:rPr>
      </w:pPr>
      <w:r>
        <w:rPr>
          <w:rFonts w:ascii="Times New Roman" w:cs="Times New Roman" w:eastAsia="Times New Roman" w:hAnsi="Times New Roman"/>
          <w:sz w:val="22"/>
          <w:szCs w:val="22"/>
          <w:color w:val="auto"/>
        </w:rPr>
        <w:t>Distillers corn oil revenue decreased approximately 31% in the third quarter of fiscal year 2024 compared to the third quarter of fiscal year 2023 as the average price per pound sold decreased 28%, along with a 3% decrease in pounds sold. Distillers corn oil revenue decreased 27% in the first nine months of 2024 compared to the first nine months of 2023 as the average price per pound decreased 27%, along with</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9" w:name="page30"/>
    <w:bookmarkEnd w:id="29"/>
    <w:p>
      <w:pPr>
        <w:ind w:right="140"/>
        <w:spacing w:after="0" w:line="258" w:lineRule="auto"/>
        <w:rPr>
          <w:sz w:val="20"/>
          <w:szCs w:val="20"/>
          <w:color w:val="auto"/>
        </w:rPr>
      </w:pPr>
      <w:r>
        <w:rPr>
          <w:rFonts w:ascii="Times New Roman" w:cs="Times New Roman" w:eastAsia="Times New Roman" w:hAnsi="Times New Roman"/>
          <w:sz w:val="22"/>
          <w:szCs w:val="22"/>
          <w:color w:val="auto"/>
        </w:rPr>
        <w:t>a 1% decrease in pounds sold. The decrease in the distillers corn oil selling price resulted primarily from fluctuations in demand with the renewable biodiesel market and is often tied to the price of soybean oil.</w:t>
      </w:r>
    </w:p>
    <w:p>
      <w:pPr>
        <w:spacing w:after="0" w:line="18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Modified distillers grains revenue did not change in the third quarter of fiscal year 2024 compared to the third quarter of fiscal year 2023 due to a 36% increase in the tons sold, offset by a decrease in the average selling price per ton sold of 27%. Modified distillers grains revenue decreased 9% in the first nine months of fiscal year 2024 compared to the first nine months of fiscal year 2023 due to a 34% decrease in the average selling price per ton sold, offset by a 39% increase in tons sold during the same period. The decrease in the modified distillers grains selling price resulted primarily from a decrease in corn prices as prices tend to move in the same direction. Our consolidated plants’ decisions to sell modified or dried distillers grains fluctuate from time to time based upon market conditions.</w:t>
      </w:r>
    </w:p>
    <w:p>
      <w:pPr>
        <w:spacing w:after="0" w:line="21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Gains on derivative financial instruments, included in net sales and revenue, were approximately $0.3 million in the three-month period ended October 31, 2024, compared to no gain or loss on derivative financial instruments during the three-month period ended October 31, 2023. Gains on derivative financial instruments, included in net sales and revenue, were approximately $0.7 million in the nine-month period ended October 31, 2024, compared to losses of $29,000 on derivative financial instruments during the nine-month period ended October 31, 2023. These gains and losses are related to our risk management activities and were impacted by the price movements of ethanol.</w:t>
      </w:r>
    </w:p>
    <w:p>
      <w:pPr>
        <w:spacing w:after="0" w:line="208"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Cost of sales decreased approximately 26% in the quarter ended October 31, 2024, compared to the prior year third quarter. Corn accounted for approximately 76% ($102.6 million) of our cost of sales during the third quarter of fiscal year 2024 compared to approximately 80% ($145.2 million) during the third quarter of fiscal year 2023. Natural gas accounted for approximately 3% of our cost of sales during the third quarter of fiscal year 2024 ($4.6 million) and the third quarter of fiscal year 2023 ($6.2 million). Cost of sales decreased approximately 29% in the nine-months ended October 31, 2024, compared to the prior year comparable period. Corn accounted for approximately 76% ($312.2 million) of our cost of sales during the first nine months of fiscal year 2024 compared to approximately 81% ($467.0 million) during the first nine months of fiscal year 2023. Natural gas accounted for approximately 4% of our cost of sales during the nine months ended October 31, 2024 ($15.6 million) and during the first nine months of fiscal year 2023 ($23.3 million). The cost of corn and natural gas decreased primarily due to lower pricing for both during the three and nine months ended October 31, 2024.</w:t>
      </w:r>
    </w:p>
    <w:p>
      <w:pPr>
        <w:spacing w:after="0" w:line="206"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gross profit for the third quarter of fiscal year 2024 increased approximately $0.4 million compared to the prior year’s third quarter. Gross profit for the first nine months of fiscal year 2024 increased approximately $6.1 million compared to the first nine months of fiscal year 2023.</w:t>
      </w:r>
    </w:p>
    <w:p>
      <w:pPr>
        <w:spacing w:after="0" w:line="20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We attempt to match quantities of ethanol, distillers grains and distillers corn oil sales contracts with an appropriate quantity of corn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0" w:name="page31"/>
    <w:bookmarkEnd w:id="30"/>
    <w:p>
      <w:pPr>
        <w:ind w:right="260"/>
        <w:spacing w:after="0" w:line="258" w:lineRule="auto"/>
        <w:rPr>
          <w:sz w:val="20"/>
          <w:szCs w:val="20"/>
          <w:color w:val="auto"/>
        </w:rPr>
      </w:pPr>
      <w:r>
        <w:rPr>
          <w:rFonts w:ascii="Times New Roman" w:cs="Times New Roman" w:eastAsia="Times New Roman" w:hAnsi="Times New Roman"/>
          <w:sz w:val="22"/>
          <w:szCs w:val="22"/>
          <w:color w:val="auto"/>
        </w:rPr>
        <w:t>more than four months. We utilize derivative financial instruments, primarily exchange traded commodity future contracts and swap contracts, in conjunction with certain of our corn procurement activities and commodity marketing activities.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SG&amp;A expenses were approximately $8.4 million for the third quarter of fiscal year 2024, compared to approximately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$7.6 million of expenses for the third quarter of fiscal year 2023. The increase from the prior year third quarter are due primarily</w:t>
      </w:r>
    </w:p>
    <w:p>
      <w:pPr>
        <w:spacing w:after="0" w:line="231" w:lineRule="auto"/>
        <w:rPr>
          <w:sz w:val="20"/>
          <w:szCs w:val="20"/>
          <w:color w:val="auto"/>
        </w:rPr>
      </w:pPr>
      <w:r>
        <w:rPr>
          <w:rFonts w:ascii="Times New Roman" w:cs="Times New Roman" w:eastAsia="Times New Roman" w:hAnsi="Times New Roman"/>
          <w:sz w:val="22"/>
          <w:szCs w:val="22"/>
          <w:color w:val="auto"/>
        </w:rPr>
        <w:t>to an increase in railcar lease expense and an increase in donations of emergency equipment to local first responders related to</w:t>
      </w:r>
    </w:p>
    <w:p>
      <w:pPr>
        <w:spacing w:after="0" w:line="231" w:lineRule="auto"/>
        <w:rPr>
          <w:sz w:val="20"/>
          <w:szCs w:val="20"/>
          <w:color w:val="auto"/>
        </w:rPr>
      </w:pPr>
      <w:r>
        <w:rPr>
          <w:rFonts w:ascii="Times New Roman" w:cs="Times New Roman" w:eastAsia="Times New Roman" w:hAnsi="Times New Roman"/>
          <w:sz w:val="22"/>
          <w:szCs w:val="22"/>
          <w:color w:val="auto"/>
        </w:rPr>
        <w:t>carbon capture. SG&amp;A expenses were approximately $21.0 million for the first nine months of fiscal year 2024, compared to</w:t>
      </w:r>
    </w:p>
    <w:p>
      <w:pPr>
        <w:spacing w:after="0" w:line="231" w:lineRule="auto"/>
        <w:rPr>
          <w:sz w:val="20"/>
          <w:szCs w:val="20"/>
          <w:color w:val="auto"/>
        </w:rPr>
      </w:pPr>
      <w:r>
        <w:rPr>
          <w:rFonts w:ascii="Times New Roman" w:cs="Times New Roman" w:eastAsia="Times New Roman" w:hAnsi="Times New Roman"/>
          <w:sz w:val="22"/>
          <w:szCs w:val="22"/>
          <w:color w:val="auto"/>
        </w:rPr>
        <w:t>approximately $22.0 million for the first nine months of fiscal year 2023. The decrease compared to the prior year nine-month</w:t>
      </w:r>
    </w:p>
    <w:p>
      <w:pPr>
        <w:spacing w:after="0"/>
        <w:rPr>
          <w:sz w:val="20"/>
          <w:szCs w:val="20"/>
          <w:color w:val="auto"/>
        </w:rPr>
      </w:pPr>
      <w:r>
        <w:rPr>
          <w:rFonts w:ascii="Times New Roman" w:cs="Times New Roman" w:eastAsia="Times New Roman" w:hAnsi="Times New Roman"/>
          <w:sz w:val="21"/>
          <w:szCs w:val="21"/>
          <w:color w:val="auto"/>
        </w:rPr>
        <w:t>period are primarily related to restricted stock awards granted to certain executive officers in the second quarter of 2023, which</w:t>
      </w:r>
    </w:p>
    <w:p>
      <w:pPr>
        <w:spacing w:after="0" w:line="231" w:lineRule="auto"/>
        <w:rPr>
          <w:sz w:val="20"/>
          <w:szCs w:val="20"/>
          <w:color w:val="auto"/>
        </w:rPr>
      </w:pPr>
      <w:r>
        <w:rPr>
          <w:rFonts w:ascii="Times New Roman" w:cs="Times New Roman" w:eastAsia="Times New Roman" w:hAnsi="Times New Roman"/>
          <w:sz w:val="22"/>
          <w:szCs w:val="22"/>
          <w:color w:val="auto"/>
        </w:rPr>
        <w:t>were expensed upon issuance, offset partially by the increase in performance bonus expense as a result of higher net income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2024.</w:t>
      </w:r>
    </w:p>
    <w:p>
      <w:pPr>
        <w:spacing w:after="0" w:line="209"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During the third quarter of fiscal year 2024, we recognized income from our equity investment in Big River of approximately $3.6 million compared to income of approximately $4.7 million for the third quarter of fiscal year 2023. During the first nine months of fiscal year 2024, we recognized income from our equity investment in Big River of approximately $7.1 million compared to income of approximately $9.3 million during the first nine months of fiscal year 2023. Our investment in Big River, which has interests in four ethanol production plants, represents an effective ownership of approximately 38.5 million gallons of ethanol shipped in the trailing twelve months ended October 31, 2024. Due to the inherent volatility of commodity prices within the ethanol industry, we cannot predict the likelihood of future operating results from Big River being similar to historical results.</w:t>
      </w:r>
    </w:p>
    <w:p>
      <w:pPr>
        <w:spacing w:after="0" w:line="20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Interest and other income was approximately $4.6 million for the third quarter of fiscal year 2024 versus approximately $4.9 million for the third quarter of fiscal year 2023. Interest and other income was approximately $15.0 million for the first nine months of 2024 versus approximately $10.9 million for the first nine months of fiscal year 2023. One of our consolidated ethanol plants recognized $1.2 million in patronage income from an investment in a cooperative in the first quarter of 2024. During 2023, the Company’s consolidated plants received COVID-19 relief grants from the USDA of approximately $0.9 million and $1.0 million for the three- and nine-month periods ended October 31, 2023. The remaining change between the year-to-date periods related to increased interest income in the current year based upon higher balances and yields on our excess cash and short-term investments in fiscal year 2024, compared to 2023.</w:t>
      </w:r>
    </w:p>
    <w:p>
      <w:pPr>
        <w:spacing w:after="0" w:line="205"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income before income taxes was approximately $39.5 million and $41.3 million for the third quarters of fiscal year 2024 and 2023, respectively. Income before income taxes was approximately $75.0 million and $66.0 million for the first nine months of fiscal year 2024 and 2023, respectively.</w:t>
      </w:r>
    </w:p>
    <w:p>
      <w:pPr>
        <w:spacing w:after="0" w:line="200" w:lineRule="exact"/>
        <w:rPr>
          <w:sz w:val="20"/>
          <w:szCs w:val="20"/>
          <w:color w:val="auto"/>
        </w:rPr>
      </w:pPr>
    </w:p>
    <w:p>
      <w:pPr>
        <w:jc w:val="both"/>
        <w:ind w:right="180" w:firstLine="648"/>
        <w:spacing w:after="0" w:line="239"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Our income tax provision was approximately $9.4 million and $9.6 million for the three months ended October 31, 2024 and 2023, respectively. Our income tax provision was approximately $17.6 million and $15.4 million for the first nine months of fiscal year 2024 and 2023, respectively.</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31" w:name="page32"/>
    <w:bookmarkEnd w:id="31"/>
    <w:p>
      <w:pPr>
        <w:ind w:right="180" w:firstLine="648"/>
        <w:spacing w:after="0" w:line="250" w:lineRule="auto"/>
        <w:rPr>
          <w:sz w:val="20"/>
          <w:szCs w:val="20"/>
          <w:color w:val="auto"/>
        </w:rPr>
      </w:pPr>
      <w:r>
        <w:rPr>
          <w:rFonts w:ascii="Times New Roman" w:cs="Times New Roman" w:eastAsia="Times New Roman" w:hAnsi="Times New Roman"/>
          <w:sz w:val="22"/>
          <w:szCs w:val="22"/>
          <w:color w:val="auto"/>
        </w:rPr>
        <w:t>As a result of the foregoing, net income was approximately $30.1 for the third quarter of fiscal year 2024 compared to approximately $31.6 million for the third quarter of fiscal year 2023. Net income was approximately $57.4 million for the first nine months of fiscal year 2024 compared to approximately $50.6 million for the first nine months of fiscal year 2023.</w:t>
      </w:r>
    </w:p>
    <w:p>
      <w:pPr>
        <w:spacing w:after="0" w:line="195"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Net income attributable to noncontrolling interests was approximately $5.6 million for the third quarters of fiscal year 2024 and 2023. Net income attributable to noncontrolling interests was approximately $10.3 million for the first nine months of fiscal years 2024 and 2023. These amounts represent the other owners’ share of the income of NuGen and One Earth.</w:t>
      </w:r>
    </w:p>
    <w:p>
      <w:pPr>
        <w:spacing w:after="0" w:line="200"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2"/>
          <w:szCs w:val="22"/>
          <w:color w:val="auto"/>
        </w:rPr>
        <w:t>As a result of the foregoing, net income attributable to REX common shareholders for the third quarter of fiscal year 2024 was approximately $24.5 million, compared to net income attributable to REX common shareholders of approximately $26.1 million for the third quarter of fiscal year 2023. Net income attributable to REX common shareholders from the first nine months of fiscal year 2024 was approximately $47.1 million, compared to net income attributable to REX common shareholders of approximately $40.4 million for the first nine months of fiscal year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37"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21"/>
          <w:szCs w:val="21"/>
          <w:color w:val="auto"/>
        </w:rPr>
        <w:t>Net cash provided by operating activities was approximately $39.1 million for the first nine months of fiscal year 2024, compared to net cash provided by operating activities of approximately $65.5 million for the first nine months of fiscal year 2023. For the first nine months of fiscal year 2024, cash was provided by net income of approximately $57.4 million, adjusted upward for non-cash items of approximately $20.3 million, which consisted of depreciation, amortization of operating lease right-of-use assets, income from equity method investments, interest income from short-term investments, the deferred income tax provision, stock-based compensation expense, and loss on disposal of property and equipment. We received dividends from Big River of approximately $3.0 million. A decrease in the balance of accounts receivable provided cash of approximately $0.9 million, primarily a result of the timing of products shipped and the receipt of customer payments at One Earth and NuGen. Inventories increased over the first nine months of fiscal year 2024, using cash of approximately $2.1 million. An increase in the balance of other assets of approximately $12.6 million primarily relates to prepayments on certain executed lease agreements, offset by changes in the carrying value of forward purchase contracts and commodity futures positions recorded at fair value, decreases to spare parts inventory and decreases to prepaid insurance balances. A decrease in the balance of refundable income taxes of approximately $0.2 million primarily relates to the accrual of the federal taxes currently payable and the timing of estimated tax payments for the first nine months of 2024. While the Company has tax credits available to offset all amounts owed, the Company is limited to using tax credits for only 75% of federal taxes owed. A decrease in the balance of accounts payable used cash of approximately $21.6 million, which was primarily a result of the timing of inventory receipts and vendor payments. A decrease in the balance of other liabilities used cash of approximately $6.2 million, which was primarily caused by the reduction in the lease liability of $4.0 million from payments made during the year. Additionally, a decrease in accrued payroll and accrued utility liabilities used cash of approximately $0.6 million and $1.3 million, respectively. The decrease in the accrued payroll is primarily related to the payment of the 2023 incentive bonuses, offset partially by the accrual of the 2024 incentive bonuses to be paid in 2025. Other offsetting fluctuations within other liabilities were insignificant.</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32" w:name="page33"/>
    <w:bookmarkEnd w:id="32"/>
    <w:p>
      <w:pPr>
        <w:ind w:firstLine="648"/>
        <w:spacing w:after="0" w:line="233" w:lineRule="auto"/>
        <w:rPr>
          <w:sz w:val="20"/>
          <w:szCs w:val="20"/>
          <w:color w:val="auto"/>
        </w:rPr>
      </w:pPr>
      <w:r>
        <w:rPr>
          <w:rFonts w:ascii="Times New Roman" w:cs="Times New Roman" w:eastAsia="Times New Roman" w:hAnsi="Times New Roman"/>
          <w:sz w:val="22"/>
          <w:szCs w:val="22"/>
          <w:color w:val="auto"/>
        </w:rPr>
        <w:t>Net cash provided by operating activities was approximately $65.5 million for the first nine months of fiscal year 2023. For the first nine months of fiscal year 2023, cash was provided by net income of approximately $50.6 million, adjusted for non-cash items of approximately $16.3 million, which consisted of depreciation, amortization of operating lease right-of-use assets, income from equity method investments, interest income from short-term investments, the deferred income tax provision, stock-based compensation expense, and loss on disposal of property and equipment. We received dividends from Big River of approximately $5.5 million. An increase in the balance of accounts receivable used cash of approximately $5.0 million, primarily a result of the timing of products shipped and the receipt of customer payments at One Earth and NuGen. Inventories decreased over the first nine months of fiscal year 2023, providing cash of $11.2 million. An increase in the balance of other assets of approximately $1.3 million primarily relates to changes in the carrying value of forward purchase contracts and commodity futures positions recorded at fair value. An increase in the balance of refundable income taxes of approximately $1.5 million primarily relates to overpayment of taxes currently payable for the previous fiscal year and quarterly estimated tax payments. While the Company has tax credits available to offset all amounts owed, the Company is limited to using tax credits for only 75% of federal taxes owed. A decrease in the balance of accounts payable used cash of approximately $5.6 million, which was primarily a result of the timing of inventory receipts and vendor payments. A decrease in the balance of other liabilities used cash of approximately $4.8 million.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 October 31, 2024, working capital was approximately $392.5 million, compared to $385.8 million at January 31, 2024.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ratio of current assets to current liabilities was 9.9 to 1 at October 31, 2024 and 6.8 to 1 at January 31, 2024.</w:t>
      </w:r>
    </w:p>
    <w:p>
      <w:pPr>
        <w:spacing w:after="0" w:line="209"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Cash of approximately $37.6 million was provided by investing activities for the first nine months of fiscal year 2024, compared to cash used in investing activities of approximately $63.3 million during the first nine months of fiscal year 2023. During the first nine months of fiscal year 2024, the Company had capital expenditures of approximately $55.4 million, primarily for various capital projects at our consolidated ethanol plants, including $24.5 million for expansion and CI scoring reduction projects at the One Earth facility and $22.4 million for the carbon sequestration project. During the first nine months of fiscal year 2024, we purchased short-term U.S. Treasury Bills of approximately $210.3 million, while U.S. Treasury Bills of approximately $303.0 million matured. The U.S Treasury Bills had maturities of less than one year and we classified them as short-term investments. Depending on the investment options available, we may elect to retain the funds, or a portion thereof, in cash, short-term investments or long-term investments.</w:t>
      </w:r>
    </w:p>
    <w:p>
      <w:pPr>
        <w:spacing w:after="0" w:line="210"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Cash of approximately $63.3 million was used in investing activities for the first nine months of fiscal year 2023. During the first nine months of fiscal year 2023, we had capital expenditures of approximately $22.4 million, primarily for various capital projects at our consolidated ethanol plants, including $7.7 million for expansion and CI scoring reduction projects at the One Earth facility and $8.0 million for the carbon sequestration project. During the first nine months of fiscal year 2023, we purchased U.S. Treasury Bills of approximately $378.4 million. During the first nine months of fiscal year 2023 U.S. Treasury Bills of approximately $337.5 million matured. The U.S Treasury Bills had maturities of less than one year and we classified them as short-term investments.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3" w:name="page34"/>
    <w:bookmarkEnd w:id="33"/>
    <w:p>
      <w:pPr>
        <w:ind w:right="480" w:firstLine="648"/>
        <w:spacing w:after="0" w:line="244" w:lineRule="auto"/>
        <w:rPr>
          <w:sz w:val="20"/>
          <w:szCs w:val="20"/>
          <w:color w:val="auto"/>
        </w:rPr>
      </w:pPr>
      <w:r>
        <w:rPr>
          <w:rFonts w:ascii="Times New Roman" w:cs="Times New Roman" w:eastAsia="Times New Roman" w:hAnsi="Times New Roman"/>
          <w:sz w:val="22"/>
          <w:szCs w:val="22"/>
          <w:color w:val="auto"/>
        </w:rPr>
        <w:t>Cash of approximately $1.9 million was used in financing activities for the first nine months of fiscal year 2024 for payments to noncontrolling interests holders, compared to approximately $0.7 million for the first nine months of fiscal year 2023.</w:t>
      </w:r>
    </w:p>
    <w:p>
      <w:pPr>
        <w:spacing w:after="0" w:line="200"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We are investigating various uses for our excess cash and short-term investments. We expect total capital expenditures related to the construction at the One Earth facilities to approximate $165 million to $175 million, inclusive of the carbon sequestration project and plant capacity expansion and ongoing efforts to reduce CI scoring, which we currently plan to pay from our available cash. As of October 31, 2024, we have spent $52.9 million since inception and are contractually committed to spend an additional $2.4 million toward the carbon sequestration project. As of October 31, 2024, we have spent $50.2 million since inception and are contractually committed to spend an additional $7.4 million toward plant capacity expansion and CI scoring reduction efforts. For all projects, we plan to spend $25 million to $35 million during the remainder of fiscal year 2024.</w:t>
      </w:r>
    </w:p>
    <w:p>
      <w:pPr>
        <w:spacing w:after="0" w:line="197"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22"/>
          <w:szCs w:val="22"/>
          <w:color w:val="auto"/>
        </w:rPr>
        <w:t>We have a stock buyback program with 876,786 shares remaining authorized at October 31, 2024. We typically repurchase our common stock when our stock price is trading at a price we deem to be a discount to the underlying value of our net assets. We continue to seek investment opportunities, including ethanol and/or energy related, carbon sequestration related, agricultural or other ventures, we believe meet our investment criteria.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ind w:right="20" w:firstLine="648"/>
        <w:spacing w:after="0" w:line="232" w:lineRule="auto"/>
        <w:rPr>
          <w:sz w:val="20"/>
          <w:szCs w:val="20"/>
          <w:color w:val="auto"/>
        </w:rPr>
      </w:pPr>
      <w:r>
        <w:rPr>
          <w:rFonts w:ascii="Times New Roman" w:cs="Times New Roman" w:eastAsia="Times New Roman" w:hAnsi="Times New Roman"/>
          <w:sz w:val="22"/>
          <w:szCs w:val="22"/>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success in permitting and developing the planned carbon sequestration facility near the One Earth Energy ethanol plant, changes in the international, national or regional economies, the impact of inflation, the ability to attract employees,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2024 (File No. 001-09097).</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60" w:firstLine="495"/>
        <w:spacing w:after="0" w:line="238" w:lineRule="auto"/>
        <w:rPr>
          <w:sz w:val="20"/>
          <w:szCs w:val="20"/>
          <w:color w:val="auto"/>
        </w:rPr>
      </w:pPr>
      <w:r>
        <w:rPr>
          <w:rFonts w:ascii="Times New Roman" w:cs="Times New Roman" w:eastAsia="Times New Roman" w:hAnsi="Times New Roman"/>
          <w:sz w:val="22"/>
          <w:szCs w:val="22"/>
          <w:color w:val="auto"/>
        </w:rPr>
        <w:t>We manage a portion of our risk with respect to the volatility of commodity prices inherent in the ethanol industry by using forward fixed-price purchase and fixed-price sale contracts and exchange traded commodity futures contracts. Our remaining exposure to market risk, which includes the impact of our risk management activities resulting from our fixed-price purchase and sale contracts and derivatives, is based on the estimated effect on pre-tax income for the twelve months following October 31, 2024 is as follows, assuming normal operating capacity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02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b w:val="1"/>
                <w:bCs w:val="1"/>
                <w:color w:val="auto"/>
              </w:rPr>
              <w:t>Estimated Total</w:t>
            </w: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500" w:type="dxa"/>
            <w:vAlign w:val="bottom"/>
            <w:gridSpan w:val="3"/>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rPr>
              <w:t>Decrease in Pre-tax</w:t>
            </w:r>
          </w:p>
        </w:tc>
        <w:tc>
          <w:tcPr>
            <w:tcW w:w="0" w:type="dxa"/>
            <w:vAlign w:val="bottom"/>
          </w:tcPr>
          <w:p>
            <w:pPr>
              <w:spacing w:after="0"/>
              <w:rPr>
                <w:sz w:val="1"/>
                <w:szCs w:val="1"/>
                <w:color w:val="auto"/>
              </w:rPr>
            </w:pPr>
          </w:p>
        </w:tc>
      </w:tr>
      <w:tr>
        <w:trPr>
          <w:trHeight w:val="243"/>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Commodity</w:t>
            </w:r>
          </w:p>
        </w:tc>
        <w:tc>
          <w:tcPr>
            <w:tcW w:w="202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b w:val="1"/>
                <w:bCs w:val="1"/>
                <w:color w:val="auto"/>
              </w:rPr>
              <w:t>Volume for</w:t>
            </w:r>
          </w:p>
        </w:tc>
        <w:tc>
          <w:tcPr>
            <w:tcW w:w="1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gridSpan w:val="3"/>
          </w:tcPr>
          <w:p>
            <w:pPr>
              <w:jc w:val="right"/>
              <w:ind w:right="100"/>
              <w:spacing w:after="0" w:line="243" w:lineRule="exact"/>
              <w:rPr>
                <w:sz w:val="20"/>
                <w:szCs w:val="20"/>
                <w:color w:val="auto"/>
              </w:rPr>
            </w:pPr>
            <w:r>
              <w:rPr>
                <w:rFonts w:ascii="Times New Roman" w:cs="Times New Roman" w:eastAsia="Times New Roman" w:hAnsi="Times New Roman"/>
                <w:sz w:val="22"/>
                <w:szCs w:val="22"/>
                <w:b w:val="1"/>
                <w:bCs w:val="1"/>
                <w:color w:val="auto"/>
              </w:rPr>
              <w:t>Income From a 10%</w:t>
            </w:r>
          </w:p>
        </w:tc>
        <w:tc>
          <w:tcPr>
            <w:tcW w:w="0" w:type="dxa"/>
            <w:vAlign w:val="bottom"/>
          </w:tcPr>
          <w:p>
            <w:pPr>
              <w:spacing w:after="0"/>
              <w:rPr>
                <w:sz w:val="1"/>
                <w:szCs w:val="1"/>
                <w:color w:val="auto"/>
              </w:rPr>
            </w:pPr>
          </w:p>
        </w:tc>
      </w:tr>
      <w:tr>
        <w:trPr>
          <w:trHeight w:val="247"/>
        </w:trPr>
        <w:tc>
          <w:tcPr>
            <w:tcW w:w="4840" w:type="dxa"/>
            <w:vAlign w:val="bottom"/>
            <w:gridSpan w:val="2"/>
            <w:vMerge w:val="continue"/>
          </w:tcPr>
          <w:p>
            <w:pPr>
              <w:spacing w:after="0"/>
              <w:rPr>
                <w:sz w:val="21"/>
                <w:szCs w:val="21"/>
                <w:color w:val="auto"/>
              </w:rPr>
            </w:pPr>
          </w:p>
        </w:tc>
        <w:tc>
          <w:tcPr>
            <w:tcW w:w="2020" w:type="dxa"/>
            <w:vAlign w:val="bottom"/>
            <w:gridSpan w:val="2"/>
          </w:tcPr>
          <w:p>
            <w:pPr>
              <w:jc w:val="right"/>
              <w:ind w:right="440"/>
              <w:spacing w:after="0" w:line="247" w:lineRule="exact"/>
              <w:rPr>
                <w:sz w:val="20"/>
                <w:szCs w:val="20"/>
                <w:color w:val="auto"/>
              </w:rPr>
            </w:pPr>
            <w:r>
              <w:rPr>
                <w:rFonts w:ascii="Times New Roman" w:cs="Times New Roman" w:eastAsia="Times New Roman" w:hAnsi="Times New Roman"/>
                <w:sz w:val="22"/>
                <w:szCs w:val="22"/>
                <w:b w:val="1"/>
                <w:bCs w:val="1"/>
                <w:color w:val="auto"/>
              </w:rPr>
              <w:t>12 Months</w:t>
            </w:r>
          </w:p>
        </w:tc>
        <w:tc>
          <w:tcPr>
            <w:tcW w:w="1880" w:type="dxa"/>
            <w:vAlign w:val="bottom"/>
            <w:gridSpan w:val="2"/>
          </w:tcPr>
          <w:p>
            <w:pPr>
              <w:jc w:val="right"/>
              <w:ind w:right="320"/>
              <w:spacing w:after="0" w:line="247" w:lineRule="exact"/>
              <w:rPr>
                <w:sz w:val="20"/>
                <w:szCs w:val="20"/>
                <w:color w:val="auto"/>
              </w:rPr>
            </w:pPr>
            <w:r>
              <w:rPr>
                <w:rFonts w:ascii="Times New Roman" w:cs="Times New Roman" w:eastAsia="Times New Roman" w:hAnsi="Times New Roman"/>
                <w:sz w:val="22"/>
                <w:szCs w:val="22"/>
                <w:b w:val="1"/>
                <w:bCs w:val="1"/>
                <w:color w:val="auto"/>
              </w:rPr>
              <w:t>Unit of Measure</w:t>
            </w:r>
          </w:p>
        </w:tc>
        <w:tc>
          <w:tcPr>
            <w:tcW w:w="2500" w:type="dxa"/>
            <w:vAlign w:val="bottom"/>
            <w:gridSpan w:val="3"/>
          </w:tcPr>
          <w:p>
            <w:pPr>
              <w:jc w:val="right"/>
              <w:ind w:right="100"/>
              <w:spacing w:after="0" w:line="247" w:lineRule="exact"/>
              <w:rPr>
                <w:sz w:val="20"/>
                <w:szCs w:val="20"/>
                <w:color w:val="auto"/>
              </w:rPr>
            </w:pPr>
            <w:r>
              <w:rPr>
                <w:rFonts w:ascii="Times New Roman" w:cs="Times New Roman" w:eastAsia="Times New Roman" w:hAnsi="Times New Roman"/>
                <w:sz w:val="22"/>
                <w:szCs w:val="22"/>
                <w:b w:val="1"/>
                <w:bCs w:val="1"/>
                <w:color w:val="auto"/>
              </w:rPr>
              <w:t>Adverse Change in Price</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15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300,000</w:t>
            </w:r>
          </w:p>
        </w:tc>
        <w:tc>
          <w:tcPr>
            <w:tcW w:w="440" w:type="dxa"/>
            <w:vAlign w:val="bottom"/>
            <w:shd w:val="clear" w:color="auto" w:fill="E5FFFF"/>
          </w:tcPr>
          <w:p>
            <w:pPr>
              <w:spacing w:after="0"/>
              <w:rPr>
                <w:sz w:val="21"/>
                <w:szCs w:val="21"/>
                <w:color w:val="auto"/>
              </w:rPr>
            </w:pPr>
          </w:p>
        </w:tc>
        <w:tc>
          <w:tcPr>
            <w:tcW w:w="188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Gallons</w:t>
            </w:r>
          </w:p>
        </w:tc>
        <w:tc>
          <w:tcPr>
            <w:tcW w:w="18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5"/>
              </w:rPr>
              <w:t>49,091</w:t>
            </w:r>
          </w:p>
        </w:tc>
        <w:tc>
          <w:tcPr>
            <w:tcW w:w="0" w:type="dxa"/>
            <w:vAlign w:val="bottom"/>
          </w:tcPr>
          <w:p>
            <w:pPr>
              <w:spacing w:after="0"/>
              <w:rPr>
                <w:sz w:val="1"/>
                <w:szCs w:val="1"/>
                <w:color w:val="auto"/>
              </w:rPr>
            </w:pPr>
          </w:p>
        </w:tc>
      </w:tr>
      <w:tr>
        <w:trPr>
          <w:trHeight w:val="243"/>
        </w:trPr>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Corn</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103,800</w:t>
            </w:r>
          </w:p>
        </w:tc>
        <w:tc>
          <w:tcPr>
            <w:tcW w:w="440" w:type="dxa"/>
            <w:vAlign w:val="bottom"/>
          </w:tcPr>
          <w:p>
            <w:pPr>
              <w:spacing w:after="0"/>
              <w:rPr>
                <w:sz w:val="21"/>
                <w:szCs w:val="21"/>
                <w:color w:val="auto"/>
              </w:rPr>
            </w:pPr>
          </w:p>
        </w:tc>
        <w:tc>
          <w:tcPr>
            <w:tcW w:w="188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Bushels</w:t>
            </w:r>
          </w:p>
        </w:tc>
        <w:tc>
          <w:tcPr>
            <w:tcW w:w="1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5"/>
              </w:rPr>
              <w:t>37,591</w:t>
            </w:r>
          </w:p>
        </w:tc>
        <w:tc>
          <w:tcPr>
            <w:tcW w:w="0" w:type="dxa"/>
            <w:vAlign w:val="bottom"/>
          </w:tcPr>
          <w:p>
            <w:pPr>
              <w:spacing w:after="0"/>
              <w:rPr>
                <w:sz w:val="1"/>
                <w:szCs w:val="1"/>
                <w:color w:val="auto"/>
              </w:rPr>
            </w:pPr>
          </w:p>
        </w:tc>
      </w:tr>
      <w:tr>
        <w:trPr>
          <w:trHeight w:val="243"/>
        </w:trPr>
        <w:tc>
          <w:tcPr>
            <w:tcW w:w="48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Grains</w:t>
            </w:r>
          </w:p>
        </w:tc>
        <w:tc>
          <w:tcPr>
            <w:tcW w:w="15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717</w:t>
            </w:r>
          </w:p>
        </w:tc>
        <w:tc>
          <w:tcPr>
            <w:tcW w:w="440" w:type="dxa"/>
            <w:vAlign w:val="bottom"/>
            <w:shd w:val="clear" w:color="auto" w:fill="E5FFFF"/>
          </w:tcPr>
          <w:p>
            <w:pPr>
              <w:spacing w:after="0"/>
              <w:rPr>
                <w:sz w:val="21"/>
                <w:szCs w:val="21"/>
                <w:color w:val="auto"/>
              </w:rPr>
            </w:pPr>
          </w:p>
        </w:tc>
        <w:tc>
          <w:tcPr>
            <w:tcW w:w="188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Tons</w:t>
            </w:r>
          </w:p>
        </w:tc>
        <w:tc>
          <w:tcPr>
            <w:tcW w:w="18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8,413</w:t>
            </w:r>
          </w:p>
        </w:tc>
        <w:tc>
          <w:tcPr>
            <w:tcW w:w="0" w:type="dxa"/>
            <w:vAlign w:val="bottom"/>
          </w:tcPr>
          <w:p>
            <w:pPr>
              <w:spacing w:after="0"/>
              <w:rPr>
                <w:sz w:val="1"/>
                <w:szCs w:val="1"/>
                <w:color w:val="auto"/>
              </w:rPr>
            </w:pPr>
          </w:p>
        </w:tc>
      </w:tr>
      <w:tr>
        <w:trPr>
          <w:trHeight w:val="243"/>
        </w:trPr>
        <w:tc>
          <w:tcPr>
            <w:tcW w:w="48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90,000</w:t>
            </w:r>
          </w:p>
        </w:tc>
        <w:tc>
          <w:tcPr>
            <w:tcW w:w="440" w:type="dxa"/>
            <w:vAlign w:val="bottom"/>
          </w:tcPr>
          <w:p>
            <w:pPr>
              <w:spacing w:after="0"/>
              <w:rPr>
                <w:sz w:val="21"/>
                <w:szCs w:val="21"/>
                <w:color w:val="auto"/>
              </w:rPr>
            </w:pPr>
          </w:p>
        </w:tc>
        <w:tc>
          <w:tcPr>
            <w:tcW w:w="1880" w:type="dxa"/>
            <w:vAlign w:val="bottom"/>
            <w:gridSpan w:val="2"/>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Pounds</w:t>
            </w:r>
          </w:p>
        </w:tc>
        <w:tc>
          <w:tcPr>
            <w:tcW w:w="18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3,483</w:t>
            </w:r>
          </w:p>
        </w:tc>
        <w:tc>
          <w:tcPr>
            <w:tcW w:w="0" w:type="dxa"/>
            <w:vAlign w:val="bottom"/>
          </w:tcPr>
          <w:p>
            <w:pPr>
              <w:spacing w:after="0"/>
              <w:rPr>
                <w:sz w:val="1"/>
                <w:szCs w:val="1"/>
                <w:color w:val="auto"/>
              </w:rPr>
            </w:pPr>
          </w:p>
        </w:tc>
      </w:tr>
      <w:tr>
        <w:trPr>
          <w:trHeight w:val="243"/>
        </w:trPr>
        <w:tc>
          <w:tcPr>
            <w:tcW w:w="48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Natural Gas</w:t>
            </w:r>
          </w:p>
        </w:tc>
        <w:tc>
          <w:tcPr>
            <w:tcW w:w="15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7,400</w:t>
            </w:r>
          </w:p>
        </w:tc>
        <w:tc>
          <w:tcPr>
            <w:tcW w:w="440" w:type="dxa"/>
            <w:vAlign w:val="bottom"/>
            <w:shd w:val="clear" w:color="auto" w:fill="E5FFFF"/>
          </w:tcPr>
          <w:p>
            <w:pPr>
              <w:spacing w:after="0"/>
              <w:rPr>
                <w:sz w:val="21"/>
                <w:szCs w:val="21"/>
                <w:color w:val="auto"/>
              </w:rPr>
            </w:pPr>
          </w:p>
        </w:tc>
        <w:tc>
          <w:tcPr>
            <w:tcW w:w="1880" w:type="dxa"/>
            <w:vAlign w:val="bottom"/>
            <w:gridSpan w:val="2"/>
            <w:shd w:val="clear" w:color="auto" w:fill="E5FFFF"/>
          </w:tcPr>
          <w:p>
            <w:pPr>
              <w:jc w:val="right"/>
              <w:ind w:right="320"/>
              <w:spacing w:after="0" w:line="243" w:lineRule="exact"/>
              <w:rPr>
                <w:sz w:val="20"/>
                <w:szCs w:val="20"/>
                <w:color w:val="auto"/>
              </w:rPr>
            </w:pPr>
            <w:r>
              <w:rPr>
                <w:rFonts w:ascii="Times New Roman" w:cs="Times New Roman" w:eastAsia="Times New Roman" w:hAnsi="Times New Roman"/>
                <w:sz w:val="22"/>
                <w:szCs w:val="22"/>
                <w:color w:val="auto"/>
              </w:rPr>
              <w:t>MmBtu</w:t>
            </w:r>
          </w:p>
        </w:tc>
        <w:tc>
          <w:tcPr>
            <w:tcW w:w="18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1,986</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48" w:lineRule="auto"/>
        <w:rPr>
          <w:sz w:val="20"/>
          <w:szCs w:val="20"/>
          <w:color w:val="auto"/>
        </w:rPr>
      </w:pPr>
      <w:r>
        <w:rPr>
          <w:rFonts w:ascii="Times New Roman" w:cs="Times New Roman" w:eastAsia="Times New Roman" w:hAnsi="Times New Roman"/>
          <w:sz w:val="21"/>
          <w:szCs w:val="21"/>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9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35" w:name="page36"/>
    <w:bookmarkEnd w:id="35"/>
    <w:p>
      <w:pPr>
        <w:ind w:left="4280"/>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b w:val="1"/>
          <w:bCs w:val="1"/>
          <w:i w:val="1"/>
          <w:iCs w:val="1"/>
          <w:color w:val="auto"/>
        </w:rPr>
        <w:t>Legal Proceedings</w:t>
      </w:r>
    </w:p>
    <w:p>
      <w:pPr>
        <w:spacing w:after="0" w:line="2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1A. </w:t>
      </w:r>
      <w:r>
        <w:rPr>
          <w:rFonts w:ascii="Times New Roman" w:cs="Times New Roman" w:eastAsia="Times New Roman" w:hAnsi="Times New Roman"/>
          <w:sz w:val="22"/>
          <w:szCs w:val="22"/>
          <w:b w:val="1"/>
          <w:bCs w:val="1"/>
          <w:i w:val="1"/>
          <w:iCs w:val="1"/>
          <w:color w:val="auto"/>
        </w:rPr>
        <w:t>Risk Factors</w:t>
      </w:r>
    </w:p>
    <w:p>
      <w:pPr>
        <w:spacing w:after="0" w:line="23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risk factors discussed in our Annual Report on Form 10-K for the year ended January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Unregistered Sales of Equity Securities and Use of Proceeds</w:t>
      </w:r>
    </w:p>
    <w:p>
      <w:pPr>
        <w:spacing w:after="0" w:line="23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21"/>
          <w:szCs w:val="21"/>
          <w:color w:val="auto"/>
        </w:rPr>
        <w:t>On August 31, 2021, our Board of Directors increased our share repurchase authorization by an additional 1,500,000 shares (split-adjusted). At October 31, 2024, a total of 876,786 shares remained available to purchase under this authorization.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There were no share repurchases by the Company in the third quarter of fiscal year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w:t>
      </w:r>
      <w:r>
        <w:rPr>
          <w:rFonts w:ascii="Times New Roman" w:cs="Times New Roman" w:eastAsia="Times New Roman" w:hAnsi="Times New Roman"/>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 xml:space="preserve">Item 6. </w:t>
      </w:r>
      <w:r>
        <w:rPr>
          <w:rFonts w:ascii="Times New Roman" w:cs="Times New Roman" w:eastAsia="Times New Roman" w:hAnsi="Times New Roman"/>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exhibits are filed with this report:</w:t>
      </w:r>
    </w:p>
    <w:p>
      <w:pPr>
        <w:spacing w:after="0" w:line="233" w:lineRule="exact"/>
        <w:rPr>
          <w:sz w:val="20"/>
          <w:szCs w:val="20"/>
          <w:color w:val="auto"/>
        </w:rPr>
      </w:pPr>
    </w:p>
    <w:p>
      <w:pPr>
        <w:ind w:left="980"/>
        <w:spacing w:after="0"/>
        <w:tabs>
          <w:tab w:leader="none" w:pos="1640" w:val="left"/>
        </w:tabs>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color w:val="auto"/>
        </w:rPr>
        <w:t>3(b)</w:t>
      </w:r>
      <w:r>
        <w:rPr>
          <w:sz w:val="20"/>
          <w:szCs w:val="20"/>
          <w:color w:val="auto"/>
        </w:rPr>
        <w:tab/>
      </w:r>
      <w:hyperlink r:id="rId47">
        <w:r>
          <w:rPr>
            <w:rFonts w:ascii="Times New Roman" w:cs="Times New Roman" w:eastAsia="Times New Roman" w:hAnsi="Times New Roman"/>
            <w:sz w:val="22"/>
            <w:szCs w:val="22"/>
            <w:u w:val="single" w:color="auto"/>
            <w:color w:val="0000EE"/>
          </w:rPr>
          <w:t>By-Laws, as amended (incorporated by reference to Exhibit 3(ii) to Form 8-K filed August 7, 2024, File No.</w:t>
        </w:r>
      </w:hyperlink>
    </w:p>
    <w:p>
      <w:pPr>
        <w:spacing w:after="0" w:line="14" w:lineRule="exact"/>
        <w:rPr>
          <w:sz w:val="20"/>
          <w:szCs w:val="20"/>
          <w:color w:val="auto"/>
        </w:rPr>
      </w:pPr>
    </w:p>
    <w:p>
      <w:pPr>
        <w:ind w:left="1660"/>
        <w:spacing w:after="0"/>
        <w:rPr>
          <w:rFonts w:ascii="Times New Roman" w:cs="Times New Roman" w:eastAsia="Times New Roman" w:hAnsi="Times New Roman"/>
          <w:sz w:val="22"/>
          <w:szCs w:val="22"/>
          <w:u w:val="single" w:color="auto"/>
          <w:color w:val="0000EE"/>
        </w:rPr>
      </w:pPr>
      <w:hyperlink r:id="rId47">
        <w:r>
          <w:rPr>
            <w:rFonts w:ascii="Times New Roman" w:cs="Times New Roman" w:eastAsia="Times New Roman" w:hAnsi="Times New Roman"/>
            <w:sz w:val="22"/>
            <w:szCs w:val="22"/>
            <w:u w:val="single" w:color="auto"/>
            <w:color w:val="0000EE"/>
          </w:rPr>
          <w:t>001-09097)</w:t>
        </w:r>
      </w:hyperlink>
    </w:p>
    <w:p>
      <w:pPr>
        <w:spacing w:after="0" w:line="209" w:lineRule="exact"/>
        <w:rPr>
          <w:sz w:val="20"/>
          <w:szCs w:val="20"/>
          <w:color w:val="auto"/>
        </w:rPr>
      </w:pPr>
    </w:p>
    <w:p>
      <w:pPr>
        <w:ind w:left="1660" w:right="20" w:hanging="532"/>
        <w:spacing w:after="0" w:line="258" w:lineRule="auto"/>
        <w:tabs>
          <w:tab w:leader="none" w:pos="1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Consulting Services Agreement, effective as of August 1, 2024, between One Earth Sequestration LLC and Highstake 35 LLC dba Mercury Public Affairs</w:t>
      </w:r>
    </w:p>
    <w:p>
      <w:pPr>
        <w:spacing w:after="0" w:line="185" w:lineRule="exact"/>
        <w:rPr>
          <w:sz w:val="20"/>
          <w:szCs w:val="20"/>
          <w:color w:val="auto"/>
        </w:rPr>
      </w:pPr>
    </w:p>
    <w:p>
      <w:pPr>
        <w:ind w:left="1660" w:hanging="532"/>
        <w:spacing w:after="0"/>
        <w:tabs>
          <w:tab w:leader="none" w:pos="1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Rule 13a-14(a)/15d-14(a) Certifications</w:t>
      </w:r>
    </w:p>
    <w:p>
      <w:pPr>
        <w:spacing w:after="0" w:line="233" w:lineRule="exact"/>
        <w:rPr>
          <w:rFonts w:ascii="Times New Roman" w:cs="Times New Roman" w:eastAsia="Times New Roman" w:hAnsi="Times New Roman"/>
          <w:sz w:val="22"/>
          <w:szCs w:val="22"/>
          <w:color w:val="auto"/>
        </w:rPr>
      </w:pPr>
    </w:p>
    <w:p>
      <w:pPr>
        <w:ind w:left="1660" w:hanging="532"/>
        <w:spacing w:after="0"/>
        <w:tabs>
          <w:tab w:leader="none" w:pos="1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Section 1350 Certifications</w:t>
      </w:r>
    </w:p>
    <w:p>
      <w:pPr>
        <w:spacing w:after="0" w:line="233" w:lineRule="exact"/>
        <w:rPr>
          <w:sz w:val="20"/>
          <w:szCs w:val="20"/>
          <w:color w:val="auto"/>
        </w:rPr>
      </w:pPr>
    </w:p>
    <w:p>
      <w:pPr>
        <w:jc w:val="both"/>
        <w:ind w:left="1660" w:hanging="640"/>
        <w:spacing w:after="0" w:line="239" w:lineRule="auto"/>
        <w:tabs>
          <w:tab w:leader="none" w:pos="1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information from REX American Resources Corporation Quarterly Report on Form 10-Q for the quarter ended October 31, 2024, formatted in iXBRL: (i) Consolidated Balance Sheets, (ii) Consolidated Statements of Operations, (iii) Consolidated Statements of Equity, (iv) Consolidated Statements of Cash Flows and (v) Notes to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REX American Resources Corporation</w:t>
      </w:r>
    </w:p>
    <w:p>
      <w:pPr>
        <w:spacing w:after="0" w:line="1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Registrant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gridSpan w:val="4"/>
          </w:tcPr>
          <w:p>
            <w:pPr>
              <w:jc w:val="center"/>
              <w:ind w:right="1240"/>
              <w:spacing w:after="0"/>
              <w:rPr>
                <w:sz w:val="20"/>
                <w:szCs w:val="20"/>
                <w:color w:val="auto"/>
              </w:rPr>
            </w:pPr>
            <w:r>
              <w:rPr>
                <w:rFonts w:ascii="Times New Roman" w:cs="Times New Roman" w:eastAsia="Times New Roman" w:hAnsi="Times New Roman"/>
                <w:sz w:val="22"/>
                <w:szCs w:val="22"/>
                <w:b w:val="1"/>
                <w:bCs w:val="1"/>
                <w:color w:val="auto"/>
                <w:w w:val="95"/>
              </w:rPr>
              <w:t>Signature</w:t>
            </w:r>
          </w:p>
        </w:tc>
        <w:tc>
          <w:tcPr>
            <w:tcW w:w="4580" w:type="dxa"/>
            <w:vAlign w:val="bottom"/>
            <w:gridSpan w:val="3"/>
          </w:tcPr>
          <w:p>
            <w:pPr>
              <w:ind w:left="244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1840" w:type="dxa"/>
            <w:vAlign w:val="bottom"/>
          </w:tcPr>
          <w:p>
            <w:pPr>
              <w:spacing w:after="0"/>
              <w:rPr>
                <w:sz w:val="22"/>
                <w:szCs w:val="2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Date</w:t>
            </w: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6"/>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gridSpan w:val="5"/>
          </w:tcPr>
          <w:p>
            <w:pPr>
              <w:jc w:val="center"/>
              <w:ind w:right="920"/>
              <w:spacing w:after="0"/>
              <w:rPr>
                <w:sz w:val="20"/>
                <w:szCs w:val="20"/>
                <w:color w:val="auto"/>
              </w:rPr>
            </w:pPr>
            <w:r>
              <w:rPr>
                <w:rFonts w:ascii="Times New Roman" w:cs="Times New Roman" w:eastAsia="Times New Roman" w:hAnsi="Times New Roman"/>
                <w:sz w:val="22"/>
                <w:szCs w:val="22"/>
                <w:color w:val="auto"/>
                <w:w w:val="98"/>
              </w:rPr>
              <w:t>/s/ Zafar A. Rizvi</w:t>
            </w:r>
          </w:p>
        </w:tc>
        <w:tc>
          <w:tcPr>
            <w:tcW w:w="4580" w:type="dxa"/>
            <w:vAlign w:val="bottom"/>
            <w:gridSpan w:val="3"/>
          </w:tcPr>
          <w:p>
            <w:pPr>
              <w:ind w:left="520"/>
              <w:spacing w:after="0"/>
              <w:rPr>
                <w:sz w:val="20"/>
                <w:szCs w:val="20"/>
                <w:color w:val="auto"/>
              </w:rPr>
            </w:pPr>
            <w:r>
              <w:rPr>
                <w:rFonts w:ascii="Times New Roman" w:cs="Times New Roman" w:eastAsia="Times New Roman" w:hAnsi="Times New Roman"/>
                <w:sz w:val="22"/>
                <w:szCs w:val="22"/>
                <w:color w:val="auto"/>
              </w:rPr>
              <w:t>Chief Executive Officer and President</w:t>
            </w: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6"/>
        </w:trPr>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(Zafar A. Rizvi)</w:t>
            </w: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5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(Chief Executive Officer)</w:t>
            </w:r>
          </w:p>
        </w:tc>
        <w:tc>
          <w:tcPr>
            <w:tcW w:w="3340" w:type="dxa"/>
            <w:vAlign w:val="bottom"/>
            <w:gridSpan w:val="3"/>
          </w:tcPr>
          <w:p>
            <w:pPr>
              <w:ind w:left="760"/>
              <w:spacing w:after="0"/>
              <w:rPr>
                <w:sz w:val="20"/>
                <w:szCs w:val="20"/>
                <w:color w:val="auto"/>
              </w:rPr>
            </w:pPr>
            <w:r>
              <w:rPr>
                <w:rFonts w:ascii="Times New Roman" w:cs="Times New Roman" w:eastAsia="Times New Roman" w:hAnsi="Times New Roman"/>
                <w:sz w:val="22"/>
                <w:szCs w:val="22"/>
                <w:color w:val="auto"/>
              </w:rPr>
              <w:t>December 5, 2024</w:t>
            </w:r>
          </w:p>
        </w:tc>
      </w:tr>
      <w:tr>
        <w:trPr>
          <w:trHeight w:val="433"/>
        </w:trPr>
        <w:tc>
          <w:tcPr>
            <w:tcW w:w="500" w:type="dxa"/>
            <w:vAlign w:val="bottom"/>
          </w:tcPr>
          <w:p>
            <w:pPr>
              <w:spacing w:after="0"/>
              <w:rPr>
                <w:sz w:val="24"/>
                <w:szCs w:val="24"/>
                <w:color w:val="auto"/>
              </w:rPr>
            </w:pPr>
          </w:p>
        </w:tc>
        <w:tc>
          <w:tcPr>
            <w:tcW w:w="2820" w:type="dxa"/>
            <w:vAlign w:val="bottom"/>
            <w:gridSpan w:val="6"/>
          </w:tcPr>
          <w:p>
            <w:pPr>
              <w:jc w:val="center"/>
              <w:ind w:right="540"/>
              <w:spacing w:after="0"/>
              <w:rPr>
                <w:sz w:val="20"/>
                <w:szCs w:val="20"/>
                <w:color w:val="auto"/>
              </w:rPr>
            </w:pPr>
            <w:r>
              <w:rPr>
                <w:rFonts w:ascii="Times New Roman" w:cs="Times New Roman" w:eastAsia="Times New Roman" w:hAnsi="Times New Roman"/>
                <w:sz w:val="22"/>
                <w:szCs w:val="22"/>
                <w:color w:val="auto"/>
                <w:w w:val="98"/>
              </w:rPr>
              <w:t>/s/ Douglas L. Bruggeman</w:t>
            </w:r>
          </w:p>
        </w:tc>
        <w:tc>
          <w:tcPr>
            <w:tcW w:w="4580" w:type="dxa"/>
            <w:vAlign w:val="bottom"/>
            <w:gridSpan w:val="3"/>
          </w:tcPr>
          <w:p>
            <w:pPr>
              <w:ind w:left="520"/>
              <w:spacing w:after="0"/>
              <w:rPr>
                <w:sz w:val="20"/>
                <w:szCs w:val="20"/>
                <w:color w:val="auto"/>
              </w:rPr>
            </w:pPr>
            <w:r>
              <w:rPr>
                <w:rFonts w:ascii="Times New Roman" w:cs="Times New Roman" w:eastAsia="Times New Roman" w:hAnsi="Times New Roman"/>
                <w:sz w:val="22"/>
                <w:szCs w:val="22"/>
                <w:color w:val="auto"/>
              </w:rPr>
              <w:t>Vice President, Finance and Treasurer</w:t>
            </w: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6"/>
        </w:trPr>
        <w:tc>
          <w:tcPr>
            <w:tcW w:w="50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color w:val="auto"/>
                <w:w w:val="97"/>
              </w:rPr>
              <w:t>(Douglas L. Bruggeman)</w:t>
            </w:r>
          </w:p>
        </w:tc>
        <w:tc>
          <w:tcPr>
            <w:tcW w:w="540" w:type="dxa"/>
            <w:vAlign w:val="bottom"/>
          </w:tcPr>
          <w:p>
            <w:pPr>
              <w:spacing w:after="0"/>
              <w:rPr>
                <w:sz w:val="23"/>
                <w:szCs w:val="23"/>
                <w:color w:val="auto"/>
              </w:rPr>
            </w:pPr>
          </w:p>
        </w:tc>
        <w:tc>
          <w:tcPr>
            <w:tcW w:w="45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(Chief Financial Officer)</w:t>
            </w:r>
          </w:p>
        </w:tc>
        <w:tc>
          <w:tcPr>
            <w:tcW w:w="3340" w:type="dxa"/>
            <w:vAlign w:val="bottom"/>
            <w:gridSpan w:val="3"/>
          </w:tcPr>
          <w:p>
            <w:pPr>
              <w:ind w:left="760"/>
              <w:spacing w:after="0"/>
              <w:rPr>
                <w:sz w:val="20"/>
                <w:szCs w:val="20"/>
                <w:color w:val="auto"/>
              </w:rPr>
            </w:pPr>
            <w:r>
              <w:rPr>
                <w:rFonts w:ascii="Times New Roman" w:cs="Times New Roman" w:eastAsia="Times New Roman" w:hAnsi="Times New Roman"/>
                <w:sz w:val="22"/>
                <w:szCs w:val="22"/>
                <w:color w:val="auto"/>
              </w:rPr>
              <w:t>December 5, 2024</w:t>
            </w:r>
          </w:p>
        </w:tc>
      </w:tr>
      <w:tr>
        <w:trPr>
          <w:trHeight w:val="432"/>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40" w:type="dxa"/>
            <w:vAlign w:val="bottom"/>
          </w:tcPr>
          <w:p>
            <w:pPr>
              <w:ind w:left="2200"/>
              <w:spacing w:after="0"/>
              <w:rPr>
                <w:sz w:val="20"/>
                <w:szCs w:val="20"/>
                <w:color w:val="auto"/>
              </w:rPr>
            </w:pPr>
            <w:r>
              <w:rPr>
                <w:rFonts w:ascii="Times New Roman" w:cs="Times New Roman" w:eastAsia="Times New Roman" w:hAnsi="Times New Roman"/>
                <w:sz w:val="22"/>
                <w:szCs w:val="22"/>
                <w:color w:val="auto"/>
                <w:w w:val="99"/>
              </w:rPr>
              <w:t>38</w:t>
            </w: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8"/>
        </w:trPr>
        <w:tc>
          <w:tcPr>
            <w:tcW w:w="50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540" w:type="dxa"/>
            <w:vAlign w:val="bottom"/>
            <w:tcBorders>
              <w:bottom w:val="single" w:sz="8" w:color="C0C0C0"/>
            </w:tcBorders>
          </w:tcPr>
          <w:p>
            <w:pPr>
              <w:spacing w:after="0"/>
              <w:rPr>
                <w:sz w:val="20"/>
                <w:szCs w:val="20"/>
                <w:color w:val="auto"/>
              </w:rPr>
            </w:pPr>
          </w:p>
        </w:tc>
        <w:tc>
          <w:tcPr>
            <w:tcW w:w="24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720" w:type="dxa"/>
            <w:vAlign w:val="bottom"/>
            <w:tcBorders>
              <w:bottom w:val="single" w:sz="8" w:color="C0C0C0"/>
            </w:tcBorders>
          </w:tcPr>
          <w:p>
            <w:pPr>
              <w:spacing w:after="0"/>
              <w:rPr>
                <w:sz w:val="20"/>
                <w:szCs w:val="20"/>
                <w:color w:val="auto"/>
              </w:rPr>
            </w:pPr>
          </w:p>
        </w:tc>
        <w:tc>
          <w:tcPr>
            <w:tcW w:w="18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2"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2048510" cy="582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04851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CONSULTING SERVICES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One Earth Sequestration LLC </w:t>
      </w:r>
      <w:r>
        <w:rPr>
          <w:rFonts w:ascii="Times New Roman" w:cs="Times New Roman" w:eastAsia="Times New Roman" w:hAnsi="Times New Roman"/>
          <w:sz w:val="18"/>
          <w:szCs w:val="18"/>
          <w:color w:val="auto"/>
        </w:rPr>
        <w:t>(“Client”) enters into this Consulting Services Agreement (the “Agreement”) effective as of August 1,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Date”), to retain </w:t>
      </w:r>
      <w:r>
        <w:rPr>
          <w:rFonts w:ascii="Times New Roman" w:cs="Times New Roman" w:eastAsia="Times New Roman" w:hAnsi="Times New Roman"/>
          <w:sz w:val="18"/>
          <w:szCs w:val="18"/>
          <w:b w:val="1"/>
          <w:bCs w:val="1"/>
          <w:color w:val="auto"/>
        </w:rPr>
        <w:t>Highstake 35 LLC dba Mercury Public Affairs</w:t>
      </w:r>
      <w:r>
        <w:rPr>
          <w:rFonts w:ascii="Times New Roman" w:cs="Times New Roman" w:eastAsia="Times New Roman" w:hAnsi="Times New Roman"/>
          <w:sz w:val="18"/>
          <w:szCs w:val="18"/>
          <w:color w:val="auto"/>
        </w:rPr>
        <w:t xml:space="preserve"> (“Consultant”), to perform the services described herein. Client and Consultant may each be referred to herein as a “Party,” and together as the “Parties.”</w:t>
      </w:r>
    </w:p>
    <w:p>
      <w:pPr>
        <w:spacing w:after="0" w:line="188" w:lineRule="exact"/>
        <w:rPr>
          <w:sz w:val="20"/>
          <w:szCs w:val="20"/>
          <w:color w:val="auto"/>
        </w:rPr>
      </w:pPr>
    </w:p>
    <w:p>
      <w:pPr>
        <w:ind w:left="520" w:hanging="188"/>
        <w:spacing w:after="0"/>
        <w:tabs>
          <w:tab w:leader="none" w:pos="5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The Services</w:t>
      </w:r>
      <w:r>
        <w:rPr>
          <w:rFonts w:ascii="Times New Roman" w:cs="Times New Roman" w:eastAsia="Times New Roman" w:hAnsi="Times New Roman"/>
          <w:sz w:val="18"/>
          <w:szCs w:val="18"/>
          <w:color w:val="auto"/>
        </w:rPr>
        <w:t>. Consultant shall render services to Client as specified on Schedule 1 attached hereto (the “Services”).</w:t>
      </w:r>
    </w:p>
    <w:p>
      <w:pPr>
        <w:spacing w:after="0" w:line="229" w:lineRule="exact"/>
        <w:rPr>
          <w:rFonts w:ascii="Times New Roman" w:cs="Times New Roman" w:eastAsia="Times New Roman" w:hAnsi="Times New Roman"/>
          <w:sz w:val="20"/>
          <w:szCs w:val="20"/>
          <w:color w:val="auto"/>
        </w:rPr>
      </w:pPr>
    </w:p>
    <w:p>
      <w:pPr>
        <w:jc w:val="both"/>
        <w:ind w:firstLine="332"/>
        <w:spacing w:after="0" w:line="252" w:lineRule="auto"/>
        <w:tabs>
          <w:tab w:leader="none" w:pos="52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 Client shall pay fees and expenses per the terms set forth on Schedule 2 attached hereto. Payment in full of fees and expenses shall be made to Consultant within thirty (30) days after an invoice is rendered. In the event Client does not pay such fees and expenses as specified, Consultant may suspend Services until payment is made. All payments made by Client shall be without deduction or offset.</w:t>
      </w:r>
    </w:p>
    <w:p>
      <w:pPr>
        <w:spacing w:after="0" w:line="214" w:lineRule="exact"/>
        <w:rPr>
          <w:rFonts w:ascii="Times New Roman" w:cs="Times New Roman" w:eastAsia="Times New Roman" w:hAnsi="Times New Roman"/>
          <w:sz w:val="20"/>
          <w:szCs w:val="20"/>
          <w:color w:val="auto"/>
        </w:rPr>
      </w:pPr>
    </w:p>
    <w:p>
      <w:pPr>
        <w:ind w:left="520" w:hanging="188"/>
        <w:spacing w:after="0"/>
        <w:tabs>
          <w:tab w:leader="none" w:pos="5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shall begin on the Effective Date and will continue in effect until December 31, 2024 (the “Term”).</w:t>
      </w:r>
    </w:p>
    <w:p>
      <w:pPr>
        <w:spacing w:after="0" w:line="229" w:lineRule="exact"/>
        <w:rPr>
          <w:rFonts w:ascii="Times New Roman" w:cs="Times New Roman" w:eastAsia="Times New Roman" w:hAnsi="Times New Roman"/>
          <w:sz w:val="20"/>
          <w:szCs w:val="20"/>
          <w:color w:val="auto"/>
        </w:rPr>
      </w:pPr>
    </w:p>
    <w:p>
      <w:pPr>
        <w:ind w:left="520" w:hanging="188"/>
        <w:spacing w:after="0"/>
        <w:tabs>
          <w:tab w:leader="none" w:pos="5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Independent Contractor Status</w:t>
      </w:r>
      <w:r>
        <w:rPr>
          <w:rFonts w:ascii="Times New Roman" w:cs="Times New Roman" w:eastAsia="Times New Roman" w:hAnsi="Times New Roman"/>
          <w:sz w:val="18"/>
          <w:szCs w:val="18"/>
          <w:color w:val="auto"/>
        </w:rPr>
        <w:t>. Consultant is an independent contractor and not an agent or employee of Client.</w:t>
      </w:r>
    </w:p>
    <w:p>
      <w:pPr>
        <w:spacing w:after="0" w:line="229" w:lineRule="exact"/>
        <w:rPr>
          <w:rFonts w:ascii="Times New Roman" w:cs="Times New Roman" w:eastAsia="Times New Roman" w:hAnsi="Times New Roman"/>
          <w:sz w:val="20"/>
          <w:szCs w:val="20"/>
          <w:color w:val="auto"/>
        </w:rPr>
      </w:pPr>
    </w:p>
    <w:p>
      <w:pPr>
        <w:jc w:val="both"/>
        <w:ind w:firstLine="332"/>
        <w:spacing w:after="0" w:line="251" w:lineRule="auto"/>
        <w:tabs>
          <w:tab w:leader="none" w:pos="52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During the performance of Services, Consultant may have access to, have disclosed to it, or otherwise obtain information which Client identifies as confidential or proprietary (“Confidential Information”). Consultant shall use such Confidential Information solely in performance of its obligations under this Agreement. Information shall not be deemed Confidential Information if such information is: (i) already known to Consultant free of any restriction; (ii) obtained from a third party free of any restriction; (iii) developed independently by Consultant; or (iv) available publicly.</w:t>
      </w:r>
    </w:p>
    <w:p>
      <w:pPr>
        <w:spacing w:after="0" w:line="216" w:lineRule="exact"/>
        <w:rPr>
          <w:rFonts w:ascii="Times New Roman" w:cs="Times New Roman" w:eastAsia="Times New Roman" w:hAnsi="Times New Roman"/>
          <w:sz w:val="20"/>
          <w:szCs w:val="20"/>
          <w:color w:val="auto"/>
        </w:rPr>
      </w:pPr>
    </w:p>
    <w:p>
      <w:pPr>
        <w:jc w:val="both"/>
        <w:ind w:firstLine="332"/>
        <w:spacing w:after="0" w:line="251" w:lineRule="auto"/>
        <w:tabs>
          <w:tab w:leader="none" w:pos="54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Party will indemnify and hold harmless the other Party, its principals, employees, officers, and agents (collectively, the “Indemnified Party”) from and against any and all liabilities, losses, claims, demands, actions, judgments, costs, and expenses, including but not limited to reasonable attorneys’ fees, arising out of or resulting from any negligence, gross negligence, or willful misconduct by the indemnifying Party, its employees, officers, directors, and agents. Each Party’s indemnification obligations are conditioned upon the Indemnified Party: (i) giving prompt written notice of any claim, action, suit or proceeding for which the Indemnified Party is seeking indemnity; (ii) granting control of the defense and settlement of the action to the indemnifying Party, provided that no settlement admitting liability or that requires the payment of funds or the granting of legal or equitable relief will be entered into absent mutual agreement of the Parties, which will not be unreasonably withheld; and (iii) reasonably cooperating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Earth Sequestration LLC IL contract 08012024.docx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Not for Public Consumption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indemnifying Party with respect to the defense of the action. Notwithstanding the foregoing, the Indemnified Party may, at its option and expense, participate in the defense or settlement of any claim, action, suit, or proceeding.</w:t>
      </w:r>
    </w:p>
    <w:p>
      <w:pPr>
        <w:spacing w:after="0" w:line="189" w:lineRule="exact"/>
        <w:rPr>
          <w:sz w:val="20"/>
          <w:szCs w:val="20"/>
          <w:color w:val="auto"/>
        </w:rPr>
      </w:pPr>
    </w:p>
    <w:p>
      <w:pPr>
        <w:ind w:firstLine="332"/>
        <w:spacing w:after="0" w:line="255" w:lineRule="auto"/>
        <w:tabs>
          <w:tab w:leader="none" w:pos="53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Neither Party will use the other Party’s name, logo, trademarks, or service marks in any advertising, publicity releases, or any other materials without that Party’s prior written approval.</w:t>
      </w:r>
    </w:p>
    <w:p>
      <w:pPr>
        <w:spacing w:after="0" w:line="210" w:lineRule="exact"/>
        <w:rPr>
          <w:rFonts w:ascii="Times New Roman" w:cs="Times New Roman" w:eastAsia="Times New Roman" w:hAnsi="Times New Roman"/>
          <w:sz w:val="20"/>
          <w:szCs w:val="20"/>
          <w:color w:val="auto"/>
        </w:rPr>
      </w:pPr>
    </w:p>
    <w:p>
      <w:pPr>
        <w:ind w:left="520" w:hanging="188"/>
        <w:spacing w:after="0"/>
        <w:tabs>
          <w:tab w:leader="none" w:pos="5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Party may assign this Agreement, except to an affiliate or subsidiary, without the prior written consent of the other Party.</w:t>
      </w:r>
    </w:p>
    <w:p>
      <w:pPr>
        <w:spacing w:after="0" w:line="229" w:lineRule="exact"/>
        <w:rPr>
          <w:rFonts w:ascii="Times New Roman" w:cs="Times New Roman" w:eastAsia="Times New Roman" w:hAnsi="Times New Roman"/>
          <w:sz w:val="20"/>
          <w:szCs w:val="20"/>
          <w:color w:val="auto"/>
        </w:rPr>
      </w:pPr>
    </w:p>
    <w:p>
      <w:pPr>
        <w:jc w:val="both"/>
        <w:ind w:firstLine="332"/>
        <w:spacing w:after="0" w:line="252" w:lineRule="auto"/>
        <w:tabs>
          <w:tab w:leader="none" w:pos="52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in connection herewith will be in writing, sent per the contact information on Schedule 3 attached hereto, and either delivered personally, or mailed by certified mail, postage prepaid, or sent via email. Notice will be deemed given when delivered personally, or, if mailed, 72 hours after the time of mailing, or, if by email, 24 hours after an email is sent.</w:t>
      </w:r>
    </w:p>
    <w:p>
      <w:pPr>
        <w:spacing w:after="0" w:line="214" w:lineRule="exact"/>
        <w:rPr>
          <w:rFonts w:ascii="Times New Roman" w:cs="Times New Roman" w:eastAsia="Times New Roman" w:hAnsi="Times New Roman"/>
          <w:sz w:val="20"/>
          <w:szCs w:val="20"/>
          <w:color w:val="auto"/>
        </w:rPr>
      </w:pPr>
    </w:p>
    <w:p>
      <w:pPr>
        <w:jc w:val="both"/>
        <w:ind w:firstLine="332"/>
        <w:spacing w:after="0" w:line="251" w:lineRule="auto"/>
        <w:tabs>
          <w:tab w:leader="none" w:pos="63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Governing Law; Jurisdiction/Venue</w:t>
      </w:r>
      <w:r>
        <w:rPr>
          <w:rFonts w:ascii="Times New Roman" w:cs="Times New Roman" w:eastAsia="Times New Roman" w:hAnsi="Times New Roman"/>
          <w:sz w:val="18"/>
          <w:szCs w:val="18"/>
          <w:color w:val="auto"/>
        </w:rPr>
        <w:t xml:space="preserve">. This Agreement will be governed by and construed in accordance with the laws of the State of Illinois, without regard to its conflicts of laws rules, and both Parties submit to the exclusive personal jurisdiction of the state and federal courts in Illinois, and to venue in said courts, and waive any claim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Each party waives any right to have any dispute in connection herewith resolved by jury trial.</w:t>
      </w:r>
    </w:p>
    <w:p>
      <w:pPr>
        <w:spacing w:after="0" w:line="217" w:lineRule="exact"/>
        <w:rPr>
          <w:rFonts w:ascii="Times New Roman" w:cs="Times New Roman" w:eastAsia="Times New Roman" w:hAnsi="Times New Roman"/>
          <w:sz w:val="20"/>
          <w:szCs w:val="20"/>
          <w:color w:val="auto"/>
        </w:rPr>
      </w:pPr>
    </w:p>
    <w:p>
      <w:pPr>
        <w:ind w:firstLine="332"/>
        <w:spacing w:after="0" w:line="255" w:lineRule="auto"/>
        <w:tabs>
          <w:tab w:leader="none" w:pos="61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Liability of Consultant</w:t>
      </w:r>
      <w:r>
        <w:rPr>
          <w:rFonts w:ascii="Times New Roman" w:cs="Times New Roman" w:eastAsia="Times New Roman" w:hAnsi="Times New Roman"/>
          <w:sz w:val="18"/>
          <w:szCs w:val="18"/>
          <w:color w:val="auto"/>
        </w:rPr>
        <w:t>. Consultant shall bear no liability to Client for loss or damage in connection with advice or assistance given in good faith performance of the Services.</w:t>
      </w:r>
    </w:p>
    <w:p>
      <w:pPr>
        <w:spacing w:after="0" w:line="210" w:lineRule="exact"/>
        <w:rPr>
          <w:rFonts w:ascii="Times New Roman" w:cs="Times New Roman" w:eastAsia="Times New Roman" w:hAnsi="Times New Roman"/>
          <w:sz w:val="20"/>
          <w:szCs w:val="20"/>
          <w:color w:val="auto"/>
        </w:rPr>
      </w:pPr>
    </w:p>
    <w:p>
      <w:pPr>
        <w:jc w:val="both"/>
        <w:ind w:firstLine="332"/>
        <w:spacing w:after="0" w:line="251"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prevailing Party in any legal proceeding in connection with this Agreement shall have the right to require the non-prevailing Party in such proceeding to make payment to and reimburse the prevailing Party for reasonable attorneys’ fees and related expenses which the prevailing Party incurs in connection with the commencement, prosecution, or defense of such proceeding. The prevailing Party shall be that Party which prevails on a majority, but not necessarily all, of the material issues which were adjudicated in such proceeding.</w:t>
      </w:r>
    </w:p>
    <w:p>
      <w:pPr>
        <w:spacing w:after="0" w:line="217"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amendments or modifications of this Agreement shall be binding upon either Party unless made in writing and signed by both Parties.</w:t>
      </w:r>
    </w:p>
    <w:p>
      <w:pPr>
        <w:spacing w:after="0" w:line="229" w:lineRule="exact"/>
        <w:rPr>
          <w:rFonts w:ascii="Times New Roman" w:cs="Times New Roman" w:eastAsia="Times New Roman" w:hAnsi="Times New Roman"/>
          <w:sz w:val="20"/>
          <w:szCs w:val="20"/>
          <w:color w:val="auto"/>
        </w:rPr>
      </w:pPr>
    </w:p>
    <w:p>
      <w:pPr>
        <w:ind w:right="20" w:firstLine="656"/>
        <w:spacing w:after="0" w:line="255" w:lineRule="auto"/>
        <w:tabs>
          <w:tab w:leader="none" w:pos="982"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This Agreement constitutes the entire agreement between the Parties and supersedes all previous agreements, promises, proposals, representations, understandings, and negotiations, whether written or oral, respecting the subject matter hereof.</w:t>
      </w:r>
    </w:p>
    <w:p>
      <w:pPr>
        <w:spacing w:after="0" w:line="210" w:lineRule="exact"/>
        <w:rPr>
          <w:rFonts w:ascii="Times New Roman" w:cs="Times New Roman" w:eastAsia="Times New Roman" w:hAnsi="Times New Roman"/>
          <w:sz w:val="20"/>
          <w:szCs w:val="20"/>
          <w:color w:val="auto"/>
        </w:rPr>
      </w:pPr>
    </w:p>
    <w:p>
      <w:pPr>
        <w:jc w:val="both"/>
        <w:ind w:firstLine="656"/>
        <w:spacing w:after="0" w:line="252" w:lineRule="auto"/>
        <w:tabs>
          <w:tab w:leader="none" w:pos="93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 the event any one or more of the provisions of this Agreement shall for any reason be held to be invalid, illegal, or unenforceable, the remaining provisions of this Agreement will be unimpaired, and the invalid, illegal, or unenforceable provision will be replaced by a provision which, being valid, legal, and enforceable, comes closest to the intention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Earth Sequestration LLC IL contract 08012024.docx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Not for Public Consumption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0" w:name="page41"/>
    <w:bookmarkEnd w:id="40"/>
    <w:p>
      <w:pPr>
        <w:ind w:firstLine="656"/>
        <w:spacing w:after="0" w:line="255" w:lineRule="auto"/>
        <w:tabs>
          <w:tab w:leader="none" w:pos="92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This Agreement may be executed in one or more counterparts, each of which shall be deemed to be an original, but all of which together will constitute one and the same instrument.</w:t>
      </w:r>
    </w:p>
    <w:p>
      <w:pPr>
        <w:spacing w:after="0" w:line="210"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section headings contained in this Agreement are inserted for convenience only and do not affect the meaning or interpretation of this</w:t>
      </w:r>
    </w:p>
    <w:p>
      <w:pPr>
        <w:spacing w:after="0" w:line="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Agreement.</w:t>
      </w:r>
    </w:p>
    <w:p>
      <w:pPr>
        <w:spacing w:after="0" w:line="232" w:lineRule="exact"/>
        <w:rPr>
          <w:rFonts w:ascii="Times New Roman" w:cs="Times New Roman" w:eastAsia="Times New Roman" w:hAnsi="Times New Roman"/>
          <w:sz w:val="20"/>
          <w:szCs w:val="20"/>
          <w:color w:val="auto"/>
        </w:rPr>
      </w:pPr>
    </w:p>
    <w:p>
      <w:pPr>
        <w:ind w:firstLine="656"/>
        <w:spacing w:after="0" w:line="255" w:lineRule="auto"/>
        <w:tabs>
          <w:tab w:leader="none" w:pos="92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Notwithstanding any provision to the contrary in this Agreement, in no event will Consultant be liable to Client (whether for damages, indemnification, or any other claim) for an amount greater than the amount of fees actually paid to Consultant by Client for the Services.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entered into this Agreement as of the Effective Date noted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CONSULTANT:</w:t>
            </w:r>
          </w:p>
        </w:tc>
        <w:tc>
          <w:tcPr>
            <w:tcW w:w="7300" w:type="dxa"/>
            <w:vAlign w:val="bottom"/>
            <w:gridSpan w:val="3"/>
          </w:tcPr>
          <w:p>
            <w:pPr>
              <w:ind w:left="3340"/>
              <w:spacing w:after="0"/>
              <w:rPr>
                <w:sz w:val="20"/>
                <w:szCs w:val="20"/>
                <w:color w:val="auto"/>
              </w:rPr>
            </w:pPr>
            <w:r>
              <w:rPr>
                <w:rFonts w:ascii="Times New Roman" w:cs="Times New Roman" w:eastAsia="Times New Roman" w:hAnsi="Times New Roman"/>
                <w:sz w:val="18"/>
                <w:szCs w:val="18"/>
                <w:b w:val="1"/>
                <w:bCs w:val="1"/>
                <w:color w:val="auto"/>
              </w:rPr>
              <w:t>CLIENT:</w:t>
            </w:r>
          </w:p>
        </w:tc>
      </w:tr>
      <w:tr>
        <w:trPr>
          <w:trHeight w:val="238"/>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Mercury Public Affairs</w:t>
            </w:r>
          </w:p>
        </w:tc>
        <w:tc>
          <w:tcPr>
            <w:tcW w:w="7300" w:type="dxa"/>
            <w:vAlign w:val="bottom"/>
            <w:gridSpan w:val="3"/>
          </w:tcPr>
          <w:p>
            <w:pPr>
              <w:ind w:left="3340"/>
              <w:spacing w:after="0"/>
              <w:rPr>
                <w:sz w:val="20"/>
                <w:szCs w:val="20"/>
                <w:color w:val="auto"/>
              </w:rPr>
            </w:pPr>
            <w:r>
              <w:rPr>
                <w:rFonts w:ascii="Times New Roman" w:cs="Times New Roman" w:eastAsia="Times New Roman" w:hAnsi="Times New Roman"/>
                <w:sz w:val="18"/>
                <w:szCs w:val="18"/>
                <w:b w:val="1"/>
                <w:bCs w:val="1"/>
                <w:color w:val="auto"/>
              </w:rPr>
              <w:t>One Earth Sequestration LLC</w:t>
            </w:r>
          </w:p>
        </w:tc>
      </w:tr>
      <w:tr>
        <w:trPr>
          <w:trHeight w:val="7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7"/>
        </w:trPr>
        <w:tc>
          <w:tcPr>
            <w:tcW w:w="580" w:type="dxa"/>
            <w:vAlign w:val="bottom"/>
            <w:gridSpan w:val="2"/>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960" w:type="dxa"/>
            <w:vAlign w:val="bottom"/>
            <w:gridSpan w:val="2"/>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63"/>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Arial" w:cs="Arial" w:eastAsia="Arial" w:hAnsi="Arial"/>
                <w:sz w:val="18"/>
                <w:szCs w:val="18"/>
                <w:color w:val="auto"/>
              </w:rPr>
              <w:t>Thomas Doherty</w:t>
            </w:r>
          </w:p>
        </w:tc>
        <w:tc>
          <w:tcPr>
            <w:tcW w:w="7300" w:type="dxa"/>
            <w:vAlign w:val="bottom"/>
            <w:gridSpan w:val="3"/>
          </w:tcPr>
          <w:p>
            <w:pPr>
              <w:ind w:left="3340"/>
              <w:spacing w:after="0"/>
              <w:rPr>
                <w:sz w:val="20"/>
                <w:szCs w:val="20"/>
                <w:color w:val="auto"/>
              </w:rPr>
            </w:pPr>
            <w:r>
              <w:rPr>
                <w:rFonts w:ascii="Times New Roman" w:cs="Times New Roman" w:eastAsia="Times New Roman" w:hAnsi="Times New Roman"/>
                <w:sz w:val="18"/>
                <w:szCs w:val="18"/>
                <w:color w:val="auto"/>
              </w:rPr>
              <w:t>Name: Steven Kelly</w:t>
            </w: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Pr>
          <w:p>
            <w:pPr>
              <w:spacing w:after="0"/>
              <w:rPr>
                <w:sz w:val="22"/>
                <w:szCs w:val="22"/>
                <w:color w:val="auto"/>
              </w:rPr>
            </w:pPr>
          </w:p>
        </w:tc>
        <w:tc>
          <w:tcPr>
            <w:tcW w:w="3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Partner</w:t>
            </w:r>
          </w:p>
        </w:tc>
        <w:tc>
          <w:tcPr>
            <w:tcW w:w="39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President &amp; CEO</w:t>
            </w: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80" w:type="dxa"/>
            <w:vAlign w:val="bottom"/>
          </w:tcPr>
          <w:p>
            <w:pPr>
              <w:spacing w:after="0"/>
              <w:rPr>
                <w:sz w:val="22"/>
                <w:szCs w:val="22"/>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07/31/2024</w:t>
            </w:r>
          </w:p>
        </w:tc>
        <w:tc>
          <w:tcPr>
            <w:tcW w:w="39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Date:</w:t>
            </w:r>
          </w:p>
        </w:tc>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July 31,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-762635</wp:posOffset>
            </wp:positionV>
            <wp:extent cx="1276985"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76985" cy="19748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Earth Sequestration LLC IL contract 08012024.docx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Not for Public Consumption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1 - Services</w:t>
      </w:r>
    </w:p>
    <w:p>
      <w:pPr>
        <w:spacing w:after="0" w:line="243" w:lineRule="exact"/>
        <w:rPr>
          <w:sz w:val="20"/>
          <w:szCs w:val="20"/>
          <w:color w:val="auto"/>
        </w:rPr>
      </w:pPr>
    </w:p>
    <w:p>
      <w:pPr>
        <w:ind w:left="520" w:hanging="188"/>
        <w:spacing w:after="0"/>
        <w:tabs>
          <w:tab w:leader="none" w:pos="5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Consultant will provide Services as follows:</w:t>
      </w:r>
    </w:p>
    <w:p>
      <w:pPr>
        <w:spacing w:after="0" w:line="215" w:lineRule="exact"/>
        <w:rPr>
          <w:rFonts w:ascii="Times New Roman" w:cs="Times New Roman" w:eastAsia="Times New Roman" w:hAnsi="Times New Roman"/>
          <w:sz w:val="20"/>
          <w:szCs w:val="20"/>
          <w:color w:val="auto"/>
        </w:rPr>
      </w:pPr>
    </w:p>
    <w:p>
      <w:pPr>
        <w:ind w:left="880" w:hanging="332"/>
        <w:spacing w:after="0"/>
        <w:tabs>
          <w:tab w:leader="none" w:pos="88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Engage with McLean and Ford County, Illinois officials to secure permits as needed.</w:t>
      </w:r>
    </w:p>
    <w:p>
      <w:pPr>
        <w:spacing w:after="0" w:line="19" w:lineRule="exact"/>
        <w:rPr>
          <w:rFonts w:ascii="Times New Roman" w:cs="Times New Roman" w:eastAsia="Times New Roman" w:hAnsi="Times New Roman"/>
          <w:sz w:val="20"/>
          <w:szCs w:val="20"/>
          <w:color w:val="auto"/>
        </w:rPr>
      </w:pPr>
    </w:p>
    <w:p>
      <w:pPr>
        <w:ind w:left="880" w:hanging="332"/>
        <w:spacing w:after="0" w:line="223" w:lineRule="auto"/>
        <w:tabs>
          <w:tab w:leader="none" w:pos="88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Work with Department of Transportation to implement PHSMA rules.</w:t>
      </w:r>
    </w:p>
    <w:p>
      <w:pPr>
        <w:spacing w:after="0" w:line="15" w:lineRule="exact"/>
        <w:rPr>
          <w:rFonts w:ascii="Times New Roman" w:cs="Times New Roman" w:eastAsia="Times New Roman" w:hAnsi="Times New Roman"/>
          <w:sz w:val="20"/>
          <w:szCs w:val="20"/>
          <w:color w:val="auto"/>
        </w:rPr>
      </w:pPr>
    </w:p>
    <w:p>
      <w:pPr>
        <w:ind w:left="880" w:hanging="332"/>
        <w:spacing w:after="0" w:line="223" w:lineRule="auto"/>
        <w:tabs>
          <w:tab w:leader="none" w:pos="88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Federal and Illinois State lobbying, if requested.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2 - Compensation and Expenses</w:t>
      </w:r>
    </w:p>
    <w:p>
      <w:pPr>
        <w:spacing w:after="0" w:line="243" w:lineRule="exact"/>
        <w:rPr>
          <w:sz w:val="20"/>
          <w:szCs w:val="20"/>
          <w:color w:val="auto"/>
        </w:rPr>
      </w:pPr>
    </w:p>
    <w:p>
      <w:pPr>
        <w:ind w:left="520" w:hanging="188"/>
        <w:spacing w:after="0"/>
        <w:tabs>
          <w:tab w:leader="none" w:pos="5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For Services per Schedule 1, Client will pay Consultant the following fees:</w:t>
      </w:r>
    </w:p>
    <w:p>
      <w:pPr>
        <w:spacing w:after="0" w:line="215" w:lineRule="exact"/>
        <w:rPr>
          <w:rFonts w:ascii="Times New Roman" w:cs="Times New Roman" w:eastAsia="Times New Roman" w:hAnsi="Times New Roman"/>
          <w:sz w:val="20"/>
          <w:szCs w:val="20"/>
          <w:color w:val="auto"/>
        </w:rPr>
      </w:pPr>
    </w:p>
    <w:p>
      <w:pPr>
        <w:ind w:left="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$ 15,000.00 per month, invoiced monthly during the Term, invoice to be sent to the address provided by Client on Schedule 3.</w:t>
      </w:r>
    </w:p>
    <w:p>
      <w:pPr>
        <w:spacing w:after="0" w:line="238" w:lineRule="exact"/>
        <w:rPr>
          <w:rFonts w:ascii="Times New Roman" w:cs="Times New Roman" w:eastAsia="Times New Roman" w:hAnsi="Times New Roman"/>
          <w:sz w:val="20"/>
          <w:szCs w:val="20"/>
          <w:color w:val="auto"/>
        </w:rPr>
      </w:pPr>
    </w:p>
    <w:p>
      <w:pPr>
        <w:ind w:firstLine="332"/>
        <w:spacing w:after="0" w:line="255" w:lineRule="auto"/>
        <w:tabs>
          <w:tab w:leader="none" w:pos="53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Client will pay and reimburse Consultant for out-of-state business expenses incurred in providing the Services, invoiced monthly. Out of state expenses require the prior approval of Client. All other expenses are included under Schedule 1, including transportation in the state of Illinois.</w:t>
      </w:r>
    </w:p>
    <w:p>
      <w:pPr>
        <w:spacing w:after="0" w:line="210" w:lineRule="exact"/>
        <w:rPr>
          <w:rFonts w:ascii="Times New Roman" w:cs="Times New Roman" w:eastAsia="Times New Roman" w:hAnsi="Times New Roman"/>
          <w:sz w:val="20"/>
          <w:szCs w:val="20"/>
          <w:color w:val="auto"/>
        </w:rPr>
      </w:pPr>
    </w:p>
    <w:p>
      <w:pPr>
        <w:ind w:firstLine="332"/>
        <w:spacing w:after="0" w:line="255" w:lineRule="auto"/>
        <w:tabs>
          <w:tab w:leader="none" w:pos="52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 its sole and exclusive discretion, Consultant may require Client to pay in advance or directly to a vendor or creditor any expense(s) in connection with this Agreement.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SCHEDULE 3 - Contact Information</w:t>
            </w:r>
          </w:p>
        </w:tc>
        <w:tc>
          <w:tcPr>
            <w:tcW w:w="148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434"/>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Consultant:</w:t>
            </w: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Client:</w:t>
            </w:r>
          </w:p>
        </w:tc>
      </w:tr>
      <w:tr>
        <w:trPr>
          <w:trHeight w:val="216"/>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Mercury Public Affairs</w:t>
            </w: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One Earth Sequestration LLC</w:t>
            </w:r>
          </w:p>
        </w:tc>
      </w:tr>
      <w:tr>
        <w:trPr>
          <w:trHeight w:val="216"/>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218 E Bearss Avenue, #405</w:t>
            </w: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Attn: Steven Kelly</w:t>
            </w:r>
          </w:p>
        </w:tc>
      </w:tr>
      <w:tr>
        <w:trPr>
          <w:trHeight w:val="216"/>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Tampa, FL 33613</w:t>
            </w: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202 N. Jordan Dr.</w:t>
            </w:r>
          </w:p>
        </w:tc>
      </w:tr>
      <w:tr>
        <w:trPr>
          <w:trHeight w:val="216"/>
        </w:trPr>
        <w:tc>
          <w:tcPr>
            <w:tcW w:w="4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Email: dasaccounting@mercuryllc.com</w:t>
            </w: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Gibson City, IL 60936</w:t>
            </w:r>
          </w:p>
        </w:tc>
      </w:tr>
      <w:tr>
        <w:trPr>
          <w:trHeight w:val="216"/>
        </w:trPr>
        <w:tc>
          <w:tcPr>
            <w:tcW w:w="2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8"/>
              </w:rPr>
              <w:t>Email: zrizvi@rexamerican.com</w:t>
            </w:r>
          </w:p>
        </w:tc>
      </w:tr>
      <w:tr>
        <w:trPr>
          <w:trHeight w:val="234"/>
        </w:trPr>
        <w:tc>
          <w:tcPr>
            <w:tcW w:w="2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skelly@oneearthenergy.com</w:t>
            </w:r>
          </w:p>
        </w:tc>
      </w:tr>
      <w:tr>
        <w:trPr>
          <w:trHeight w:val="432"/>
        </w:trPr>
        <w:tc>
          <w:tcPr>
            <w:tcW w:w="2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Billing email: Same as above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Earth Sequestration LLC IL contract 08012024.docx</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Confidential - Not for Public Consumption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Zafar A. Rizvi, certify that:</w:t>
      </w:r>
    </w:p>
    <w:p>
      <w:pPr>
        <w:spacing w:after="0" w:line="225" w:lineRule="exact"/>
        <w:rPr>
          <w:sz w:val="20"/>
          <w:szCs w:val="20"/>
          <w:color w:val="auto"/>
        </w:rPr>
      </w:pPr>
    </w:p>
    <w:p>
      <w:pPr>
        <w:ind w:left="840" w:hanging="18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25" w:lineRule="exact"/>
        <w:rPr>
          <w:rFonts w:ascii="Times New Roman" w:cs="Times New Roman" w:eastAsia="Times New Roman" w:hAnsi="Times New Roman"/>
          <w:sz w:val="18"/>
          <w:szCs w:val="18"/>
          <w:color w:val="auto"/>
        </w:rPr>
      </w:pPr>
    </w:p>
    <w:p>
      <w:pPr>
        <w:ind w:right="200" w:firstLine="656"/>
        <w:spacing w:after="0" w:line="266"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2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firstLine="320"/>
        <w:spacing w:after="0" w:line="266" w:lineRule="auto"/>
        <w:tabs>
          <w:tab w:leader="none" w:pos="12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320" w:firstLine="320"/>
        <w:spacing w:after="0" w:line="282" w:lineRule="auto"/>
        <w:tabs>
          <w:tab w:leader="none" w:pos="122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3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ind w:left="-656" w:firstLine="656"/>
        <w:spacing w:after="0" w:line="282" w:lineRule="auto"/>
        <w:tabs>
          <w:tab w:leader="none" w:pos="1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460" w:firstLine="320"/>
        <w:spacing w:after="0" w:line="282" w:lineRule="auto"/>
        <w:tabs>
          <w:tab w:leader="none" w:pos="57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40" w:firstLine="320"/>
        <w:spacing w:after="0" w:line="282" w:lineRule="auto"/>
        <w:tabs>
          <w:tab w:leader="none" w:pos="5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Date: December 5, 2024</w:t>
      </w:r>
    </w:p>
    <w:p>
      <w:pPr>
        <w:spacing w:after="0" w:line="225"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405" w:right="419" w:bottom="1440" w:gutter="0" w:footer="0" w:header="0"/>
        </w:sectPr>
      </w:pPr>
    </w:p>
    <w:bookmarkStart w:id="44" w:name="page45"/>
    <w:bookmarkEnd w:id="4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L. Bruggeman, certify that:</w:t>
      </w:r>
    </w:p>
    <w:p>
      <w:pPr>
        <w:spacing w:after="0" w:line="225" w:lineRule="exact"/>
        <w:rPr>
          <w:sz w:val="20"/>
          <w:szCs w:val="20"/>
          <w:color w:val="auto"/>
        </w:rPr>
      </w:pPr>
    </w:p>
    <w:p>
      <w:pPr>
        <w:ind w:left="840" w:hanging="184"/>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25" w:lineRule="exact"/>
        <w:rPr>
          <w:rFonts w:ascii="Times New Roman" w:cs="Times New Roman" w:eastAsia="Times New Roman" w:hAnsi="Times New Roman"/>
          <w:sz w:val="18"/>
          <w:szCs w:val="18"/>
          <w:color w:val="auto"/>
        </w:rPr>
      </w:pPr>
    </w:p>
    <w:p>
      <w:pPr>
        <w:ind w:right="140" w:firstLine="656"/>
        <w:spacing w:after="0" w:line="266" w:lineRule="auto"/>
        <w:tabs>
          <w:tab w:leader="none" w:pos="8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656"/>
        <w:spacing w:after="0" w:line="282" w:lineRule="auto"/>
        <w:tabs>
          <w:tab w:leader="none" w:pos="8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60" w:firstLine="656"/>
        <w:spacing w:after="0" w:line="266" w:lineRule="auto"/>
        <w:tabs>
          <w:tab w:leader="none" w:pos="8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2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firstLine="320"/>
        <w:spacing w:after="0" w:line="266" w:lineRule="auto"/>
        <w:tabs>
          <w:tab w:leader="none" w:pos="12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firstLine="320"/>
        <w:spacing w:after="0" w:line="282" w:lineRule="auto"/>
        <w:tabs>
          <w:tab w:leader="none" w:pos="122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3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1" w:right="399" w:bottom="1440" w:gutter="0" w:footer="0" w:header="0"/>
        </w:sectPr>
      </w:pPr>
    </w:p>
    <w:bookmarkStart w:id="45" w:name="page46"/>
    <w:bookmarkEnd w:id="45"/>
    <w:p>
      <w:pPr>
        <w:ind w:left="-656" w:firstLine="656"/>
        <w:spacing w:after="0" w:line="282" w:lineRule="auto"/>
        <w:tabs>
          <w:tab w:leader="none" w:pos="1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460" w:firstLine="320"/>
        <w:spacing w:after="0" w:line="282" w:lineRule="auto"/>
        <w:tabs>
          <w:tab w:leader="none" w:pos="57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140" w:firstLine="320"/>
        <w:spacing w:after="0" w:line="282" w:lineRule="auto"/>
        <w:tabs>
          <w:tab w:leader="none" w:pos="58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Date: December 5, 2024</w:t>
      </w:r>
    </w:p>
    <w:p>
      <w:pPr>
        <w:spacing w:after="0" w:line="225"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405" w:right="4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undersigned officers of REX American Resources Corporation (the “Company”) hereby certify, to their knowledge, that the Company’s Quarterly Report on Form 10-Q for the period ended October 31, 2024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0"/>
    </w:lvl>
  </w:abstractNum>
  <w:abstractNum w:abstractNumId="6">
    <w:nsid w:val="66EF438D"/>
    <w:multiLevelType w:val="hybridMultilevel"/>
    <w:lvl w:ilvl="0">
      <w:lvlJc w:val="left"/>
      <w:lvlText w:val="%1"/>
      <w:numFmt w:val="decimal"/>
      <w:start w:val="31"/>
    </w:lvl>
  </w:abstractNum>
  <w:abstractNum w:abstractNumId="7">
    <w:nsid w:val="140E0F76"/>
    <w:multiLevelType w:val="hybridMultilevel"/>
    <w:lvl w:ilvl="0">
      <w:lvlJc w:val="left"/>
      <w:lvlText w:val="%1"/>
      <w:numFmt w:val="decimal"/>
      <w:start w:val="10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7"/>
    </w:lvl>
    <w:lvl w:ilvl="1">
      <w:lvlJc w:val="left"/>
      <w:lvlText w:val="(%2)"/>
      <w:numFmt w:val="lowerLetter"/>
      <w:start w:val="1"/>
    </w:lvl>
  </w:abstractNum>
  <w:abstractNum w:abstractNumId="10">
    <w:nsid w:val="DED7263"/>
    <w:multiLevelType w:val="hybridMultilevel"/>
    <w:lvl w:ilvl="0">
      <w:lvlJc w:val="left"/>
      <w:lvlText w:val="(%1)"/>
      <w:numFmt w:val="lowerLetter"/>
      <w:start w:val="4"/>
    </w:lvl>
  </w:abstractNum>
  <w:abstractNum w:abstractNumId="11">
    <w:nsid w:val="7FDCC233"/>
    <w:multiLevelType w:val="hybridMultilevel"/>
    <w:lvl w:ilvl="0">
      <w:lvlJc w:val="left"/>
      <w:lvlText w:val="%1."/>
      <w:numFmt w:val="decimal"/>
      <w:start w:val="1"/>
    </w:lvl>
    <w:lvl w:ilvl="1">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5"/>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47" Type="http://schemas.openxmlformats.org/officeDocument/2006/relationships/hyperlink" Target="https://www.sec.gov/Archives/edgar/data/744187/000093041324002264/c109730_ex99-3i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2024-12-05T14:44:49Z</dcterms:created>
  <dcterms:modified xsi:type="dcterms:W3CDTF">2024-12-05T14:44:49Z</dcterms:modified>
</cp:coreProperties>
</file>