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38" w:orient="portrait"/>
          <w:cols w:equalWidth="0" w:num="1">
            <w:col w:w="10139"/>
          </w:cols>
          <w:pgMar w:left="320" w:top="218"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ectPr>
          <w:pgSz w:w="11900" w:h="16838" w:orient="portrait"/>
          <w:cols w:equalWidth="0" w:num="2">
            <w:col w:w="4540" w:space="200"/>
            <w:col w:w="5399"/>
          </w:cols>
          <w:pgMar w:left="320" w:top="218" w:right="1440" w:bottom="1440" w:gutter="0" w:footer="0" w:header="0"/>
          <w:type w:val="continuous"/>
        </w:sectPr>
      </w:pPr>
    </w:p>
    <w:p>
      <w:pPr>
        <w:spacing w:after="0" w:line="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139"/>
          </w:cols>
          <w:pgMar w:left="320" w:top="218" w:right="1440" w:bottom="1440" w:gutter="0" w:footer="0" w:header="0"/>
          <w:type w:val="continuous"/>
        </w:sectPr>
      </w:pPr>
    </w:p>
    <w:p>
      <w:pPr>
        <w:spacing w:after="0" w:line="22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640" w:space="220"/>
            <w:col w:w="5279"/>
          </w:cols>
          <w:pgMar w:left="32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Rex Stores Corp.</w:t>
      </w:r>
    </w:p>
    <w:p>
      <w:pPr>
        <w:spacing w:after="0" w:line="200" w:lineRule="exact"/>
        <w:rPr>
          <w:sz w:val="24"/>
          <w:szCs w:val="24"/>
          <w:color w:val="auto"/>
        </w:rPr>
      </w:pPr>
    </w:p>
    <w:p>
      <w:pPr>
        <w:sectPr>
          <w:pgSz w:w="11900" w:h="16838" w:orient="portrait"/>
          <w:cols w:equalWidth="0" w:num="2">
            <w:col w:w="2760" w:space="720"/>
            <w:col w:w="6659"/>
          </w:cols>
          <w:pgMar w:left="32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4"/>
          <w:szCs w:val="24"/>
          <w:color w:val="auto"/>
        </w:rPr>
      </w:pPr>
    </w:p>
    <w:p>
      <w:pPr>
        <w:sectPr>
          <w:pgSz w:w="11900" w:h="16838" w:orient="portrait"/>
          <w:cols w:equalWidth="0" w:num="2">
            <w:col w:w="3060" w:space="420"/>
            <w:col w:w="6659"/>
          </w:cols>
          <w:pgMar w:left="32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761624105</w:t>
      </w:r>
    </w:p>
    <w:p>
      <w:pPr>
        <w:spacing w:after="0" w:line="200" w:lineRule="exact"/>
        <w:rPr>
          <w:sz w:val="24"/>
          <w:szCs w:val="24"/>
          <w:color w:val="auto"/>
        </w:rPr>
      </w:pPr>
    </w:p>
    <w:p>
      <w:pPr>
        <w:sectPr>
          <w:pgSz w:w="11900" w:h="16838" w:orient="portrait"/>
          <w:cols w:equalWidth="0" w:num="2">
            <w:col w:w="2760" w:space="720"/>
            <w:col w:w="6659"/>
          </w:cols>
          <w:pgMar w:left="32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761624105</w:t>
      </w:r>
    </w:p>
    <w:p>
      <w:pPr>
        <w:spacing w:after="0" w:line="200" w:lineRule="exact"/>
        <w:rPr>
          <w:sz w:val="24"/>
          <w:szCs w:val="24"/>
          <w:color w:val="auto"/>
        </w:rPr>
      </w:pPr>
    </w:p>
    <w:p>
      <w:pPr>
        <w:sectPr>
          <w:pgSz w:w="11900" w:h="16838" w:orient="portrait"/>
          <w:cols w:equalWidth="0" w:num="2">
            <w:col w:w="2760" w:space="720"/>
            <w:col w:w="6659"/>
          </w:cols>
          <w:pgMar w:left="320" w:top="218" w:right="1440" w:bottom="1440" w:gutter="0" w:footer="0" w:header="0"/>
          <w:type w:val="continuous"/>
        </w:sectPr>
      </w:pPr>
    </w:p>
    <w:p>
      <w:pPr>
        <w:spacing w:after="0" w:line="24" w:lineRule="exact"/>
        <w:rPr>
          <w:sz w:val="24"/>
          <w:szCs w:val="24"/>
          <w:color w:val="auto"/>
        </w:rPr>
      </w:pPr>
    </w:p>
    <w:p>
      <w:pPr>
        <w:ind w:left="860" w:right="1819" w:hanging="859"/>
        <w:spacing w:after="0" w:line="346" w:lineRule="auto"/>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 MELLON FINANCIAL CORPORATION SS or IRS Identification Nos. Of Above Person IRS No. 25-1233834</w:t>
      </w:r>
    </w:p>
    <w:p>
      <w:pPr>
        <w:sectPr>
          <w:pgSz w:w="11900" w:h="16838" w:orient="portrait"/>
          <w:cols w:equalWidth="0" w:num="1">
            <w:col w:w="10139"/>
          </w:cols>
          <w:pgMar w:left="320" w:top="218" w:right="1440" w:bottom="1440" w:gutter="0" w:footer="0" w:header="0"/>
          <w:type w:val="continuous"/>
        </w:sectPr>
      </w:pPr>
    </w:p>
    <w:p>
      <w:pPr>
        <w:spacing w:after="0" w:line="20"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1" w:lineRule="exact"/>
        <w:rPr>
          <w:sz w:val="24"/>
          <w:szCs w:val="24"/>
          <w:color w:val="auto"/>
        </w:rPr>
      </w:pPr>
    </w:p>
    <w:p>
      <w:pPr>
        <w:jc w:val="both"/>
        <w:ind w:left="5900"/>
        <w:spacing w:after="0"/>
        <w:tabs>
          <w:tab w:leader="none" w:pos="6420" w:val="left"/>
          <w:tab w:leader="none" w:pos="6840" w:val="left"/>
          <w:tab w:leader="none" w:pos="7260" w:val="left"/>
          <w:tab w:leader="none" w:pos="7780" w:val="left"/>
          <w:tab w:leader="none" w:pos="820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567,590</w:t>
            </w:r>
          </w:p>
        </w:tc>
        <w:tc>
          <w:tcPr>
            <w:tcW w:w="0" w:type="dxa"/>
            <w:vAlign w:val="bottom"/>
          </w:tcPr>
          <w:p>
            <w:pPr>
              <w:spacing w:after="0"/>
              <w:rPr>
                <w:sz w:val="1"/>
                <w:szCs w:val="1"/>
                <w:color w:val="auto"/>
              </w:rPr>
            </w:pPr>
          </w:p>
        </w:tc>
      </w:tr>
      <w:tr>
        <w:trPr>
          <w:trHeight w:val="202"/>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Sole Dispositive Power</w:t>
            </w:r>
          </w:p>
        </w:tc>
        <w:tc>
          <w:tcPr>
            <w:tcW w:w="15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567,590</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5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41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684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570,094</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4"/>
                <w:szCs w:val="24"/>
                <w:color w:val="auto"/>
              </w:rPr>
            </w:pPr>
          </w:p>
        </w:tc>
        <w:tc>
          <w:tcPr>
            <w:tcW w:w="5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Shares (See Instructions)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73"/>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of Class Represented by Amount in Row (9)</w:t>
            </w:r>
          </w:p>
        </w:tc>
        <w:tc>
          <w:tcPr>
            <w:tcW w:w="62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6.20</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Type of</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 (See Instructions)</w:t>
            </w:r>
          </w:p>
        </w:tc>
        <w:tc>
          <w:tcPr>
            <w:tcW w:w="62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HC</w:t>
            </w:r>
          </w:p>
        </w:tc>
      </w:tr>
    </w:tbl>
    <w:p>
      <w:pPr>
        <w:sectPr>
          <w:pgSz w:w="11900" w:h="16838" w:orient="portrait"/>
          <w:cols w:equalWidth="0" w:num="1">
            <w:col w:w="10139"/>
          </w:cols>
          <w:pgMar w:left="32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761624105</w:t>
      </w:r>
    </w:p>
    <w:p>
      <w:pPr>
        <w:sectPr>
          <w:pgSz w:w="11900" w:h="16838" w:orient="portrait"/>
          <w:cols w:equalWidth="0" w:num="1">
            <w:col w:w="10139"/>
          </w:cols>
          <w:pgMar w:left="320" w:top="285" w:right="1440" w:bottom="1440" w:gutter="0" w:footer="0" w:header="0"/>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No. 25-0659306</w:t>
      </w:r>
    </w:p>
    <w:p>
      <w:pPr>
        <w:spacing w:after="0" w:line="192" w:lineRule="exact"/>
        <w:rPr>
          <w:sz w:val="20"/>
          <w:szCs w:val="20"/>
          <w:color w:val="auto"/>
        </w:rPr>
      </w:pPr>
    </w:p>
    <w:p>
      <w:pPr>
        <w:sectPr>
          <w:pgSz w:w="11900" w:h="16838" w:orient="portrait"/>
          <w:cols w:equalWidth="0" w:num="2">
            <w:col w:w="5580" w:space="440"/>
            <w:col w:w="4119"/>
          </w:cols>
          <w:pgMar w:left="320" w:top="285" w:right="1440" w:bottom="1440" w:gutter="0" w:footer="0" w:header="0"/>
          <w:type w:val="continuous"/>
        </w:sect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1" w:lineRule="exact"/>
        <w:rPr>
          <w:sz w:val="20"/>
          <w:szCs w:val="20"/>
          <w:color w:val="auto"/>
        </w:rPr>
      </w:pPr>
    </w:p>
    <w:p>
      <w:pPr>
        <w:jc w:val="both"/>
        <w:ind w:left="6020"/>
        <w:spacing w:after="0"/>
        <w:tabs>
          <w:tab w:leader="none" w:pos="6520" w:val="left"/>
          <w:tab w:leader="none" w:pos="6940" w:val="left"/>
          <w:tab w:leader="none" w:pos="7360" w:val="left"/>
          <w:tab w:leader="none" w:pos="7880" w:val="left"/>
          <w:tab w:leader="none" w:pos="830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tab/>
        <w:t>)</w:t>
      </w:r>
    </w:p>
    <w:p>
      <w:pPr>
        <w:spacing w:after="0" w:line="169"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64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20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United States</w:t>
            </w:r>
          </w:p>
        </w:tc>
        <w:tc>
          <w:tcPr>
            <w:tcW w:w="0" w:type="dxa"/>
            <w:vAlign w:val="bottom"/>
          </w:tcPr>
          <w:p>
            <w:pPr>
              <w:spacing w:after="0"/>
              <w:rPr>
                <w:sz w:val="1"/>
                <w:szCs w:val="1"/>
                <w:color w:val="auto"/>
              </w:rPr>
            </w:pPr>
          </w:p>
        </w:tc>
      </w:tr>
      <w:tr>
        <w:trPr>
          <w:trHeight w:val="311"/>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567,590</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30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60" w:type="dxa"/>
            <w:vAlign w:val="bottom"/>
            <w:vMerge w:val="continue"/>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23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567,590</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5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3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3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Aggregate Amount Beneficially</w:t>
            </w:r>
          </w:p>
        </w:tc>
        <w:tc>
          <w:tcPr>
            <w:tcW w:w="3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Owned by Each Reporting Person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570,094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Shares (See Instructions)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73"/>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of Class Represented by Amount in Row (9)</w:t>
            </w:r>
          </w:p>
        </w:tc>
        <w:tc>
          <w:tcPr>
            <w:tcW w:w="90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6.20</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Type of</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 (See Instructions)</w:t>
            </w:r>
          </w:p>
        </w:tc>
        <w:tc>
          <w:tcPr>
            <w:tcW w:w="90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BK</w:t>
            </w:r>
          </w:p>
        </w:tc>
      </w:tr>
    </w:tbl>
    <w:p>
      <w:pPr>
        <w:sectPr>
          <w:pgSz w:w="11900" w:h="16838" w:orient="portrait"/>
          <w:cols w:equalWidth="0" w:num="1">
            <w:col w:w="10139"/>
          </w:cols>
          <w:pgMar w:left="320" w:top="285" w:right="1440"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5420" w:type="dxa"/>
            <w:vAlign w:val="bottom"/>
          </w:tcPr>
          <w:p>
            <w:pPr>
              <w:jc w:val="right"/>
              <w:ind w:right="5232"/>
              <w:spacing w:after="0"/>
              <w:rPr>
                <w:sz w:val="20"/>
                <w:szCs w:val="20"/>
                <w:color w:val="auto"/>
              </w:rPr>
            </w:pPr>
            <w:r>
              <w:rPr>
                <w:rFonts w:ascii="Courier New" w:cs="Courier New" w:eastAsia="Courier New" w:hAnsi="Courier New"/>
                <w:sz w:val="18"/>
                <w:szCs w:val="18"/>
                <w:color w:val="auto"/>
                <w:w w:val="73"/>
              </w:rPr>
              <w:t>3</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761624105</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(1)</w:t>
            </w:r>
          </w:p>
        </w:tc>
        <w:tc>
          <w:tcPr>
            <w:tcW w:w="5420" w:type="dxa"/>
            <w:vAlign w:val="bottom"/>
          </w:tcPr>
          <w:p>
            <w:pPr>
              <w:ind w:left="540"/>
              <w:spacing w:after="0"/>
              <w:rPr>
                <w:sz w:val="20"/>
                <w:szCs w:val="20"/>
                <w:color w:val="auto"/>
              </w:rPr>
            </w:pPr>
            <w:r>
              <w:rPr>
                <w:rFonts w:ascii="Courier New" w:cs="Courier New" w:eastAsia="Courier New" w:hAnsi="Courier New"/>
                <w:sz w:val="18"/>
                <w:szCs w:val="18"/>
                <w:color w:val="auto"/>
              </w:rPr>
              <w:t>Names of Reporting Persons</w:t>
            </w: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FOUNDERS ASSET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4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w w:val="99"/>
              </w:rPr>
              <w:t>SS or IRS Identification Nos. Of Above Person</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 LLC</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IRS No. 23-2944408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6440" w:hanging="535"/>
        <w:spacing w:after="0"/>
        <w:tabs>
          <w:tab w:leader="none" w:pos="6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  (   )</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2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United States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549,225</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64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6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1,252</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60" w:type="dxa"/>
            <w:vAlign w:val="bottom"/>
            <w:vMerge w:val="continue"/>
          </w:tcPr>
          <w:p>
            <w:pPr>
              <w:spacing w:after="0"/>
              <w:rPr>
                <w:sz w:val="17"/>
                <w:szCs w:val="17"/>
                <w:color w:val="auto"/>
              </w:rPr>
            </w:pPr>
          </w:p>
        </w:tc>
        <w:tc>
          <w:tcPr>
            <w:tcW w:w="264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w:t>
            </w:r>
          </w:p>
        </w:tc>
        <w:tc>
          <w:tcPr>
            <w:tcW w:w="19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6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549,225</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15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4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1,252</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3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Aggregate Amount Beneficially</w:t>
            </w:r>
          </w:p>
        </w:tc>
        <w:tc>
          <w:tcPr>
            <w:tcW w:w="3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Owned by Each Reporting Person</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550,477</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40" w:type="dxa"/>
            <w:vAlign w:val="bottom"/>
          </w:tcPr>
          <w:p>
            <w:pPr>
              <w:spacing w:after="0"/>
              <w:rPr>
                <w:sz w:val="24"/>
                <w:szCs w:val="24"/>
                <w:color w:val="auto"/>
              </w:rPr>
            </w:pPr>
          </w:p>
        </w:tc>
        <w:tc>
          <w:tcPr>
            <w:tcW w:w="58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Shares (See Instructions)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73"/>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of Class Represented by Amount in Row (9)</w:t>
            </w:r>
          </w:p>
        </w:tc>
        <w:tc>
          <w:tcPr>
            <w:tcW w:w="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5.99</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Type of</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 (See Instructions)</w:t>
            </w:r>
          </w:p>
        </w:tc>
        <w:tc>
          <w:tcPr>
            <w:tcW w:w="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EP</w:t>
            </w:r>
          </w:p>
        </w:tc>
      </w:tr>
    </w:tbl>
    <w:p>
      <w:pPr>
        <w:sectPr>
          <w:pgSz w:w="11900" w:h="16838" w:orient="portrait"/>
          <w:cols w:equalWidth="0" w:num="1">
            <w:col w:w="10139"/>
          </w:cols>
          <w:pgMar w:left="320" w:top="285"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00" w:type="dxa"/>
            <w:vAlign w:val="bottom"/>
            <w:gridSpan w:val="3"/>
            <w:vMerge w:val="restart"/>
          </w:tcPr>
          <w:p>
            <w:pPr>
              <w:ind w:left="100"/>
              <w:spacing w:after="0"/>
              <w:rPr>
                <w:sz w:val="20"/>
                <w:szCs w:val="20"/>
                <w:color w:val="auto"/>
              </w:rPr>
            </w:pPr>
            <w:r>
              <w:rPr>
                <w:rFonts w:ascii="Courier New" w:cs="Courier New" w:eastAsia="Courier New" w:hAnsi="Courier New"/>
                <w:sz w:val="18"/>
                <w:szCs w:val="18"/>
                <w:color w:val="auto"/>
              </w:rPr>
              <w:t>SECURITIES AND EXCHANGE COMMISSION</w:t>
            </w:r>
          </w:p>
        </w:tc>
        <w:tc>
          <w:tcPr>
            <w:tcW w:w="0" w:type="dxa"/>
            <w:vAlign w:val="bottom"/>
          </w:tcPr>
          <w:p>
            <w:pPr>
              <w:spacing w:after="0"/>
              <w:rPr>
                <w:sz w:val="1"/>
                <w:szCs w:val="1"/>
                <w:color w:val="auto"/>
              </w:rPr>
            </w:pPr>
          </w:p>
        </w:tc>
      </w:tr>
      <w:tr>
        <w:trPr>
          <w:trHeight w:val="109"/>
        </w:trPr>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Washington, D.C.</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20549</w:t>
            </w:r>
          </w:p>
        </w:tc>
        <w:tc>
          <w:tcPr>
            <w:tcW w:w="0" w:type="dxa"/>
            <w:vAlign w:val="bottom"/>
          </w:tcPr>
          <w:p>
            <w:pPr>
              <w:spacing w:after="0"/>
              <w:rPr>
                <w:sz w:val="1"/>
                <w:szCs w:val="1"/>
                <w:color w:val="auto"/>
              </w:rPr>
            </w:pPr>
          </w:p>
        </w:tc>
      </w:tr>
      <w:tr>
        <w:trPr>
          <w:trHeight w:val="311"/>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2"/>
          </w:tcPr>
          <w:p>
            <w:pPr>
              <w:ind w:left="1260"/>
              <w:spacing w:after="0"/>
              <w:rPr>
                <w:sz w:val="20"/>
                <w:szCs w:val="20"/>
                <w:color w:val="auto"/>
              </w:rPr>
            </w:pPr>
            <w:r>
              <w:rPr>
                <w:rFonts w:ascii="Courier New" w:cs="Courier New" w:eastAsia="Courier New" w:hAnsi="Courier New"/>
                <w:sz w:val="18"/>
                <w:szCs w:val="18"/>
                <w:color w:val="auto"/>
                <w:w w:val="95"/>
              </w:rPr>
              <w:t>SCHEDULE 13G</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4"/>
          </w:tcPr>
          <w:p>
            <w:pPr>
              <w:ind w:left="460"/>
              <w:spacing w:after="0"/>
              <w:rPr>
                <w:sz w:val="20"/>
                <w:szCs w:val="20"/>
                <w:color w:val="auto"/>
              </w:rPr>
            </w:pPr>
            <w:r>
              <w:rPr>
                <w:rFonts w:ascii="Courier New" w:cs="Courier New" w:eastAsia="Courier New" w:hAnsi="Courier New"/>
                <w:sz w:val="18"/>
                <w:szCs w:val="18"/>
                <w:color w:val="auto"/>
              </w:rPr>
              <w:t>(Under the Securities and Exchange Act of 1934)</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2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4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Rex Stores Corp.</w:t>
            </w:r>
          </w:p>
        </w:tc>
        <w:tc>
          <w:tcPr>
            <w:tcW w:w="0" w:type="dxa"/>
            <w:vAlign w:val="bottom"/>
          </w:tcPr>
          <w:p>
            <w:pPr>
              <w:spacing w:after="0"/>
              <w:rPr>
                <w:sz w:val="1"/>
                <w:szCs w:val="1"/>
                <w:color w:val="auto"/>
              </w:rPr>
            </w:pPr>
          </w:p>
        </w:tc>
      </w:tr>
      <w:tr>
        <w:trPr>
          <w:trHeight w:val="311"/>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720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2875 Needmore Rd.</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Dayton. OH 45414</w:t>
            </w:r>
          </w:p>
        </w:tc>
        <w:tc>
          <w:tcPr>
            <w:tcW w:w="0" w:type="dxa"/>
            <w:vAlign w:val="bottom"/>
          </w:tcPr>
          <w:p>
            <w:pPr>
              <w:spacing w:after="0"/>
              <w:rPr>
                <w:sz w:val="1"/>
                <w:szCs w:val="1"/>
                <w:color w:val="auto"/>
              </w:rPr>
            </w:pPr>
          </w:p>
        </w:tc>
      </w:tr>
      <w:tr>
        <w:trPr>
          <w:trHeight w:val="311"/>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2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4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Mellon Financial Corporation and any other</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person(s) identified on the</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second part of the cover page(s).</w:t>
            </w:r>
          </w:p>
        </w:tc>
        <w:tc>
          <w:tcPr>
            <w:tcW w:w="0" w:type="dxa"/>
            <w:vAlign w:val="bottom"/>
          </w:tcPr>
          <w:p>
            <w:pPr>
              <w:spacing w:after="0"/>
              <w:rPr>
                <w:sz w:val="1"/>
                <w:szCs w:val="1"/>
                <w:color w:val="auto"/>
              </w:rPr>
            </w:pPr>
          </w:p>
        </w:tc>
      </w:tr>
      <w:tr>
        <w:trPr>
          <w:trHeight w:val="311"/>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2(b)</w:t>
            </w:r>
          </w:p>
        </w:tc>
        <w:tc>
          <w:tcPr>
            <w:tcW w:w="720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 Mellon Financial Corporation</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One Mellon Center</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Pittsburgh, Pennsylvania 15258</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(for all reporting persons)</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2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100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United States</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36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2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100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761624105</w:t>
            </w:r>
          </w:p>
        </w:tc>
        <w:tc>
          <w:tcPr>
            <w:tcW w:w="0" w:type="dxa"/>
            <w:vAlign w:val="bottom"/>
          </w:tcPr>
          <w:p>
            <w:pPr>
              <w:spacing w:after="0"/>
              <w:rPr>
                <w:sz w:val="1"/>
                <w:szCs w:val="1"/>
                <w:color w:val="auto"/>
              </w:rPr>
            </w:pPr>
          </w:p>
        </w:tc>
      </w:tr>
      <w:tr>
        <w:trPr>
          <w:trHeight w:val="311"/>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720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See Item 12 of cover page(s) ("Type of Reporting</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Person") for each reporting person.</w:t>
            </w: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BK =</w:t>
            </w:r>
          </w:p>
        </w:tc>
        <w:tc>
          <w:tcPr>
            <w:tcW w:w="61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Bank as defined in Section 3(a)(6) of the Act</w:t>
            </w:r>
          </w:p>
        </w:tc>
        <w:tc>
          <w:tcPr>
            <w:tcW w:w="0" w:type="dxa"/>
            <w:vAlign w:val="bottom"/>
          </w:tcPr>
          <w:p>
            <w:pPr>
              <w:spacing w:after="0"/>
              <w:rPr>
                <w:sz w:val="1"/>
                <w:szCs w:val="1"/>
                <w:color w:val="auto"/>
              </w:rPr>
            </w:pPr>
          </w:p>
        </w:tc>
      </w:tr>
      <w:tr>
        <w:trPr>
          <w:trHeight w:val="311"/>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IV =</w:t>
            </w:r>
          </w:p>
        </w:tc>
        <w:tc>
          <w:tcPr>
            <w:tcW w:w="61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Investment Company registered under Section 8 of the</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Investment Company Act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320" w:right="2119" w:hanging="631"/>
        <w:spacing w:after="0" w:line="346" w:lineRule="auto"/>
        <w:tabs>
          <w:tab w:leader="none" w:pos="2300" w:val="left"/>
        </w:tabs>
        <w:rPr>
          <w:sz w:val="20"/>
          <w:szCs w:val="20"/>
          <w:color w:val="auto"/>
        </w:rPr>
      </w:pPr>
      <w:r>
        <w:rPr>
          <w:rFonts w:ascii="Courier New" w:cs="Courier New" w:eastAsia="Courier New" w:hAnsi="Courier New"/>
          <w:sz w:val="18"/>
          <w:szCs w:val="18"/>
          <w:color w:val="auto"/>
        </w:rPr>
        <w:t>IA =</w:t>
        <w:tab/>
        <w:t>Investment Adviser registered under Section 203 of the Investment Advisers Act of 1940</w:t>
      </w:r>
    </w:p>
    <w:p>
      <w:pPr>
        <w:spacing w:after="0" w:line="20" w:lineRule="exact"/>
        <w:rPr>
          <w:sz w:val="20"/>
          <w:szCs w:val="20"/>
          <w:color w:val="auto"/>
        </w:rPr>
      </w:pPr>
    </w:p>
    <w:p>
      <w:pPr>
        <w:ind w:left="2320" w:right="2019" w:hanging="631"/>
        <w:spacing w:after="0" w:line="250" w:lineRule="auto"/>
        <w:tabs>
          <w:tab w:leader="none" w:pos="2300" w:val="left"/>
        </w:tabs>
        <w:rPr>
          <w:sz w:val="20"/>
          <w:szCs w:val="20"/>
          <w:color w:val="auto"/>
        </w:rPr>
      </w:pPr>
      <w:r>
        <w:rPr>
          <w:rFonts w:ascii="Courier New" w:cs="Courier New" w:eastAsia="Courier New" w:hAnsi="Courier New"/>
          <w:sz w:val="18"/>
          <w:szCs w:val="18"/>
          <w:color w:val="auto"/>
        </w:rPr>
        <w:t>EP =</w:t>
        <w:tab/>
        <w:t>Employee Benefit Plan, Pension Fund which is subject to the provisions of the Employee Retirement Income Security Act of 1974 or Endowment Fund; see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Section 240.13-d(1)(b)(1)(ii)(F)</w:t>
      </w:r>
    </w:p>
    <w:p>
      <w:pPr>
        <w:spacing w:after="0" w:line="169" w:lineRule="exact"/>
        <w:rPr>
          <w:sz w:val="20"/>
          <w:szCs w:val="20"/>
          <w:color w:val="auto"/>
        </w:rPr>
      </w:pPr>
    </w:p>
    <w:p>
      <w:pPr>
        <w:ind w:left="2320" w:right="2559" w:hanging="631"/>
        <w:spacing w:after="0" w:line="346" w:lineRule="auto"/>
        <w:tabs>
          <w:tab w:leader="none" w:pos="2300" w:val="left"/>
        </w:tabs>
        <w:rPr>
          <w:sz w:val="20"/>
          <w:szCs w:val="20"/>
          <w:color w:val="auto"/>
        </w:rPr>
      </w:pPr>
      <w:r>
        <w:rPr>
          <w:rFonts w:ascii="Courier New" w:cs="Courier New" w:eastAsia="Courier New" w:hAnsi="Courier New"/>
          <w:sz w:val="18"/>
          <w:szCs w:val="18"/>
          <w:color w:val="auto"/>
        </w:rPr>
        <w:t>HC =</w:t>
        <w:tab/>
        <w:t>Parent Holding Company, in accordance with Section 240.13-d(1)(b)(1)(ii)(G)</w:t>
      </w:r>
    </w:p>
    <w:p>
      <w:pPr>
        <w:spacing w:after="0" w:line="20" w:lineRule="exact"/>
        <w:rPr>
          <w:sz w:val="20"/>
          <w:szCs w:val="20"/>
          <w:color w:val="auto"/>
        </w:rPr>
      </w:pPr>
    </w:p>
    <w:p>
      <w:pPr>
        <w:spacing w:after="0"/>
        <w:tabs>
          <w:tab w:leader="none" w:pos="940" w:val="left"/>
          <w:tab w:leader="none" w:pos="2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w:t>
      </w:r>
      <w:r>
        <w:rPr>
          <w:sz w:val="20"/>
          <w:szCs w:val="20"/>
          <w:color w:val="auto"/>
        </w:rPr>
        <w:tab/>
      </w:r>
      <w:r>
        <w:rPr>
          <w:rFonts w:ascii="Courier New" w:cs="Courier New" w:eastAsia="Courier New" w:hAnsi="Courier New"/>
          <w:sz w:val="16"/>
          <w:szCs w:val="16"/>
          <w:color w:val="auto"/>
        </w:rPr>
        <w:t>See Items 5 through 9 and 11 of cover page(s)</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as to each reporting person.</w:t>
      </w:r>
    </w:p>
    <w:p>
      <w:pPr>
        <w:spacing w:after="0" w:line="169"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filing of this Schedule 13G shall not be construed as an admission that Mellon Financial Corporation, or its direct or indirect subsidiaries, including Mellon Bank, N.A., are for the purposes of Section 13(d) or 13(g) of the Act, the beneficial owners of any securities covered by this Schedule 13G.</w:t>
      </w:r>
    </w:p>
    <w:p>
      <w:pPr>
        <w:spacing w:after="0" w:line="103" w:lineRule="exact"/>
        <w:rPr>
          <w:sz w:val="20"/>
          <w:szCs w:val="20"/>
          <w:color w:val="auto"/>
        </w:rPr>
      </w:pPr>
    </w:p>
    <w:p>
      <w:pPr>
        <w:ind w:right="1699"/>
        <w:spacing w:after="0" w:line="276" w:lineRule="auto"/>
        <w:rPr>
          <w:sz w:val="20"/>
          <w:szCs w:val="20"/>
          <w:color w:val="auto"/>
        </w:rPr>
      </w:pPr>
      <w:r>
        <w:rPr>
          <w:rFonts w:ascii="Courier New" w:cs="Courier New" w:eastAsia="Courier New" w:hAnsi="Courier New"/>
          <w:sz w:val="16"/>
          <w:szCs w:val="16"/>
          <w:color w:val="auto"/>
        </w:rPr>
        <w:t>The following information applies if checked: ( ) Mellon Bank, N.A. is the trustee of the issuer's employee benefit plan (the "Plan"), which is subject to ERISA. The securities reported include all shares held of record by Mellon Bank, N.A. as trustee of the Plan which have not been allocated to the individual accounts of employee participants in the Plan. The reporting person,</w:t>
      </w:r>
    </w:p>
    <w:tbl>
      <w:tblPr>
        <w:tblLayout w:type="fixed"/>
        <w:tblInd w:w="0" w:type="dxa"/>
        <w:tblCellMar>
          <w:top w:w="0" w:type="dxa"/>
          <w:left w:w="0" w:type="dxa"/>
          <w:bottom w:w="0" w:type="dxa"/>
          <w:right w:w="0" w:type="dxa"/>
        </w:tblCellMar>
      </w:tblPr>
      <w:tr>
        <w:trPr>
          <w:trHeight w:val="173"/>
        </w:trPr>
        <w:tc>
          <w:tcPr>
            <w:tcW w:w="1960" w:type="dxa"/>
            <w:vAlign w:val="bottom"/>
            <w:gridSpan w:val="2"/>
          </w:tcPr>
          <w:p>
            <w:pPr>
              <w:spacing w:after="0" w:line="173" w:lineRule="exact"/>
              <w:rPr>
                <w:sz w:val="20"/>
                <w:szCs w:val="20"/>
                <w:color w:val="auto"/>
              </w:rPr>
            </w:pPr>
            <w:r>
              <w:rPr>
                <w:rFonts w:ascii="Courier New" w:cs="Courier New" w:eastAsia="Courier New" w:hAnsi="Courier New"/>
                <w:sz w:val="18"/>
                <w:szCs w:val="18"/>
                <w:color w:val="auto"/>
                <w:w w:val="99"/>
              </w:rPr>
              <w:t>however, disclaims</w:t>
            </w:r>
          </w:p>
        </w:tc>
        <w:tc>
          <w:tcPr>
            <w:tcW w:w="1160" w:type="dxa"/>
            <w:vAlign w:val="bottom"/>
          </w:tcPr>
          <w:p>
            <w:pPr>
              <w:ind w:left="40"/>
              <w:spacing w:after="0" w:line="173" w:lineRule="exact"/>
              <w:rPr>
                <w:sz w:val="20"/>
                <w:szCs w:val="20"/>
                <w:color w:val="auto"/>
              </w:rPr>
            </w:pPr>
            <w:r>
              <w:rPr>
                <w:rFonts w:ascii="Courier New" w:cs="Courier New" w:eastAsia="Courier New" w:hAnsi="Courier New"/>
                <w:sz w:val="18"/>
                <w:szCs w:val="18"/>
                <w:color w:val="auto"/>
              </w:rPr>
              <w:t>beneficial</w:t>
            </w:r>
          </w:p>
        </w:tc>
        <w:tc>
          <w:tcPr>
            <w:tcW w:w="3040" w:type="dxa"/>
            <w:vAlign w:val="bottom"/>
            <w:gridSpan w:val="2"/>
          </w:tcPr>
          <w:p>
            <w:pPr>
              <w:ind w:left="40"/>
              <w:spacing w:after="0" w:line="173" w:lineRule="exact"/>
              <w:rPr>
                <w:sz w:val="20"/>
                <w:szCs w:val="20"/>
                <w:color w:val="auto"/>
              </w:rPr>
            </w:pPr>
            <w:r>
              <w:rPr>
                <w:rFonts w:ascii="Courier New" w:cs="Courier New" w:eastAsia="Courier New" w:hAnsi="Courier New"/>
                <w:sz w:val="18"/>
                <w:szCs w:val="18"/>
                <w:color w:val="auto"/>
                <w:w w:val="98"/>
              </w:rPr>
              <w:t>ownership of all shares that</w:t>
            </w:r>
          </w:p>
        </w:tc>
        <w:tc>
          <w:tcPr>
            <w:tcW w:w="580" w:type="dxa"/>
            <w:vAlign w:val="bottom"/>
          </w:tcPr>
          <w:p>
            <w:pPr>
              <w:ind w:left="60"/>
              <w:spacing w:after="0" w:line="173" w:lineRule="exact"/>
              <w:rPr>
                <w:sz w:val="20"/>
                <w:szCs w:val="20"/>
                <w:color w:val="auto"/>
              </w:rPr>
            </w:pPr>
            <w:r>
              <w:rPr>
                <w:rFonts w:ascii="Courier New" w:cs="Courier New" w:eastAsia="Courier New" w:hAnsi="Courier New"/>
                <w:sz w:val="18"/>
                <w:szCs w:val="18"/>
                <w:color w:val="auto"/>
              </w:rPr>
              <w:t>have</w:t>
            </w:r>
          </w:p>
        </w:tc>
        <w:tc>
          <w:tcPr>
            <w:tcW w:w="1480" w:type="dxa"/>
            <w:vAlign w:val="bottom"/>
          </w:tcPr>
          <w:p>
            <w:pPr>
              <w:spacing w:after="0" w:line="173" w:lineRule="exact"/>
              <w:rPr>
                <w:sz w:val="20"/>
                <w:szCs w:val="20"/>
                <w:color w:val="auto"/>
              </w:rPr>
            </w:pPr>
            <w:r>
              <w:rPr>
                <w:rFonts w:ascii="Courier New" w:cs="Courier New" w:eastAsia="Courier New" w:hAnsi="Courier New"/>
                <w:sz w:val="18"/>
                <w:szCs w:val="18"/>
                <w:color w:val="auto"/>
                <w:w w:val="96"/>
              </w:rPr>
              <w:t>been allocated</w:t>
            </w:r>
          </w:p>
        </w:tc>
        <w:tc>
          <w:tcPr>
            <w:tcW w:w="0" w:type="dxa"/>
            <w:vAlign w:val="bottom"/>
          </w:tcPr>
          <w:p>
            <w:pPr>
              <w:spacing w:after="0"/>
              <w:rPr>
                <w:sz w:val="1"/>
                <w:szCs w:val="1"/>
                <w:color w:val="auto"/>
              </w:rPr>
            </w:pPr>
          </w:p>
        </w:tc>
      </w:tr>
      <w:tr>
        <w:trPr>
          <w:trHeight w:val="203"/>
        </w:trPr>
        <w:tc>
          <w:tcPr>
            <w:tcW w:w="3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the individual accounts of</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employee participants</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the Plan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which</w:t>
            </w:r>
          </w:p>
        </w:tc>
        <w:tc>
          <w:tcPr>
            <w:tcW w:w="0" w:type="dxa"/>
            <w:vAlign w:val="bottom"/>
          </w:tcPr>
          <w:p>
            <w:pPr>
              <w:spacing w:after="0"/>
              <w:rPr>
                <w:sz w:val="1"/>
                <w:szCs w:val="1"/>
                <w:color w:val="auto"/>
              </w:rPr>
            </w:pPr>
          </w:p>
        </w:tc>
      </w:tr>
      <w:tr>
        <w:trPr>
          <w:trHeight w:val="296"/>
        </w:trPr>
        <w:tc>
          <w:tcPr>
            <w:tcW w:w="3120" w:type="dxa"/>
            <w:vAlign w:val="bottom"/>
            <w:gridSpan w:val="3"/>
          </w:tcPr>
          <w:p>
            <w:pPr>
              <w:spacing w:after="0"/>
              <w:rPr>
                <w:sz w:val="20"/>
                <w:szCs w:val="20"/>
                <w:color w:val="auto"/>
              </w:rPr>
            </w:pPr>
            <w:r>
              <w:rPr>
                <w:rFonts w:ascii="Courier New" w:cs="Courier New" w:eastAsia="Courier New" w:hAnsi="Courier New"/>
                <w:sz w:val="18"/>
                <w:szCs w:val="18"/>
                <w:color w:val="auto"/>
                <w:w w:val="98"/>
              </w:rPr>
              <w:t>directions have been received</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and followed.</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940" w:type="dxa"/>
            <w:vAlign w:val="bottom"/>
            <w:gridSpan w:val="5"/>
          </w:tcPr>
          <w:p>
            <w:pPr>
              <w:ind w:left="160"/>
              <w:spacing w:after="0"/>
              <w:rPr>
                <w:sz w:val="20"/>
                <w:szCs w:val="20"/>
                <w:color w:val="auto"/>
              </w:rPr>
            </w:pPr>
            <w:r>
              <w:rPr>
                <w:rFonts w:ascii="Courier New" w:cs="Courier New" w:eastAsia="Courier New" w:hAnsi="Courier New"/>
                <w:sz w:val="18"/>
                <w:szCs w:val="18"/>
                <w:color w:val="auto"/>
                <w:w w:val="96"/>
              </w:rPr>
              <w:t>Ownership of Five Percent or Less of a Class:   If this</w:t>
            </w:r>
          </w:p>
        </w:tc>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hereof</w:t>
            </w:r>
          </w:p>
        </w:tc>
        <w:tc>
          <w:tcPr>
            <w:tcW w:w="0" w:type="dxa"/>
            <w:vAlign w:val="bottom"/>
          </w:tcPr>
          <w:p>
            <w:pPr>
              <w:spacing w:after="0"/>
              <w:rPr>
                <w:sz w:val="1"/>
                <w:szCs w:val="1"/>
                <w:color w:val="auto"/>
              </w:rPr>
            </w:pPr>
          </w:p>
        </w:tc>
      </w:tr>
      <w:tr>
        <w:trPr>
          <w:trHeight w:val="203"/>
        </w:trPr>
        <w:tc>
          <w:tcPr>
            <w:tcW w:w="5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statement is being filed to report the fact that as</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date</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the reporting person has ceased to be the beneficial owner of more</w:t>
            </w:r>
          </w:p>
        </w:tc>
        <w:tc>
          <w:tcPr>
            <w:tcW w:w="0" w:type="dxa"/>
            <w:vAlign w:val="bottom"/>
          </w:tcPr>
          <w:p>
            <w:pPr>
              <w:spacing w:after="0"/>
              <w:rPr>
                <w:sz w:val="1"/>
                <w:szCs w:val="1"/>
                <w:color w:val="auto"/>
              </w:rPr>
            </w:pPr>
          </w:p>
        </w:tc>
      </w:tr>
      <w:tr>
        <w:trPr>
          <w:trHeight w:val="296"/>
        </w:trPr>
        <w:tc>
          <w:tcPr>
            <w:tcW w:w="5440" w:type="dxa"/>
            <w:vAlign w:val="bottom"/>
            <w:gridSpan w:val="4"/>
          </w:tcPr>
          <w:p>
            <w:pPr>
              <w:spacing w:after="0"/>
              <w:rPr>
                <w:sz w:val="20"/>
                <w:szCs w:val="20"/>
                <w:color w:val="auto"/>
              </w:rPr>
            </w:pPr>
            <w:r>
              <w:rPr>
                <w:rFonts w:ascii="Courier New" w:cs="Courier New" w:eastAsia="Courier New" w:hAnsi="Courier New"/>
                <w:sz w:val="18"/>
                <w:szCs w:val="18"/>
                <w:color w:val="auto"/>
                <w:w w:val="98"/>
              </w:rPr>
              <w:t>than five percent of the class of securities, check</w:t>
            </w:r>
          </w:p>
        </w:tc>
        <w:tc>
          <w:tcPr>
            <w:tcW w:w="27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following  (   )</w:t>
            </w:r>
          </w:p>
        </w:tc>
        <w:tc>
          <w:tcPr>
            <w:tcW w:w="0" w:type="dxa"/>
            <w:vAlign w:val="bottom"/>
          </w:tcPr>
          <w:p>
            <w:pPr>
              <w:spacing w:after="0"/>
              <w:rPr>
                <w:sz w:val="1"/>
                <w:szCs w:val="1"/>
                <w:color w:val="auto"/>
              </w:rPr>
            </w:pPr>
          </w:p>
        </w:tc>
      </w:tr>
      <w:tr>
        <w:trPr>
          <w:trHeight w:val="343"/>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6"/>
          </w:tcPr>
          <w:p>
            <w:pPr>
              <w:ind w:left="16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Person: All of the securities are beneficially owned by Mellon Financial Corporation and direct or indirect subsidiaries in their various fiduciary capacities. As a result, another entity in every instance is entitled to dividends or proceeds of sale. The number of individual accounts holding an interest of 5% or more is ( 0 ).</w:t>
      </w:r>
    </w:p>
    <w:p>
      <w:pPr>
        <w:sectPr>
          <w:pgSz w:w="11900" w:h="16838" w:orient="portrait"/>
          <w:cols w:equalWidth="0" w:num="1">
            <w:col w:w="10139"/>
          </w:cols>
          <w:pgMar w:left="320" w:top="285" w:right="1440" w:bottom="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960" w:right="2239" w:hanging="947"/>
        <w:spacing w:after="0" w:line="289"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by the Parent Holding Company:</w:t>
      </w:r>
    </w:p>
    <w:p>
      <w:pPr>
        <w:ind w:left="960"/>
        <w:spacing w:after="0"/>
        <w:rPr>
          <w:sz w:val="20"/>
          <w:szCs w:val="20"/>
          <w:color w:val="auto"/>
        </w:rPr>
      </w:pPr>
      <w:r>
        <w:rPr>
          <w:rFonts w:ascii="Courier New" w:cs="Courier New" w:eastAsia="Courier New" w:hAnsi="Courier New"/>
          <w:sz w:val="18"/>
          <w:szCs w:val="18"/>
          <w:color w:val="auto"/>
        </w:rPr>
        <w:t>See Exhibit I.</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4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Identification and Classification of Members</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of the Group:</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78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w w:val="99"/>
              </w:rPr>
              <w:t>Notice of Dissolution of Group:</w:t>
            </w:r>
          </w:p>
        </w:tc>
        <w:tc>
          <w:tcPr>
            <w:tcW w:w="18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N/A</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4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Certification:   By signing below I certify</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that, to the</w:t>
            </w:r>
          </w:p>
        </w:tc>
        <w:tc>
          <w:tcPr>
            <w:tcW w:w="420" w:type="dxa"/>
            <w:vAlign w:val="bottom"/>
          </w:tcPr>
          <w:p>
            <w:pPr>
              <w:spacing w:after="0"/>
              <w:rPr>
                <w:sz w:val="24"/>
                <w:szCs w:val="24"/>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best of my knowledge and belief, the securities referred to above were</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in</w:t>
            </w: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and do not have the effect of changing</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influencing</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control</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issuer of such securities and were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acquired in</w:t>
            </w:r>
          </w:p>
        </w:tc>
        <w:tc>
          <w:tcPr>
            <w:tcW w:w="420" w:type="dxa"/>
            <w:vAlign w:val="bottom"/>
          </w:tcPr>
          <w:p>
            <w:pPr>
              <w:spacing w:after="0"/>
              <w:rPr>
                <w:sz w:val="17"/>
                <w:szCs w:val="17"/>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connection with or as a participant in any transaction having such</w:t>
            </w:r>
          </w:p>
        </w:tc>
        <w:tc>
          <w:tcPr>
            <w:tcW w:w="420" w:type="dxa"/>
            <w:vAlign w:val="bottom"/>
          </w:tcPr>
          <w:p>
            <w:pPr>
              <w:spacing w:after="0"/>
              <w:rPr>
                <w:sz w:val="17"/>
                <w:szCs w:val="17"/>
                <w:color w:val="auto"/>
              </w:rPr>
            </w:pPr>
          </w:p>
        </w:tc>
      </w:tr>
      <w:tr>
        <w:trPr>
          <w:trHeight w:val="296"/>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purposes or</w:t>
            </w:r>
          </w:p>
        </w:tc>
        <w:tc>
          <w:tcPr>
            <w:tcW w:w="4420" w:type="dxa"/>
            <w:vAlign w:val="bottom"/>
          </w:tcPr>
          <w:p>
            <w:pPr>
              <w:ind w:left="60"/>
              <w:spacing w:after="0"/>
              <w:rPr>
                <w:sz w:val="20"/>
                <w:szCs w:val="20"/>
                <w:color w:val="auto"/>
              </w:rPr>
            </w:pPr>
            <w:r>
              <w:rPr>
                <w:rFonts w:ascii="Courier New" w:cs="Courier New" w:eastAsia="Courier New" w:hAnsi="Courier New"/>
                <w:sz w:val="18"/>
                <w:szCs w:val="18"/>
                <w:color w:val="auto"/>
              </w:rPr>
              <w:t>effect.</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139"/>
          </w:cols>
          <w:pgMar w:left="32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Mellon Financial Corporation on behalf of all reporting entities pursuant to Rule 13d-1(f)(1) promulgated under the Securities and Exchange Act of 1934, as amended.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FINANCIAL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JACQLYN D. STEIN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Jacqlyn D. Stein</w:t>
      </w:r>
    </w:p>
    <w:p>
      <w:pPr>
        <w:ind w:left="640"/>
        <w:spacing w:after="0" w:line="238" w:lineRule="auto"/>
        <w:rPr>
          <w:sz w:val="20"/>
          <w:szCs w:val="20"/>
          <w:color w:val="auto"/>
        </w:rPr>
      </w:pPr>
      <w:r>
        <w:rPr>
          <w:rFonts w:ascii="Courier New" w:cs="Courier New" w:eastAsia="Courier New" w:hAnsi="Courier New"/>
          <w:sz w:val="18"/>
          <w:szCs w:val="18"/>
          <w:color w:val="auto"/>
        </w:rPr>
        <w:t>Vice President,</w:t>
      </w:r>
    </w:p>
    <w:p>
      <w:pPr>
        <w:ind w:left="640"/>
        <w:spacing w:after="0"/>
        <w:rPr>
          <w:sz w:val="20"/>
          <w:szCs w:val="20"/>
          <w:color w:val="auto"/>
        </w:rPr>
      </w:pPr>
      <w:r>
        <w:rPr>
          <w:rFonts w:ascii="Courier New" w:cs="Courier New" w:eastAsia="Courier New" w:hAnsi="Courier New"/>
          <w:sz w:val="18"/>
          <w:szCs w:val="18"/>
          <w:color w:val="auto"/>
        </w:rPr>
        <w:t>Mellon Bank, N.A.</w:t>
      </w:r>
    </w:p>
    <w:p>
      <w:pPr>
        <w:ind w:left="640"/>
        <w:spacing w:after="0" w:line="238" w:lineRule="auto"/>
        <w:rPr>
          <w:sz w:val="20"/>
          <w:szCs w:val="20"/>
          <w:color w:val="auto"/>
        </w:rPr>
      </w:pPr>
      <w:r>
        <w:rPr>
          <w:rFonts w:ascii="Courier New" w:cs="Courier New" w:eastAsia="Courier New" w:hAnsi="Courier New"/>
          <w:sz w:val="18"/>
          <w:szCs w:val="18"/>
          <w:color w:val="auto"/>
        </w:rPr>
        <w:t>Attorney-In-Fact for</w:t>
      </w:r>
    </w:p>
    <w:p>
      <w:pPr>
        <w:ind w:left="640"/>
        <w:spacing w:after="0"/>
        <w:rPr>
          <w:sz w:val="20"/>
          <w:szCs w:val="20"/>
          <w:color w:val="auto"/>
        </w:rPr>
      </w:pPr>
      <w:r>
        <w:rPr>
          <w:rFonts w:ascii="Courier New" w:cs="Courier New" w:eastAsia="Courier New" w:hAnsi="Courier New"/>
          <w:sz w:val="18"/>
          <w:szCs w:val="18"/>
          <w:color w:val="auto"/>
        </w:rPr>
        <w:t>Mellon Financial Corporation</w:t>
      </w:r>
    </w:p>
    <w:p>
      <w:pPr>
        <w:sectPr>
          <w:pgSz w:w="11900" w:h="16838" w:orient="portrait"/>
          <w:cols w:equalWidth="0" w:num="1">
            <w:col w:w="10139"/>
          </w:cols>
          <w:pgMar w:left="32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right="2339"/>
        <w:spacing w:after="0" w:line="238" w:lineRule="auto"/>
        <w:rPr>
          <w:sz w:val="20"/>
          <w:szCs w:val="20"/>
          <w:color w:val="auto"/>
        </w:rPr>
      </w:pPr>
      <w:r>
        <w:rPr>
          <w:rFonts w:ascii="Courier New" w:cs="Courier New" w:eastAsia="Courier New" w:hAnsi="Courier New"/>
          <w:sz w:val="18"/>
          <w:szCs w:val="18"/>
          <w:color w:val="auto"/>
        </w:rPr>
        <w:t>Each of the undersigned hereby authorizes Mellon Financial Corporation, in accordance with Rule 13d-1(f)(1) under the Securities Exchange Act of 1934, as amended (the "1934 Act"), to file, on behalf of the undersigned, any statement required to be signed by the undersigned,</w:t>
      </w:r>
    </w:p>
    <w:p>
      <w:pPr>
        <w:spacing w:after="0" w:line="1" w:lineRule="exact"/>
        <w:rPr>
          <w:sz w:val="20"/>
          <w:szCs w:val="20"/>
          <w:color w:val="auto"/>
        </w:rPr>
      </w:pPr>
    </w:p>
    <w:p>
      <w:pPr>
        <w:ind w:right="3279"/>
        <w:spacing w:after="0" w:line="377" w:lineRule="auto"/>
        <w:rPr>
          <w:sz w:val="20"/>
          <w:szCs w:val="20"/>
          <w:color w:val="auto"/>
        </w:rPr>
      </w:pPr>
      <w:r>
        <w:rPr>
          <w:rFonts w:ascii="Courier New" w:cs="Courier New" w:eastAsia="Courier New" w:hAnsi="Courier New"/>
          <w:sz w:val="16"/>
          <w:szCs w:val="16"/>
          <w:color w:val="auto"/>
        </w:rPr>
        <w:t>on Schedule 13G pursuant to Rule 13d-1 under the 1934 Act and any amendment thereto pursuant to Rule 13d-2 under the 1934 Act.</w:t>
      </w:r>
    </w:p>
    <w:p>
      <w:pPr>
        <w:spacing w:after="0" w:line="6"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8"/>
          <w:szCs w:val="18"/>
          <w:color w:val="auto"/>
        </w:rPr>
        <w:t>Each of the undersigned represents that it is individually eligible to use Schedule 13G, and acknowledges its responsibility for the timely filing of such Schedule 13G and any amendments thereto, and for the completeness and accuracy of the information concerning such person contained therein. However, each of the undersigned is not responsible for the completeness or accuracy of the information concerning the other persons making the filing on Schedule 13G unless such undersigned knows or has reason to believe that such information is inaccurate.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25,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FOUNDERS ASSET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JACQLYN D. STEIN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Jacqlyn D. Stein</w:t>
      </w:r>
    </w:p>
    <w:p>
      <w:pPr>
        <w:ind w:left="860"/>
        <w:spacing w:after="0" w:line="238" w:lineRule="auto"/>
        <w:rPr>
          <w:sz w:val="20"/>
          <w:szCs w:val="20"/>
          <w:color w:val="auto"/>
        </w:rPr>
      </w:pPr>
      <w:r>
        <w:rPr>
          <w:rFonts w:ascii="Courier New" w:cs="Courier New" w:eastAsia="Courier New" w:hAnsi="Courier New"/>
          <w:sz w:val="18"/>
          <w:szCs w:val="18"/>
          <w:color w:val="auto"/>
        </w:rPr>
        <w:t>Vice President,</w:t>
      </w:r>
    </w:p>
    <w:p>
      <w:pPr>
        <w:ind w:left="860"/>
        <w:spacing w:after="0"/>
        <w:rPr>
          <w:sz w:val="20"/>
          <w:szCs w:val="20"/>
          <w:color w:val="auto"/>
        </w:rPr>
      </w:pPr>
      <w:r>
        <w:rPr>
          <w:rFonts w:ascii="Courier New" w:cs="Courier New" w:eastAsia="Courier New" w:hAnsi="Courier New"/>
          <w:sz w:val="18"/>
          <w:szCs w:val="18"/>
          <w:color w:val="auto"/>
        </w:rPr>
        <w:t>Mellon Bank, N.A.</w:t>
      </w:r>
    </w:p>
    <w:p>
      <w:pPr>
        <w:ind w:left="860"/>
        <w:spacing w:after="0" w:line="238" w:lineRule="auto"/>
        <w:rPr>
          <w:sz w:val="20"/>
          <w:szCs w:val="20"/>
          <w:color w:val="auto"/>
        </w:rPr>
      </w:pPr>
      <w:r>
        <w:rPr>
          <w:rFonts w:ascii="Courier New" w:cs="Courier New" w:eastAsia="Courier New" w:hAnsi="Courier New"/>
          <w:sz w:val="18"/>
          <w:szCs w:val="18"/>
          <w:color w:val="auto"/>
        </w:rPr>
        <w:t>Attorney-In-Fact for</w:t>
      </w:r>
    </w:p>
    <w:p>
      <w:pPr>
        <w:ind w:left="860"/>
        <w:spacing w:after="0"/>
        <w:rPr>
          <w:sz w:val="20"/>
          <w:szCs w:val="20"/>
          <w:color w:val="auto"/>
        </w:rPr>
      </w:pPr>
      <w:r>
        <w:rPr>
          <w:rFonts w:ascii="Courier New" w:cs="Courier New" w:eastAsia="Courier New" w:hAnsi="Courier New"/>
          <w:sz w:val="18"/>
          <w:szCs w:val="18"/>
          <w:color w:val="auto"/>
        </w:rPr>
        <w:t>Founders Asset Management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JACQLYN D. STEIN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Jacqlyn D. Stein</w:t>
      </w:r>
    </w:p>
    <w:p>
      <w:pPr>
        <w:ind w:left="860"/>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139"/>
          </w:cols>
          <w:pgMar w:left="32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Mellon Financial Corporation, as marked (X):</w:t>
      </w:r>
    </w:p>
    <w:p>
      <w:pPr>
        <w:spacing w:after="0" w:line="268" w:lineRule="exact"/>
        <w:rPr>
          <w:sz w:val="20"/>
          <w:szCs w:val="20"/>
          <w:color w:val="auto"/>
        </w:rPr>
      </w:pPr>
    </w:p>
    <w:p>
      <w:pPr>
        <w:ind w:right="2439" w:firstLine="8"/>
        <w:spacing w:after="0" w:line="346"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w:t>
      </w:r>
    </w:p>
    <w:p>
      <w:pPr>
        <w:spacing w:after="0" w:line="20" w:lineRule="exact"/>
        <w:rPr>
          <w:sz w:val="20"/>
          <w:szCs w:val="20"/>
          <w:color w:val="auto"/>
        </w:rPr>
      </w:pPr>
    </w:p>
    <w:p>
      <w:pPr>
        <w:ind w:left="1280" w:hanging="43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Deposit and Trust Company</w:t>
      </w:r>
    </w:p>
    <w:p>
      <w:pPr>
        <w:spacing w:after="0" w:line="29" w:lineRule="exact"/>
        <w:rPr>
          <w:sz w:val="20"/>
          <w:szCs w:val="20"/>
          <w:color w:val="auto"/>
        </w:rPr>
      </w:pPr>
    </w:p>
    <w:p>
      <w:pPr>
        <w:ind w:left="1280" w:hanging="43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(Delaware) National Association</w:t>
      </w:r>
    </w:p>
    <w:p>
      <w:pPr>
        <w:ind w:left="1280" w:hanging="430"/>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(MD)</w:t>
      </w:r>
    </w:p>
    <w:p>
      <w:pPr>
        <w:ind w:left="1700" w:right="2019" w:hanging="850"/>
        <w:spacing w:after="0" w:line="238" w:lineRule="auto"/>
        <w:tabs>
          <w:tab w:leader="none" w:pos="10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Bank, N.A. (also parent holding company of the Dreyfus Corporation and Mellon Equity Associates)</w:t>
      </w:r>
    </w:p>
    <w:p>
      <w:pPr>
        <w:ind w:left="1280" w:hanging="43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F.S.B.</w:t>
      </w:r>
    </w:p>
    <w:p>
      <w:pPr>
        <w:ind w:left="1280" w:hanging="430"/>
        <w:spacing w:after="0" w:line="238"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California</w:t>
      </w:r>
    </w:p>
    <w:p>
      <w:pPr>
        <w:ind w:left="1280" w:hanging="430"/>
        <w:spacing w:after="0" w:line="238"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Florida</w:t>
      </w:r>
    </w:p>
    <w:p>
      <w:pPr>
        <w:spacing w:after="0" w:line="1" w:lineRule="exact"/>
        <w:rPr>
          <w:sz w:val="20"/>
          <w:szCs w:val="20"/>
          <w:color w:val="auto"/>
        </w:rPr>
      </w:pPr>
    </w:p>
    <w:p>
      <w:pPr>
        <w:ind w:left="1280" w:hanging="430"/>
        <w:spacing w:after="0"/>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New York</w:t>
      </w:r>
    </w:p>
    <w:p>
      <w:pPr>
        <w:spacing w:after="0" w:line="169" w:lineRule="exact"/>
        <w:rPr>
          <w:rFonts w:ascii="Courier New" w:cs="Courier New" w:eastAsia="Courier New" w:hAnsi="Courier New"/>
          <w:sz w:val="18"/>
          <w:szCs w:val="18"/>
          <w:color w:val="auto"/>
        </w:rPr>
      </w:pPr>
    </w:p>
    <w:p>
      <w:pPr>
        <w:ind w:right="2119" w:firstLine="8"/>
        <w:spacing w:after="0" w:line="292"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Investment Advisor registered under Section 203 of the Investment Advisers Act of 1940."</w:t>
      </w:r>
    </w:p>
    <w:p>
      <w:pPr>
        <w:spacing w:after="0" w:line="66" w:lineRule="exact"/>
        <w:rPr>
          <w:sz w:val="20"/>
          <w:szCs w:val="20"/>
          <w:color w:val="auto"/>
        </w:rPr>
      </w:pPr>
    </w:p>
    <w:p>
      <w:pPr>
        <w:ind w:left="1280" w:hanging="430"/>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Advisors</w:t>
      </w:r>
    </w:p>
    <w:p>
      <w:pPr>
        <w:spacing w:after="0" w:line="29" w:lineRule="exact"/>
        <w:rPr>
          <w:sz w:val="20"/>
          <w:szCs w:val="20"/>
          <w:color w:val="auto"/>
        </w:rPr>
      </w:pPr>
    </w:p>
    <w:p>
      <w:pPr>
        <w:ind w:left="1280" w:hanging="430"/>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Dreyfus Investment Advisors, Inc.</w:t>
      </w:r>
    </w:p>
    <w:p>
      <w:pPr>
        <w:ind w:left="1060" w:hanging="210"/>
        <w:spacing w:after="0" w:line="238"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Founders Asset Management LLC</w:t>
      </w:r>
    </w:p>
    <w:p>
      <w:pPr>
        <w:ind w:left="1280" w:hanging="430"/>
        <w:spacing w:after="0" w:line="238"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Franklin Portfolio Associates Trust</w:t>
      </w:r>
    </w:p>
    <w:p>
      <w:pPr>
        <w:ind w:left="1280" w:hanging="430"/>
        <w:spacing w:after="0"/>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Laurel Capital Advisors</w:t>
      </w:r>
    </w:p>
    <w:p>
      <w:pPr>
        <w:ind w:left="1280" w:hanging="430"/>
        <w:spacing w:after="0" w:line="238" w:lineRule="auto"/>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Capital Management Corporation</w:t>
      </w:r>
    </w:p>
    <w:p>
      <w:pPr>
        <w:ind w:left="1280" w:hanging="430"/>
        <w:spacing w:after="0" w:line="238" w:lineRule="auto"/>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Equity Associates</w:t>
      </w:r>
    </w:p>
    <w:p>
      <w:pPr>
        <w:ind w:left="1280" w:hanging="43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Asset Management Limited</w:t>
      </w:r>
    </w:p>
    <w:p>
      <w:pPr>
        <w:ind w:left="1280" w:hanging="430"/>
        <w:spacing w:after="0" w:line="238"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Capital Management Limited</w:t>
      </w:r>
    </w:p>
    <w:p>
      <w:pPr>
        <w:ind w:left="1280" w:hanging="430"/>
        <w:spacing w:after="0" w:line="238"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Fund Managers Limited</w:t>
      </w:r>
    </w:p>
    <w:p>
      <w:pPr>
        <w:ind w:left="1280" w:hanging="430"/>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International Investment Management Limited</w:t>
      </w:r>
    </w:p>
    <w:p>
      <w:pPr>
        <w:ind w:left="1280" w:hanging="430"/>
        <w:spacing w:after="0" w:line="238"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(IOM) Management Limited</w:t>
      </w:r>
    </w:p>
    <w:p>
      <w:pPr>
        <w:ind w:left="1280" w:hanging="430"/>
        <w:spacing w:after="0" w:line="238" w:lineRule="auto"/>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(Guernsey) Limited</w:t>
      </w:r>
    </w:p>
    <w:p>
      <w:pPr>
        <w:ind w:left="1280" w:hanging="430"/>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1280" w:hanging="430"/>
        <w:spacing w:after="0" w:line="238" w:lineRule="auto"/>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(Asia) Pte, Limited</w:t>
      </w:r>
    </w:p>
    <w:p>
      <w:pPr>
        <w:ind w:left="1280" w:hanging="430"/>
        <w:spacing w:after="0" w:line="238" w:lineRule="auto"/>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Royal Bank of Scotland Portfolio Management Limited</w:t>
      </w:r>
    </w:p>
    <w:p>
      <w:pPr>
        <w:ind w:left="1280" w:hanging="430"/>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Royal Bank of Scotland Unit Trust Management Limited</w:t>
      </w:r>
    </w:p>
    <w:p>
      <w:pPr>
        <w:ind w:left="1280" w:hanging="430"/>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Stewart Newton Fund Management (Mauritius) Limited</w:t>
      </w:r>
    </w:p>
    <w:p>
      <w:pPr>
        <w:ind w:left="1280" w:hanging="430"/>
        <w:spacing w:after="0" w:line="238" w:lineRule="auto"/>
        <w:tabs>
          <w:tab w:leader="none" w:pos="12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Sundaram Newton Asset Management Pte Co, Ltd</w:t>
      </w:r>
    </w:p>
    <w:p>
      <w:pPr>
        <w:spacing w:after="0" w:line="1" w:lineRule="exact"/>
        <w:rPr>
          <w:sz w:val="20"/>
          <w:szCs w:val="20"/>
          <w:color w:val="auto"/>
        </w:rPr>
      </w:pPr>
    </w:p>
    <w:p>
      <w:pPr>
        <w:ind w:left="1700" w:right="1819" w:hanging="850"/>
        <w:spacing w:after="0" w:line="238" w:lineRule="auto"/>
        <w:tabs>
          <w:tab w:leader="none" w:pos="106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Dreyfus Corporation (also parent holding company of Dreyfus Investment Advisors, Inc.)</w:t>
      </w:r>
    </w:p>
    <w:p>
      <w:pPr>
        <w:ind w:left="1280" w:hanging="430"/>
        <w:spacing w:after="0"/>
        <w:tabs>
          <w:tab w:leader="none" w:pos="12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Boston Company Asset Management, Inc.</w:t>
      </w:r>
    </w:p>
    <w:p>
      <w:pPr>
        <w:ind w:left="1280" w:hanging="430"/>
        <w:spacing w:after="0"/>
        <w:tabs>
          <w:tab w:leader="none" w:pos="12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Wellington BES Limited</w:t>
      </w:r>
    </w:p>
    <w:p>
      <w:pPr>
        <w:spacing w:after="0" w:line="169" w:lineRule="exact"/>
        <w:rPr>
          <w:rFonts w:ascii="Courier New" w:cs="Courier New" w:eastAsia="Courier New" w:hAnsi="Courier New"/>
          <w:sz w:val="18"/>
          <w:szCs w:val="18"/>
          <w:color w:val="auto"/>
        </w:rPr>
      </w:pPr>
    </w:p>
    <w:p>
      <w:pPr>
        <w:ind w:right="2239" w:firstLine="8"/>
        <w:spacing w:after="0" w:line="292"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legal entities listed below is "Item 3(g) Parent Holdings Company, in accordance with Section 240.13d-I(b)(ii)(G)."</w:t>
      </w:r>
    </w:p>
    <w:p>
      <w:pPr>
        <w:spacing w:after="0" w:line="66" w:lineRule="exact"/>
        <w:rPr>
          <w:sz w:val="20"/>
          <w:szCs w:val="20"/>
          <w:color w:val="auto"/>
        </w:rPr>
      </w:pPr>
    </w:p>
    <w:p>
      <w:pPr>
        <w:ind w:left="1700" w:right="2339" w:hanging="850"/>
        <w:spacing w:after="0" w:line="257" w:lineRule="auto"/>
        <w:tabs>
          <w:tab w:leader="none" w:pos="127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Group Holdings, Inc. (parent holding company of The Boston Company, Inc.)</w:t>
      </w:r>
    </w:p>
    <w:p>
      <w:pPr>
        <w:ind w:left="1700" w:right="2019" w:hanging="850"/>
        <w:spacing w:after="0" w:line="273" w:lineRule="auto"/>
        <w:tabs>
          <w:tab w:leader="none" w:pos="127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MBC Investment Corporation (parent holding company of Laurel Capital Advisors, Franklin Portfolio Associates, Mellon Bank, F.S.B. and Mellon Capital Management Corporation)</w:t>
      </w:r>
    </w:p>
    <w:p>
      <w:pPr>
        <w:spacing w:after="0" w:line="82" w:lineRule="exact"/>
        <w:rPr>
          <w:sz w:val="20"/>
          <w:szCs w:val="20"/>
          <w:color w:val="auto"/>
        </w:rPr>
      </w:pPr>
    </w:p>
    <w:p>
      <w:pPr>
        <w:ind w:left="1280" w:hanging="430"/>
        <w:spacing w:after="0"/>
        <w:tabs>
          <w:tab w:leader="none" w:pos="12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Nepturn LLC (parent holding company of Newton Management</w:t>
      </w:r>
    </w:p>
    <w:p>
      <w:pPr>
        <w:spacing w:after="0" w:line="201" w:lineRule="exact"/>
        <w:rPr>
          <w:sz w:val="20"/>
          <w:szCs w:val="20"/>
          <w:color w:val="auto"/>
        </w:rPr>
      </w:pPr>
    </w:p>
    <w:p>
      <w:pPr>
        <w:ind w:left="1700" w:right="1819" w:hanging="850"/>
        <w:spacing w:after="0" w:line="257" w:lineRule="auto"/>
        <w:tabs>
          <w:tab w:leader="none" w:pos="127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all Newton entities listed in (B) above)</w:t>
      </w:r>
    </w:p>
    <w:p>
      <w:pPr>
        <w:ind w:left="1700" w:right="1819" w:hanging="850"/>
        <w:spacing w:after="0" w:line="304" w:lineRule="auto"/>
        <w:tabs>
          <w:tab w:leader="none" w:pos="127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Boston Company, Inc. (parent holding company of Boston Safe Advisors, Inc., The Boston Company Asset Management, Inc., Boston Safe Deposit and Trust Company, Mellon Trust of California, Mellon Trust of New York and Mellon Trust Florida)</w:t>
      </w:r>
    </w:p>
    <w:p>
      <w:pPr>
        <w:spacing w:after="0" w:line="62" w:lineRule="exact"/>
        <w:rPr>
          <w:sz w:val="20"/>
          <w:szCs w:val="20"/>
          <w:color w:val="auto"/>
        </w:rPr>
      </w:pPr>
    </w:p>
    <w:p>
      <w:pPr>
        <w:ind w:right="1819"/>
        <w:spacing w:after="0" w:line="287" w:lineRule="auto"/>
        <w:rPr>
          <w:sz w:val="20"/>
          <w:szCs w:val="20"/>
          <w:color w:val="auto"/>
        </w:rPr>
      </w:pPr>
      <w:r>
        <w:rPr>
          <w:rFonts w:ascii="Courier New" w:cs="Courier New" w:eastAsia="Courier New" w:hAnsi="Courier New"/>
          <w:sz w:val="16"/>
          <w:szCs w:val="16"/>
          <w:color w:val="auto"/>
        </w:rPr>
        <w:t>NOTE: ALL OF THE LEGAL ENTITIES LISTED UNDER (A) AND (B) ABOVE ARE DIRECT OR INDIRECT SUBSIDIARIES OF MELLON FINANCIAL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MELLON FINANCIAL CORPORATION'S REPORTING PERSON PAGE. (DO NOT ADD THE SHARES OR PERCENT OF CLASS REPORTED ON EACH JOINT REPORTING PERSON PAGE ON THE ATTACHED SCHEDULE 13G TO DETERMINE THE TOTAL PERCENT OF CLASS FOR MELLON FINANCIAL CORPORATION.)</w:t>
      </w:r>
    </w:p>
    <w:sectPr>
      <w:pgSz w:w="11900" w:h="16838" w:orient="portrait"/>
      <w:cols w:equalWidth="0" w:num="1">
        <w:col w:w="10139"/>
      </w:cols>
      <w:pgMar w:left="320" w:top="285"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2"/>
    </w:lvl>
  </w:abstractNum>
  <w:abstractNum w:abstractNumId="1">
    <w:nsid w:val="721DA317"/>
    <w:multiLevelType w:val="hybridMultilevel"/>
    <w:lvl w:ilvl="0">
      <w:lvlJc w:val="left"/>
      <w:lvlText w:val="(%1)"/>
      <w:numFmt w:val="decimal"/>
      <w:start w:val="3"/>
    </w:lvl>
  </w:abstractNum>
  <w:abstractNum w:abstractNumId="2">
    <w:nsid w:val="2443A858"/>
    <w:multiLevelType w:val="hybridMultilevel"/>
    <w:lvl w:ilvl="0">
      <w:lvlJc w:val="left"/>
      <w:lvlText w:val="(%1)"/>
      <w:numFmt w:val="decimal"/>
      <w:start w:val="10"/>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10"/>
    </w:lvl>
  </w:abstractNum>
  <w:abstractNum w:abstractNumId="6">
    <w:nsid w:val="8EDBDAB"/>
    <w:multiLevelType w:val="hybridMultilevel"/>
    <w:lvl w:ilvl="0">
      <w:lvlJc w:val="left"/>
      <w:lvlText w:val="(%1)"/>
      <w:numFmt w:val="decimal"/>
      <w:start w:val="2"/>
    </w:lvl>
    <w:lvl w:ilvl="1">
      <w:lvlJc w:val="left"/>
      <w:lvlText w:val="(%2)"/>
      <w:numFmt w:val="lowerLetter"/>
      <w:start w:val="1"/>
    </w:lvl>
  </w:abstractNum>
  <w:abstractNum w:abstractNumId="7">
    <w:nsid w:val="79838CB2"/>
    <w:multiLevelType w:val="hybridMultilevel"/>
    <w:lvl w:ilvl="0">
      <w:lvlJc w:val="left"/>
      <w:lvlText w:val="(%1)"/>
      <w:numFmt w:val="decimal"/>
      <w:start w:val="10"/>
    </w:lvl>
  </w:abstractNum>
  <w:abstractNum w:abstractNumId="8">
    <w:nsid w:val="4353D0CD"/>
    <w:multiLevelType w:val="hybridMultilevel"/>
    <w:lvl w:ilvl="0">
      <w:lvlJc w:val="left"/>
      <w:lvlText w:val="(%1)"/>
      <w:numFmt w:val="upperLetter"/>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upperLetter"/>
      <w:start w:val="1"/>
    </w:lvl>
    <w:lvl w:ilvl="1">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upperLetter"/>
      <w:start w:val="2"/>
    </w:lvl>
    <w:lvl w:ilvl="1">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2020-10-07T06:23:52Z</dcterms:created>
  <dcterms:modified xsi:type="dcterms:W3CDTF">2020-10-07T06:23:52Z</dcterms:modified>
</cp:coreProperties>
</file>