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60" w:right="1380" w:hanging="452"/>
        <w:spacing w:after="0" w:line="186" w:lineRule="auto"/>
        <w:tabs>
          <w:tab w:leader="none" w:pos="46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2024</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452"/>
        <w:spacing w:after="0" w:line="185" w:lineRule="auto"/>
        <w:tabs>
          <w:tab w:leader="none" w:pos="460"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6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5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62865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5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48895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77"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31-1095548</w:t>
            </w:r>
          </w:p>
        </w:tc>
      </w:tr>
      <w:tr>
        <w:trPr>
          <w:trHeight w:val="216"/>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45459</w:t>
            </w:r>
          </w:p>
        </w:tc>
      </w:tr>
      <w:tr>
        <w:trPr>
          <w:trHeight w:val="238"/>
        </w:trPr>
        <w:tc>
          <w:tcPr>
            <w:tcW w:w="460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0980"/>
          </w:cols>
          <w:pgMar w:left="320" w:top="495" w:right="5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0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900"/>
        <w:spacing w:after="0"/>
        <w:tabs>
          <w:tab w:leader="none" w:pos="456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142875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300" w:space="260"/>
            <w:col w:w="7420"/>
          </w:cols>
          <w:pgMar w:left="320" w:top="495" w:right="599" w:bottom="1440" w:gutter="0" w:footer="0" w:header="0"/>
          <w:type w:val="continuous"/>
        </w:sectPr>
      </w:pPr>
    </w:p>
    <w:p>
      <w:pPr>
        <w:spacing w:after="0" w:line="25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980"/>
          </w:cols>
          <w:pgMar w:left="320" w:top="495" w:right="599" w:bottom="1440" w:gutter="0" w:footer="0" w:header="0"/>
          <w:type w:val="continuous"/>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980" w:space="720"/>
            <w:col w:w="3280"/>
          </w:cols>
          <w:pgMar w:left="320" w:top="495" w:right="599" w:bottom="1440" w:gutter="0" w:footer="0" w:header="0"/>
          <w:type w:val="continuous"/>
        </w:sectPr>
      </w:pPr>
    </w:p>
    <w:p>
      <w:pPr>
        <w:spacing w:after="0" w:line="17"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August 29, 2024, the registrant had 17,567,152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95"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60" w:type="dxa"/>
            <w:vAlign w:val="bottom"/>
            <w:gridSpan w:val="15"/>
          </w:tcPr>
          <w:p>
            <w:pPr>
              <w:jc w:val="center"/>
              <w:ind w:right="70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60" w:type="dxa"/>
            <w:vAlign w:val="bottom"/>
            <w:gridSpan w:val="4"/>
          </w:tcPr>
          <w:p>
            <w:pPr>
              <w:jc w:val="center"/>
              <w:ind w:right="3420"/>
              <w:spacing w:after="0"/>
              <w:rPr>
                <w:sz w:val="20"/>
                <w:szCs w:val="20"/>
                <w:color w:val="auto"/>
              </w:rPr>
            </w:pPr>
            <w:r>
              <w:rPr>
                <w:rFonts w:ascii="Times New Roman" w:cs="Times New Roman" w:eastAsia="Times New Roman" w:hAnsi="Times New Roman"/>
                <w:sz w:val="22"/>
                <w:szCs w:val="22"/>
                <w:color w:val="auto"/>
                <w:w w:val="99"/>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4"/>
        </w:trPr>
        <w:tc>
          <w:tcPr>
            <w:tcW w:w="102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320" w:type="dxa"/>
            <w:vAlign w:val="bottom"/>
            <w:gridSpan w:val="3"/>
          </w:tcPr>
          <w:p>
            <w:pPr>
              <w:spacing w:after="0"/>
              <w:rPr>
                <w:sz w:val="24"/>
                <w:szCs w:val="24"/>
                <w:color w:val="auto"/>
              </w:rPr>
            </w:pPr>
          </w:p>
        </w:tc>
        <w:tc>
          <w:tcPr>
            <w:tcW w:w="2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6140" w:type="dxa"/>
            <w:vAlign w:val="bottom"/>
            <w:gridSpan w:val="9"/>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34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38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584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Flows</w:t>
            </w:r>
          </w:p>
        </w:tc>
        <w:tc>
          <w:tcPr>
            <w:tcW w:w="138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4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color w:val="0000EE"/>
              </w:rPr>
              <w:t>Notes to Consolidated Financial Statements</w:t>
            </w: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40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108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40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600" w:type="dxa"/>
            <w:vAlign w:val="bottom"/>
            <w:gridSpan w:val="2"/>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220" w:type="dxa"/>
            <w:vAlign w:val="bottom"/>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580" w:type="dxa"/>
            <w:vAlign w:val="bottom"/>
            <w:gridSpan w:val="11"/>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240" w:type="dxa"/>
            <w:vAlign w:val="bottom"/>
            <w:gridSpan w:val="2"/>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5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w w:val="97"/>
              </w:rPr>
              <w:t>Unregistered Sales of Equity Securities and Use of Proceeds</w:t>
            </w:r>
          </w:p>
        </w:tc>
        <w:tc>
          <w:tcPr>
            <w:tcW w:w="3620" w:type="dxa"/>
            <w:vAlign w:val="bottom"/>
            <w:gridSpan w:val="3"/>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400" w:type="dxa"/>
            <w:vAlign w:val="bottom"/>
            <w:gridSpan w:val="4"/>
          </w:tcPr>
          <w:p>
            <w:pPr>
              <w:spacing w:after="0"/>
              <w:rPr>
                <w:sz w:val="24"/>
                <w:szCs w:val="24"/>
                <w:color w:val="auto"/>
              </w:rPr>
            </w:pPr>
          </w:p>
        </w:tc>
        <w:tc>
          <w:tcPr>
            <w:tcW w:w="2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6100" w:type="dxa"/>
            <w:vAlign w:val="bottom"/>
            <w:gridSpan w:val="8"/>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40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720" w:type="dxa"/>
            <w:vAlign w:val="bottom"/>
            <w:gridSpan w:val="12"/>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451"/>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center"/>
              <w:ind w:left="3172"/>
              <w:spacing w:after="0"/>
              <w:rPr>
                <w:sz w:val="20"/>
                <w:szCs w:val="20"/>
                <w:color w:val="auto"/>
              </w:rPr>
            </w:pPr>
            <w:r>
              <w:rPr>
                <w:rFonts w:ascii="Times New Roman" w:cs="Times New Roman" w:eastAsia="Times New Roman" w:hAnsi="Times New Roman"/>
                <w:sz w:val="22"/>
                <w:szCs w:val="22"/>
                <w:color w:val="auto"/>
                <w:w w:val="90"/>
              </w:rPr>
              <w:t>2</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822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5FFFF"/>
            </w:tcBorders>
          </w:tcPr>
          <w:p>
            <w:pPr>
              <w:spacing w:after="0"/>
              <w:rPr>
                <w:sz w:val="20"/>
                <w:szCs w:val="20"/>
                <w:color w:val="auto"/>
              </w:rPr>
            </w:pPr>
          </w:p>
        </w:tc>
      </w:tr>
      <w:tr>
        <w:trPr>
          <w:trHeight w:val="20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261,040</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223,397</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155,260</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24,262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23,185</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26,984</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5,272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5,728</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17,549</w:t>
            </w:r>
          </w:p>
        </w:tc>
      </w:tr>
      <w:tr>
        <w:trPr>
          <w:trHeight w:val="210"/>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E5FFFF"/>
          </w:tcPr>
          <w:p>
            <w:pPr>
              <w:spacing w:after="0"/>
              <w:rPr>
                <w:sz w:val="18"/>
                <w:szCs w:val="18"/>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418,914</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452,103</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190,188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155,587</w:t>
            </w: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13,221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13,038</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9,138</w:t>
            </w:r>
          </w:p>
        </w:tc>
      </w:tr>
      <w:tr>
        <w:trPr>
          <w:trHeight w:val="23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38,401</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34,936</w:t>
            </w:r>
          </w:p>
        </w:tc>
      </w:tr>
      <w:tr>
        <w:trPr>
          <w:trHeight w:val="22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220" w:type="dxa"/>
            <w:vAlign w:val="bottom"/>
            <w:shd w:val="clear" w:color="auto" w:fill="E5FF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$1.0 million and $5.8 million with related parties at July 31, 2024 and</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4"/>
        </w:trPr>
        <w:tc>
          <w:tcPr>
            <w:tcW w:w="8220" w:type="dxa"/>
            <w:vAlign w:val="bottom"/>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January 31, 2024, respectively)</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31,254</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42,073</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17,173</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19,717</w:t>
            </w:r>
          </w:p>
        </w:tc>
      </w:tr>
      <w:tr>
        <w:trPr>
          <w:trHeight w:val="209"/>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51,909</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66,259</w:t>
            </w:r>
          </w:p>
        </w:tc>
        <w:tc>
          <w:tcPr>
            <w:tcW w:w="100" w:type="dxa"/>
            <w:vAlign w:val="bottom"/>
            <w:tcBorders>
              <w:bottom w:val="single" w:sz="8" w:color="E5FFFF"/>
            </w:tcBorders>
          </w:tcPr>
          <w:p>
            <w:pPr>
              <w:spacing w:after="0"/>
              <w:rPr>
                <w:sz w:val="18"/>
                <w:szCs w:val="18"/>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9,716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8,378</w:t>
            </w: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5,961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3,769</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724,330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701,761</w:t>
            </w:r>
          </w:p>
        </w:tc>
      </w:tr>
      <w:tr>
        <w:trPr>
          <w:trHeight w:val="229"/>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(190,957)</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(191,911)</w:t>
            </w:r>
          </w:p>
        </w:tc>
      </w:tr>
      <w:tr>
        <w:trPr>
          <w:trHeight w:val="21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513,918</w:t>
            </w:r>
          </w:p>
        </w:tc>
        <w:tc>
          <w:tcPr>
            <w:tcW w:w="100" w:type="dxa"/>
            <w:vAlign w:val="bottom"/>
          </w:tcPr>
          <w:p>
            <w:pPr>
              <w:spacing w:after="0"/>
              <w:rPr>
                <w:sz w:val="18"/>
                <w:szCs w:val="18"/>
                <w:color w:val="auto"/>
              </w:rPr>
            </w:pPr>
          </w:p>
        </w:tc>
      </w:tr>
      <w:tr>
        <w:trPr>
          <w:trHeight w:val="23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76,553</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73,679</w:t>
            </w: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616,186</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587,597</w:t>
            </w:r>
          </w:p>
        </w:tc>
        <w:tc>
          <w:tcPr>
            <w:tcW w:w="100" w:type="dxa"/>
            <w:vAlign w:val="bottom"/>
            <w:tcBorders>
              <w:bottom w:val="single" w:sz="8" w:color="E5FFFF"/>
            </w:tcBorders>
          </w:tcPr>
          <w:p>
            <w:pPr>
              <w:spacing w:after="0"/>
              <w:rPr>
                <w:sz w:val="18"/>
                <w:szCs w:val="18"/>
                <w:color w:val="auto"/>
              </w:rPr>
            </w:pPr>
          </w:p>
        </w:tc>
      </w:tr>
      <w:tr>
        <w:trPr>
          <w:trHeight w:val="223"/>
        </w:trPr>
        <w:tc>
          <w:tcPr>
            <w:tcW w:w="8220" w:type="dxa"/>
            <w:vAlign w:val="bottom"/>
            <w:tcBorders>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680,009</w:t>
            </w:r>
          </w:p>
        </w:tc>
        <w:tc>
          <w:tcPr>
            <w:tcW w:w="20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40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148,155</w:t>
            </w:r>
          </w:p>
        </w:tc>
        <w:tc>
          <w:tcPr>
            <w:tcW w:w="4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211,977</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309,386</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424,691</w:t>
            </w:r>
          </w:p>
        </w:tc>
        <w:tc>
          <w:tcPr>
            <w:tcW w:w="0" w:type="dxa"/>
            <w:vAlign w:val="bottom"/>
          </w:tcPr>
          <w:p>
            <w:pPr>
              <w:spacing w:after="0"/>
              <w:rPr>
                <w:sz w:val="1"/>
                <w:szCs w:val="1"/>
                <w:color w:val="auto"/>
              </w:rPr>
            </w:pP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$28,340 and $26,399 with related parties for the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July 31, 2024 and 2023, respectively, and $58,987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$59,887 with related parties for the six months ended July 31, 2024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128,382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193,625</w:t>
            </w:r>
          </w:p>
        </w:tc>
        <w:tc>
          <w:tcPr>
            <w:tcW w:w="20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275,162</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396,173</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19,773</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18,352</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34,224</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28,518</w:t>
            </w: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(8,618)</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(12,551)</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(14,387)</w:t>
            </w: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1,747</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3,047</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3,465</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4,537</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3,271</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10,321</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19,496</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16,052</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35,459</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(3,768)</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(8,179)</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(5,756)</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15,007</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12,284</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27,280</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18,984</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(3,229)</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(4,711)</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23"/>
        </w:trPr>
        <w:tc>
          <w:tcPr>
            <w:tcW w:w="55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17,460</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17,528</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18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17,460</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17,648</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40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4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July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color w:val="auto"/>
              </w:rPr>
              <w:t>REX Shareholders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940" w:type="dxa"/>
            <w:vAlign w:val="bottom"/>
          </w:tcPr>
          <w:p>
            <w:pPr>
              <w:spacing w:after="0"/>
              <w:rPr>
                <w:sz w:val="24"/>
                <w:szCs w:val="24"/>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4"/>
                <w:szCs w:val="24"/>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0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3"/>
                <w:szCs w:val="13"/>
                <w:color w:val="auto"/>
              </w:rPr>
            </w:pPr>
          </w:p>
        </w:tc>
        <w:tc>
          <w:tcPr>
            <w:tcW w:w="86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3"/>
                <w:szCs w:val="13"/>
                <w:color w:val="auto"/>
              </w:rPr>
            </w:pPr>
          </w:p>
        </w:tc>
        <w:tc>
          <w:tcPr>
            <w:tcW w:w="6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2024</w:t>
            </w: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00" w:type="dxa"/>
            <w:vAlign w:val="bottom"/>
            <w:shd w:val="clear" w:color="auto" w:fill="E5FF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60" w:type="dxa"/>
            <w:vAlign w:val="bottom"/>
            <w:gridSpan w:val="2"/>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8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(191,911)</w:t>
            </w:r>
          </w:p>
        </w:tc>
        <w:tc>
          <w:tcPr>
            <w:tcW w:w="300" w:type="dxa"/>
            <w:vAlign w:val="bottom"/>
            <w:gridSpan w:val="2"/>
            <w:shd w:val="clear" w:color="auto" w:fill="E5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3,769</w:t>
            </w:r>
          </w:p>
        </w:tc>
        <w:tc>
          <w:tcPr>
            <w:tcW w:w="7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$ 701,761</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73,679</w:t>
            </w:r>
          </w:p>
        </w:tc>
        <w:tc>
          <w:tcPr>
            <w:tcW w:w="8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$ 587,597</w:t>
            </w:r>
          </w:p>
        </w:tc>
        <w:tc>
          <w:tcPr>
            <w:tcW w:w="0" w:type="dxa"/>
            <w:vAlign w:val="bottom"/>
          </w:tcPr>
          <w:p>
            <w:pPr>
              <w:spacing w:after="0"/>
              <w:rPr>
                <w:sz w:val="1"/>
                <w:szCs w:val="1"/>
                <w:color w:val="auto"/>
              </w:rPr>
            </w:pPr>
          </w:p>
        </w:tc>
      </w:tr>
      <w:tr>
        <w:trPr>
          <w:trHeight w:val="31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10,191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2,082</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8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27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April 30, 2024</w:t>
            </w: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60" w:type="dxa"/>
            <w:vAlign w:val="bottom"/>
            <w:gridSpan w:val="2"/>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8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(191,848)</w:t>
            </w: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7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4,064</w:t>
            </w:r>
          </w:p>
        </w:tc>
        <w:tc>
          <w:tcPr>
            <w:tcW w:w="7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711,952</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73,932</w:t>
            </w:r>
          </w:p>
        </w:tc>
        <w:tc>
          <w:tcPr>
            <w:tcW w:w="8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598,399</w:t>
            </w:r>
          </w:p>
        </w:tc>
        <w:tc>
          <w:tcPr>
            <w:tcW w:w="0" w:type="dxa"/>
            <w:vAlign w:val="bottom"/>
          </w:tcPr>
          <w:p>
            <w:pPr>
              <w:spacing w:after="0"/>
              <w:rPr>
                <w:sz w:val="1"/>
                <w:szCs w:val="1"/>
                <w:color w:val="auto"/>
              </w:rPr>
            </w:pPr>
          </w:p>
        </w:tc>
      </w:tr>
      <w:tr>
        <w:trPr>
          <w:trHeight w:val="31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12,378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2,629</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15,007</w:t>
            </w: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7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1,897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July 31, 2024</w:t>
            </w:r>
          </w:p>
        </w:tc>
        <w:tc>
          <w:tcPr>
            <w:tcW w:w="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29,853</w:t>
            </w:r>
          </w:p>
        </w:tc>
        <w:tc>
          <w:tcPr>
            <w:tcW w:w="200" w:type="dxa"/>
            <w:vAlign w:val="bottom"/>
            <w:shd w:val="clear" w:color="auto" w:fill="E5FF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860" w:type="dxa"/>
            <w:vAlign w:val="bottom"/>
            <w:gridSpan w:val="2"/>
            <w:shd w:val="clear" w:color="auto" w:fill="E5FFFF"/>
          </w:tcPr>
          <w:p>
            <w:pPr>
              <w:jc w:val="right"/>
              <w:ind w:right="300"/>
              <w:spacing w:after="0"/>
              <w:rPr>
                <w:sz w:val="20"/>
                <w:szCs w:val="20"/>
                <w:color w:val="auto"/>
              </w:rPr>
            </w:pPr>
            <w:r>
              <w:rPr>
                <w:rFonts w:ascii="Times New Roman" w:cs="Times New Roman" w:eastAsia="Times New Roman" w:hAnsi="Times New Roman"/>
                <w:sz w:val="14"/>
                <w:szCs w:val="14"/>
                <w:color w:val="auto"/>
              </w:rPr>
              <w:t>12,286</w:t>
            </w:r>
          </w:p>
        </w:tc>
        <w:tc>
          <w:tcPr>
            <w:tcW w:w="8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(190,957)</w:t>
            </w:r>
          </w:p>
        </w:tc>
        <w:tc>
          <w:tcPr>
            <w:tcW w:w="300" w:type="dxa"/>
            <w:vAlign w:val="bottom"/>
            <w:gridSpan w:val="2"/>
            <w:shd w:val="clear" w:color="auto" w:fill="E5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5,961</w:t>
            </w:r>
          </w:p>
        </w:tc>
        <w:tc>
          <w:tcPr>
            <w:tcW w:w="7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w w:val="99"/>
              </w:rPr>
              <w:t>$ 724,330</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76,553</w:t>
            </w:r>
          </w:p>
        </w:tc>
        <w:tc>
          <w:tcPr>
            <w:tcW w:w="8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$ 616,186</w:t>
            </w:r>
          </w:p>
        </w:tc>
        <w:tc>
          <w:tcPr>
            <w:tcW w:w="0" w:type="dxa"/>
            <w:vAlign w:val="bottom"/>
          </w:tcPr>
          <w:p>
            <w:pPr>
              <w:spacing w:after="0"/>
              <w:rPr>
                <w:sz w:val="1"/>
                <w:szCs w:val="1"/>
                <w:color w:val="auto"/>
              </w:rPr>
            </w:pPr>
          </w:p>
        </w:tc>
      </w:tr>
      <w:tr>
        <w:trPr>
          <w:trHeight w:val="20"/>
        </w:trPr>
        <w:tc>
          <w:tcPr>
            <w:tcW w:w="39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4"/>
                <w:szCs w:val="14"/>
                <w:color w:val="auto"/>
              </w:rPr>
              <w:t>Continued on the following page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39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Continued from the previous page</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39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color w:val="auto"/>
              </w:rPr>
              <w:t>REX Shareholders</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740" w:type="dxa"/>
            <w:vAlign w:val="bottom"/>
            <w:gridSpan w:val="5"/>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0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2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3"/>
                <w:szCs w:val="13"/>
                <w:color w:val="auto"/>
              </w:rPr>
            </w:pPr>
          </w:p>
        </w:tc>
        <w:tc>
          <w:tcPr>
            <w:tcW w:w="86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6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2023</w:t>
            </w: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00" w:type="dxa"/>
            <w:vAlign w:val="bottom"/>
            <w:shd w:val="clear" w:color="auto" w:fill="E5FF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60" w:type="dxa"/>
            <w:vAlign w:val="bottom"/>
            <w:gridSpan w:val="2"/>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12,463</w:t>
            </w:r>
          </w:p>
        </w:tc>
        <w:tc>
          <w:tcPr>
            <w:tcW w:w="8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(193,721)</w:t>
            </w:r>
          </w:p>
        </w:tc>
        <w:tc>
          <w:tcPr>
            <w:tcW w:w="300" w:type="dxa"/>
            <w:vAlign w:val="bottom"/>
            <w:gridSpan w:val="2"/>
            <w:shd w:val="clear" w:color="auto" w:fill="E5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7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$ 640,826</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63,012</w:t>
            </w:r>
          </w:p>
        </w:tc>
        <w:tc>
          <w:tcPr>
            <w:tcW w:w="58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$ 510,994</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5,236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1,464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58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362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April 30, 2023</w:t>
            </w: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60" w:type="dxa"/>
            <w:vAlign w:val="bottom"/>
            <w:gridSpan w:val="2"/>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12,463</w:t>
            </w:r>
          </w:p>
        </w:tc>
        <w:tc>
          <w:tcPr>
            <w:tcW w:w="8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(193,660)</w:t>
            </w: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7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7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646,062</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63,760</w:t>
            </w:r>
          </w:p>
        </w:tc>
        <w:tc>
          <w:tcPr>
            <w:tcW w:w="58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517,401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9,055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3,229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 based compensation</w:t>
            </w:r>
          </w:p>
        </w:tc>
        <w:tc>
          <w:tcPr>
            <w:tcW w:w="56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2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30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40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9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expense</w:t>
            </w:r>
          </w:p>
        </w:tc>
        <w:tc>
          <w:tcPr>
            <w:tcW w:w="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FFFF"/>
          </w:tcPr>
          <w:p>
            <w:pPr>
              <w:spacing w:after="0"/>
              <w:rPr>
                <w:sz w:val="16"/>
                <w:szCs w:val="16"/>
                <w:color w:val="auto"/>
              </w:rPr>
            </w:pPr>
          </w:p>
        </w:tc>
        <w:tc>
          <w:tcPr>
            <w:tcW w:w="6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5FFFF"/>
          </w:tcPr>
          <w:p>
            <w:pPr>
              <w:jc w:val="right"/>
              <w:ind w:right="300"/>
              <w:spacing w:after="0"/>
              <w:rPr>
                <w:sz w:val="20"/>
                <w:szCs w:val="20"/>
                <w:color w:val="auto"/>
              </w:rPr>
            </w:pPr>
            <w:r>
              <w:rPr>
                <w:rFonts w:ascii="Times New Roman" w:cs="Times New Roman" w:eastAsia="Times New Roman" w:hAnsi="Times New Roman"/>
                <w:sz w:val="14"/>
                <w:szCs w:val="14"/>
                <w:color w:val="auto"/>
              </w:rPr>
              <w:t>(113)</w:t>
            </w:r>
          </w:p>
        </w:tc>
        <w:tc>
          <w:tcPr>
            <w:tcW w:w="8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1,623</w:t>
            </w:r>
          </w:p>
        </w:tc>
        <w:tc>
          <w:tcPr>
            <w:tcW w:w="14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2,241</w:t>
            </w:r>
          </w:p>
        </w:tc>
        <w:tc>
          <w:tcPr>
            <w:tcW w:w="7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1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July 31, 2023</w:t>
            </w: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40" w:type="dxa"/>
            <w:vAlign w:val="bottom"/>
            <w:vMerge w:val="continue"/>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29,853</w:t>
            </w:r>
          </w:p>
        </w:tc>
        <w:tc>
          <w:tcPr>
            <w:tcW w:w="200" w:type="dxa"/>
            <w:vAlign w:val="bottom"/>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12,350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(192,037)</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3,181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$ 655,117</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66,989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$ 533,549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276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27,280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8,824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1,772</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3,892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 – net</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(2,178)</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(12,344)</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(7,162)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(14,009)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E5FFFF"/>
          </w:tcPr>
          <w:p>
            <w:pPr>
              <w:spacing w:after="0"/>
              <w:rPr>
                <w:sz w:val="19"/>
                <w:szCs w:val="19"/>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(4,985)</w:t>
            </w:r>
          </w:p>
        </w:tc>
        <w:tc>
          <w:tcPr>
            <w:tcW w:w="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(40,219)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(156,125)</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(194,400)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229,735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top w:val="single" w:sz="8" w:color="auto"/>
            </w:tcBorders>
            <w:shd w:val="clear" w:color="auto" w:fill="E5FFFF"/>
          </w:tcPr>
          <w:p>
            <w:pPr>
              <w:spacing w:after="0"/>
              <w:rPr>
                <w:sz w:val="18"/>
                <w:szCs w:val="18"/>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24,907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260" w:type="dxa"/>
            <w:vAlign w:val="bottom"/>
            <w:shd w:val="clear" w:color="auto" w:fill="E5FFFF"/>
          </w:tcPr>
          <w:p>
            <w:pPr>
              <w:spacing w:after="0"/>
              <w:rPr>
                <w:sz w:val="19"/>
                <w:szCs w:val="19"/>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(1,837)</w:t>
            </w:r>
          </w:p>
        </w:tc>
        <w:tc>
          <w:tcPr>
            <w:tcW w:w="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37,643</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30,819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223,397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261,040</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102,166</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 cash investing activities – Accrued capital expenditures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220" w:type="dxa"/>
            <w:vAlign w:val="bottom"/>
            <w:vMerge w:val="continue"/>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4,573</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20" w:type="dxa"/>
            <w:vAlign w:val="bottom"/>
            <w:tcBorders>
              <w:top w:val="single" w:sz="8" w:color="E5FFFF"/>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 cash investing activities – Capital additions transferred from prepaid expenses</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42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 cash financing activities – Stock awards accrued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798</w:t>
            </w:r>
          </w:p>
        </w:tc>
        <w:tc>
          <w:tcPr>
            <w:tcW w:w="42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 cash financing activities – Stock awards issued</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2,172</w:t>
            </w:r>
          </w:p>
        </w:tc>
        <w:tc>
          <w:tcPr>
            <w:tcW w:w="42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965</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3,335</w:t>
            </w:r>
          </w:p>
        </w:tc>
        <w:tc>
          <w:tcPr>
            <w:tcW w:w="4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ind w:left="2180"/>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July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3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financial statements refer to REX American Resources Corporation, a Delaware corporation, and its majority and wholly owned subsidiaries.</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2024 included in these financial statements has been derived from the audited consolidated financial statements included in the Company’s Annual Report on Form 10-K for the year ended January 31, 2024 (fiscal year 2023). These unaudited consolidated financial statements should be read in conjunction with the consolidated financial statements and the notes thereto included in the Company’s Annual Report on Form 10-K for the year ended January 31, 2024. The results of operations for the interim periods are not necessarily indicative of the results to be expected for the year.</w:t>
      </w:r>
    </w:p>
    <w:p>
      <w:pPr>
        <w:spacing w:after="0" w:line="200"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Basis of Consolidation </w:t>
      </w:r>
      <w:r>
        <w:rPr>
          <w:rFonts w:ascii="Times New Roman" w:cs="Times New Roman" w:eastAsia="Times New Roman" w:hAnsi="Times New Roman"/>
          <w:sz w:val="22"/>
          <w:szCs w:val="22"/>
          <w:color w:val="auto"/>
        </w:rPr>
        <w:t>– The consolidated financial statements in this report include the operating results and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(“One Earth”) in its Consolidated Statements of Operations on a delayed basis of one month as One Earth has a fiscal year end of December 31.</w:t>
      </w:r>
    </w:p>
    <w:p>
      <w:pPr>
        <w:spacing w:after="0" w:line="20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The interim consolidated financial statements have been prepared in accordance with the accounting policies described in the notes to the consolidated financial statements included in the Company’s fiscal year 2023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plant management, certain compensation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(“SG&amp;A”) Expenses</w:t>
      </w:r>
    </w:p>
    <w:p>
      <w:pPr>
        <w:spacing w:after="0" w:line="23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operating lease expense, and certain payroll in SG&amp;A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of the forward corn purchase and ethanol, distillers grains and distillers corn oil sale contracts are accounted for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the “normal purchases and normal sales” scope exemption of Accounting Standards Codification (“ASC”) 815,</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Derivatives and Hedging</w:t>
      </w:r>
      <w:r>
        <w:rPr>
          <w:rFonts w:ascii="Times New Roman" w:cs="Times New Roman" w:eastAsia="Times New Roman" w:hAnsi="Times New Roman"/>
          <w:sz w:val="21"/>
          <w:szCs w:val="21"/>
          <w:color w:val="auto"/>
        </w:rPr>
        <w:t>” (“ASC 815”) because these arrangements are for purchases of corn that will be delivered in quantities</w:t>
      </w:r>
    </w:p>
    <w:p>
      <w:pPr>
        <w:spacing w:after="0" w:line="231" w:lineRule="auto"/>
        <w:rPr>
          <w:sz w:val="20"/>
          <w:szCs w:val="20"/>
          <w:color w:val="auto"/>
        </w:rPr>
      </w:pPr>
      <w:r>
        <w:rPr>
          <w:rFonts w:ascii="Times New Roman" w:cs="Times New Roman" w:eastAsia="Times New Roman" w:hAnsi="Times New Roman"/>
          <w:sz w:val="22"/>
          <w:szCs w:val="22"/>
          <w:color w:val="auto"/>
        </w:rPr>
        <w:t>expected to be used by the Company and sales of ethanol, distillers grains and distillers corn oil in quantities expected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produced by the Company over a reasonable period of time in the normal course of business.</w:t>
      </w:r>
    </w:p>
    <w:p>
      <w:pPr>
        <w:spacing w:after="0" w:line="209"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and swaps)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$2.3 million and $6.4 million and received no refunds during the six months ended July 31, 2024 and 2023, respectively.</w:t>
      </w:r>
    </w:p>
    <w:p>
      <w:pPr>
        <w:spacing w:after="0" w:line="210"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1"/>
          <w:szCs w:val="21"/>
          <w:color w:val="auto"/>
        </w:rPr>
        <w:t>As of July 31, 2024, and January 31, 2024, total unrecognized tax benefits were approximately $18.9 million. Accrued penalties and interest were approximately $84,300 and approximately $70,000 at July 31, 2024 and January 31, 2024, respectively. If the Company were to prevail on all unrecognized tax benefits recorded, the provision for income taxes would be reduced by approximately $18.8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Inventory is permanently written down in instances when cost exceeds estimated net realizable value; such write-downs are based primarily upon commodity prices as the market value of inventory is often dependent upon changes in commodity prices. The Company did not record any inventory write-downs at July 31, 2024. The Company recorded approximately $0.8 million of inventory write-downs in cost of sales at January 31, 2024. Fluctuations in the write-down of inventory generally relate to the levels and composition of such inventory and changes in commodity prices at a given point in time.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ectPr>
          <w:pgSz w:w="11900" w:h="16838" w:orient="portrait"/>
          <w:cols w:equalWidth="0" w:num="1">
            <w:col w:w="11220"/>
          </w:cols>
          <w:pgMar w:left="320" w:top="3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20"/>
        <w:spacing w:after="0" w:line="241" w:lineRule="auto"/>
        <w:rPr>
          <w:sz w:val="20"/>
          <w:szCs w:val="20"/>
          <w:color w:val="auto"/>
        </w:rPr>
      </w:pPr>
      <w:r>
        <w:rPr>
          <w:rFonts w:ascii="Times New Roman" w:cs="Times New Roman" w:eastAsia="Times New Roman" w:hAnsi="Times New Roman"/>
          <w:sz w:val="22"/>
          <w:szCs w:val="22"/>
          <w:color w:val="auto"/>
        </w:rPr>
        <w:t>Ethanol and other finished goods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46291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29150" cy="154305"/>
                    </a:xfrm>
                    <a:prstGeom prst="rect">
                      <a:avLst/>
                    </a:prstGeom>
                    <a:noFill/>
                  </pic:spPr>
                </pic:pic>
              </a:graphicData>
            </a:graphic>
          </wp:anchor>
        </w:drawing>
      </w:r>
    </w:p>
    <w:p>
      <w:pPr>
        <w:ind w:right="1560"/>
        <w:spacing w:after="0" w:line="248" w:lineRule="auto"/>
        <w:rPr>
          <w:sz w:val="20"/>
          <w:szCs w:val="20"/>
          <w:color w:val="auto"/>
        </w:rPr>
      </w:pPr>
      <w:r>
        <w:rPr>
          <w:rFonts w:ascii="Times New Roman" w:cs="Times New Roman" w:eastAsia="Times New Roman" w:hAnsi="Times New Roman"/>
          <w:sz w:val="22"/>
          <w:szCs w:val="22"/>
          <w:color w:val="auto"/>
        </w:rPr>
        <w:t>Corn and other raw materials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462915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5"/>
              </w:rPr>
              <w:t>July 31,</w:t>
            </w:r>
          </w:p>
        </w:tc>
        <w:tc>
          <w:tcPr>
            <w:tcW w:w="3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w w:val="97"/>
              </w:rPr>
              <w:t>January 31,</w:t>
            </w:r>
          </w:p>
        </w:tc>
      </w:tr>
      <w:tr>
        <w:trPr>
          <w:trHeight w:val="274"/>
        </w:trPr>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452"/>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7,773</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9,102</w:t>
            </w: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5,339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5,299</w:t>
            </w:r>
          </w:p>
        </w:tc>
      </w:tr>
      <w:tr>
        <w:trPr>
          <w:trHeight w:val="270"/>
        </w:trPr>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16,050</w:t>
            </w: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12,583</w:t>
            </w:r>
          </w:p>
        </w:tc>
      </w:tr>
      <w:tr>
        <w:trPr>
          <w:trHeight w:val="250"/>
        </w:trPr>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29,162</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26,984</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129540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080" w:space="720"/>
            <w:col w:w="6420"/>
          </w:cols>
          <w:pgMar w:left="320" w:top="392"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six months of fiscal years 2024 or 2023.</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20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20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Reclassifications</w:t>
      </w:r>
    </w:p>
    <w:p>
      <w:pPr>
        <w:spacing w:after="0" w:line="23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21"/>
          <w:szCs w:val="21"/>
          <w:color w:val="auto"/>
        </w:rPr>
        <w:t>Certain immaterial amounts previously presented for prior periods have been reclassified to conform to the current presentation. The reclassification had no effect on net income, working capital, or members’ equity previously reported.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In November 2023, the Financial Accounting Standards Board (“FASB”) issued Accounting Standards Updated (“ASU”) 2023-07, </w:t>
      </w:r>
      <w:r>
        <w:rPr>
          <w:rFonts w:ascii="Times New Roman" w:cs="Times New Roman" w:eastAsia="Times New Roman" w:hAnsi="Times New Roman"/>
          <w:sz w:val="22"/>
          <w:szCs w:val="22"/>
          <w:i w:val="1"/>
          <w:iCs w:val="1"/>
          <w:color w:val="auto"/>
        </w:rPr>
        <w:t>Segment Reporting (Topic 280): Improvements to Reportable Segment Disclosures</w:t>
      </w:r>
      <w:r>
        <w:rPr>
          <w:rFonts w:ascii="Times New Roman" w:cs="Times New Roman" w:eastAsia="Times New Roman" w:hAnsi="Times New Roman"/>
          <w:sz w:val="22"/>
          <w:szCs w:val="22"/>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with early adoption permitted. The amendments should be applied retrospectively to all prior periods presented in the financial statements. Management is currently evaluating this ASU to determine its impact on the Company’s disclosures.</w:t>
      </w:r>
    </w:p>
    <w:p>
      <w:pPr>
        <w:spacing w:after="0" w:line="21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to enhance the transparency and decision usefulness of income tax disclosures. This ASU is effective for all entities that are subject to Topic 740 for fiscal years beginning after December 15, 2024. Early adoption and retrospective application are permitted, but not required. The Company is currently evaluating the impact of this ASU.</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04"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60" w:type="dxa"/>
            <w:vAlign w:val="bottom"/>
            <w:tcBorders>
              <w:bottom w:val="single" w:sz="8" w:color="E5FFFF"/>
            </w:tcBorders>
          </w:tcPr>
          <w:p>
            <w:pPr>
              <w:spacing w:after="0"/>
              <w:rPr>
                <w:sz w:val="23"/>
                <w:szCs w:val="23"/>
                <w:color w:val="auto"/>
              </w:rPr>
            </w:pPr>
          </w:p>
        </w:tc>
        <w:tc>
          <w:tcPr>
            <w:tcW w:w="98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Ethanol</w:t>
            </w:r>
          </w:p>
        </w:tc>
        <w:tc>
          <w:tcPr>
            <w:tcW w:w="98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116,100</w:t>
            </w: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167,519</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235,527</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325,798</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21,847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31,943</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52,533</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71,649</w:t>
            </w:r>
          </w:p>
        </w:tc>
        <w:tc>
          <w:tcPr>
            <w:tcW w:w="0" w:type="dxa"/>
            <w:vAlign w:val="bottom"/>
          </w:tcPr>
          <w:p>
            <w:pPr>
              <w:spacing w:after="0"/>
              <w:rPr>
                <w:sz w:val="1"/>
                <w:szCs w:val="1"/>
                <w:color w:val="auto"/>
              </w:rPr>
            </w:pPr>
          </w:p>
        </w:tc>
      </w:tr>
      <w:tr>
        <w:trPr>
          <w:trHeight w:val="243"/>
        </w:trPr>
        <w:tc>
          <w:tcPr>
            <w:tcW w:w="4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9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8,578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11,419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18,384</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24,500</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1,090</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2,656</w:t>
            </w:r>
          </w:p>
        </w:tc>
        <w:tc>
          <w:tcPr>
            <w:tcW w:w="0" w:type="dxa"/>
            <w:vAlign w:val="bottom"/>
          </w:tcPr>
          <w:p>
            <w:pPr>
              <w:spacing w:after="0"/>
              <w:rPr>
                <w:sz w:val="1"/>
                <w:szCs w:val="1"/>
                <w:color w:val="auto"/>
              </w:rPr>
            </w:pPr>
          </w:p>
        </w:tc>
      </w:tr>
      <w:tr>
        <w:trPr>
          <w:trHeight w:val="243"/>
        </w:trPr>
        <w:tc>
          <w:tcPr>
            <w:tcW w:w="4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 (losses)</w:t>
            </w:r>
          </w:p>
        </w:tc>
        <w:tc>
          <w:tcPr>
            <w:tcW w:w="9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429</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436</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186</w:t>
            </w:r>
          </w:p>
        </w:tc>
        <w:tc>
          <w:tcPr>
            <w:tcW w:w="2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117</w:t>
            </w:r>
          </w:p>
        </w:tc>
        <w:tc>
          <w:tcPr>
            <w:tcW w:w="0" w:type="dxa"/>
            <w:vAlign w:val="bottom"/>
          </w:tcPr>
          <w:p>
            <w:pPr>
              <w:spacing w:after="0"/>
              <w:rPr>
                <w:sz w:val="1"/>
                <w:szCs w:val="1"/>
                <w:color w:val="auto"/>
              </w:rPr>
            </w:pPr>
          </w:p>
        </w:tc>
      </w:tr>
      <w:tr>
        <w:trPr>
          <w:trHeight w:val="250"/>
        </w:trPr>
        <w:tc>
          <w:tcPr>
            <w:tcW w:w="47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9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148,155</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211,977</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309,386</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424,691</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7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6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9"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At July 31, 2024,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208"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57"/>
        </w:trPr>
        <w:tc>
          <w:tcPr>
            <w:tcW w:w="39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4"/>
        </w:trPr>
        <w:tc>
          <w:tcPr>
            <w:tcW w:w="39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3"/>
                <w:szCs w:val="23"/>
                <w:color w:val="auto"/>
              </w:rPr>
            </w:pPr>
          </w:p>
        </w:tc>
      </w:tr>
      <w:tr>
        <w:trPr>
          <w:trHeight w:val="237"/>
        </w:trPr>
        <w:tc>
          <w:tcPr>
            <w:tcW w:w="3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Operating lease expense</w:t>
            </w:r>
          </w:p>
        </w:tc>
        <w:tc>
          <w:tcPr>
            <w:tcW w:w="20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1,688</w:t>
            </w:r>
          </w:p>
        </w:tc>
        <w:tc>
          <w:tcPr>
            <w:tcW w:w="6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1,431</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3,370</w:t>
            </w: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3,192</w:t>
            </w: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Variable lease expense</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303</w:t>
            </w:r>
          </w:p>
        </w:tc>
      </w:tr>
      <w:tr>
        <w:trPr>
          <w:trHeight w:val="250"/>
        </w:trPr>
        <w:tc>
          <w:tcPr>
            <w:tcW w:w="39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lease expense</w:t>
            </w:r>
          </w:p>
        </w:tc>
        <w:tc>
          <w:tcPr>
            <w:tcW w:w="18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1,629</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1,492</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3,365</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3,495</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such leases at July 31, 2024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520" w:type="dxa"/>
            <w:vAlign w:val="bottom"/>
          </w:tcPr>
          <w:p>
            <w:pPr>
              <w:spacing w:after="0"/>
              <w:rPr>
                <w:sz w:val="22"/>
                <w:szCs w:val="22"/>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Minimum</w:t>
            </w:r>
          </w:p>
        </w:tc>
        <w:tc>
          <w:tcPr>
            <w:tcW w:w="0" w:type="dxa"/>
            <w:vAlign w:val="bottom"/>
          </w:tcPr>
          <w:p>
            <w:pPr>
              <w:spacing w:after="0"/>
              <w:rPr>
                <w:sz w:val="1"/>
                <w:szCs w:val="1"/>
                <w:color w:val="auto"/>
              </w:rPr>
            </w:pPr>
          </w:p>
        </w:tc>
      </w:tr>
      <w:tr>
        <w:trPr>
          <w:trHeight w:val="247"/>
        </w:trPr>
        <w:tc>
          <w:tcPr>
            <w:tcW w:w="2980" w:type="dxa"/>
            <w:vAlign w:val="bottom"/>
            <w:gridSpan w:val="2"/>
            <w:vMerge w:val="continue"/>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22"/>
                <w:szCs w:val="22"/>
                <w:b w:val="1"/>
                <w:bCs w:val="1"/>
                <w:color w:val="auto"/>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2025</w:t>
            </w:r>
          </w:p>
        </w:tc>
        <w:tc>
          <w:tcPr>
            <w:tcW w:w="700" w:type="dxa"/>
            <w:vAlign w:val="bottom"/>
            <w:gridSpan w:val="2"/>
            <w:shd w:val="clear" w:color="auto" w:fill="E5FFFF"/>
          </w:tcPr>
          <w:p>
            <w:pPr>
              <w:ind w:left="5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2,363</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3,766</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6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3,717</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3,287</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6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1,959</w:t>
            </w:r>
          </w:p>
        </w:tc>
        <w:tc>
          <w:tcPr>
            <w:tcW w:w="0" w:type="dxa"/>
            <w:vAlign w:val="bottom"/>
          </w:tcPr>
          <w:p>
            <w:pPr>
              <w:spacing w:after="0"/>
              <w:rPr>
                <w:sz w:val="1"/>
                <w:szCs w:val="1"/>
                <w:color w:val="auto"/>
              </w:rPr>
            </w:pPr>
          </w:p>
        </w:tc>
      </w:tr>
      <w:tr>
        <w:trPr>
          <w:trHeight w:val="243"/>
        </w:trPr>
        <w:tc>
          <w:tcPr>
            <w:tcW w:w="29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Thereafter</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595</w:t>
            </w:r>
          </w:p>
        </w:tc>
        <w:tc>
          <w:tcPr>
            <w:tcW w:w="0" w:type="dxa"/>
            <w:vAlign w:val="bottom"/>
          </w:tcPr>
          <w:p>
            <w:pPr>
              <w:spacing w:after="0"/>
              <w:rPr>
                <w:sz w:val="1"/>
                <w:szCs w:val="1"/>
                <w:color w:val="auto"/>
              </w:rPr>
            </w:pPr>
          </w:p>
        </w:tc>
      </w:tr>
      <w:tr>
        <w:trPr>
          <w:trHeight w:val="236"/>
        </w:trPr>
        <w:tc>
          <w:tcPr>
            <w:tcW w:w="298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2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15,687</w:t>
            </w:r>
          </w:p>
        </w:tc>
        <w:tc>
          <w:tcPr>
            <w:tcW w:w="4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Less: present value discount</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2,489</w:t>
            </w:r>
          </w:p>
        </w:tc>
        <w:tc>
          <w:tcPr>
            <w:tcW w:w="0" w:type="dxa"/>
            <w:vAlign w:val="bottom"/>
          </w:tcPr>
          <w:p>
            <w:pPr>
              <w:spacing w:after="0"/>
              <w:rPr>
                <w:sz w:val="1"/>
                <w:szCs w:val="1"/>
                <w:color w:val="auto"/>
              </w:rPr>
            </w:pPr>
          </w:p>
        </w:tc>
      </w:tr>
      <w:tr>
        <w:trPr>
          <w:trHeight w:val="237"/>
        </w:trPr>
        <w:tc>
          <w:tcPr>
            <w:tcW w:w="2980" w:type="dxa"/>
            <w:vAlign w:val="bottom"/>
            <w:tcBorders>
              <w:top w:val="single" w:sz="8" w:color="E5FFFF"/>
              <w:bottom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Operating lease liabilities</w:t>
            </w:r>
          </w:p>
        </w:tc>
        <w:tc>
          <w:tcPr>
            <w:tcW w:w="52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13,198</w:t>
            </w:r>
          </w:p>
        </w:tc>
        <w:tc>
          <w:tcPr>
            <w:tcW w:w="4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At July 31, 2024, the weighted average remaining lease term is 3.8 years, and the weighted average discount rate is 6.50% for the outstanding leases. At January 31, 2024, the weighted average remaining lease term was 3.4 years, and the weighted average discount rate was 5.94% for the outstanding leases.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5"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2"/>
          <w:szCs w:val="22"/>
          <w:color w:val="auto"/>
        </w:rPr>
        <w:t>The Company applies ASC 820, “</w:t>
      </w:r>
      <w:r>
        <w:rPr>
          <w:rFonts w:ascii="Times New Roman" w:cs="Times New Roman" w:eastAsia="Times New Roman" w:hAnsi="Times New Roman"/>
          <w:sz w:val="22"/>
          <w:szCs w:val="22"/>
          <w:i w:val="1"/>
          <w:iCs w:val="1"/>
          <w:color w:val="auto"/>
        </w:rPr>
        <w:t>Fair Value Measurements and Disclosures”</w:t>
      </w:r>
      <w:r>
        <w:rPr>
          <w:rFonts w:ascii="Times New Roman" w:cs="Times New Roman" w:eastAsia="Times New Roman" w:hAnsi="Times New Roman"/>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3" w:name="page14"/>
    <w:bookmarkEnd w:id="13"/>
    <w:p>
      <w:pPr>
        <w:ind w:right="440"/>
        <w:spacing w:after="0" w:line="258" w:lineRule="auto"/>
        <w:rPr>
          <w:sz w:val="20"/>
          <w:szCs w:val="20"/>
          <w:color w:val="auto"/>
        </w:rPr>
      </w:pPr>
      <w:r>
        <w:rPr>
          <w:rFonts w:ascii="Times New Roman" w:cs="Times New Roman" w:eastAsia="Times New Roman" w:hAnsi="Times New Roman"/>
          <w:sz w:val="22"/>
          <w:szCs w:val="22"/>
          <w:color w:val="auto"/>
        </w:rPr>
        <w:t>received for an asset or paid to transfer a liability (an exit price) in the principal or most advantageous market for the asset or liability in an orderly transaction between market participants on the measurement date.</w:t>
      </w:r>
    </w:p>
    <w:p>
      <w:pPr>
        <w:spacing w:after="0" w:line="18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89"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820" w:firstLine="8"/>
        <w:spacing w:after="0" w:line="258" w:lineRule="auto"/>
        <w:tabs>
          <w:tab w:leader="none" w:pos="25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w:t>
      </w:r>
    </w:p>
    <w:p>
      <w:pPr>
        <w:spacing w:after="0" w:line="186" w:lineRule="exact"/>
        <w:rPr>
          <w:sz w:val="20"/>
          <w:szCs w:val="20"/>
          <w:color w:val="auto"/>
        </w:rPr>
      </w:pPr>
    </w:p>
    <w:p>
      <w:pPr>
        <w:ind w:right="84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July 31, 2024 are summarized below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2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1140" w:type="dxa"/>
            <w:vAlign w:val="bottom"/>
          </w:tcPr>
          <w:p>
            <w:pPr>
              <w:spacing w:after="0"/>
              <w:rPr>
                <w:sz w:val="24"/>
                <w:szCs w:val="24"/>
                <w:color w:val="auto"/>
              </w:rPr>
            </w:pPr>
          </w:p>
        </w:tc>
      </w:tr>
      <w:tr>
        <w:trPr>
          <w:trHeight w:val="236"/>
        </w:trPr>
        <w:tc>
          <w:tcPr>
            <w:tcW w:w="486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top w:val="single" w:sz="8" w:color="E5FFFF"/>
            </w:tcBorders>
            <w:shd w:val="clear" w:color="auto" w:fill="E5FFFF"/>
          </w:tcPr>
          <w:p>
            <w:pPr>
              <w:spacing w:after="0"/>
              <w:rPr>
                <w:sz w:val="20"/>
                <w:szCs w:val="20"/>
                <w:color w:val="auto"/>
              </w:rPr>
            </w:pPr>
          </w:p>
        </w:tc>
        <w:tc>
          <w:tcPr>
            <w:tcW w:w="24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w:t>
            </w:r>
          </w:p>
        </w:tc>
        <w:tc>
          <w:tcPr>
            <w:tcW w:w="48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top w:val="single" w:sz="8" w:color="E5FFFF"/>
            </w:tcBorders>
            <w:shd w:val="clear" w:color="auto" w:fill="E5FFFF"/>
          </w:tcPr>
          <w:p>
            <w:pPr>
              <w:spacing w:after="0"/>
              <w:rPr>
                <w:sz w:val="20"/>
                <w:szCs w:val="20"/>
                <w:color w:val="auto"/>
              </w:rPr>
            </w:pPr>
          </w:p>
        </w:tc>
        <w:tc>
          <w:tcPr>
            <w:tcW w:w="24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w:t>
            </w:r>
          </w:p>
        </w:tc>
        <w:tc>
          <w:tcPr>
            <w:tcW w:w="80" w:type="dxa"/>
            <w:vAlign w:val="bottom"/>
            <w:tcBorders>
              <w:top w:val="single" w:sz="8" w:color="E5FFFF"/>
            </w:tcBorders>
            <w:shd w:val="clear" w:color="auto" w:fill="E5FFFF"/>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asset (2)</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835</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48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835</w:t>
            </w: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w:t>
            </w:r>
          </w:p>
        </w:tc>
        <w:tc>
          <w:tcPr>
            <w:tcW w:w="4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839</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7"/>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22"/>
                <w:szCs w:val="22"/>
                <w:color w:val="auto"/>
              </w:rPr>
              <w:t>4,643</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4,643</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486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liability (2)</w:t>
            </w: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2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48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80" w:type="dxa"/>
            <w:vAlign w:val="bottom"/>
            <w:shd w:val="clear" w:color="auto" w:fill="E5FFFF"/>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48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liabilities</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56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4,643</w:t>
            </w:r>
          </w:p>
        </w:tc>
        <w:tc>
          <w:tcPr>
            <w:tcW w:w="4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4,699</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4"/>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48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4" w:name="page15"/>
    <w:bookmarkEnd w:id="14"/>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2024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7"/>
              </w:rPr>
              <w:t>Level 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b w:val="1"/>
                <w:bCs w:val="1"/>
                <w:color w:val="auto"/>
                <w:w w:val="97"/>
              </w:rPr>
              <w:t>Level 3</w:t>
            </w:r>
          </w:p>
        </w:tc>
        <w:tc>
          <w:tcPr>
            <w:tcW w:w="14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r>
      <w:tr>
        <w:trPr>
          <w:trHeight w:val="237"/>
        </w:trPr>
        <w:tc>
          <w:tcPr>
            <w:tcW w:w="576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579</w:t>
            </w:r>
          </w:p>
        </w:tc>
        <w:tc>
          <w:tcPr>
            <w:tcW w:w="28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579</w:t>
            </w:r>
          </w:p>
        </w:tc>
        <w:tc>
          <w:tcPr>
            <w:tcW w:w="80" w:type="dxa"/>
            <w:vAlign w:val="bottom"/>
            <w:tcBorders>
              <w:top w:val="single" w:sz="8" w:color="E5FFFF"/>
            </w:tcBorders>
            <w:shd w:val="clear" w:color="auto" w:fill="E5FFFF"/>
          </w:tcPr>
          <w:p>
            <w:pPr>
              <w:spacing w:after="0"/>
              <w:rPr>
                <w:sz w:val="20"/>
                <w:szCs w:val="20"/>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1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(297)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w:t>
            </w:r>
          </w:p>
        </w:tc>
        <w:tc>
          <w:tcPr>
            <w:tcW w:w="80" w:type="dxa"/>
            <w:vAlign w:val="bottom"/>
          </w:tcPr>
          <w:p>
            <w:pPr>
              <w:spacing w:after="0"/>
              <w:rPr>
                <w:sz w:val="22"/>
                <w:szCs w:val="22"/>
                <w:color w:val="auto"/>
              </w:rPr>
            </w:pPr>
          </w:p>
        </w:tc>
      </w:tr>
      <w:tr>
        <w:trPr>
          <w:trHeight w:val="250"/>
        </w:trPr>
        <w:tc>
          <w:tcPr>
            <w:tcW w:w="57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(297)</w:t>
            </w: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579</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282</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19"/>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w:t>
            </w:r>
          </w:p>
        </w:tc>
        <w:tc>
          <w:tcPr>
            <w:tcW w:w="80" w:type="dxa"/>
            <w:vAlign w:val="bottom"/>
          </w:tcPr>
          <w:p>
            <w:pPr>
              <w:spacing w:after="0"/>
              <w:rPr>
                <w:sz w:val="24"/>
                <w:szCs w:val="24"/>
                <w:color w:val="auto"/>
              </w:rPr>
            </w:pPr>
          </w:p>
        </w:tc>
      </w:tr>
    </w:tbl>
    <w:p>
      <w:pPr>
        <w:spacing w:after="0" w:line="204" w:lineRule="exact"/>
        <w:rPr>
          <w:sz w:val="20"/>
          <w:szCs w:val="20"/>
          <w:color w:val="auto"/>
        </w:rPr>
      </w:pPr>
    </w:p>
    <w:p>
      <w:pPr>
        <w:ind w:left="980" w:right="140" w:hanging="324"/>
        <w:spacing w:after="0" w:line="241"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asset is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980" w:right="160" w:hanging="324"/>
        <w:spacing w:after="0" w:line="230"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assets and liabilities are netted with cash collateral due from broker and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980" w:right="800" w:hanging="324"/>
        <w:spacing w:after="0" w:line="237"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liability is included in “Accrued expenses and other current liabilities” on the accompanying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5"/>
              </w:rPr>
              <w:t>July 31,</w:t>
            </w:r>
          </w:p>
        </w:tc>
        <w:tc>
          <w:tcPr>
            <w:tcW w:w="24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3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0" w:type="dxa"/>
            <w:vAlign w:val="bottom"/>
          </w:tcPr>
          <w:p>
            <w:pPr>
              <w:spacing w:after="0"/>
              <w:rPr>
                <w:sz w:val="23"/>
                <w:szCs w:val="23"/>
                <w:color w:val="auto"/>
              </w:rPr>
            </w:pPr>
          </w:p>
        </w:tc>
      </w:tr>
      <w:tr>
        <w:trPr>
          <w:trHeight w:val="237"/>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3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34,105</w:t>
            </w:r>
          </w:p>
        </w:tc>
        <w:tc>
          <w:tcPr>
            <w:tcW w:w="420" w:type="dxa"/>
            <w:vAlign w:val="bottom"/>
            <w:gridSpan w:val="2"/>
            <w:shd w:val="clear" w:color="auto" w:fill="E5FFFF"/>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32,403</w:t>
            </w:r>
          </w:p>
        </w:tc>
        <w:tc>
          <w:tcPr>
            <w:tcW w:w="40" w:type="dxa"/>
            <w:vAlign w:val="bottom"/>
            <w:shd w:val="clear" w:color="auto" w:fill="E5FFFF"/>
          </w:tcPr>
          <w:p>
            <w:pPr>
              <w:spacing w:after="0"/>
              <w:rPr>
                <w:sz w:val="21"/>
                <w:szCs w:val="21"/>
                <w:color w:val="auto"/>
              </w:rPr>
            </w:pPr>
          </w:p>
        </w:tc>
      </w:tr>
      <w:tr>
        <w:trPr>
          <w:trHeight w:val="243"/>
        </w:trPr>
        <w:tc>
          <w:tcPr>
            <w:tcW w:w="4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23,810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23,810</w:t>
            </w:r>
          </w:p>
        </w:tc>
        <w:tc>
          <w:tcPr>
            <w:tcW w:w="40" w:type="dxa"/>
            <w:vAlign w:val="bottom"/>
          </w:tcPr>
          <w:p>
            <w:pPr>
              <w:spacing w:after="0"/>
              <w:rPr>
                <w:sz w:val="21"/>
                <w:szCs w:val="21"/>
                <w:color w:val="auto"/>
              </w:rPr>
            </w:pPr>
          </w:p>
        </w:tc>
      </w:tr>
      <w:tr>
        <w:trPr>
          <w:trHeight w:val="243"/>
        </w:trPr>
        <w:tc>
          <w:tcPr>
            <w:tcW w:w="43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311,627</w:t>
            </w:r>
          </w:p>
        </w:tc>
        <w:tc>
          <w:tcPr>
            <w:tcW w:w="2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307,326</w:t>
            </w:r>
          </w:p>
        </w:tc>
        <w:tc>
          <w:tcPr>
            <w:tcW w:w="40" w:type="dxa"/>
            <w:vAlign w:val="bottom"/>
            <w:shd w:val="clear" w:color="auto" w:fill="E5FFFF"/>
          </w:tcPr>
          <w:p>
            <w:pPr>
              <w:spacing w:after="0"/>
              <w:rPr>
                <w:sz w:val="21"/>
                <w:szCs w:val="21"/>
                <w:color w:val="auto"/>
              </w:rPr>
            </w:pPr>
          </w:p>
        </w:tc>
      </w:tr>
      <w:tr>
        <w:trPr>
          <w:trHeight w:val="257"/>
        </w:trPr>
        <w:tc>
          <w:tcPr>
            <w:tcW w:w="43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Construction in progress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74,404</w:t>
            </w:r>
          </w:p>
        </w:tc>
        <w:tc>
          <w:tcPr>
            <w:tcW w:w="24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37,334</w:t>
            </w:r>
          </w:p>
        </w:tc>
        <w:tc>
          <w:tcPr>
            <w:tcW w:w="40" w:type="dxa"/>
            <w:vAlign w:val="bottom"/>
            <w:tcBorders>
              <w:bottom w:val="single" w:sz="8" w:color="E5FFFF"/>
            </w:tcBorders>
          </w:tcPr>
          <w:p>
            <w:pPr>
              <w:spacing w:after="0"/>
              <w:rPr>
                <w:sz w:val="22"/>
                <w:szCs w:val="22"/>
                <w:color w:val="auto"/>
              </w:rPr>
            </w:pPr>
          </w:p>
        </w:tc>
      </w:tr>
      <w:tr>
        <w:trPr>
          <w:trHeight w:val="236"/>
        </w:trPr>
        <w:tc>
          <w:tcPr>
            <w:tcW w:w="438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property and equipment</w:t>
            </w:r>
          </w:p>
        </w:tc>
        <w:tc>
          <w:tcPr>
            <w:tcW w:w="120" w:type="dxa"/>
            <w:vAlign w:val="bottom"/>
            <w:shd w:val="clear" w:color="auto" w:fill="E5FFFF"/>
          </w:tcPr>
          <w:p>
            <w:pPr>
              <w:spacing w:after="0"/>
              <w:rPr>
                <w:sz w:val="20"/>
                <w:szCs w:val="20"/>
                <w:color w:val="auto"/>
              </w:rPr>
            </w:pPr>
          </w:p>
        </w:tc>
        <w:tc>
          <w:tcPr>
            <w:tcW w:w="84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443,946</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94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400,873</w:t>
            </w:r>
          </w:p>
        </w:tc>
        <w:tc>
          <w:tcPr>
            <w:tcW w:w="40" w:type="dxa"/>
            <w:vAlign w:val="bottom"/>
            <w:shd w:val="clear" w:color="auto" w:fill="E5FFFF"/>
          </w:tcPr>
          <w:p>
            <w:pPr>
              <w:spacing w:after="0"/>
              <w:rPr>
                <w:sz w:val="20"/>
                <w:szCs w:val="20"/>
                <w:color w:val="auto"/>
              </w:rPr>
            </w:pPr>
          </w:p>
        </w:tc>
      </w:tr>
      <w:tr>
        <w:trPr>
          <w:trHeight w:val="257"/>
        </w:trPr>
        <w:tc>
          <w:tcPr>
            <w:tcW w:w="43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Less: Accumulated depreciation</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(253,758)</w:t>
            </w:r>
          </w:p>
        </w:tc>
        <w:tc>
          <w:tcPr>
            <w:tcW w:w="24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(245,286)</w:t>
            </w:r>
          </w:p>
        </w:tc>
        <w:tc>
          <w:tcPr>
            <w:tcW w:w="40" w:type="dxa"/>
            <w:vAlign w:val="bottom"/>
            <w:tcBorders>
              <w:bottom w:val="single" w:sz="8" w:color="E5FFFF"/>
            </w:tcBorders>
          </w:tcPr>
          <w:p>
            <w:pPr>
              <w:spacing w:after="0"/>
              <w:rPr>
                <w:sz w:val="22"/>
                <w:szCs w:val="22"/>
                <w:color w:val="auto"/>
              </w:rPr>
            </w:pPr>
          </w:p>
        </w:tc>
      </w:tr>
      <w:tr>
        <w:trPr>
          <w:trHeight w:val="250"/>
        </w:trPr>
        <w:tc>
          <w:tcPr>
            <w:tcW w:w="438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190,188</w:t>
            </w:r>
          </w:p>
        </w:tc>
        <w:tc>
          <w:tcPr>
            <w:tcW w:w="240" w:type="dxa"/>
            <w:vAlign w:val="bottom"/>
            <w:tcBorders>
              <w:bottom w:val="single" w:sz="8" w:color="E5FFFF"/>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155,587</w:t>
            </w:r>
          </w:p>
        </w:tc>
        <w:tc>
          <w:tcPr>
            <w:tcW w:w="40" w:type="dxa"/>
            <w:vAlign w:val="bottom"/>
            <w:tcBorders>
              <w:bottom w:val="single" w:sz="8" w:color="E5FFFF"/>
            </w:tcBorders>
            <w:shd w:val="clear" w:color="auto" w:fill="E5FFFF"/>
          </w:tcPr>
          <w:p>
            <w:pPr>
              <w:spacing w:after="0"/>
              <w:rPr>
                <w:sz w:val="21"/>
                <w:szCs w:val="2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Other Assets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January 31,</w:t>
            </w:r>
          </w:p>
        </w:tc>
        <w:tc>
          <w:tcPr>
            <w:tcW w:w="4500" w:type="dxa"/>
            <w:vAlign w:val="bottom"/>
          </w:tcPr>
          <w:p>
            <w:pPr>
              <w:spacing w:after="0"/>
              <w:rPr>
                <w:sz w:val="21"/>
                <w:szCs w:val="21"/>
                <w:color w:val="auto"/>
              </w:rPr>
            </w:pPr>
          </w:p>
        </w:tc>
      </w:tr>
      <w:tr>
        <w:trPr>
          <w:trHeight w:val="274"/>
        </w:trPr>
        <w:tc>
          <w:tcPr>
            <w:tcW w:w="4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500" w:type="dxa"/>
            <w:vAlign w:val="bottom"/>
          </w:tcPr>
          <w:p>
            <w:pPr>
              <w:spacing w:after="0"/>
              <w:rPr>
                <w:sz w:val="23"/>
                <w:szCs w:val="23"/>
                <w:color w:val="auto"/>
              </w:rPr>
            </w:pPr>
          </w:p>
        </w:tc>
      </w:tr>
      <w:tr>
        <w:trPr>
          <w:trHeight w:val="237"/>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43"/>
        </w:trPr>
        <w:tc>
          <w:tcPr>
            <w:tcW w:w="4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Prepaid utility lease</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15,600</w:t>
            </w:r>
          </w:p>
        </w:tc>
        <w:tc>
          <w:tcPr>
            <w:tcW w:w="480" w:type="dxa"/>
            <w:vAlign w:val="bottom"/>
            <w:gridSpan w:val="3"/>
            <w:shd w:val="clear" w:color="auto" w:fill="E5FFFF"/>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spacing w:after="0"/>
              <w:rPr>
                <w:sz w:val="21"/>
                <w:szCs w:val="21"/>
                <w:color w:val="auto"/>
              </w:rPr>
            </w:pP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7,837</w:t>
            </w:r>
          </w:p>
        </w:tc>
        <w:tc>
          <w:tcPr>
            <w:tcW w:w="4500" w:type="dxa"/>
            <w:vAlign w:val="bottom"/>
          </w:tcPr>
          <w:p>
            <w:pPr>
              <w:spacing w:after="0"/>
              <w:rPr>
                <w:sz w:val="21"/>
                <w:szCs w:val="21"/>
                <w:color w:val="auto"/>
              </w:rPr>
            </w:pPr>
          </w:p>
        </w:tc>
      </w:tr>
      <w:tr>
        <w:trPr>
          <w:trHeight w:val="257"/>
        </w:trPr>
        <w:tc>
          <w:tcPr>
            <w:tcW w:w="44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Other</w:t>
            </w:r>
          </w:p>
        </w:tc>
        <w:tc>
          <w:tcPr>
            <w:tcW w:w="160" w:type="dxa"/>
            <w:vAlign w:val="bottom"/>
            <w:tcBorders>
              <w:bottom w:val="single" w:sz="8" w:color="auto"/>
            </w:tcBorders>
            <w:shd w:val="clear" w:color="auto" w:fill="E5FFFF"/>
          </w:tcPr>
          <w:p>
            <w:pPr>
              <w:spacing w:after="0"/>
              <w:rPr>
                <w:sz w:val="22"/>
                <w:szCs w:val="22"/>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1,343</w:t>
            </w:r>
          </w:p>
        </w:tc>
        <w:tc>
          <w:tcPr>
            <w:tcW w:w="2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20" w:type="dxa"/>
            <w:vAlign w:val="bottom"/>
            <w:tcBorders>
              <w:bottom w:val="single" w:sz="8" w:color="auto"/>
            </w:tcBorders>
            <w:shd w:val="clear" w:color="auto" w:fill="E5FFFF"/>
          </w:tcPr>
          <w:p>
            <w:pPr>
              <w:spacing w:after="0"/>
              <w:rPr>
                <w:sz w:val="22"/>
                <w:szCs w:val="22"/>
                <w:color w:val="auto"/>
              </w:rPr>
            </w:pPr>
          </w:p>
        </w:tc>
        <w:tc>
          <w:tcPr>
            <w:tcW w:w="92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1,301</w:t>
            </w:r>
          </w:p>
        </w:tc>
        <w:tc>
          <w:tcPr>
            <w:tcW w:w="4500" w:type="dxa"/>
            <w:vAlign w:val="bottom"/>
          </w:tcPr>
          <w:p>
            <w:pPr>
              <w:spacing w:after="0"/>
              <w:rPr>
                <w:sz w:val="22"/>
                <w:szCs w:val="22"/>
                <w:color w:val="auto"/>
              </w:rPr>
            </w:pPr>
          </w:p>
        </w:tc>
      </w:tr>
      <w:tr>
        <w:trPr>
          <w:trHeight w:val="250"/>
        </w:trPr>
        <w:tc>
          <w:tcPr>
            <w:tcW w:w="44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19,285</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9,138</w:t>
            </w:r>
          </w:p>
        </w:tc>
        <w:tc>
          <w:tcPr>
            <w:tcW w:w="4500" w:type="dxa"/>
            <w:vAlign w:val="bottom"/>
          </w:tcPr>
          <w:p>
            <w:pPr>
              <w:spacing w:after="0"/>
              <w:rPr>
                <w:sz w:val="21"/>
                <w:szCs w:val="2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4"/>
        </w:trPr>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8"/>
        </w:trPr>
        <w:tc>
          <w:tcPr>
            <w:tcW w:w="44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45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24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0" w:type="dxa"/>
            <w:vAlign w:val="bottom"/>
          </w:tcPr>
          <w:p>
            <w:pPr>
              <w:spacing w:after="0"/>
              <w:rPr>
                <w:sz w:val="23"/>
                <w:szCs w:val="23"/>
                <w:color w:val="auto"/>
              </w:rPr>
            </w:pPr>
          </w:p>
        </w:tc>
      </w:tr>
      <w:tr>
        <w:trPr>
          <w:trHeight w:val="237"/>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4,145</w:t>
            </w:r>
          </w:p>
        </w:tc>
        <w:tc>
          <w:tcPr>
            <w:tcW w:w="460" w:type="dxa"/>
            <w:vAlign w:val="bottom"/>
            <w:gridSpan w:val="2"/>
            <w:shd w:val="clear" w:color="auto" w:fill="E5FFFF"/>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9,457</w:t>
            </w:r>
          </w:p>
        </w:tc>
        <w:tc>
          <w:tcPr>
            <w:tcW w:w="40" w:type="dxa"/>
            <w:vAlign w:val="bottom"/>
            <w:shd w:val="clear" w:color="auto" w:fill="E5FFFF"/>
          </w:tcPr>
          <w:p>
            <w:pPr>
              <w:spacing w:after="0"/>
              <w:rPr>
                <w:sz w:val="21"/>
                <w:szCs w:val="21"/>
                <w:color w:val="auto"/>
              </w:rPr>
            </w:pP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1,575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3,373</w:t>
            </w:r>
          </w:p>
        </w:tc>
        <w:tc>
          <w:tcPr>
            <w:tcW w:w="40" w:type="dxa"/>
            <w:vAlign w:val="bottom"/>
          </w:tcPr>
          <w:p>
            <w:pPr>
              <w:spacing w:after="0"/>
              <w:rPr>
                <w:sz w:val="21"/>
                <w:szCs w:val="21"/>
                <w:color w:val="auto"/>
              </w:rPr>
            </w:pPr>
          </w:p>
        </w:tc>
      </w:tr>
      <w:tr>
        <w:trPr>
          <w:trHeight w:val="243"/>
        </w:trPr>
        <w:tc>
          <w:tcPr>
            <w:tcW w:w="4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2,859</w:t>
            </w:r>
          </w:p>
        </w:tc>
        <w:tc>
          <w:tcPr>
            <w:tcW w:w="2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2,972</w:t>
            </w:r>
          </w:p>
        </w:tc>
        <w:tc>
          <w:tcPr>
            <w:tcW w:w="40" w:type="dxa"/>
            <w:vAlign w:val="bottom"/>
            <w:shd w:val="clear" w:color="auto" w:fill="E5FFFF"/>
          </w:tcPr>
          <w:p>
            <w:pPr>
              <w:spacing w:after="0"/>
              <w:rPr>
                <w:sz w:val="21"/>
                <w:szCs w:val="21"/>
                <w:color w:val="auto"/>
              </w:rPr>
            </w:pP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2,323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1,742</w:t>
            </w:r>
          </w:p>
        </w:tc>
        <w:tc>
          <w:tcPr>
            <w:tcW w:w="40" w:type="dxa"/>
            <w:vAlign w:val="bottom"/>
          </w:tcPr>
          <w:p>
            <w:pPr>
              <w:spacing w:after="0"/>
              <w:rPr>
                <w:sz w:val="21"/>
                <w:szCs w:val="21"/>
                <w:color w:val="auto"/>
              </w:rPr>
            </w:pPr>
          </w:p>
        </w:tc>
      </w:tr>
      <w:tr>
        <w:trPr>
          <w:trHeight w:val="243"/>
        </w:trPr>
        <w:tc>
          <w:tcPr>
            <w:tcW w:w="4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4,643</w:t>
            </w:r>
          </w:p>
        </w:tc>
        <w:tc>
          <w:tcPr>
            <w:tcW w:w="2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802</w:t>
            </w:r>
          </w:p>
        </w:tc>
        <w:tc>
          <w:tcPr>
            <w:tcW w:w="40" w:type="dxa"/>
            <w:vAlign w:val="bottom"/>
            <w:shd w:val="clear" w:color="auto" w:fill="E5FFFF"/>
          </w:tcPr>
          <w:p>
            <w:pPr>
              <w:spacing w:after="0"/>
              <w:rPr>
                <w:sz w:val="21"/>
                <w:szCs w:val="21"/>
                <w:color w:val="auto"/>
              </w:rPr>
            </w:pPr>
          </w:p>
        </w:tc>
      </w:tr>
      <w:tr>
        <w:trPr>
          <w:trHeight w:val="257"/>
        </w:trPr>
        <w:tc>
          <w:tcPr>
            <w:tcW w:w="4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Other</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1,628</w:t>
            </w:r>
          </w:p>
        </w:tc>
        <w:tc>
          <w:tcPr>
            <w:tcW w:w="240" w:type="dxa"/>
            <w:vAlign w:val="bottom"/>
            <w:tcBorders>
              <w:bottom w:val="single" w:sz="8" w:color="E5FF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1,371</w:t>
            </w:r>
          </w:p>
        </w:tc>
        <w:tc>
          <w:tcPr>
            <w:tcW w:w="40" w:type="dxa"/>
            <w:vAlign w:val="bottom"/>
            <w:tcBorders>
              <w:bottom w:val="single" w:sz="8" w:color="E5FFFF"/>
            </w:tcBorders>
          </w:tcPr>
          <w:p>
            <w:pPr>
              <w:spacing w:after="0"/>
              <w:rPr>
                <w:sz w:val="22"/>
                <w:szCs w:val="22"/>
                <w:color w:val="auto"/>
              </w:rPr>
            </w:pPr>
          </w:p>
        </w:tc>
      </w:tr>
      <w:tr>
        <w:trPr>
          <w:trHeight w:val="250"/>
        </w:trPr>
        <w:tc>
          <w:tcPr>
            <w:tcW w:w="444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17,173</w:t>
            </w:r>
          </w:p>
        </w:tc>
        <w:tc>
          <w:tcPr>
            <w:tcW w:w="24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19,717</w:t>
            </w:r>
          </w:p>
        </w:tc>
        <w:tc>
          <w:tcPr>
            <w:tcW w:w="40" w:type="dxa"/>
            <w:vAlign w:val="bottom"/>
            <w:tcBorders>
              <w:bottom w:val="single" w:sz="8" w:color="E5FFFF"/>
            </w:tcBorders>
            <w:shd w:val="clear" w:color="auto" w:fill="E5FFFF"/>
          </w:tcPr>
          <w:p>
            <w:pPr>
              <w:spacing w:after="0"/>
              <w:rPr>
                <w:sz w:val="21"/>
                <w:szCs w:val="2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right="240" w:firstLine="648"/>
        <w:spacing w:after="0" w:line="248" w:lineRule="auto"/>
        <w:rPr>
          <w:sz w:val="20"/>
          <w:szCs w:val="20"/>
          <w:color w:val="auto"/>
        </w:rPr>
      </w:pPr>
      <w:r>
        <w:rPr>
          <w:rFonts w:ascii="Times New Roman" w:cs="Times New Roman" w:eastAsia="Times New Roman" w:hAnsi="Times New Roman"/>
          <w:sz w:val="21"/>
          <w:szCs w:val="21"/>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natural gas)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9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520"/>
              <w:spacing w:after="0"/>
              <w:rPr>
                <w:sz w:val="20"/>
                <w:szCs w:val="20"/>
                <w:color w:val="auto"/>
              </w:rPr>
            </w:pPr>
            <w:r>
              <w:rPr>
                <w:rFonts w:ascii="Times New Roman" w:cs="Times New Roman" w:eastAsia="Times New Roman" w:hAnsi="Times New Roman"/>
                <w:sz w:val="22"/>
                <w:szCs w:val="22"/>
                <w:b w:val="1"/>
                <w:bCs w:val="1"/>
                <w:color w:val="auto"/>
              </w:rPr>
              <w:t>Asset Derivatives</w:t>
            </w:r>
          </w:p>
        </w:tc>
        <w:tc>
          <w:tcPr>
            <w:tcW w:w="180" w:type="dxa"/>
            <w:vAlign w:val="bottom"/>
          </w:tcPr>
          <w:p>
            <w:pPr>
              <w:spacing w:after="0"/>
              <w:rPr>
                <w:sz w:val="21"/>
                <w:szCs w:val="21"/>
                <w:color w:val="auto"/>
              </w:rPr>
            </w:pPr>
          </w:p>
        </w:tc>
        <w:tc>
          <w:tcPr>
            <w:tcW w:w="236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Liability Derivatives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60" w:type="dxa"/>
            <w:vAlign w:val="bottom"/>
            <w:gridSpan w:val="3"/>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60" w:type="dxa"/>
            <w:vAlign w:val="bottom"/>
          </w:tcPr>
          <w:p>
            <w:pPr>
              <w:spacing w:after="0"/>
              <w:rPr>
                <w:sz w:val="21"/>
                <w:szCs w:val="21"/>
                <w:color w:val="auto"/>
              </w:rPr>
            </w:pPr>
          </w:p>
        </w:tc>
        <w:tc>
          <w:tcPr>
            <w:tcW w:w="168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c>
          <w:tcPr>
            <w:tcW w:w="180" w:type="dxa"/>
            <w:vAlign w:val="bottom"/>
          </w:tcPr>
          <w:p>
            <w:pPr>
              <w:spacing w:after="0"/>
              <w:rPr>
                <w:sz w:val="21"/>
                <w:szCs w:val="21"/>
                <w:color w:val="auto"/>
              </w:rPr>
            </w:pPr>
          </w:p>
        </w:tc>
        <w:tc>
          <w:tcPr>
            <w:tcW w:w="106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20" w:type="dxa"/>
            <w:vAlign w:val="bottom"/>
          </w:tcPr>
          <w:p>
            <w:pPr>
              <w:spacing w:after="0"/>
              <w:rPr>
                <w:sz w:val="21"/>
                <w:szCs w:val="21"/>
                <w:color w:val="auto"/>
              </w:rPr>
            </w:pPr>
          </w:p>
        </w:tc>
        <w:tc>
          <w:tcPr>
            <w:tcW w:w="134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2024</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4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(1)</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c>
          <w:tcPr>
            <w:tcW w:w="78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579</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4,643</w:t>
            </w:r>
          </w:p>
        </w:tc>
        <w:tc>
          <w:tcPr>
            <w:tcW w:w="1300" w:type="dxa"/>
            <w:vAlign w:val="bottom"/>
            <w:gridSpan w:val="2"/>
            <w:shd w:val="clear" w:color="auto" w:fill="E5FFFF"/>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802</w:t>
            </w:r>
          </w:p>
        </w:tc>
      </w:tr>
      <w:tr>
        <w:trPr>
          <w:trHeight w:val="48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balance (3)</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334</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2,152</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180" w:type="dxa"/>
            <w:vAlign w:val="bottom"/>
            <w:shd w:val="clear" w:color="auto" w:fill="E5FFFF"/>
          </w:tcPr>
          <w:p>
            <w:pPr>
              <w:spacing w:after="0"/>
              <w:rPr>
                <w:sz w:val="22"/>
                <w:szCs w:val="22"/>
                <w:color w:val="auto"/>
              </w:rPr>
            </w:pP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779</w:t>
            </w:r>
          </w:p>
        </w:tc>
        <w:tc>
          <w:tcPr>
            <w:tcW w:w="46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(297)</w:t>
            </w:r>
          </w:p>
        </w:tc>
        <w:tc>
          <w:tcPr>
            <w:tcW w:w="18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484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Net position with broker</w:t>
            </w:r>
          </w:p>
        </w:tc>
        <w:tc>
          <w:tcPr>
            <w:tcW w:w="1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1,113</w:t>
            </w:r>
          </w:p>
        </w:tc>
        <w:tc>
          <w:tcPr>
            <w:tcW w:w="4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1,855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3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0"/>
                <w:szCs w:val="20"/>
                <w:color w:val="auto"/>
              </w:rPr>
            </w:pPr>
          </w:p>
        </w:tc>
      </w:tr>
      <w:tr>
        <w:trPr>
          <w:trHeight w:val="236"/>
        </w:trPr>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Total</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1,117</w:t>
            </w:r>
          </w:p>
        </w:tc>
        <w:tc>
          <w:tcPr>
            <w:tcW w:w="78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2,434</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4,643</w:t>
            </w:r>
          </w:p>
        </w:tc>
        <w:tc>
          <w:tcPr>
            <w:tcW w:w="1300" w:type="dxa"/>
            <w:vAlign w:val="bottom"/>
            <w:gridSpan w:val="2"/>
            <w:shd w:val="clear" w:color="auto" w:fill="E5FFFF"/>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802</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424"/>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16</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8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0" w:right="339" w:bottom="1440" w:gutter="0" w:footer="0" w:header="0"/>
        </w:sectPr>
      </w:pPr>
    </w:p>
    <w:bookmarkStart w:id="16" w:name="page17"/>
    <w:bookmarkEnd w:id="16"/>
    <w:p>
      <w:pPr>
        <w:ind w:left="660" w:right="40" w:hanging="328"/>
        <w:spacing w:after="0" w:line="244" w:lineRule="auto"/>
        <w:tabs>
          <w:tab w:leader="none" w:pos="6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are for purchases of approximately 0.9 million and 9.3 million bushels of corn at July 31, 2024 and January 31, 2024, respectively.</w:t>
      </w:r>
    </w:p>
    <w:p>
      <w:pPr>
        <w:spacing w:after="0" w:line="200" w:lineRule="exact"/>
        <w:rPr>
          <w:rFonts w:ascii="Times New Roman" w:cs="Times New Roman" w:eastAsia="Times New Roman" w:hAnsi="Times New Roman"/>
          <w:sz w:val="22"/>
          <w:szCs w:val="22"/>
          <w:color w:val="auto"/>
        </w:rPr>
      </w:pPr>
    </w:p>
    <w:p>
      <w:pPr>
        <w:ind w:left="660" w:right="4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liabilities are included in “Accrued expenses and other current liabilities” on the accompanying Consolidated Balance Sheets. These contracts are for purchases of approximately 14.1 million and 8.2 million bushels of corn at July 31, 2024 and January 31, 2024, respectively.</w:t>
      </w:r>
    </w:p>
    <w:p>
      <w:pPr>
        <w:spacing w:after="0" w:line="200" w:lineRule="exact"/>
        <w:rPr>
          <w:rFonts w:ascii="Times New Roman" w:cs="Times New Roman" w:eastAsia="Times New Roman" w:hAnsi="Times New Roman"/>
          <w:sz w:val="22"/>
          <w:szCs w:val="22"/>
          <w:color w:val="auto"/>
        </w:rPr>
      </w:pPr>
    </w:p>
    <w:p>
      <w:pPr>
        <w:ind w:left="660" w:hanging="409"/>
        <w:spacing w:after="0" w:line="236" w:lineRule="auto"/>
        <w:tabs>
          <w:tab w:leader="none" w:pos="6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and liabilities are included in “Prepaid expenses and other” on the accompanying Consolidated Balance Sheets. These contracts included short/sell positions and long/buy positions for approximately 2.0 million and 2.1 million bushels of corn, respectively, at July 31, 2024. These contracts also included short/sell positions for approximately 1.5 million gallons of ethanol at July 31, 2024. These contracts included short/sell positions and long/buy positions for approximately 255,000 and 6.9 million bushels of corn, respectively, at January 31, 2024. These contracts also included short/sell positions for approximately 210,000 gallons of ethanol at January 31, 2024.</w:t>
      </w:r>
    </w:p>
    <w:p>
      <w:pPr>
        <w:spacing w:after="0" w:line="208" w:lineRule="exact"/>
        <w:rPr>
          <w:rFonts w:ascii="Times New Roman" w:cs="Times New Roman" w:eastAsia="Times New Roman" w:hAnsi="Times New Roman"/>
          <w:sz w:val="22"/>
          <w:szCs w:val="22"/>
          <w:color w:val="auto"/>
        </w:rPr>
      </w:pPr>
    </w:p>
    <w:p>
      <w:pPr>
        <w:ind w:left="660" w:hanging="328"/>
        <w:spacing w:after="0" w:line="235" w:lineRule="auto"/>
        <w:tabs>
          <w:tab w:leader="none" w:pos="68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July 31, 2024 and January 31, 2024,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July 31, 2024 and January 31, 2024, the Company was required to maintain collateral with the counterparty in the amount of approximately $0.3 million and $2.2 million, respectively, recorded within “Prepaid expenses and other” on the accompanying Consolidated Balance Sheets.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3"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recognized losses, which are included in “Cost of sales” in the accompanying Consolidated Statement of Operations, on derivative financial instruments related to corn purchase contracts of approximately $6.2 million and of $0.8 million for the second quarter of fiscal years 2024 and 2023, respectively. The Company recognized (losses) gains on derivative financial instruments related to corn purchase contracts of approximately $(6.1) million and $5.0 million for the first six months of fiscal years 2024 and 2023, respectively.</w:t>
      </w:r>
    </w:p>
    <w:p>
      <w:pPr>
        <w:spacing w:after="0" w:line="204"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gains, which are recorded in “Net sales and revenue” in the accompanying Consolidated Statement of Operations, on derivative financial instruments related to ethanol sales contracts of approximately $0.4 million for both the three and six month period ended July 31, 2024. Gains or losses on derivates financials instruments related to ethanol sales contracts were insignificant in 2023.</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July 31, 2024 and January 31, 2024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16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40" w:type="dxa"/>
            <w:vAlign w:val="bottom"/>
            <w:gridSpan w:val="4"/>
          </w:tcPr>
          <w:p>
            <w:pPr>
              <w:jc w:val="right"/>
              <w:ind w:right="900"/>
              <w:spacing w:after="0"/>
              <w:rPr>
                <w:sz w:val="20"/>
                <w:szCs w:val="20"/>
                <w:color w:val="auto"/>
              </w:rPr>
            </w:pPr>
            <w:r>
              <w:rPr>
                <w:rFonts w:ascii="Times New Roman" w:cs="Times New Roman" w:eastAsia="Times New Roman" w:hAnsi="Times New Roman"/>
                <w:sz w:val="22"/>
                <w:szCs w:val="22"/>
                <w:b w:val="1"/>
                <w:bCs w:val="1"/>
                <w:color w:val="auto"/>
              </w:rPr>
              <w:t>Carrying Amount</w:t>
            </w:r>
          </w:p>
        </w:tc>
        <w:tc>
          <w:tcPr>
            <w:tcW w:w="0" w:type="dxa"/>
            <w:vAlign w:val="bottom"/>
          </w:tcPr>
          <w:p>
            <w:pPr>
              <w:spacing w:after="0"/>
              <w:rPr>
                <w:sz w:val="1"/>
                <w:szCs w:val="1"/>
                <w:color w:val="auto"/>
              </w:rPr>
            </w:pPr>
          </w:p>
        </w:tc>
      </w:tr>
      <w:tr>
        <w:trPr>
          <w:trHeight w:val="247"/>
        </w:trPr>
        <w:tc>
          <w:tcPr>
            <w:tcW w:w="2480" w:type="dxa"/>
            <w:vAlign w:val="bottom"/>
            <w:gridSpan w:val="2"/>
            <w:vMerge w:val="continue"/>
          </w:tcPr>
          <w:p>
            <w:pPr>
              <w:spacing w:after="0"/>
              <w:rPr>
                <w:sz w:val="21"/>
                <w:szCs w:val="21"/>
                <w:color w:val="auto"/>
              </w:rPr>
            </w:pPr>
          </w:p>
        </w:tc>
        <w:tc>
          <w:tcPr>
            <w:tcW w:w="4100" w:type="dxa"/>
            <w:vAlign w:val="bottom"/>
            <w:gridSpan w:val="3"/>
          </w:tcPr>
          <w:p>
            <w:pPr>
              <w:ind w:left="1640"/>
              <w:spacing w:after="0" w:line="247" w:lineRule="exact"/>
              <w:rPr>
                <w:sz w:val="20"/>
                <w:szCs w:val="20"/>
                <w:color w:val="auto"/>
              </w:rPr>
            </w:pPr>
            <w:r>
              <w:rPr>
                <w:rFonts w:ascii="Times New Roman" w:cs="Times New Roman" w:eastAsia="Times New Roman" w:hAnsi="Times New Roman"/>
                <w:sz w:val="22"/>
                <w:szCs w:val="22"/>
                <w:b w:val="1"/>
                <w:bCs w:val="1"/>
                <w:color w:val="auto"/>
              </w:rPr>
              <w:t>Ownership Percentage</w:t>
            </w:r>
          </w:p>
        </w:tc>
        <w:tc>
          <w:tcPr>
            <w:tcW w:w="1680" w:type="dxa"/>
            <w:vAlign w:val="bottom"/>
            <w:gridSpan w:val="2"/>
          </w:tcPr>
          <w:p>
            <w:pPr>
              <w:ind w:left="280"/>
              <w:spacing w:after="0" w:line="247" w:lineRule="exact"/>
              <w:rPr>
                <w:sz w:val="20"/>
                <w:szCs w:val="20"/>
                <w:color w:val="auto"/>
              </w:rPr>
            </w:pPr>
            <w:r>
              <w:rPr>
                <w:rFonts w:ascii="Times New Roman" w:cs="Times New Roman" w:eastAsia="Times New Roman" w:hAnsi="Times New Roman"/>
                <w:sz w:val="22"/>
                <w:szCs w:val="22"/>
                <w:b w:val="1"/>
                <w:bCs w:val="1"/>
                <w:color w:val="auto"/>
              </w:rPr>
              <w:t>July 31, 2024</w:t>
            </w:r>
          </w:p>
        </w:tc>
        <w:tc>
          <w:tcPr>
            <w:tcW w:w="17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January 31, 2024</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3720" w:type="dxa"/>
            <w:vAlign w:val="bottom"/>
            <w:gridSpan w:val="2"/>
          </w:tcPr>
          <w:p>
            <w:pPr>
              <w:jc w:val="right"/>
              <w:ind w:right="700"/>
              <w:spacing w:after="0"/>
              <w:rPr>
                <w:sz w:val="20"/>
                <w:szCs w:val="20"/>
                <w:color w:val="auto"/>
              </w:rPr>
            </w:pPr>
            <w:r>
              <w:rPr>
                <w:rFonts w:ascii="Times New Roman" w:cs="Times New Roman" w:eastAsia="Times New Roman" w:hAnsi="Times New Roman"/>
                <w:sz w:val="22"/>
                <w:szCs w:val="22"/>
                <w:color w:val="auto"/>
              </w:rPr>
              <w:t>10.3%</w:t>
            </w:r>
          </w:p>
        </w:tc>
        <w:tc>
          <w:tcPr>
            <w:tcW w:w="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$38,401</w:t>
            </w:r>
          </w:p>
        </w:tc>
        <w:tc>
          <w:tcPr>
            <w:tcW w:w="2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$34,936</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Undistributed earnings of the Company’s equity method investee totaled approximately $18.4 million and approximately $14.9 million at July 31, 2024 and January 31, 2024, respectively. The Company did not receive dividends from its equity method investee in the first six months of fiscal year 2024 or 2023.</w:t>
      </w:r>
    </w:p>
    <w:p>
      <w:pPr>
        <w:spacing w:after="0" w:line="173"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56"/>
        </w:trPr>
        <w:tc>
          <w:tcPr>
            <w:tcW w:w="4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4"/>
        </w:trPr>
        <w:tc>
          <w:tcPr>
            <w:tcW w:w="4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3"/>
                <w:szCs w:val="23"/>
                <w:color w:val="auto"/>
              </w:rPr>
            </w:pPr>
          </w:p>
        </w:tc>
      </w:tr>
      <w:tr>
        <w:trPr>
          <w:trHeight w:val="237"/>
        </w:trPr>
        <w:tc>
          <w:tcPr>
            <w:tcW w:w="4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54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263,164</w:t>
            </w:r>
          </w:p>
        </w:tc>
        <w:tc>
          <w:tcPr>
            <w:tcW w:w="6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402,119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536,363</w:t>
            </w: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776,622</w:t>
            </w: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5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22,852</w:t>
            </w:r>
          </w:p>
        </w:tc>
        <w:tc>
          <w:tcPr>
            <w:tcW w:w="6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36,973</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41,114</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54,525</w:t>
            </w: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expense</w:t>
            </w:r>
          </w:p>
        </w:tc>
        <w:tc>
          <w:tcPr>
            <w:tcW w:w="154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6,660</w:t>
            </w:r>
          </w:p>
        </w:tc>
        <w:tc>
          <w:tcPr>
            <w:tcW w:w="6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6,602</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13,206</w:t>
            </w: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13,158</w:t>
            </w: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from continuing operations</w:t>
            </w:r>
          </w:p>
        </w:tc>
        <w:tc>
          <w:tcPr>
            <w:tcW w:w="15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16,944</w:t>
            </w:r>
          </w:p>
        </w:tc>
        <w:tc>
          <w:tcPr>
            <w:tcW w:w="6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29,552</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33,603</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43,999</w:t>
            </w: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154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16,944</w:t>
            </w:r>
          </w:p>
        </w:tc>
        <w:tc>
          <w:tcPr>
            <w:tcW w:w="6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29,552</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33,603</w:t>
            </w: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43,999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10"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At July 31, 2024, the Company owned United States Treasury Bills (classified as short-term investments) that had an amortized cost, or carrying value, of approximately $84.9 million. The contractual maturity of these investments was less than one year. The yield to maturity rate was approximately 5.4%. Unrecognized holding losses at July 31, 2024 were approximately $43,000.</w:t>
      </w:r>
    </w:p>
    <w:p>
      <w:pPr>
        <w:spacing w:after="0" w:line="180"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At January 31, 2024, the Company owned United States Treasury Bills (classified as short-term investments) that had an amortized cost, or carrying value, of approximately $155.3 million. The contractual maturity of these investments was less than one year. The yield to maturity rate was approximately 5.5%. Unrecognized holding losses at January 31, 2024 were approximately $94,000.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w:t>
      </w:r>
      <w:r>
        <w:rPr>
          <w:rFonts w:ascii="Times New Roman" w:cs="Times New Roman" w:eastAsia="Times New Roman" w:hAnsi="Times New Roman"/>
          <w:sz w:val="22"/>
          <w:szCs w:val="22"/>
          <w:b w:val="1"/>
          <w:bCs w:val="1"/>
          <w:i w:val="1"/>
          <w:iCs w:val="1"/>
          <w:color w:val="auto"/>
        </w:rPr>
        <w:t>Employee Benefits</w:t>
      </w:r>
    </w:p>
    <w:p>
      <w:pPr>
        <w:spacing w:after="0" w:line="212"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8" w:name="page19"/>
    <w:bookmarkEnd w:id="18"/>
    <w:p>
      <w:pPr>
        <w:ind w:right="80"/>
        <w:spacing w:after="0" w:line="234" w:lineRule="auto"/>
        <w:rPr>
          <w:sz w:val="20"/>
          <w:szCs w:val="20"/>
          <w:color w:val="auto"/>
        </w:rPr>
      </w:pPr>
      <w:r>
        <w:rPr>
          <w:rFonts w:ascii="Times New Roman" w:cs="Times New Roman" w:eastAsia="Times New Roman" w:hAnsi="Times New Roman"/>
          <w:sz w:val="22"/>
          <w:szCs w:val="22"/>
          <w:color w:val="auto"/>
        </w:rPr>
        <w:t>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July 31, 2024, 1,165,709 shares remain available for issuance under the Plan, excluding the impact of the 67,500 restricted stock units that may vest between zero and 135,000 shares of stock depending on certain performance metrics being achieved.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10" w:lineRule="exact"/>
        <w:rPr>
          <w:sz w:val="20"/>
          <w:szCs w:val="20"/>
          <w:color w:val="auto"/>
        </w:rPr>
      </w:pPr>
    </w:p>
    <w:p>
      <w:pPr>
        <w:jc w:val="both"/>
        <w:ind w:right="100" w:firstLine="648"/>
        <w:spacing w:after="0" w:line="251" w:lineRule="auto"/>
        <w:rPr>
          <w:sz w:val="20"/>
          <w:szCs w:val="20"/>
          <w:color w:val="auto"/>
        </w:rPr>
      </w:pPr>
      <w:r>
        <w:rPr>
          <w:rFonts w:ascii="Times New Roman" w:cs="Times New Roman" w:eastAsia="Times New Roman" w:hAnsi="Times New Roman"/>
          <w:sz w:val="21"/>
          <w:szCs w:val="21"/>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stock-based on the then closing market price of REX common stock on the grant date. The Company’s</w:t>
      </w:r>
    </w:p>
    <w:p>
      <w:pPr>
        <w:ind w:right="120"/>
        <w:spacing w:after="0" w:line="201" w:lineRule="auto"/>
        <w:rPr>
          <w:sz w:val="20"/>
          <w:szCs w:val="20"/>
          <w:color w:val="auto"/>
        </w:rPr>
      </w:pPr>
      <w:r>
        <w:rPr>
          <w:rFonts w:ascii="Times New Roman" w:cs="Times New Roman" w:eastAsia="Times New Roman" w:hAnsi="Times New Roman"/>
          <w:sz w:val="22"/>
          <w:szCs w:val="22"/>
          <w:color w:val="auto"/>
        </w:rPr>
        <w:t>board of directors has determined that the grant date will be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or the next business day if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is not a business day, for all grants of restricted stock.</w:t>
      </w:r>
    </w:p>
    <w:p>
      <w:pPr>
        <w:spacing w:after="0" w:line="178"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Based on retirement eligibility provisions, a portion of restricted stock grants are expensed at grant date, based on grant date fair value, thus considered vested for accounting purposes. At July 31, 2024 and January 31, 2024, 20,046 shares and 21,778 shares were unvested for accounting purposes and unrecognized compensation cost related to these nonvested restricted stock awards was approximately $732,000 and $453,000, respectively, to be recognized over a weighted average vesting term of 2.3 years and 2.0 years,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summarize legally non-vested restricted stock award activity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20" w:type="dxa"/>
            <w:vAlign w:val="bottom"/>
          </w:tcPr>
          <w:p>
            <w:pPr>
              <w:spacing w:after="0"/>
              <w:rPr>
                <w:sz w:val="24"/>
                <w:szCs w:val="24"/>
                <w:color w:val="auto"/>
              </w:rPr>
            </w:pPr>
          </w:p>
        </w:tc>
        <w:tc>
          <w:tcPr>
            <w:tcW w:w="5280" w:type="dxa"/>
            <w:vAlign w:val="bottom"/>
            <w:gridSpan w:val="8"/>
          </w:tcPr>
          <w:p>
            <w:pPr>
              <w:ind w:left="1120"/>
              <w:spacing w:after="0"/>
              <w:rPr>
                <w:sz w:val="20"/>
                <w:szCs w:val="20"/>
                <w:color w:val="auto"/>
              </w:rPr>
            </w:pPr>
            <w:r>
              <w:rPr>
                <w:rFonts w:ascii="Times New Roman" w:cs="Times New Roman" w:eastAsia="Times New Roman" w:hAnsi="Times New Roman"/>
                <w:sz w:val="22"/>
                <w:szCs w:val="22"/>
                <w:b w:val="1"/>
                <w:bCs w:val="1"/>
                <w:color w:val="auto"/>
              </w:rPr>
              <w:t>Six Months Ended July 31, 2024</w:t>
            </w:r>
          </w:p>
        </w:tc>
        <w:tc>
          <w:tcPr>
            <w:tcW w:w="1140" w:type="dxa"/>
            <w:vAlign w:val="bottom"/>
          </w:tcPr>
          <w:p>
            <w:pPr>
              <w:spacing w:after="0"/>
              <w:rPr>
                <w:sz w:val="24"/>
                <w:szCs w:val="24"/>
                <w:color w:val="auto"/>
              </w:rPr>
            </w:pPr>
          </w:p>
        </w:tc>
      </w:tr>
      <w:tr>
        <w:trPr>
          <w:trHeight w:val="443"/>
        </w:trPr>
        <w:tc>
          <w:tcPr>
            <w:tcW w:w="4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8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140" w:type="dxa"/>
            <w:vAlign w:val="bottom"/>
          </w:tcPr>
          <w:p>
            <w:pPr>
              <w:spacing w:after="0"/>
              <w:rPr>
                <w:sz w:val="24"/>
                <w:szCs w:val="24"/>
                <w:color w:val="auto"/>
              </w:rPr>
            </w:pPr>
          </w:p>
        </w:tc>
      </w:tr>
      <w:tr>
        <w:trPr>
          <w:trHeight w:val="243"/>
        </w:trPr>
        <w:tc>
          <w:tcPr>
            <w:tcW w:w="4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08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1140" w:type="dxa"/>
            <w:vAlign w:val="bottom"/>
          </w:tcPr>
          <w:p>
            <w:pPr>
              <w:spacing w:after="0"/>
              <w:rPr>
                <w:sz w:val="21"/>
                <w:szCs w:val="21"/>
                <w:color w:val="auto"/>
              </w:rPr>
            </w:pPr>
          </w:p>
        </w:tc>
      </w:tr>
      <w:tr>
        <w:trPr>
          <w:trHeight w:val="243"/>
        </w:trPr>
        <w:tc>
          <w:tcPr>
            <w:tcW w:w="4820" w:type="dxa"/>
            <w:vAlign w:val="bottom"/>
          </w:tcPr>
          <w:p>
            <w:pPr>
              <w:spacing w:after="0"/>
              <w:rPr>
                <w:sz w:val="21"/>
                <w:szCs w:val="21"/>
                <w:color w:val="auto"/>
              </w:rPr>
            </w:pPr>
          </w:p>
        </w:tc>
        <w:tc>
          <w:tcPr>
            <w:tcW w:w="15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Non-Vested</w:t>
            </w: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80" w:type="dxa"/>
            <w:vAlign w:val="bottom"/>
          </w:tcPr>
          <w:p>
            <w:pPr>
              <w:spacing w:after="0"/>
              <w:rPr>
                <w:sz w:val="21"/>
                <w:szCs w:val="21"/>
                <w:color w:val="auto"/>
              </w:rPr>
            </w:pP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1140" w:type="dxa"/>
            <w:vAlign w:val="bottom"/>
          </w:tcPr>
          <w:p>
            <w:pPr>
              <w:spacing w:after="0"/>
              <w:rPr>
                <w:sz w:val="21"/>
                <w:szCs w:val="21"/>
                <w:color w:val="auto"/>
              </w:rPr>
            </w:pPr>
          </w:p>
        </w:tc>
      </w:tr>
      <w:tr>
        <w:trPr>
          <w:trHeight w:val="274"/>
        </w:trPr>
        <w:tc>
          <w:tcPr>
            <w:tcW w:w="4820" w:type="dxa"/>
            <w:vAlign w:val="bottom"/>
          </w:tcPr>
          <w:p>
            <w:pPr>
              <w:spacing w:after="0"/>
              <w:rPr>
                <w:sz w:val="23"/>
                <w:szCs w:val="23"/>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200" w:type="dxa"/>
            <w:vAlign w:val="bottom"/>
          </w:tcPr>
          <w:p>
            <w:pPr>
              <w:spacing w:after="0"/>
              <w:rPr>
                <w:sz w:val="23"/>
                <w:szCs w:val="2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80" w:type="dxa"/>
            <w:vAlign w:val="bottom"/>
          </w:tcPr>
          <w:p>
            <w:pPr>
              <w:spacing w:after="0"/>
              <w:rPr>
                <w:sz w:val="23"/>
                <w:szCs w:val="23"/>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1140" w:type="dxa"/>
            <w:vAlign w:val="bottom"/>
          </w:tcPr>
          <w:p>
            <w:pPr>
              <w:spacing w:after="0"/>
              <w:rPr>
                <w:sz w:val="23"/>
                <w:szCs w:val="23"/>
                <w:color w:val="auto"/>
              </w:rPr>
            </w:pPr>
          </w:p>
        </w:tc>
      </w:tr>
      <w:tr>
        <w:trPr>
          <w:trHeight w:val="237"/>
        </w:trPr>
        <w:tc>
          <w:tcPr>
            <w:tcW w:w="48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2024</w:t>
            </w:r>
          </w:p>
        </w:tc>
        <w:tc>
          <w:tcPr>
            <w:tcW w:w="1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162,855</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5,369</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63,407</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2,894</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Vested</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63,870</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2,073</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7"/>
        </w:trPr>
        <w:tc>
          <w:tcPr>
            <w:tcW w:w="48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July 31, 2024</w:t>
            </w:r>
          </w:p>
        </w:tc>
        <w:tc>
          <w:tcPr>
            <w:tcW w:w="1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162,392</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6,190</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4820" w:type="dxa"/>
            <w:vAlign w:val="bottom"/>
            <w:tcBorders>
              <w:top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4"/>
        </w:trPr>
        <w:tc>
          <w:tcPr>
            <w:tcW w:w="48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19</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482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2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8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20" w:type="dxa"/>
            <w:vAlign w:val="bottom"/>
          </w:tcPr>
          <w:p>
            <w:pPr>
              <w:spacing w:after="0"/>
              <w:rPr>
                <w:sz w:val="24"/>
                <w:szCs w:val="24"/>
                <w:color w:val="auto"/>
              </w:rPr>
            </w:pPr>
          </w:p>
        </w:tc>
        <w:tc>
          <w:tcPr>
            <w:tcW w:w="5280" w:type="dxa"/>
            <w:vAlign w:val="bottom"/>
            <w:gridSpan w:val="8"/>
          </w:tcPr>
          <w:p>
            <w:pPr>
              <w:ind w:left="1120"/>
              <w:spacing w:after="0"/>
              <w:rPr>
                <w:sz w:val="20"/>
                <w:szCs w:val="20"/>
                <w:color w:val="auto"/>
              </w:rPr>
            </w:pPr>
            <w:r>
              <w:rPr>
                <w:rFonts w:ascii="Times New Roman" w:cs="Times New Roman" w:eastAsia="Times New Roman" w:hAnsi="Times New Roman"/>
                <w:sz w:val="22"/>
                <w:szCs w:val="22"/>
                <w:b w:val="1"/>
                <w:bCs w:val="1"/>
                <w:color w:val="auto"/>
              </w:rPr>
              <w:t>Six Months Ended July 31, 2023</w:t>
            </w:r>
          </w:p>
        </w:tc>
        <w:tc>
          <w:tcPr>
            <w:tcW w:w="0" w:type="dxa"/>
            <w:vAlign w:val="bottom"/>
          </w:tcPr>
          <w:p>
            <w:pPr>
              <w:spacing w:after="0"/>
              <w:rPr>
                <w:sz w:val="1"/>
                <w:szCs w:val="1"/>
                <w:color w:val="auto"/>
              </w:rPr>
            </w:pPr>
          </w:p>
        </w:tc>
      </w:tr>
      <w:tr>
        <w:trPr>
          <w:trHeight w:val="443"/>
        </w:trPr>
        <w:tc>
          <w:tcPr>
            <w:tcW w:w="4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8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08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56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80" w:type="dxa"/>
            <w:vAlign w:val="bottom"/>
          </w:tcPr>
          <w:p>
            <w:pPr>
              <w:spacing w:after="0"/>
              <w:rPr>
                <w:sz w:val="21"/>
                <w:szCs w:val="21"/>
                <w:color w:val="auto"/>
              </w:rPr>
            </w:pP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74"/>
        </w:trPr>
        <w:tc>
          <w:tcPr>
            <w:tcW w:w="4820" w:type="dxa"/>
            <w:vAlign w:val="bottom"/>
          </w:tcPr>
          <w:p>
            <w:pPr>
              <w:spacing w:after="0"/>
              <w:rPr>
                <w:sz w:val="23"/>
                <w:szCs w:val="2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Shares</w:t>
            </w:r>
          </w:p>
        </w:tc>
        <w:tc>
          <w:tcPr>
            <w:tcW w:w="200" w:type="dxa"/>
            <w:vAlign w:val="bottom"/>
          </w:tcPr>
          <w:p>
            <w:pPr>
              <w:spacing w:after="0"/>
              <w:rPr>
                <w:sz w:val="23"/>
                <w:szCs w:val="2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80" w:type="dxa"/>
            <w:vAlign w:val="bottom"/>
          </w:tcPr>
          <w:p>
            <w:pPr>
              <w:spacing w:after="0"/>
              <w:rPr>
                <w:sz w:val="23"/>
                <w:szCs w:val="23"/>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2023</w:t>
            </w:r>
          </w:p>
        </w:tc>
        <w:tc>
          <w:tcPr>
            <w:tcW w:w="1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81,264</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113,726</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3,945</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Vested</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32,135</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896</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July 31, 2023</w:t>
            </w:r>
          </w:p>
        </w:tc>
        <w:tc>
          <w:tcPr>
            <w:tcW w:w="1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162,855</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5,369</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Restricted Stock Units (“RSUs”)</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The number of RSUs eligible to vest will be determined based on how the Company’s TSR compares to the TSR of companies that comprise the Russell 2000 Index during the performance period ending December 31, 2024. The number of RSUs eligible to vest ranges from zero percent to two hundred percent, depending on actual performance during the performance period.</w:t>
      </w:r>
    </w:p>
    <w:p>
      <w:pPr>
        <w:spacing w:after="0" w:line="18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approximately $0.3 million in each of the three-month periods ended July 31, 2024 and 2023. The Company recognized $0.5 million in each of the six-month periods ended July 31, 2024 and 2023. Unrecognized compensation cost related to the RSUs at July 31, 2024 and January 31, 2024, was approximately $0.4 million and $0.9 million, respectively, to be recognized over a weighted average vesting term of 5 months and 11 months, respectively.</w:t>
      </w:r>
    </w:p>
    <w:p>
      <w:pPr>
        <w:spacing w:after="0" w:line="180"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The Company determined there to be no dilutive impact on earnings per share for the first and second quarters of fiscal year 2023. For the three and six months periods ended July 31, 2024, we calculated the diluted weighted average shares as follows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80" w:type="dxa"/>
            <w:vAlign w:val="bottom"/>
          </w:tcPr>
          <w:p>
            <w:pPr>
              <w:spacing w:after="0"/>
              <w:rPr>
                <w:sz w:val="21"/>
                <w:szCs w:val="21"/>
                <w:color w:val="auto"/>
              </w:rPr>
            </w:pPr>
          </w:p>
        </w:tc>
        <w:tc>
          <w:tcPr>
            <w:tcW w:w="3620" w:type="dxa"/>
            <w:vAlign w:val="bottom"/>
            <w:gridSpan w:val="3"/>
          </w:tcPr>
          <w:p>
            <w:pPr>
              <w:jc w:val="center"/>
              <w:ind w:left="1052"/>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2100" w:type="dxa"/>
            <w:vAlign w:val="bottom"/>
            <w:gridSpan w:val="3"/>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74"/>
        </w:trPr>
        <w:tc>
          <w:tcPr>
            <w:tcW w:w="4380" w:type="dxa"/>
            <w:vAlign w:val="bottom"/>
          </w:tcPr>
          <w:p>
            <w:pPr>
              <w:spacing w:after="0"/>
              <w:rPr>
                <w:sz w:val="23"/>
                <w:szCs w:val="23"/>
                <w:color w:val="auto"/>
              </w:rPr>
            </w:pPr>
          </w:p>
        </w:tc>
        <w:tc>
          <w:tcPr>
            <w:tcW w:w="3620" w:type="dxa"/>
            <w:vAlign w:val="bottom"/>
            <w:gridSpan w:val="3"/>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7"/>
              </w:rPr>
              <w:t>July 31, 2024</w:t>
            </w:r>
          </w:p>
        </w:tc>
        <w:tc>
          <w:tcPr>
            <w:tcW w:w="2100" w:type="dxa"/>
            <w:vAlign w:val="bottom"/>
            <w:gridSpan w:val="3"/>
          </w:tcPr>
          <w:p>
            <w:pPr>
              <w:jc w:val="right"/>
              <w:ind w:right="380"/>
              <w:spacing w:after="0"/>
              <w:rPr>
                <w:sz w:val="20"/>
                <w:szCs w:val="20"/>
                <w:color w:val="auto"/>
              </w:rPr>
            </w:pPr>
            <w:r>
              <w:rPr>
                <w:rFonts w:ascii="Times New Roman" w:cs="Times New Roman" w:eastAsia="Times New Roman" w:hAnsi="Times New Roman"/>
                <w:sz w:val="22"/>
                <w:szCs w:val="22"/>
                <w:b w:val="1"/>
                <w:bCs w:val="1"/>
                <w:color w:val="auto"/>
              </w:rPr>
              <w:t>July 31, 2024</w:t>
            </w:r>
          </w:p>
        </w:tc>
      </w:tr>
      <w:tr>
        <w:trPr>
          <w:trHeight w:val="243"/>
        </w:trPr>
        <w:tc>
          <w:tcPr>
            <w:tcW w:w="43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Weighted average shares – basic</w:t>
            </w:r>
          </w:p>
        </w:tc>
        <w:tc>
          <w:tcPr>
            <w:tcW w:w="27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17,548</w:t>
            </w:r>
          </w:p>
        </w:tc>
        <w:tc>
          <w:tcPr>
            <w:tcW w:w="900" w:type="dxa"/>
            <w:vAlign w:val="bottom"/>
            <w:shd w:val="clear" w:color="auto" w:fill="E5FFFF"/>
          </w:tcPr>
          <w:p>
            <w:pPr>
              <w:spacing w:after="0"/>
              <w:rPr>
                <w:sz w:val="21"/>
                <w:szCs w:val="21"/>
                <w:color w:val="auto"/>
              </w:rPr>
            </w:pPr>
          </w:p>
        </w:tc>
        <w:tc>
          <w:tcPr>
            <w:tcW w:w="2100" w:type="dxa"/>
            <w:vAlign w:val="bottom"/>
            <w:gridSpan w:val="3"/>
            <w:shd w:val="clear" w:color="auto" w:fill="E5FFFF"/>
          </w:tcPr>
          <w:p>
            <w:pPr>
              <w:jc w:val="right"/>
              <w:ind w:right="700"/>
              <w:spacing w:after="0" w:line="243" w:lineRule="exact"/>
              <w:rPr>
                <w:sz w:val="20"/>
                <w:szCs w:val="20"/>
                <w:color w:val="auto"/>
              </w:rPr>
            </w:pPr>
            <w:r>
              <w:rPr>
                <w:rFonts w:ascii="Times New Roman" w:cs="Times New Roman" w:eastAsia="Times New Roman" w:hAnsi="Times New Roman"/>
                <w:sz w:val="22"/>
                <w:szCs w:val="22"/>
                <w:color w:val="auto"/>
              </w:rPr>
              <w:t>17,528</w:t>
            </w:r>
          </w:p>
        </w:tc>
      </w:tr>
      <w:tr>
        <w:trPr>
          <w:trHeight w:val="243"/>
        </w:trPr>
        <w:tc>
          <w:tcPr>
            <w:tcW w:w="4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Dilutive effect of RSUs</w:t>
            </w:r>
          </w:p>
        </w:tc>
        <w:tc>
          <w:tcPr>
            <w:tcW w:w="2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123</w:t>
            </w:r>
          </w:p>
        </w:tc>
        <w:tc>
          <w:tcPr>
            <w:tcW w:w="900" w:type="dxa"/>
            <w:vAlign w:val="bottom"/>
          </w:tcPr>
          <w:p>
            <w:pPr>
              <w:spacing w:after="0"/>
              <w:rPr>
                <w:sz w:val="21"/>
                <w:szCs w:val="21"/>
                <w:color w:val="auto"/>
              </w:rPr>
            </w:pPr>
          </w:p>
        </w:tc>
        <w:tc>
          <w:tcPr>
            <w:tcW w:w="2100" w:type="dxa"/>
            <w:vAlign w:val="bottom"/>
            <w:gridSpan w:val="3"/>
          </w:tcPr>
          <w:p>
            <w:pPr>
              <w:jc w:val="right"/>
              <w:ind w:right="700"/>
              <w:spacing w:after="0" w:line="243" w:lineRule="exact"/>
              <w:rPr>
                <w:sz w:val="20"/>
                <w:szCs w:val="20"/>
                <w:color w:val="auto"/>
              </w:rPr>
            </w:pPr>
            <w:r>
              <w:rPr>
                <w:rFonts w:ascii="Times New Roman" w:cs="Times New Roman" w:eastAsia="Times New Roman" w:hAnsi="Times New Roman"/>
                <w:sz w:val="22"/>
                <w:szCs w:val="22"/>
                <w:color w:val="auto"/>
              </w:rPr>
              <w:t>120</w:t>
            </w:r>
          </w:p>
        </w:tc>
      </w:tr>
      <w:tr>
        <w:trPr>
          <w:trHeight w:val="237"/>
        </w:trPr>
        <w:tc>
          <w:tcPr>
            <w:tcW w:w="438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Weighted average shares – diluted</w:t>
            </w:r>
          </w:p>
        </w:tc>
        <w:tc>
          <w:tcPr>
            <w:tcW w:w="2120" w:type="dxa"/>
            <w:vAlign w:val="bottom"/>
            <w:tcBorders>
              <w:top w:val="single" w:sz="8" w:color="E5FFFF"/>
              <w:bottom w:val="single" w:sz="8" w:color="E5FFFF"/>
            </w:tcBorders>
            <w:shd w:val="clear" w:color="auto" w:fill="E5FFFF"/>
          </w:tcPr>
          <w:p>
            <w:pPr>
              <w:spacing w:after="0"/>
              <w:rPr>
                <w:sz w:val="20"/>
                <w:szCs w:val="20"/>
                <w:color w:val="auto"/>
              </w:rPr>
            </w:pPr>
          </w:p>
        </w:tc>
        <w:tc>
          <w:tcPr>
            <w:tcW w:w="6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5"/>
              </w:rPr>
              <w:t>17,671</w:t>
            </w:r>
          </w:p>
        </w:tc>
        <w:tc>
          <w:tcPr>
            <w:tcW w:w="900" w:type="dxa"/>
            <w:vAlign w:val="bottom"/>
            <w:tcBorders>
              <w:top w:val="single" w:sz="8" w:color="E5FFFF"/>
              <w:bottom w:val="single" w:sz="8" w:color="E5FFFF"/>
            </w:tcBorders>
            <w:shd w:val="clear" w:color="auto" w:fill="E5FFFF"/>
          </w:tcPr>
          <w:p>
            <w:pPr>
              <w:spacing w:after="0"/>
              <w:rPr>
                <w:sz w:val="20"/>
                <w:szCs w:val="20"/>
                <w:color w:val="auto"/>
              </w:rPr>
            </w:pPr>
          </w:p>
        </w:tc>
        <w:tc>
          <w:tcPr>
            <w:tcW w:w="800" w:type="dxa"/>
            <w:vAlign w:val="bottom"/>
            <w:tcBorders>
              <w:top w:val="single" w:sz="8" w:color="E5FFFF"/>
              <w:bottom w:val="single" w:sz="8" w:color="E5FFFF"/>
            </w:tcBorders>
            <w:shd w:val="clear" w:color="auto" w:fill="E5FFFF"/>
          </w:tcPr>
          <w:p>
            <w:pPr>
              <w:spacing w:after="0"/>
              <w:rPr>
                <w:sz w:val="20"/>
                <w:szCs w:val="20"/>
                <w:color w:val="auto"/>
              </w:rPr>
            </w:pPr>
          </w:p>
        </w:tc>
        <w:tc>
          <w:tcPr>
            <w:tcW w:w="6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5"/>
              </w:rPr>
              <w:t>17,648</w:t>
            </w:r>
          </w:p>
        </w:tc>
        <w:tc>
          <w:tcPr>
            <w:tcW w:w="70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12"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Company’s income tax provision was approximately $4.5 million and $3.8 million for the three months ended July 31, 2024 and 2023, respectively. The Company’s income tax provision was approximately $8.2 million and $5.8 million for the six months ended July 31, 2024 and 2023, respectively.</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20" w:name="page21"/>
    <w:bookmarkEnd w:id="20"/>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180" w:lineRule="exact"/>
        <w:rPr>
          <w:sz w:val="20"/>
          <w:szCs w:val="20"/>
          <w:color w:val="auto"/>
        </w:rPr>
      </w:pPr>
    </w:p>
    <w:p>
      <w:pPr>
        <w:ind w:right="220" w:firstLine="648"/>
        <w:spacing w:after="0" w:line="238"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2022 related to refined coal production tax credits pursuant to IRC Section 45 and research and experimentation credits claimed during those years.</w:t>
      </w:r>
    </w:p>
    <w:p>
      <w:pPr>
        <w:spacing w:after="0" w:line="177" w:lineRule="exact"/>
        <w:rPr>
          <w:sz w:val="20"/>
          <w:szCs w:val="20"/>
          <w:color w:val="auto"/>
        </w:rPr>
      </w:pPr>
    </w:p>
    <w:p>
      <w:pPr>
        <w:ind w:right="300" w:firstLine="648"/>
        <w:spacing w:after="0" w:line="239"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A reconciliation of the beginning and ending amount of unrecognized tax benefits, including interest and penalties, is as follows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4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4"/>
        </w:trPr>
        <w:tc>
          <w:tcPr>
            <w:tcW w:w="4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60" w:type="dxa"/>
            <w:vAlign w:val="bottom"/>
          </w:tcPr>
          <w:p>
            <w:pPr>
              <w:spacing w:after="0"/>
              <w:rPr>
                <w:sz w:val="23"/>
                <w:szCs w:val="23"/>
                <w:color w:val="auto"/>
              </w:rPr>
            </w:pPr>
          </w:p>
        </w:tc>
      </w:tr>
      <w:tr>
        <w:trPr>
          <w:trHeight w:val="237"/>
        </w:trPr>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8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18,965</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19,088</w:t>
            </w:r>
          </w:p>
        </w:tc>
        <w:tc>
          <w:tcPr>
            <w:tcW w:w="60" w:type="dxa"/>
            <w:vAlign w:val="bottom"/>
            <w:shd w:val="clear" w:color="auto" w:fill="E5FFFF"/>
          </w:tcPr>
          <w:p>
            <w:pPr>
              <w:spacing w:after="0"/>
              <w:rPr>
                <w:sz w:val="21"/>
                <w:szCs w:val="2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2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c>
          <w:tcPr>
            <w:tcW w:w="60" w:type="dxa"/>
            <w:vAlign w:val="bottom"/>
          </w:tcPr>
          <w:p>
            <w:pPr>
              <w:spacing w:after="0"/>
              <w:rPr>
                <w:sz w:val="21"/>
                <w:szCs w:val="21"/>
                <w:color w:val="auto"/>
              </w:rPr>
            </w:pPr>
          </w:p>
        </w:tc>
      </w:tr>
      <w:tr>
        <w:trPr>
          <w:trHeight w:val="243"/>
        </w:trPr>
        <w:tc>
          <w:tcPr>
            <w:tcW w:w="4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Changes for current year tax positions</w:t>
            </w:r>
          </w:p>
        </w:tc>
        <w:tc>
          <w:tcPr>
            <w:tcW w:w="6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E5FFFF"/>
          </w:tcPr>
          <w:p>
            <w:pPr>
              <w:spacing w:after="0"/>
              <w:rPr>
                <w:sz w:val="21"/>
                <w:szCs w:val="21"/>
                <w:color w:val="auto"/>
              </w:rPr>
            </w:pPr>
          </w:p>
        </w:tc>
      </w:tr>
      <w:tr>
        <w:trPr>
          <w:trHeight w:val="237"/>
        </w:trPr>
        <w:tc>
          <w:tcPr>
            <w:tcW w:w="47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18,979</w:t>
            </w: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19,091</w:t>
            </w:r>
          </w:p>
        </w:tc>
        <w:tc>
          <w:tcPr>
            <w:tcW w:w="6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ind w:right="500" w:firstLine="648"/>
        <w:spacing w:after="0" w:line="244" w:lineRule="auto"/>
        <w:rPr>
          <w:sz w:val="20"/>
          <w:szCs w:val="20"/>
          <w:color w:val="auto"/>
        </w:rPr>
      </w:pPr>
      <w:r>
        <w:rPr>
          <w:rFonts w:ascii="Times New Roman" w:cs="Times New Roman" w:eastAsia="Times New Roman" w:hAnsi="Times New Roman"/>
          <w:sz w:val="22"/>
          <w:szCs w:val="22"/>
          <w:color w:val="auto"/>
        </w:rPr>
        <w:t>At July 31, 2024 and January 31, 2024, approximately $16.4 million of the unrecognized tax benefits balance was recorded on the accompanying Consolidated Balance Sheets within “Other assets”, $0.6 million was recorded within “Other long-term liabilities”, and $2.0 million was recorded within “Refundable income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There were no liabilities recorded at July 31, 2024 and January 31, 2024, as the Company did not believe that there was a probable and reasonably estimable loss associated with any legal contingencies.</w:t>
      </w:r>
    </w:p>
    <w:p>
      <w:pPr>
        <w:spacing w:after="0" w:line="17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At July 31, 2024, One Earth and NuGen had combined forward purchase contracts for approximately 15.0 million bushels of corn, the principal raw material for their ethanol plants, and they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have combined forward purchase contracts for approximately 2.0 million MmBtu (million British thermal unit) of natural gas.</w:t>
      </w:r>
    </w:p>
    <w:p>
      <w:pPr>
        <w:spacing w:after="0" w:line="206"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At July 31, 2024, One Earth and NuGen had combined sales commitments for approximately 59.4 million gallons of ethanol, approximately 102,600 tons of distillers grains and approximately 8.9 million pounds of distillers corn oil.</w:t>
      </w:r>
    </w:p>
    <w:p>
      <w:pPr>
        <w:spacing w:after="0" w:line="158"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At July 31, 2024, One Earth had signed non-cancelable contracts for capital projects with approximately $17.8 million remaining in future payments, of which $5.3 million is related to One Earth’s carbon sequestration project and $12.5 million relates to its planned plant expansion.</w:t>
      </w:r>
    </w:p>
    <w:p>
      <w:pPr>
        <w:spacing w:after="0" w:line="173"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21"/>
          <w:szCs w:val="21"/>
          <w:color w:val="auto"/>
        </w:rPr>
        <w:t>At July 31, 2024, One Earth had a facilities rental agreement with a utility provider that has been executed and is scheduled to commence in early 2025. The remaining future payments are estimated to be approximately $4.7 million. The facility will service both the One Earth Energy ethanol plant and the planned carbon sequestration compression facility.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During the second quarters of fiscal years 2024 and 2023, One Earth and NuGen purchased approximately $28.3 million and $26.4 million, respectively, of corn (and other supplies) from minority equity investors and board members of those affiliates. Such purchases totaled approximately $59.0 million and $59.9 million for the six months ended July 31, 2024 and 2023, respectively. The Company had amounts payable to related parties of approximately $1.0 million and $5.8 million at July 31, 2024 and January 31, 2024,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w:t>
      </w:r>
      <w:r>
        <w:rPr>
          <w:rFonts w:ascii="Times New Roman" w:cs="Times New Roman" w:eastAsia="Times New Roman" w:hAnsi="Times New Roman"/>
          <w:sz w:val="22"/>
          <w:szCs w:val="22"/>
          <w:b w:val="1"/>
          <w:bCs w:val="1"/>
          <w:i w:val="1"/>
          <w:iCs w:val="1"/>
          <w:color w:val="auto"/>
        </w:rPr>
        <w:t>Subsequent Event</w:t>
      </w:r>
    </w:p>
    <w:p>
      <w:pPr>
        <w:spacing w:after="0" w:line="212"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On August 1, 2024, the Company, through its consolidated subsidiary, One Earth Sequestration, LLC, entered into a 5-month consulting agreement totaling $75,000 with Highstake 35 LLC dba Mercury Public Affairs, of which Cheryl Bustos, a director of the Company, is a partner. We have included a copy of the contract as Exhibit 10 to this Quarterly Report on Form 10-Q.</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1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At July 31, 2024, we had investments in three ethanol limited liability companies, in two of which we have a majority ownership interest. The following table is a summary of ethanol entity ownership interests at July 31, 2024:</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580" w:type="dxa"/>
            <w:vAlign w:val="bottom"/>
            <w:tcBorders>
              <w:top w:val="single" w:sz="8" w:color="auto"/>
              <w:left w:val="single" w:sz="8" w:color="auto"/>
              <w:right w:val="single" w:sz="8" w:color="auto"/>
            </w:tcBorders>
          </w:tcPr>
          <w:p>
            <w:pPr>
              <w:spacing w:after="0"/>
              <w:rPr>
                <w:sz w:val="19"/>
                <w:szCs w:val="19"/>
                <w:color w:val="auto"/>
              </w:rPr>
            </w:pPr>
          </w:p>
        </w:tc>
        <w:tc>
          <w:tcPr>
            <w:tcW w:w="2540" w:type="dxa"/>
            <w:vAlign w:val="bottom"/>
            <w:tcBorders>
              <w:top w:val="single" w:sz="8" w:color="auto"/>
              <w:right w:val="single" w:sz="8" w:color="auto"/>
            </w:tcBorders>
          </w:tcPr>
          <w:p>
            <w:pPr>
              <w:spacing w:after="0"/>
              <w:rPr>
                <w:sz w:val="19"/>
                <w:szCs w:val="19"/>
                <w:color w:val="auto"/>
              </w:rPr>
            </w:pPr>
          </w:p>
        </w:tc>
        <w:tc>
          <w:tcPr>
            <w:tcW w:w="2560" w:type="dxa"/>
            <w:vAlign w:val="bottom"/>
            <w:tcBorders>
              <w:top w:val="single" w:sz="8" w:color="auto"/>
              <w:right w:val="single" w:sz="8" w:color="auto"/>
            </w:tcBorders>
          </w:tcPr>
          <w:p>
            <w:pPr>
              <w:jc w:val="right"/>
              <w:ind w:right="51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r>
      <w:tr>
        <w:trPr>
          <w:trHeight w:val="274"/>
        </w:trPr>
        <w:tc>
          <w:tcPr>
            <w:tcW w:w="5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540" w:type="dxa"/>
            <w:vAlign w:val="bottom"/>
            <w:tcBorders>
              <w:bottom w:val="single" w:sz="8" w:color="auto"/>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Location</w:t>
            </w:r>
          </w:p>
        </w:tc>
        <w:tc>
          <w:tcPr>
            <w:tcW w:w="256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Ownership Interest</w:t>
            </w:r>
          </w:p>
        </w:tc>
      </w:tr>
      <w:tr>
        <w:trPr>
          <w:trHeight w:val="236"/>
        </w:trPr>
        <w:tc>
          <w:tcPr>
            <w:tcW w:w="55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5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Gibson City, IL</w:t>
            </w:r>
          </w:p>
        </w:tc>
        <w:tc>
          <w:tcPr>
            <w:tcW w:w="25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75.9%</w:t>
            </w:r>
          </w:p>
        </w:tc>
      </w:tr>
      <w:tr>
        <w:trPr>
          <w:trHeight w:val="237"/>
        </w:trPr>
        <w:tc>
          <w:tcPr>
            <w:tcW w:w="55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5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Marion, SD</w:t>
            </w:r>
          </w:p>
        </w:tc>
        <w:tc>
          <w:tcPr>
            <w:tcW w:w="25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55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54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43"/>
        </w:trPr>
        <w:tc>
          <w:tcPr>
            <w:tcW w:w="55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5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 Burlington, IA</w:t>
            </w:r>
          </w:p>
        </w:tc>
        <w:tc>
          <w:tcPr>
            <w:tcW w:w="256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5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5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Galva, IL</w:t>
            </w:r>
          </w:p>
        </w:tc>
        <w:tc>
          <w:tcPr>
            <w:tcW w:w="256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5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5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Dyersville, IA</w:t>
            </w:r>
          </w:p>
        </w:tc>
        <w:tc>
          <w:tcPr>
            <w:tcW w:w="256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558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Boyceville, WI</w:t>
            </w:r>
          </w:p>
        </w:tc>
        <w:tc>
          <w:tcPr>
            <w:tcW w:w="2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w:t>
            </w:r>
          </w:p>
        </w:tc>
      </w:tr>
    </w:tbl>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and the results thereof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1"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21"/>
          <w:szCs w:val="21"/>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0" w:right="359" w:bottom="1440" w:gutter="0" w:footer="0" w:header="0"/>
        </w:sectPr>
      </w:pPr>
    </w:p>
    <w:bookmarkStart w:id="23" w:name="page24"/>
    <w:bookmarkEnd w:id="23"/>
    <w:p>
      <w:pPr>
        <w:ind w:right="100"/>
        <w:spacing w:after="0" w:line="235" w:lineRule="auto"/>
        <w:rPr>
          <w:sz w:val="20"/>
          <w:szCs w:val="20"/>
          <w:color w:val="auto"/>
        </w:rPr>
      </w:pPr>
      <w:r>
        <w:rPr>
          <w:rFonts w:ascii="Times New Roman" w:cs="Times New Roman" w:eastAsia="Times New Roman" w:hAnsi="Times New Roman"/>
          <w:sz w:val="22"/>
          <w:szCs w:val="22"/>
          <w:color w:val="auto"/>
        </w:rPr>
        <w:t>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corn procurement activities and commodity marketing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1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Through our affiliate, One Earth Energy, LLC, we are in the developmental stage of a carbon sequestration project near the One Earth Energy ethanol plant in Gibson City, IL.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In October 2022, we applied for a Class VI injection well permit for three wells with the U.S. Environmental Protection Agency (“EPA”) and we continue to provide information to the EPA during the technical review of our application upon request. We currently expect the EPA to prepare a draft permit by calender year end 2024 and make a final permit decision by the second quarter of 2025, according to the EPA’s Class VI Permit Tracker Dashboard on their website. We have now secured sufficient subsurface easements for the proposed first injection well to allow for sequestration of all the carbon emissions from the One Earth Energy ethanol plant for a minimum of 15 years. We also need to obtain a county special-use zoning permit for the sequestration site. Last year, we began construction of a facility to capture, dehydrate, and compress carbon dioxide from the One Earth Energy ethanol plant to a state suitable for sequestration. We are nearing the completion of construction of the capture and compression facility. The start of testing the facility is dependent on the completion of the electric interconnection from our local utility, expected in the first quarter of fiscal year 2025.</w:t>
      </w:r>
    </w:p>
    <w:p>
      <w:pPr>
        <w:spacing w:after="0" w:line="177"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1"/>
          <w:szCs w:val="21"/>
          <w:color w:val="auto"/>
        </w:rPr>
        <w:t>In October 2023, we submitted an application to the Illinois Commerce Commission (“ICC”) for a certificate of authority under the state’s Carbon Dioxide Transportation and Sequestration Act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Act”) to build a short pipeline to deliver carbon</w:t>
      </w:r>
    </w:p>
    <w:p>
      <w:pPr>
        <w:ind w:right="80"/>
        <w:spacing w:after="0" w:line="224" w:lineRule="auto"/>
        <w:rPr>
          <w:sz w:val="20"/>
          <w:szCs w:val="20"/>
          <w:color w:val="auto"/>
        </w:rPr>
      </w:pPr>
      <w:r>
        <w:rPr>
          <w:rFonts w:ascii="Times New Roman" w:cs="Times New Roman" w:eastAsia="Times New Roman" w:hAnsi="Times New Roman"/>
          <w:sz w:val="21"/>
          <w:szCs w:val="21"/>
          <w:color w:val="auto"/>
        </w:rPr>
        <w:t>dioxide from the One Earth Energy ethanol plant to the proposed sequestration site. We also have obtained easements from all of the necessary landowners for the use of their land for the pipeline for the first two wells. On May 26, 2024, however, the Illinois General Assembly passed the Safety and Aid for the Environment in Carbon Capture and Sequestration Act (Senate Bill 1289), which was signed by the governor in July 2024. The new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34"/>
          <w:szCs w:val="34"/>
          <w:color w:val="auto"/>
          <w:vertAlign w:val="subscript"/>
        </w:rPr>
        <w:t>2</w:t>
      </w:r>
    </w:p>
    <w:p>
      <w:pPr>
        <w:spacing w:after="0" w:line="3" w:lineRule="exact"/>
        <w:rPr>
          <w:sz w:val="20"/>
          <w:szCs w:val="20"/>
          <w:color w:val="auto"/>
        </w:rPr>
      </w:pPr>
    </w:p>
    <w:p>
      <w:pPr>
        <w:ind w:right="140"/>
        <w:spacing w:after="0" w:line="204" w:lineRule="auto"/>
        <w:rPr>
          <w:sz w:val="20"/>
          <w:szCs w:val="20"/>
          <w:color w:val="auto"/>
        </w:rPr>
      </w:pPr>
      <w:r>
        <w:rPr>
          <w:rFonts w:ascii="Times New Roman" w:cs="Times New Roman" w:eastAsia="Times New Roman" w:hAnsi="Times New Roman"/>
          <w:sz w:val="21"/>
          <w:szCs w:val="21"/>
          <w:color w:val="auto"/>
        </w:rPr>
        <w:t>pipelines. Further, the new legislation imposes a moratorium on the issuance of new certificates of authority for the construction of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until the earlier of the date proposed federal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 safety standards are finalized by the Pipeline and</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Hazardous Materials Safety Administration (PHMSA) or, subject to certain other conditions, July 1, 2026. As a result of this legislation, the ICC dismissed our application without prejudice, and we will be required to resubmit an application after rules are finalized or subsequent to July 1, 2026.</w:t>
      </w:r>
    </w:p>
    <w:p>
      <w:pPr>
        <w:spacing w:after="0" w:line="17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Energy, we continue to work with the various government agencies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involved to obtain all required permits and approvals, with no assurance of the ultimate success or timing of the project.</w:t>
      </w: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We also are concurrently expanding the One Earth ethanol plant. We received a permit from the EPA to increase production from 150 million gallons of ethanol per year to 175 million gallons of ethanol per year. Once we achieve that level of production, planned for the first quarter of fiscal 2025, we intend to apply for another permit to further increase production to 200 million gallon per year.</w:t>
      </w:r>
    </w:p>
    <w:p>
      <w:pPr>
        <w:spacing w:after="0" w:line="18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We continue to work to identify ways to reduce our carbon intensity (“CI”) score at the One Earth plant with the intention to maximize tax credits available under the Inflation Reduction Act, which created a new Clean Fuel Production Credit under 45Z of the Internal Revenue Code (“45Z”), available for calendar years 2025 – 2027, of approximately $0.02 per ethanol gallon per CI point reduction below a 50 CI point threshold to incentive further increases in plant efficiencies within the industry. The U.S. Department of the Treasury has not yet issued final rules on qualification for 45Z tax credits.</w:t>
      </w:r>
    </w:p>
    <w:p>
      <w:pPr>
        <w:spacing w:after="0" w:line="17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We expect the total cost of these projects to be approximately $165-175 million, which we currently plan to pay from our available cash. As of July 31, 2024, we have spent $49.1 million life-to-date and are contractually committed to spend an additional $5.3 million toward the carbon sequestration project. If the carbon sequestration project is successful, we believe we will qualify for tax credits under section 45Q of the Internal Revenue Code (“45Q”) and section 45Z of the Internal Revenue Code, as outlined in the Inflation Reduction Act. As of July 31, 2024, we have spent $41.7 million life-to-date and are contractually committed to spend an additional $12.5 million at the One Earth plant toward plant capacity expansion and ongoing efforts to reduce our CI scoring.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10"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 The federal production tax credits received through ownership of this facility remain under IRS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July 31, 2024, we did not change any of our critical accounting policies as disclosed in our 2023 Annual Report on Form 10-K as filed with the Securities and Exchange Commission on March 29, 2024.</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10"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2024” means the period February 1, 2024 to January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10"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Renewable Fuel Standard II (“RFS II”), established in October 2010, has been an important factor in the growth of ethanol usage in the United States. In recent years,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with the EPA to issue volume obligations in those subsequent years. The EPA also has the authority to waive the biofuel mandate, in whole or in part, if there is inadequate domestic renewable fuel supply or the requirement severely harms the domestic economy or environment.</w:t>
      </w:r>
    </w:p>
    <w:p>
      <w:pPr>
        <w:spacing w:after="0" w:line="183"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In addition, under RFS II, a small refiner that processes less than 75,000 barrels of oil per day can petition the EPA for a waiver of their obligation to submit renewable identification numbers (“RINs”). The EPA, through consultation with the Department of Energy and the U.S. Department of Agriculture (“USDA”), can grant the refiner a full or partial waiver, or deny the waiver petition. The EPA issued 88 small refinery exemptions (“SREs”) for the 2016-2018 compliance years, undercutting the statutory renewable fuel volumes by a total of 4.3 billion gallons. The EPA did not grant any small refinery waivers for 2019-2022 and has continued that stance in the proposed volumes for 2023-2025. There remain multiple ongoing legal challenges on how the EPA has handled the small refinery waivers. On November 22, 2023, the Fifth U.S. Circuit Court of Appeals (the “Court”) ruled against the EPA on six SREs the EPA had previously denied. The Court remanded those six petitions back to the EPA, and each refinery will continue to operate under temporary SREs previously offered to them by the Court. In July 2024, the U.S. Court of Appeals for the District of Columbia Circuit vacated many of the EPA’s 2022 SRE denials. The Court consolidated 40 challenges, two of which were denied, while the remaining 38 were vacated and remanded back to the EPA. In total, there are 48 pending SREs not yet ruled upon by the EPA for various years.</w:t>
      </w:r>
    </w:p>
    <w:p>
      <w:pPr>
        <w:spacing w:after="0" w:line="18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The EPA has issued Renewable Fuel Standard volume obligations for calendar years 2023-2025 for conventional biofuels (which includes corn-based ethanol) of 15.0 billion gallons for each year. Additionally, for 2023, the EPA restored 250 million gallons previously waived.</w:t>
      </w:r>
    </w:p>
    <w:p>
      <w:pPr>
        <w:spacing w:after="0" w:line="17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Inflation Reduction Act of 2022 will likely impact our business by creating a new Clean Fuel Production Credit, section 45Z of the Internal Revenue Code (“45Z”), available for the years 2025 to 2027. The Clean Fuel Production Credit is approximately $0.02 per ethanol gallon per CI point reduction below a 50 CI point threshold. The Act also raises the carbon capture tax credit from $50 per metric ton to $85 per metric ton under section 45Q. Taxpayers may elect to be treated as making a payment against tax for 100% of the value of the 45Q credit (“direct pay”) for the first five years, starting with the year a qualifying</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26" w:name="page27"/>
    <w:bookmarkEnd w:id="26"/>
    <w:p>
      <w:pPr>
        <w:ind w:right="20"/>
        <w:spacing w:after="0" w:line="235" w:lineRule="auto"/>
        <w:rPr>
          <w:sz w:val="20"/>
          <w:szCs w:val="20"/>
          <w:color w:val="auto"/>
        </w:rPr>
      </w:pPr>
      <w:r>
        <w:rPr>
          <w:rFonts w:ascii="Times New Roman" w:cs="Times New Roman" w:eastAsia="Times New Roman" w:hAnsi="Times New Roman"/>
          <w:sz w:val="22"/>
          <w:szCs w:val="22"/>
          <w:color w:val="auto"/>
        </w:rPr>
        <w:t>carbon sequestration facility is placed in service, but not beyond December 31, 2032. Companies may elect either the 45Q credit or the 45Z credit in periods in which both tax credits are available. Other potential impacts include (a) extending the biodiesel tax credit, which could impact the value of our renewable corn oil, as this co-product serves as a low-carbon feedstock for renewable diesel and biomass based diesel production; (b) creating a new tax credit for sustainable aviation fuel (“SAF”); (c) funding biofuel refueling infrastructure which could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w:t>
      </w:r>
    </w:p>
    <w:p>
      <w:pPr>
        <w:spacing w:after="0" w:line="18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 April 2024, the U.S Department of the Treasury and the IRS released updated guidance which included an updated GREET lifecycle model for the section 40B SAF tax credit. This model provides a pathway for U.S. corn-based ethanol to be considered a qualifying feedstock for SAF if certain measures are taken to lower carbon intensity of production. GREET, or Greenhouse gases, Regulated Emissions, and Energy use in Technologies, is used as a model to calculate greenhouse gas (“GHG”) reductions. The GREET model aims to provide a comprehensive assessment of the environmental impact of aviation fuels focusing on reducing GHG emissions through the entire lifecycle of the fuel, including through carbon capture and certain climate-smart agricultural (“CSA) practices. CSA practices for corn production must include no-till farming, planting cover crops and using enhanced efficiency nitrogen fertilizers. The section 40B credit expires on December 31, 2024 and is to be replaced by the 45Z tax credit. A new 45Z-GREET model has not yet been developed by the U.S. Department of the Treasury but will likely require further modeling, data assumptions, and verification.</w:t>
      </w:r>
    </w:p>
    <w:p>
      <w:pPr>
        <w:spacing w:after="0" w:line="17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Additionally, see “One Earth Energy, LLC Carbon Sequestration and Plant Expansion” above for a discussion of certain uncertainties associated with our Illinois carbon sequestration and plant expansion project.</w:t>
      </w:r>
    </w:p>
    <w:p>
      <w:pPr>
        <w:spacing w:after="0" w:line="158" w:lineRule="exact"/>
        <w:rPr>
          <w:sz w:val="20"/>
          <w:szCs w:val="20"/>
          <w:color w:val="auto"/>
        </w:rPr>
      </w:pPr>
    </w:p>
    <w:p>
      <w:pPr>
        <w:jc w:val="center"/>
        <w:ind w:left="540" w:right="440"/>
        <w:spacing w:after="0" w:line="437" w:lineRule="auto"/>
        <w:rPr>
          <w:sz w:val="20"/>
          <w:szCs w:val="20"/>
          <w:color w:val="auto"/>
        </w:rPr>
      </w:pPr>
      <w:r>
        <w:rPr>
          <w:rFonts w:ascii="Times New Roman" w:cs="Times New Roman" w:eastAsia="Times New Roman" w:hAnsi="Times New Roman"/>
          <w:sz w:val="22"/>
          <w:szCs w:val="22"/>
          <w:color w:val="auto"/>
        </w:rPr>
        <w:t>Should any of the trends and uncertainties mentioned above continue, our future operating results could be impacted.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86"/>
        </w:trPr>
        <w:tc>
          <w:tcPr>
            <w:tcW w:w="64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w w:val="99"/>
              </w:rPr>
              <w:t>Comparison of Three and Six Months Ended July 31, 2024 and 2023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40" w:type="dxa"/>
            <w:vAlign w:val="bottom"/>
            <w:gridSpan w:val="8"/>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6"/>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4"/>
                <w:szCs w:val="24"/>
                <w:color w:val="auto"/>
              </w:rPr>
            </w:pPr>
          </w:p>
        </w:tc>
        <w:tc>
          <w:tcPr>
            <w:tcW w:w="2740" w:type="dxa"/>
            <w:vAlign w:val="bottom"/>
            <w:gridSpan w:val="7"/>
          </w:tcPr>
          <w:p>
            <w:pPr>
              <w:ind w:left="34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4"/>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4"/>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148,155</w:t>
            </w:r>
          </w:p>
        </w:tc>
        <w:tc>
          <w:tcPr>
            <w:tcW w:w="32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211,977</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309,386</w:t>
            </w:r>
          </w:p>
        </w:tc>
        <w:tc>
          <w:tcPr>
            <w:tcW w:w="42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424,691</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128,382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193,625</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275,162</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396,173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4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Gross profit</w:t>
            </w:r>
          </w:p>
        </w:tc>
        <w:tc>
          <w:tcPr>
            <w:tcW w:w="260" w:type="dxa"/>
            <w:vAlign w:val="bottom"/>
            <w:tcBorders>
              <w:top w:val="single" w:sz="8" w:color="auto"/>
              <w:bottom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19,773</w:t>
            </w:r>
          </w:p>
        </w:tc>
        <w:tc>
          <w:tcPr>
            <w:tcW w:w="32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260" w:type="dxa"/>
            <w:vAlign w:val="bottom"/>
            <w:tcBorders>
              <w:top w:val="single" w:sz="8" w:color="auto"/>
              <w:bottom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18,352</w:t>
            </w:r>
          </w:p>
        </w:tc>
        <w:tc>
          <w:tcPr>
            <w:tcW w:w="420" w:type="dxa"/>
            <w:vAlign w:val="bottom"/>
            <w:tcBorders>
              <w:top w:val="single" w:sz="8" w:color="E5FFFF"/>
              <w:bottom w:val="single" w:sz="8" w:color="E5FFFF"/>
            </w:tcBorders>
            <w:shd w:val="clear" w:color="auto" w:fill="E5FFFF"/>
          </w:tcPr>
          <w:p>
            <w:pPr>
              <w:spacing w:after="0"/>
              <w:rPr>
                <w:sz w:val="20"/>
                <w:szCs w:val="20"/>
                <w:color w:val="auto"/>
              </w:rPr>
            </w:pPr>
          </w:p>
        </w:tc>
        <w:tc>
          <w:tcPr>
            <w:tcW w:w="260" w:type="dxa"/>
            <w:vAlign w:val="bottom"/>
            <w:tcBorders>
              <w:top w:val="single" w:sz="8" w:color="auto"/>
              <w:bottom w:val="single" w:sz="8" w:color="auto"/>
            </w:tcBorders>
            <w:shd w:val="clear" w:color="auto" w:fill="E5FF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34,224</w:t>
            </w:r>
          </w:p>
        </w:tc>
        <w:tc>
          <w:tcPr>
            <w:tcW w:w="420" w:type="dxa"/>
            <w:vAlign w:val="bottom"/>
            <w:tcBorders>
              <w:top w:val="single" w:sz="8" w:color="E5FFFF"/>
              <w:bottom w:val="single" w:sz="8" w:color="E5FFFF"/>
            </w:tcBorders>
            <w:shd w:val="clear" w:color="auto" w:fill="E5FFFF"/>
          </w:tcPr>
          <w:p>
            <w:pPr>
              <w:spacing w:after="0"/>
              <w:rPr>
                <w:sz w:val="20"/>
                <w:szCs w:val="20"/>
                <w:color w:val="auto"/>
              </w:rPr>
            </w:pP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260" w:type="dxa"/>
            <w:vAlign w:val="bottom"/>
            <w:tcBorders>
              <w:top w:val="single" w:sz="8" w:color="auto"/>
              <w:bottom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28,518</w:t>
            </w: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19,496</w:t>
            </w:r>
          </w:p>
        </w:tc>
        <w:tc>
          <w:tcPr>
            <w:tcW w:w="320" w:type="dxa"/>
            <w:vAlign w:val="bottom"/>
          </w:tcPr>
          <w:p>
            <w:pPr>
              <w:spacing w:after="0"/>
              <w:rPr>
                <w:sz w:val="24"/>
                <w:szCs w:val="24"/>
                <w:color w:val="auto"/>
              </w:rPr>
            </w:pP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16,052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35,459</w:t>
            </w:r>
          </w:p>
        </w:tc>
        <w:tc>
          <w:tcPr>
            <w:tcW w:w="420" w:type="dxa"/>
            <w:vAlign w:val="bottom"/>
          </w:tcPr>
          <w:p>
            <w:pPr>
              <w:spacing w:after="0"/>
              <w:rPr>
                <w:sz w:val="24"/>
                <w:szCs w:val="24"/>
                <w:color w:val="auto"/>
              </w:rPr>
            </w:pP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24,740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Provision for income taxes</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(4,489)</w:t>
            </w:r>
          </w:p>
        </w:tc>
        <w:tc>
          <w:tcPr>
            <w:tcW w:w="32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(3,768)</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(8,179)</w:t>
            </w:r>
          </w:p>
        </w:tc>
        <w:tc>
          <w:tcPr>
            <w:tcW w:w="42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(5,756)</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40" w:type="dxa"/>
            <w:vAlign w:val="bottom"/>
            <w:vMerge w:val="continue"/>
          </w:tcPr>
          <w:p>
            <w:pPr>
              <w:spacing w:after="0"/>
              <w:rPr>
                <w:sz w:val="24"/>
                <w:szCs w:val="24"/>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12,378</w:t>
            </w:r>
          </w:p>
        </w:tc>
        <w:tc>
          <w:tcPr>
            <w:tcW w:w="320" w:type="dxa"/>
            <w:vAlign w:val="bottom"/>
          </w:tcPr>
          <w:p>
            <w:pPr>
              <w:spacing w:after="0"/>
              <w:rPr>
                <w:sz w:val="24"/>
                <w:szCs w:val="24"/>
                <w:color w:val="auto"/>
              </w:rPr>
            </w:pPr>
          </w:p>
        </w:tc>
        <w:tc>
          <w:tcPr>
            <w:tcW w:w="40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22"/>
                <w:szCs w:val="22"/>
                <w:color w:val="auto"/>
              </w:rPr>
              <w:t>9,055</w:t>
            </w: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22,569</w:t>
            </w:r>
          </w:p>
        </w:tc>
        <w:tc>
          <w:tcPr>
            <w:tcW w:w="420" w:type="dxa"/>
            <w:vAlign w:val="bottom"/>
          </w:tcPr>
          <w:p>
            <w:pPr>
              <w:spacing w:after="0"/>
              <w:rPr>
                <w:sz w:val="24"/>
                <w:szCs w:val="24"/>
                <w:color w:val="auto"/>
              </w:rPr>
            </w:pPr>
          </w:p>
        </w:tc>
        <w:tc>
          <w:tcPr>
            <w:tcW w:w="28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14,291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shareholders</w:t>
            </w:r>
          </w:p>
        </w:tc>
        <w:tc>
          <w:tcPr>
            <w:tcW w:w="2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4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3"/>
                <w:szCs w:val="23"/>
                <w:color w:val="auto"/>
              </w:rPr>
            </w:pPr>
          </w:p>
        </w:tc>
      </w:tr>
      <w:tr>
        <w:trPr>
          <w:trHeight w:val="236"/>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116,100</w:t>
            </w:r>
          </w:p>
        </w:tc>
        <w:tc>
          <w:tcPr>
            <w:tcW w:w="72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167,519</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235,527</w:t>
            </w:r>
          </w:p>
        </w:tc>
        <w:tc>
          <w:tcPr>
            <w:tcW w:w="70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325,798</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21,847</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31,943</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52,533</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71,649</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8,578</w:t>
            </w: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11,419</w:t>
            </w: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18,384</w:t>
            </w: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24,500</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1,090</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2,656</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 (losses)</w:t>
            </w: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429</w:t>
            </w: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436</w:t>
            </w: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186</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36"/>
        </w:trPr>
        <w:tc>
          <w:tcPr>
            <w:tcW w:w="484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260" w:type="dxa"/>
            <w:vAlign w:val="bottom"/>
            <w:tcBorders>
              <w:top w:val="single" w:sz="8" w:color="auto"/>
              <w:bottom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148,155</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260" w:type="dxa"/>
            <w:vAlign w:val="bottom"/>
            <w:tcBorders>
              <w:top w:val="single" w:sz="8" w:color="auto"/>
              <w:bottom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211,977</w:t>
            </w:r>
          </w:p>
        </w:tc>
        <w:tc>
          <w:tcPr>
            <w:tcW w:w="420" w:type="dxa"/>
            <w:vAlign w:val="bottom"/>
            <w:tcBorders>
              <w:top w:val="single" w:sz="8" w:color="E5FFFF"/>
              <w:bottom w:val="single" w:sz="8" w:color="E5FFFF"/>
            </w:tcBorders>
            <w:shd w:val="clear" w:color="auto" w:fill="E5FFFF"/>
          </w:tcPr>
          <w:p>
            <w:pPr>
              <w:spacing w:after="0"/>
              <w:rPr>
                <w:sz w:val="20"/>
                <w:szCs w:val="20"/>
                <w:color w:val="auto"/>
              </w:rPr>
            </w:pPr>
          </w:p>
        </w:tc>
        <w:tc>
          <w:tcPr>
            <w:tcW w:w="260" w:type="dxa"/>
            <w:vAlign w:val="bottom"/>
            <w:tcBorders>
              <w:top w:val="single" w:sz="8" w:color="auto"/>
              <w:bottom w:val="single" w:sz="8" w:color="auto"/>
            </w:tcBorders>
            <w:shd w:val="clear" w:color="auto" w:fill="E5FF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309,386</w:t>
            </w:r>
          </w:p>
        </w:tc>
        <w:tc>
          <w:tcPr>
            <w:tcW w:w="420" w:type="dxa"/>
            <w:vAlign w:val="bottom"/>
            <w:tcBorders>
              <w:top w:val="single" w:sz="8" w:color="E5FFFF"/>
              <w:bottom w:val="single" w:sz="8" w:color="E5FFFF"/>
            </w:tcBorders>
            <w:shd w:val="clear" w:color="auto" w:fill="E5FFFF"/>
          </w:tcPr>
          <w:p>
            <w:pPr>
              <w:spacing w:after="0"/>
              <w:rPr>
                <w:sz w:val="20"/>
                <w:szCs w:val="20"/>
                <w:color w:val="auto"/>
              </w:rPr>
            </w:pPr>
          </w:p>
        </w:tc>
        <w:tc>
          <w:tcPr>
            <w:tcW w:w="280" w:type="dxa"/>
            <w:vAlign w:val="bottom"/>
            <w:tcBorders>
              <w:top w:val="single" w:sz="8" w:color="auto"/>
              <w:bottom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424,691</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28</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8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4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3"/>
                <w:szCs w:val="23"/>
                <w:color w:val="auto"/>
              </w:rPr>
            </w:pPr>
          </w:p>
        </w:tc>
      </w:tr>
      <w:tr>
        <w:trPr>
          <w:trHeight w:val="237"/>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gallon of ethanol (net of</w:t>
            </w:r>
          </w:p>
        </w:tc>
        <w:tc>
          <w:tcPr>
            <w:tcW w:w="260" w:type="dxa"/>
            <w:vAlign w:val="bottom"/>
            <w:shd w:val="clear" w:color="auto" w:fill="E5FFFF"/>
          </w:tcPr>
          <w:p>
            <w:pPr>
              <w:jc w:val="right"/>
              <w:ind w:right="52"/>
              <w:spacing w:after="0" w:line="216"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1.79</w:t>
            </w:r>
          </w:p>
        </w:tc>
        <w:tc>
          <w:tcPr>
            <w:tcW w:w="72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2.42</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1.69</w:t>
            </w:r>
          </w:p>
        </w:tc>
        <w:tc>
          <w:tcPr>
            <w:tcW w:w="70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2.32</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hedging)</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69.1</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139.6</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140.6</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ton of dried distillers</w:t>
            </w:r>
          </w:p>
        </w:tc>
        <w:tc>
          <w:tcPr>
            <w:tcW w:w="260" w:type="dxa"/>
            <w:vAlign w:val="bottom"/>
            <w:shd w:val="clear" w:color="auto" w:fill="E5FFFF"/>
          </w:tcPr>
          <w:p>
            <w:pPr>
              <w:jc w:val="right"/>
              <w:ind w:right="52"/>
              <w:spacing w:after="0" w:line="216"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164.45</w:t>
            </w:r>
          </w:p>
        </w:tc>
        <w:tc>
          <w:tcPr>
            <w:tcW w:w="72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226.48</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177.25</w:t>
            </w:r>
          </w:p>
        </w:tc>
        <w:tc>
          <w:tcPr>
            <w:tcW w:w="70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236.30</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grains</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132,848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141,043</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296,381</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303,209</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pound of distillers corn</w:t>
            </w:r>
          </w:p>
        </w:tc>
        <w:tc>
          <w:tcPr>
            <w:tcW w:w="260" w:type="dxa"/>
            <w:vAlign w:val="bottom"/>
            <w:shd w:val="clear" w:color="auto" w:fill="E5FFFF"/>
          </w:tcPr>
          <w:p>
            <w:pPr>
              <w:jc w:val="right"/>
              <w:ind w:right="52"/>
              <w:spacing w:after="0" w:line="216"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0.43</w:t>
            </w:r>
          </w:p>
        </w:tc>
        <w:tc>
          <w:tcPr>
            <w:tcW w:w="72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0.55</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0.45</w:t>
            </w:r>
          </w:p>
        </w:tc>
        <w:tc>
          <w:tcPr>
            <w:tcW w:w="70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0.59</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oil</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20.2</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20.7</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41.2</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41.3</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ton of modified distillers</w:t>
            </w:r>
          </w:p>
        </w:tc>
        <w:tc>
          <w:tcPr>
            <w:tcW w:w="260" w:type="dxa"/>
            <w:vAlign w:val="bottom"/>
            <w:shd w:val="clear" w:color="auto" w:fill="E5FFFF"/>
          </w:tcPr>
          <w:p>
            <w:pPr>
              <w:jc w:val="right"/>
              <w:ind w:right="52"/>
              <w:spacing w:after="0" w:line="216"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63.61</w:t>
            </w:r>
          </w:p>
        </w:tc>
        <w:tc>
          <w:tcPr>
            <w:tcW w:w="72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103.01</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72.14</w:t>
            </w:r>
          </w:p>
        </w:tc>
        <w:tc>
          <w:tcPr>
            <w:tcW w:w="700" w:type="dxa"/>
            <w:vAlign w:val="bottom"/>
            <w:gridSpan w:val="2"/>
            <w:shd w:val="clear" w:color="auto" w:fill="E5FFFF"/>
          </w:tcPr>
          <w:p>
            <w:pPr>
              <w:jc w:val="right"/>
              <w:ind w:righ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116.20</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grains</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9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17,653</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10,583</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32,163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22,853</w:t>
            </w:r>
          </w:p>
        </w:tc>
      </w:tr>
    </w:tbl>
    <w:p>
      <w:pPr>
        <w:spacing w:after="0" w:line="17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Net sales and revenue in the quarter ended July 31, 2024 decreased 30% compared to the prior year’s second quarter. Net sales and revenue in the first six months ended July 31, 2024 decreased approximately 27% compared to the first six months of 2023.</w:t>
      </w:r>
    </w:p>
    <w:p>
      <w:pPr>
        <w:spacing w:after="0" w:line="200"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Ethanol revenue decreased 31% in the second quarter of fiscal year 2024 compared to the second quarter of fiscal year 2023 as the average selling price of ethanol at our consolidated plants decreased 26% during the second quarter of fiscal year 2024 compared to the prior year comparable period, coupled with a 6% decrease in gallons of ethanol sold. Ethanol revenue decreased 28% in the first six months of fiscal year 2024 compared to the first six months of fiscal year 2023, driven by a 27% decrease in selling price while gallons sold did not change significantly. The decrease in the ethanol selling price resulted primarily from a decrease in commodity prices.</w:t>
      </w:r>
    </w:p>
    <w:p>
      <w:pPr>
        <w:spacing w:after="0" w:line="208" w:lineRule="exact"/>
        <w:rPr>
          <w:sz w:val="20"/>
          <w:szCs w:val="20"/>
          <w:color w:val="auto"/>
        </w:rPr>
      </w:pPr>
    </w:p>
    <w:p>
      <w:pPr>
        <w:jc w:val="both"/>
        <w:ind w:right="100" w:firstLine="648"/>
        <w:spacing w:after="0" w:line="251" w:lineRule="auto"/>
        <w:rPr>
          <w:sz w:val="20"/>
          <w:szCs w:val="20"/>
          <w:color w:val="auto"/>
        </w:rPr>
      </w:pPr>
      <w:r>
        <w:rPr>
          <w:rFonts w:ascii="Times New Roman" w:cs="Times New Roman" w:eastAsia="Times New Roman" w:hAnsi="Times New Roman"/>
          <w:sz w:val="21"/>
          <w:szCs w:val="21"/>
          <w:color w:val="auto"/>
        </w:rPr>
        <w:t>Dried distillers grains revenue decreased 32% in the second quarter of fiscal year 2024 compared to the second quarter of fiscal year 2023 as the average price per ton sold decreased 27%, coupled with a 6% decrease in tons sold. Dried distillers grains revenue decreased 27% in the first six months of fiscal year 2024 compared to the first six months of fiscal year 2023, driven by a 25% decrease in the average selling price, along with a 2% decrease in the tons sold. The decrease in the dried distillers grains selling price resulted primarily from a decrease in corn prices as dried distillers grains prices often correlate with corn pricing.</w:t>
      </w:r>
    </w:p>
    <w:p>
      <w:pPr>
        <w:spacing w:after="0" w:line="19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Distillers corn oil revenue decreased approximately 25% in the second quarter of fiscal year 2024 compared to the second quarter of fiscal year 2023 as the average price per pound sold decreased 22%, along with a 2% decrease in pounds sold. Distillers corn oil revenue decreased 25% in the first six months of 2024 compared to the first six months of 2023 as the average price per pound decreased 24% while pounds sold did not change significantly. The decrease in the distillers corn oil selling price resulted primarily from a decrease in commodity prices.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ind w:firstLine="648"/>
        <w:spacing w:after="0" w:line="235" w:lineRule="auto"/>
        <w:rPr>
          <w:sz w:val="20"/>
          <w:szCs w:val="20"/>
          <w:color w:val="auto"/>
        </w:rPr>
      </w:pPr>
      <w:r>
        <w:rPr>
          <w:rFonts w:ascii="Times New Roman" w:cs="Times New Roman" w:eastAsia="Times New Roman" w:hAnsi="Times New Roman"/>
          <w:sz w:val="22"/>
          <w:szCs w:val="22"/>
          <w:color w:val="auto"/>
        </w:rPr>
        <w:t>Modified distillers grains revenue increased 3% in the second quarter of fiscal year 2024 compared to the second quarter of fiscal year 2023 due to a 67% increase in the tons sold, offset by a decrease in the average selling price per ton sold of 38%. Modified distillers grains revenue decreased 13% in the first six months of fiscal year 2024 compared to the first six months of fiscal year 2023 due to a 38% decrease in the average selling price per ton sold, offset by a 41% increase in tons sold during the same period. The decrease in the modified distillers grains selling price resulted primarily from a decrease in corn prices as prices tend to move in the same direction. Our consolidated plants’ decisions to sell modified or dried distillers grains fluctuates from time to time based upon market conditions.</w:t>
      </w:r>
    </w:p>
    <w:p>
      <w:pPr>
        <w:spacing w:after="0" w:line="21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Gains on derivative financial instruments, included in net sales and revenue, were approximately $0.4 million in the three and six month periods ended July 31, 2024, compared to losses on derivative financial instruments of approximately $29,000 during the three and six month periods ended July 31, 2023. These gains and losses are related to our risk management activities and were impacted by the price movements of ethanol.</w:t>
      </w:r>
    </w:p>
    <w:p>
      <w:pPr>
        <w:spacing w:after="0" w:line="20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Cost of sales decreased approximately 34% in the quarter ended July 31, 2024, compared to the prior year second quarter. Corn accounted for approximately 77% ($98.9 million) of our cost of sales during the second quarter of fiscal year 2024 compared to approximately 82% ($158.0 million) during the second quarter of fiscal year 2023. Natural gas accounted for approximately 3% of our cost of sales during the second quarter of fiscal year 2024 ($3.9 million) and the second quarter of fiscal year 2023 ($6.4 million). Cost of sales decreased approximately 31% in the six months ended July 31, 2024, compared to the prior year comparable period. Corn accounted for approximately 76% ($209.6 million) of our cost of sales during the first six months of fiscal year 2024 compared to approximately 81% ($321.8 million) during the first six months of fiscal year 2023. Natural gas accounted for approximately 4% of our cost of sales during the six months ended July 31, 2024 ($11.0 million) and during the first six months of fiscal year 2023 ($17.1 million). The cost of corn and natural gas decreased primarily due to lower pricing for both during the three and six months ended July 31, 2024.</w:t>
      </w:r>
    </w:p>
    <w:p>
      <w:pPr>
        <w:spacing w:after="0" w:line="206"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gross profit for the second quarter of fiscal year 2024 increased approximately $1.4 million compared to the prior year’s second quarter. Gross profit for the first six months of fiscal year 2024 increased approximately $5.7 million compared to the first six months of fiscal year 2023.</w:t>
      </w:r>
    </w:p>
    <w:p>
      <w:pPr>
        <w:spacing w:after="0" w:line="20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 We utilize derivative financial instruments, primarily exchange traded commodity future contracts and swap contracts, in conjunction with certain of our corn procurement activities and commodity marketing activities.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639" w:right="359" w:bottom="1440" w:gutter="0" w:footer="0" w:header="0"/>
        </w:sectPr>
      </w:pPr>
    </w:p>
    <w:bookmarkStart w:id="30" w:name="page31"/>
    <w:bookmarkEnd w:id="30"/>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SG&amp;A expenses were approximately $6.4 million for the second quarter of fiscal year 2024, compared to approximately $8.6 million of expenses for the second quarter of fiscal year 2023. SG&amp;A expenses were approximately $12.6 million for the first six months of fiscal year 2024, compared to approximately $14.4 million for the first six months of fiscal year 2023. The decreases are primarily related to restricted stock awards granted to certain executive officers in the second quarter of 2023, which were expensed upon issuance, offset partially by the increase in performance bonus expense as a result of higher net income in 2024.</w:t>
      </w:r>
    </w:p>
    <w:p>
      <w:pPr>
        <w:spacing w:after="0" w:line="208"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During the second quarter of fiscal year 2024, we recognized income from our equity investment in Big River of approximately $1.7 million compared to income of approximately $3.0 million for the second quarter of fiscal year 2023. During the first six months of fiscal year 2024, we recognized income from our equity investment in Big River of approximately $3.5 million compared to income of approximately $4.5 million during the first six months of fiscal year 2023. Our investment in Big River, which has interests in four ethanol production plants, represents an effective ownership of approximately 38.3 million gallons of ethanol shipped in the trailing twelve months ended July 31, 2024. Due to the inherent volatility of commodity prices within the ethanol industry, we cannot predict the likelihood of future operating results from Big River being similar to historical results.</w:t>
      </w:r>
    </w:p>
    <w:p>
      <w:pPr>
        <w:spacing w:after="0" w:line="20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Interest and other income was approximately $4.4 million for the second quarter of fiscal year 2024 versus approximately $3.3 million for the second quarter of fiscal year 2023. Interest and other income was approximately $10.3 million for the first six months of 2024 versus approximately $6.1 million for the first six months of fiscal year 2023. One of our consolidated ethanol plants recognized $1.2 million in patronage income from an investment in a cooperative in the first quarter of 2024. The remaining change between both periods related to increased interest income in the current year based upon higher balances and yields on our excess cash and short-term investments in fiscal year 2024, compared to 2023.</w:t>
      </w:r>
    </w:p>
    <w:p>
      <w:pPr>
        <w:spacing w:after="0" w:line="208" w:lineRule="exact"/>
        <w:rPr>
          <w:sz w:val="20"/>
          <w:szCs w:val="20"/>
          <w:color w:val="auto"/>
        </w:rPr>
      </w:pPr>
    </w:p>
    <w:p>
      <w:pPr>
        <w:ind w:right="38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$19.5 million and $16.1 million for the second quarters of fiscal year 2024 and 2023, respectively. Income before income taxes was approximately $35.5 million and $24.7 million for the first six months of fiscal year 2024 and 2023, respectively.</w:t>
      </w:r>
    </w:p>
    <w:p>
      <w:pPr>
        <w:spacing w:after="0" w:line="20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$4.5 million and $3.8 million for the three months ended July 31, 2024 and 2023, respectively. Our income tax provision was approximately $ 8.2 million and $5.8 million for the first six months of fiscal year 2024 and 2023, respectively.</w:t>
      </w:r>
    </w:p>
    <w:p>
      <w:pPr>
        <w:spacing w:after="0" w:line="207" w:lineRule="exact"/>
        <w:rPr>
          <w:sz w:val="20"/>
          <w:szCs w:val="20"/>
          <w:color w:val="auto"/>
        </w:rPr>
      </w:pPr>
    </w:p>
    <w:p>
      <w:pPr>
        <w:jc w:val="both"/>
        <w:ind w:right="8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net income was approximately $15.0 for the second quarter of fiscal year 2024 compared to approximately $12.3 million for the second quarter of fiscal year 2023. Net income was approximately $27.3 million for the first six months of fiscal year 2024 compared to approximately $19.0 million for the first six months of fiscal year 2023.</w:t>
      </w:r>
    </w:p>
    <w:p>
      <w:pPr>
        <w:spacing w:after="0" w:line="20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$2.6 million for the second quarter of fiscal year 2024 compared to $3.2 million for the second quarter of fiscal year 2023. Net income attributable to noncontrolling interests was approximately $4.7 million for the first six months of fiscal years 2024 and 2023. These amounts represent the other owners’ share of the income of NuGen and One Earth.</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1" w:name="page32"/>
    <w:bookmarkEnd w:id="31"/>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for the second quarter of fiscal year 2024 was approximately $12.4 million, compared to net income attributable to REX common shareholders of approximately $9.1 million for the second quarter of fiscal year 2023. Net income attributable to REX common shareholders from the first six months of fiscal year 2024 was approximately $22.6 million, compared to net income attributable to REX common shareholders of approximately $14.3 million for the first six months of fiscal year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1"/>
          <w:szCs w:val="21"/>
          <w:color w:val="auto"/>
        </w:rPr>
        <w:t>Net cash provided by operating activities was approximately $5.7 million for the first six months of fiscal year 2024, compared to cash provided by operating activities of approximately $6.6 million for the first six months of fiscal year 2023. For the first six months of fiscal year 2024, cash was provided by net income of approximately $27.3 million, adjusted upward for non-cash items of approximately $12.6 million, which consisted of depreciation, amortization of operating lease right-of-use assets, income from equity method investments, interest income from short-term investments, the deferred income tax provision, stock-based compensation expense, and loss on disposal of property and equipment. An increase in the balance of accounts receivable used cash of approximately $1.1 million, primarily a result of the timing of products shipped and the receipt of customer payments at One Earth and NuGen. Inventories increased over the first six months of fiscal year 2024, using cash of approximately $2.2 million. An increase in the balance of other assets of approximately $12.3 million primarily relates to prepayments on certain executed lease agreements, offset by changes in the carrying value of forward purchase contracts and commodity futures positions recorded at fair value, decreases to spare parts inventory and decreases to prepaid insurance balances. A decrease in the balance of refundable income taxes of approximately $0.5 million primarily relates to the accrual of the federal taxes currently payable and the timing of estimated tax payments for the first six months of 2024. While the Company has tax credits available to offset all amounts owed, the Company is limited to using tax credits for only 75% of federal taxes owed. A decrease in the balance of accounts payable used cash of approximately $14.0 million, which was primarily a result of the timing of inventory receipts and vendor payments. A decrease in the balance of other liabilities used cash of approximately $5.0 million, which was primarily caused by a decrease in accrued payroll of approximately $3.9 million following the payment of fiscal year 2023 bonuses, offset by the accrual of the first six months of the fiscal year 2024 bonuses. Additionally, a reduction in the lease and accrued utility liabilities used cash of approximately $3.0 million and $1.8 million, respectively. These reductions were offset primarily by an increase in the mark-to-market liability recorded for certain corn contracts.</w:t>
      </w:r>
    </w:p>
    <w:p>
      <w:pPr>
        <w:spacing w:after="0" w:line="21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color w:val="auto"/>
        </w:rPr>
        <w:t>Net cash provided by operating activities was approximately $6.6 million for the first six months of fiscal year 2023. For the first six months of fiscal year 2023, cash was provided by net income of approximately $19.0 million, adjusted for non-cash items of approximately $11.1 million, which consisted of depreciation, amortization of operating lease right-of-use assets, income from equity method investments, interest income from short-term investments, the deferred income tax provision, stock-based compensation expense, and loss on disposal of property and equipment. An increase in the balance of accounts receivable used cash of approximately $6.8 million, primarily a result of the timing of products shipped and the receipt of customer payments at One Earth and NuGen. Inventories decreased over the first six months of fiscal year 2023, providing cash of $2.8 million. An increase in the balance of other assets of approximately $7.2 million primarily relates to changes in the carrying value of forward purchase contracts and commodity futures positions recorded at fair value. An increase in the balance of refundable income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32" w:name="page33"/>
    <w:bookmarkEnd w:id="32"/>
    <w:p>
      <w:pPr>
        <w:ind w:right="120"/>
        <w:spacing w:after="0" w:line="238" w:lineRule="auto"/>
        <w:rPr>
          <w:sz w:val="20"/>
          <w:szCs w:val="20"/>
          <w:color w:val="auto"/>
        </w:rPr>
      </w:pPr>
      <w:r>
        <w:rPr>
          <w:rFonts w:ascii="Times New Roman" w:cs="Times New Roman" w:eastAsia="Times New Roman" w:hAnsi="Times New Roman"/>
          <w:sz w:val="22"/>
          <w:szCs w:val="22"/>
          <w:color w:val="auto"/>
        </w:rPr>
        <w:t>taxes of approximately $2.7 million primarily relates to overpayment of taxes currently payable for the previous fiscal year and quarterly estimated tax payments. While the Company has tax credits available to offset all amounts owed, the Company is limited to using tax credits for only 75% of federal taxes owed. A decrease in the balance of accounts payable used cash of approximately $12.6 million, which was primarily a result of the timing of inventory receipts and vendor payments. An increase in the balance of other liabilities provided cash of approximately $3.0 million.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July 31, 2024, working capital was approximately $367.0 million, compared to $385.8 million at January 31,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ratio of current assets to current liabilities was 8.1 to 1 at July 31, 2024 and 6.8 to 1 at January 31, 2024.</w:t>
      </w:r>
    </w:p>
    <w:p>
      <w:pPr>
        <w:spacing w:after="0" w:line="20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Cash of approximately $33.8 million was provided by investing activities for the first six months of fiscal year 2024, compared to cash provided by investing activities of approximately $24.9 million during the first six months of fiscal year 2023. During the first six months of fiscal year 2024, we had capital expenditures of approximately $40.2 million, primarily for various capital projects at our consolidated ethanol plants, including $15.4 million for expansion and CI scoring reduction projects at the One Earth facility and $17.4 million for the carbon sequestration project. During the first six months of fiscal year 2024, we purchased short-term U.S. Treasury Bills of approximately $156.1 million, while U.S. Treasury Bills of approximately $229.7 million matured. The U.S Treasury Bills had maturities of less than one year and we classified them as short-term investments. Depending on the investment options available, we may elect to retain the funds, or a portion thereof, in cash, short-term investments or long-term investments.</w:t>
      </w:r>
    </w:p>
    <w:p>
      <w:pPr>
        <w:spacing w:after="0" w:line="21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Cash of approximately $24.9 million was provided by investing activities for the first six months of fiscal year 2023. During the first six months of fiscal year 2023, we had capital expenditures of approximately $8.2 million, primarily for various capital projects at our consolidated ethanol plants, including expansion and carbon intensity (“CI”) score reduction projects at the One Earth facility. During the first six months of fiscal year 2023, we purchased U.S. Treasury Bills of approximately $194.4 million. During the first six months of fiscal year 2023 U.S. Treasury Bills of approximately $227.5 million matured. The U.S Treasury Bills had maturities of less than one year and we classified them as short-term investments.</w:t>
      </w: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Cash of approximately $1.8 million was used in financing activities for the first six months of fiscal year 2024 for</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payments to noncontrolling interests holders, compared to approximately $0.7 million for the first six months of fiscal year 2023.</w:t>
      </w:r>
    </w:p>
    <w:p>
      <w:pPr>
        <w:spacing w:after="0" w:line="221"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1"/>
          <w:szCs w:val="21"/>
          <w:color w:val="auto"/>
        </w:rPr>
        <w:t>We are investigating various uses for our excess cash and short-term investments. We expect total capital expenditures related to the construction at the One Earth facilities to approximate $165 million to $175 million, inclusive of the carbon sequestration project and plant capacity expansion and ongoing efforts to reduce CI scoring, which we currently plan to pay from our available cash. As of July 31, 2024, we have spent $49.1 million since inception and are contractually committed to spend an additional $5.3 million toward the carbon sequestration project. As of July 31, 2024, we have spent $41.7 million since inception and are contractually committed to spend an additional $12.5 million toward plant capacity expansion and CI scoring reduction efforts. For all projects, we plan to spend $50 million to $60 million during the remainder of fiscal year 2024.</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3" w:name="page34"/>
    <w:bookmarkEnd w:id="33"/>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We have a stock buyback program with 876,786 shares remaining authorized at July 31, 2024. We typically repurchase our common stock when our stock price is trading at a price we deem to be a discount to the underlying value of our net assets. We plan to seek and evaluate various investment opportunities including ethanol and/or energy related, carbon sequestration related, agricultural or other ventures we believe meet our investment criteria.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2024 (File No. 001-09097).</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July 31, 2024 is as follows, assuming normal operating capacity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5"/>
              </w:rPr>
              <w:t>Estimated Total</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6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r>
      <w:tr>
        <w:trPr>
          <w:trHeight w:val="268"/>
        </w:trPr>
        <w:tc>
          <w:tcPr>
            <w:tcW w:w="5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Commodity</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12 Months</w:t>
            </w:r>
          </w:p>
        </w:tc>
        <w:tc>
          <w:tcPr>
            <w:tcW w:w="19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Unit of Measure</w:t>
            </w:r>
          </w:p>
        </w:tc>
        <w:tc>
          <w:tcPr>
            <w:tcW w:w="26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Adverse Change in Price</w:t>
            </w:r>
          </w:p>
        </w:tc>
      </w:tr>
      <w:tr>
        <w:trPr>
          <w:trHeight w:val="243"/>
        </w:trPr>
        <w:tc>
          <w:tcPr>
            <w:tcW w:w="1100" w:type="dxa"/>
            <w:vAlign w:val="bottom"/>
            <w:tcBorders>
              <w:top w:val="single" w:sz="8" w:color="auto"/>
            </w:tcBorders>
          </w:tcPr>
          <w:p>
            <w:pPr>
              <w:spacing w:after="0"/>
              <w:rPr>
                <w:sz w:val="21"/>
                <w:szCs w:val="21"/>
                <w:color w:val="auto"/>
              </w:rPr>
            </w:pPr>
          </w:p>
        </w:tc>
        <w:tc>
          <w:tcPr>
            <w:tcW w:w="398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62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285,000</w:t>
            </w:r>
          </w:p>
        </w:tc>
        <w:tc>
          <w:tcPr>
            <w:tcW w:w="160" w:type="dxa"/>
            <w:vAlign w:val="bottom"/>
            <w:shd w:val="clear" w:color="auto" w:fill="E5FFFF"/>
          </w:tcPr>
          <w:p>
            <w:pPr>
              <w:spacing w:after="0"/>
              <w:rPr>
                <w:sz w:val="21"/>
                <w:szCs w:val="21"/>
                <w:color w:val="auto"/>
              </w:rPr>
            </w:pPr>
          </w:p>
        </w:tc>
        <w:tc>
          <w:tcPr>
            <w:tcW w:w="178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2"/>
              </w:rPr>
              <w:t>50,946</w:t>
            </w:r>
          </w:p>
        </w:tc>
        <w:tc>
          <w:tcPr>
            <w:tcW w:w="100" w:type="dxa"/>
            <w:vAlign w:val="bottom"/>
            <w:shd w:val="clear" w:color="auto" w:fill="E5FFFF"/>
          </w:tcPr>
          <w:p>
            <w:pPr>
              <w:spacing w:after="0"/>
              <w:rPr>
                <w:sz w:val="21"/>
                <w:szCs w:val="21"/>
                <w:color w:val="auto"/>
              </w:rPr>
            </w:pPr>
          </w:p>
        </w:tc>
      </w:tr>
      <w:tr>
        <w:trPr>
          <w:trHeight w:val="243"/>
        </w:trPr>
        <w:tc>
          <w:tcPr>
            <w:tcW w:w="50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16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98,600</w:t>
            </w:r>
          </w:p>
        </w:tc>
        <w:tc>
          <w:tcPr>
            <w:tcW w:w="160" w:type="dxa"/>
            <w:vAlign w:val="bottom"/>
          </w:tcPr>
          <w:p>
            <w:pPr>
              <w:spacing w:after="0"/>
              <w:rPr>
                <w:sz w:val="21"/>
                <w:szCs w:val="21"/>
                <w:color w:val="auto"/>
              </w:rPr>
            </w:pPr>
          </w:p>
        </w:tc>
        <w:tc>
          <w:tcPr>
            <w:tcW w:w="178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2"/>
              </w:rPr>
              <w:t>34,733</w:t>
            </w:r>
          </w:p>
        </w:tc>
        <w:tc>
          <w:tcPr>
            <w:tcW w:w="100" w:type="dxa"/>
            <w:vAlign w:val="bottom"/>
          </w:tcPr>
          <w:p>
            <w:pPr>
              <w:spacing w:after="0"/>
              <w:rPr>
                <w:sz w:val="21"/>
                <w:szCs w:val="21"/>
                <w:color w:val="auto"/>
              </w:rPr>
            </w:pPr>
          </w:p>
        </w:tc>
      </w:tr>
      <w:tr>
        <w:trPr>
          <w:trHeight w:val="243"/>
        </w:trPr>
        <w:tc>
          <w:tcPr>
            <w:tcW w:w="50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162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700</w:t>
            </w:r>
          </w:p>
        </w:tc>
        <w:tc>
          <w:tcPr>
            <w:tcW w:w="160" w:type="dxa"/>
            <w:vAlign w:val="bottom"/>
            <w:shd w:val="clear" w:color="auto" w:fill="E5FFFF"/>
          </w:tcPr>
          <w:p>
            <w:pPr>
              <w:spacing w:after="0"/>
              <w:rPr>
                <w:sz w:val="21"/>
                <w:szCs w:val="21"/>
                <w:color w:val="auto"/>
              </w:rPr>
            </w:pPr>
          </w:p>
        </w:tc>
        <w:tc>
          <w:tcPr>
            <w:tcW w:w="178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8,686</w:t>
            </w:r>
          </w:p>
        </w:tc>
        <w:tc>
          <w:tcPr>
            <w:tcW w:w="100" w:type="dxa"/>
            <w:vAlign w:val="bottom"/>
            <w:shd w:val="clear" w:color="auto" w:fill="E5FFFF"/>
          </w:tcPr>
          <w:p>
            <w:pPr>
              <w:spacing w:after="0"/>
              <w:rPr>
                <w:sz w:val="21"/>
                <w:szCs w:val="21"/>
                <w:color w:val="auto"/>
              </w:rPr>
            </w:pPr>
          </w:p>
        </w:tc>
      </w:tr>
      <w:tr>
        <w:trPr>
          <w:trHeight w:val="243"/>
        </w:trPr>
        <w:tc>
          <w:tcPr>
            <w:tcW w:w="50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6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89,200</w:t>
            </w:r>
          </w:p>
        </w:tc>
        <w:tc>
          <w:tcPr>
            <w:tcW w:w="160" w:type="dxa"/>
            <w:vAlign w:val="bottom"/>
          </w:tcPr>
          <w:p>
            <w:pPr>
              <w:spacing w:after="0"/>
              <w:rPr>
                <w:sz w:val="21"/>
                <w:szCs w:val="21"/>
                <w:color w:val="auto"/>
              </w:rPr>
            </w:pPr>
          </w:p>
        </w:tc>
        <w:tc>
          <w:tcPr>
            <w:tcW w:w="178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3,592</w:t>
            </w:r>
          </w:p>
        </w:tc>
        <w:tc>
          <w:tcPr>
            <w:tcW w:w="100" w:type="dxa"/>
            <w:vAlign w:val="bottom"/>
          </w:tcPr>
          <w:p>
            <w:pPr>
              <w:spacing w:after="0"/>
              <w:rPr>
                <w:sz w:val="21"/>
                <w:szCs w:val="21"/>
                <w:color w:val="auto"/>
              </w:rPr>
            </w:pPr>
          </w:p>
        </w:tc>
      </w:tr>
      <w:tr>
        <w:trPr>
          <w:trHeight w:val="243"/>
        </w:trPr>
        <w:tc>
          <w:tcPr>
            <w:tcW w:w="50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162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160" w:type="dxa"/>
            <w:vAlign w:val="bottom"/>
            <w:shd w:val="clear" w:color="auto" w:fill="E5FFFF"/>
          </w:tcPr>
          <w:p>
            <w:pPr>
              <w:spacing w:after="0"/>
              <w:rPr>
                <w:sz w:val="21"/>
                <w:szCs w:val="21"/>
                <w:color w:val="auto"/>
              </w:rPr>
            </w:pPr>
          </w:p>
        </w:tc>
        <w:tc>
          <w:tcPr>
            <w:tcW w:w="178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1,329</w:t>
            </w:r>
          </w:p>
        </w:tc>
        <w:tc>
          <w:tcPr>
            <w:tcW w:w="100" w:type="dxa"/>
            <w:vAlign w:val="bottom"/>
            <w:shd w:val="clear" w:color="auto" w:fill="E5FFFF"/>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21"/>
          <w:szCs w:val="21"/>
          <w:color w:val="auto"/>
        </w:rPr>
        <w:t>On August 31, 2021, our Board of Directors increased our share repurchase authorization by an additional 1,500,000 shares (split-adjusted). At July 31, 2024, a total of 876,786 shares remained available to purchase under this authorization.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were no share repurchases by the Company in the second quarter of fiscal year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040"/>
        <w:spacing w:after="0"/>
        <w:tabs>
          <w:tab w:leader="none" w:pos="156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3(b)</w:t>
      </w:r>
      <w:r>
        <w:rPr>
          <w:sz w:val="20"/>
          <w:szCs w:val="20"/>
          <w:color w:val="auto"/>
        </w:rPr>
        <w:tab/>
      </w:r>
      <w:hyperlink r:id="rId47">
        <w:r>
          <w:rPr>
            <w:rFonts w:ascii="Times New Roman" w:cs="Times New Roman" w:eastAsia="Times New Roman" w:hAnsi="Times New Roman"/>
            <w:sz w:val="22"/>
            <w:szCs w:val="22"/>
            <w:u w:val="single" w:color="auto"/>
            <w:color w:val="0000EE"/>
          </w:rPr>
          <w:t>By-Laws, as amended (incorporated by reference to Exhibit 3(ii) to Form 8-K filed August 7, 2024, File No.</w:t>
        </w:r>
      </w:hyperlink>
    </w:p>
    <w:p>
      <w:pPr>
        <w:spacing w:after="0" w:line="14" w:lineRule="exact"/>
        <w:rPr>
          <w:sz w:val="20"/>
          <w:szCs w:val="20"/>
          <w:color w:val="auto"/>
        </w:rPr>
      </w:pPr>
    </w:p>
    <w:p>
      <w:pPr>
        <w:ind w:left="1580"/>
        <w:spacing w:after="0"/>
        <w:rPr>
          <w:rFonts w:ascii="Times New Roman" w:cs="Times New Roman" w:eastAsia="Times New Roman" w:hAnsi="Times New Roman"/>
          <w:sz w:val="22"/>
          <w:szCs w:val="22"/>
          <w:u w:val="single" w:color="auto"/>
          <w:color w:val="0000EE"/>
        </w:rPr>
      </w:pPr>
      <w:hyperlink r:id="rId47">
        <w:r>
          <w:rPr>
            <w:rFonts w:ascii="Times New Roman" w:cs="Times New Roman" w:eastAsia="Times New Roman" w:hAnsi="Times New Roman"/>
            <w:sz w:val="22"/>
            <w:szCs w:val="22"/>
            <w:u w:val="single" w:color="auto"/>
            <w:color w:val="0000EE"/>
          </w:rPr>
          <w:t>001-09097)</w:t>
        </w:r>
      </w:hyperlink>
    </w:p>
    <w:p>
      <w:pPr>
        <w:spacing w:after="0" w:line="209" w:lineRule="exact"/>
        <w:rPr>
          <w:sz w:val="20"/>
          <w:szCs w:val="20"/>
          <w:color w:val="auto"/>
        </w:rPr>
      </w:pPr>
    </w:p>
    <w:p>
      <w:pPr>
        <w:ind w:left="1580" w:right="20" w:hanging="398"/>
        <w:spacing w:after="0" w:line="258" w:lineRule="auto"/>
        <w:tabs>
          <w:tab w:leader="none" w:pos="15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Consulting Services Agreement, effective as of August 1, 2024, between One Earth Sequestration LLC and Highstake 35 LLC dba Mercury Public Affairs</w:t>
      </w:r>
    </w:p>
    <w:p>
      <w:pPr>
        <w:spacing w:after="0" w:line="185" w:lineRule="exact"/>
        <w:rPr>
          <w:sz w:val="20"/>
          <w:szCs w:val="20"/>
          <w:color w:val="auto"/>
        </w:rPr>
      </w:pPr>
    </w:p>
    <w:p>
      <w:pPr>
        <w:ind w:left="1580" w:hanging="398"/>
        <w:spacing w:after="0"/>
        <w:tabs>
          <w:tab w:leader="none" w:pos="15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Rule 13a-14(a)/15d-14(a) Certifications</w:t>
      </w:r>
    </w:p>
    <w:p>
      <w:pPr>
        <w:spacing w:after="0" w:line="233" w:lineRule="exact"/>
        <w:rPr>
          <w:rFonts w:ascii="Times New Roman" w:cs="Times New Roman" w:eastAsia="Times New Roman" w:hAnsi="Times New Roman"/>
          <w:sz w:val="22"/>
          <w:szCs w:val="22"/>
          <w:color w:val="auto"/>
        </w:rPr>
      </w:pPr>
    </w:p>
    <w:p>
      <w:pPr>
        <w:ind w:left="1580" w:hanging="398"/>
        <w:spacing w:after="0"/>
        <w:tabs>
          <w:tab w:leader="none" w:pos="15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580" w:hanging="506"/>
        <w:spacing w:after="0" w:line="239" w:lineRule="auto"/>
        <w:tabs>
          <w:tab w:leader="none" w:pos="15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July 31, 2024, formatted in iXBRL: (i) Consolidated Balance Sheets, (ii) Consolidated Statements of Operations, (iii) Consolidated Statements of Equity, (iv) Consolidated Statements of Cash Flows and (v) Notes to Consolidated Financial Statements.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7" w:name="page38"/>
    <w:bookmarkEnd w:id="37"/>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Registrant</w:t>
      </w:r>
    </w:p>
    <w:p>
      <w:pPr>
        <w:sectPr>
          <w:pgSz w:w="11900" w:h="16838" w:orient="portrait"/>
          <w:cols w:equalWidth="0" w:num="1">
            <w:col w:w="10660"/>
          </w:cols>
          <w:pgMar w:left="320" w:top="392" w:right="919" w:bottom="1440" w:gutter="0" w:footer="0" w:header="0"/>
        </w:sectPr>
      </w:pPr>
    </w:p>
    <w:p>
      <w:pPr>
        <w:spacing w:after="0" w:line="205"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b w:val="1"/>
          <w:bCs w:val="1"/>
          <w:u w:val="single" w:color="auto"/>
          <w:color w:val="auto"/>
        </w:rPr>
        <w:t>Signature</w:t>
      </w:r>
    </w:p>
    <w:p>
      <w:pPr>
        <w:spacing w:after="0" w:line="25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u w:val="single" w:color="auto"/>
          <w:color w:val="auto"/>
        </w:rPr>
        <w:t>/s/ Zafar A. Rizvi</w:t>
      </w:r>
    </w:p>
    <w:p>
      <w:pPr>
        <w:spacing w:after="0" w:line="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(Zafar A. Rizvi)</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u w:val="single" w:color="auto"/>
          <w:color w:val="auto"/>
        </w:rPr>
        <w:t>/s/ Douglas L. Bruggeman</w:t>
      </w:r>
    </w:p>
    <w:p>
      <w:pPr>
        <w:spacing w:after="0" w:line="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(Douglas L. Bruggeman)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740" w:type="dxa"/>
            <w:vAlign w:val="bottom"/>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Title</w:t>
            </w: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0" w:type="dxa"/>
            <w:vAlign w:val="bottom"/>
          </w:tcPr>
          <w:p>
            <w:pPr>
              <w:spacing w:after="0"/>
              <w:rPr>
                <w:sz w:val="22"/>
                <w:szCs w:val="22"/>
                <w:color w:val="auto"/>
              </w:rPr>
            </w:pPr>
          </w:p>
        </w:tc>
      </w:tr>
      <w:tr>
        <w:trPr>
          <w:trHeight w:val="466"/>
        </w:trPr>
        <w:tc>
          <w:tcPr>
            <w:tcW w:w="3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6"/>
        </w:trPr>
        <w:tc>
          <w:tcPr>
            <w:tcW w:w="38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w w:val="97"/>
              </w:rPr>
              <w:t>August 30, 2024</w:t>
            </w:r>
          </w:p>
        </w:tc>
      </w:tr>
      <w:tr>
        <w:trPr>
          <w:trHeight w:val="447"/>
        </w:trPr>
        <w:tc>
          <w:tcPr>
            <w:tcW w:w="3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6"/>
        </w:trPr>
        <w:tc>
          <w:tcPr>
            <w:tcW w:w="38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c>
          <w:tcPr>
            <w:tcW w:w="204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w w:val="97"/>
              </w:rPr>
              <w:t>August 30, 2024</w:t>
            </w:r>
          </w:p>
        </w:tc>
      </w:tr>
      <w:tr>
        <w:trPr>
          <w:trHeight w:val="432"/>
        </w:trPr>
        <w:tc>
          <w:tcPr>
            <w:tcW w:w="17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38</w:t>
            </w: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129540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800" w:space="720"/>
            <w:col w:w="6140"/>
          </w:cols>
          <w:pgMar w:left="320" w:top="392" w:right="91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8510"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0485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SERVICES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One Earth Sequestration LLC </w:t>
      </w:r>
      <w:r>
        <w:rPr>
          <w:rFonts w:ascii="Times New Roman" w:cs="Times New Roman" w:eastAsia="Times New Roman" w:hAnsi="Times New Roman"/>
          <w:sz w:val="18"/>
          <w:szCs w:val="18"/>
          <w:color w:val="auto"/>
        </w:rPr>
        <w:t>(“Client”) enters into this Consulting Services Agreement (the “Agreement”) effective as of August 1,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to retain </w:t>
      </w:r>
      <w:r>
        <w:rPr>
          <w:rFonts w:ascii="Times New Roman" w:cs="Times New Roman" w:eastAsia="Times New Roman" w:hAnsi="Times New Roman"/>
          <w:sz w:val="18"/>
          <w:szCs w:val="18"/>
          <w:b w:val="1"/>
          <w:bCs w:val="1"/>
          <w:color w:val="auto"/>
        </w:rPr>
        <w:t>Highstake 35 LLC dba Mercury Public Affairs</w:t>
      </w:r>
      <w:r>
        <w:rPr>
          <w:rFonts w:ascii="Times New Roman" w:cs="Times New Roman" w:eastAsia="Times New Roman" w:hAnsi="Times New Roman"/>
          <w:sz w:val="18"/>
          <w:szCs w:val="18"/>
          <w:color w:val="auto"/>
        </w:rPr>
        <w:t xml:space="preserve"> (“Consultant”), to perform the services described herein. Client and Consultant may each be referred to herein as a “Party,” and together as the “Parties.”</w:t>
      </w:r>
    </w:p>
    <w:p>
      <w:pPr>
        <w:spacing w:after="0" w:line="188" w:lineRule="exact"/>
        <w:rPr>
          <w:sz w:val="20"/>
          <w:szCs w:val="20"/>
          <w:color w:val="auto"/>
        </w:rPr>
      </w:pPr>
    </w:p>
    <w:p>
      <w:pPr>
        <w:ind w:left="520" w:hanging="188"/>
        <w:spacing w:after="0"/>
        <w:tabs>
          <w:tab w:leader="none" w:pos="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The Services</w:t>
      </w:r>
      <w:r>
        <w:rPr>
          <w:rFonts w:ascii="Times New Roman" w:cs="Times New Roman" w:eastAsia="Times New Roman" w:hAnsi="Times New Roman"/>
          <w:sz w:val="18"/>
          <w:szCs w:val="18"/>
          <w:color w:val="auto"/>
        </w:rPr>
        <w:t>. Consultant shall render services to Client as specified on Schedule 1 attached hereto (the “Services”).</w:t>
      </w:r>
    </w:p>
    <w:p>
      <w:pPr>
        <w:spacing w:after="0" w:line="229" w:lineRule="exact"/>
        <w:rPr>
          <w:rFonts w:ascii="Times New Roman" w:cs="Times New Roman" w:eastAsia="Times New Roman" w:hAnsi="Times New Roman"/>
          <w:sz w:val="20"/>
          <w:szCs w:val="20"/>
          <w:color w:val="auto"/>
        </w:rPr>
      </w:pPr>
    </w:p>
    <w:p>
      <w:pPr>
        <w:jc w:val="both"/>
        <w:ind w:firstLine="332"/>
        <w:spacing w:after="0" w:line="252" w:lineRule="auto"/>
        <w:tabs>
          <w:tab w:leader="none" w:pos="52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Client shall pay fees and expenses per the terms set forth on Schedule 2 attached hereto. Payment in full of fees and expenses shall be made to Consultant within thirty (30) days after an invoice is rendered. In the event Client does not pay such fees and expenses as specified, Consultant may suspend Services until payment is made. All payments made by Client shall be without deduction or offset.</w:t>
      </w:r>
    </w:p>
    <w:p>
      <w:pPr>
        <w:spacing w:after="0" w:line="214" w:lineRule="exact"/>
        <w:rPr>
          <w:rFonts w:ascii="Times New Roman" w:cs="Times New Roman" w:eastAsia="Times New Roman" w:hAnsi="Times New Roman"/>
          <w:sz w:val="20"/>
          <w:szCs w:val="20"/>
          <w:color w:val="auto"/>
        </w:rPr>
      </w:pPr>
    </w:p>
    <w:p>
      <w:pPr>
        <w:ind w:left="520" w:hanging="188"/>
        <w:spacing w:after="0"/>
        <w:tabs>
          <w:tab w:leader="none" w:pos="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begin on the Effective Date and will continue in effect until December 31, 2024 (the “Term”).</w:t>
      </w:r>
    </w:p>
    <w:p>
      <w:pPr>
        <w:spacing w:after="0" w:line="229" w:lineRule="exact"/>
        <w:rPr>
          <w:rFonts w:ascii="Times New Roman" w:cs="Times New Roman" w:eastAsia="Times New Roman" w:hAnsi="Times New Roman"/>
          <w:sz w:val="20"/>
          <w:szCs w:val="20"/>
          <w:color w:val="auto"/>
        </w:rPr>
      </w:pPr>
    </w:p>
    <w:p>
      <w:pPr>
        <w:ind w:left="520" w:hanging="188"/>
        <w:spacing w:after="0"/>
        <w:tabs>
          <w:tab w:leader="none" w:pos="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Independent Contractor Status</w:t>
      </w:r>
      <w:r>
        <w:rPr>
          <w:rFonts w:ascii="Times New Roman" w:cs="Times New Roman" w:eastAsia="Times New Roman" w:hAnsi="Times New Roman"/>
          <w:sz w:val="18"/>
          <w:szCs w:val="18"/>
          <w:color w:val="auto"/>
        </w:rPr>
        <w:t>. Consultant is an independent contractor and not an agent or employee of Client.</w:t>
      </w:r>
    </w:p>
    <w:p>
      <w:pPr>
        <w:spacing w:after="0" w:line="229" w:lineRule="exact"/>
        <w:rPr>
          <w:rFonts w:ascii="Times New Roman" w:cs="Times New Roman" w:eastAsia="Times New Roman" w:hAnsi="Times New Roman"/>
          <w:sz w:val="20"/>
          <w:szCs w:val="20"/>
          <w:color w:val="auto"/>
        </w:rPr>
      </w:pPr>
    </w:p>
    <w:p>
      <w:pPr>
        <w:jc w:val="both"/>
        <w:ind w:firstLine="332"/>
        <w:spacing w:after="0" w:line="251" w:lineRule="auto"/>
        <w:tabs>
          <w:tab w:leader="none" w:pos="52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performance of Services, Consultant may have access to, have disclosed to it, or otherwise obtain information which Client identifies as confidential or proprietary (“Confidential Information”). Consultant shall use such Confidential Information solely in performance of its obligations under this Agreement. Information shall not be deemed Confidential Information if such information is: (i) already known to Consultant free of any restriction; (ii) obtained from a third party free of any restriction; (iii) developed independently by Consultant; or (iv) available publicly.</w:t>
      </w:r>
    </w:p>
    <w:p>
      <w:pPr>
        <w:spacing w:after="0" w:line="216" w:lineRule="exact"/>
        <w:rPr>
          <w:rFonts w:ascii="Times New Roman" w:cs="Times New Roman" w:eastAsia="Times New Roman" w:hAnsi="Times New Roman"/>
          <w:sz w:val="20"/>
          <w:szCs w:val="20"/>
          <w:color w:val="auto"/>
        </w:rPr>
      </w:pPr>
    </w:p>
    <w:p>
      <w:pPr>
        <w:jc w:val="both"/>
        <w:ind w:firstLine="332"/>
        <w:spacing w:after="0" w:line="251" w:lineRule="auto"/>
        <w:tabs>
          <w:tab w:leader="none" w:pos="54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Party will indemnify and hold harmless the other Party, its principals, employees, officers, and agents (collectively, the “Indemnified Party”) from and against any and all liabilities, losses, claims, demands, actions, judgments, costs, and expenses, including but not limited to reasonable attorneys’ fees, arising out of or resulting from any negligence, gross negligence, or willful misconduct by the indemnifying Party, its employees, officers, directors, and agents. Each Party’s indemnification obligations are conditioned upon the Indemnified Party: (i) giving prompt written notice of any claim, action, suit or proceeding for which the Indemnified Party is seeking indemnity; (ii) granting control of the defense and settlement of the action to the indemnifying Party, provided that no settlement admitting liability or that requires the payment of funds or the granting of legal or equitable relief will be entered into absent mutual agreement of the Parties, which will not be unreasonably withheld; and (iii) reasonably cooperating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indemnifying Party with respect to the defense of the action. Notwithstanding the foregoing, the Indemnified Party may, at its option and expense, participate in the defense or settlement of any claim, action, suit, or proceeding.</w:t>
      </w:r>
    </w:p>
    <w:p>
      <w:pPr>
        <w:spacing w:after="0" w:line="189" w:lineRule="exact"/>
        <w:rPr>
          <w:sz w:val="20"/>
          <w:szCs w:val="20"/>
          <w:color w:val="auto"/>
        </w:rPr>
      </w:pPr>
    </w:p>
    <w:p>
      <w:pPr>
        <w:ind w:firstLine="332"/>
        <w:spacing w:after="0" w:line="255" w:lineRule="auto"/>
        <w:tabs>
          <w:tab w:leader="none" w:pos="53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Neither Party will use the other Party’s name, logo, trademarks, or service marks in any advertising, publicity releases, or any other materials without that Party’s prior written approval.</w:t>
      </w:r>
    </w:p>
    <w:p>
      <w:pPr>
        <w:spacing w:after="0" w:line="210" w:lineRule="exact"/>
        <w:rPr>
          <w:rFonts w:ascii="Times New Roman" w:cs="Times New Roman" w:eastAsia="Times New Roman" w:hAnsi="Times New Roman"/>
          <w:sz w:val="20"/>
          <w:szCs w:val="20"/>
          <w:color w:val="auto"/>
        </w:rPr>
      </w:pPr>
    </w:p>
    <w:p>
      <w:pPr>
        <w:ind w:left="520" w:hanging="188"/>
        <w:spacing w:after="0"/>
        <w:tabs>
          <w:tab w:leader="none" w:pos="5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may assign this Agreement, except to an affiliate or subsidiary, without the prior written consent of the other Party.</w:t>
      </w:r>
    </w:p>
    <w:p>
      <w:pPr>
        <w:spacing w:after="0" w:line="229" w:lineRule="exact"/>
        <w:rPr>
          <w:rFonts w:ascii="Times New Roman" w:cs="Times New Roman" w:eastAsia="Times New Roman" w:hAnsi="Times New Roman"/>
          <w:sz w:val="20"/>
          <w:szCs w:val="20"/>
          <w:color w:val="auto"/>
        </w:rPr>
      </w:pPr>
    </w:p>
    <w:p>
      <w:pPr>
        <w:jc w:val="both"/>
        <w:ind w:firstLine="332"/>
        <w:spacing w:after="0" w:line="252" w:lineRule="auto"/>
        <w:tabs>
          <w:tab w:leader="none" w:pos="52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in connection herewith will be in writing, sent per the contact information on Schedule 3 attached hereto, and either delivered personally, or mailed by certified mail, postage prepaid, or sent via email. Notice will be deemed given when delivered personally, or, if mailed, 72 hours after the time of mailing, or, if by email, 24 hours after an email is sent.</w:t>
      </w:r>
    </w:p>
    <w:p>
      <w:pPr>
        <w:spacing w:after="0" w:line="214" w:lineRule="exact"/>
        <w:rPr>
          <w:rFonts w:ascii="Times New Roman" w:cs="Times New Roman" w:eastAsia="Times New Roman" w:hAnsi="Times New Roman"/>
          <w:sz w:val="20"/>
          <w:szCs w:val="20"/>
          <w:color w:val="auto"/>
        </w:rPr>
      </w:pPr>
    </w:p>
    <w:p>
      <w:pPr>
        <w:jc w:val="both"/>
        <w:ind w:firstLine="332"/>
        <w:spacing w:after="0" w:line="251" w:lineRule="auto"/>
        <w:tabs>
          <w:tab w:leader="none" w:pos="63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Governing Law; Jurisdiction/Venue</w:t>
      </w:r>
      <w:r>
        <w:rPr>
          <w:rFonts w:ascii="Times New Roman" w:cs="Times New Roman" w:eastAsia="Times New Roman" w:hAnsi="Times New Roman"/>
          <w:sz w:val="18"/>
          <w:szCs w:val="18"/>
          <w:color w:val="auto"/>
        </w:rPr>
        <w:t xml:space="preserve">. This Agreement will be governed by and construed in accordance with the laws of the State of Illinois, without regard to its conflicts of laws rules, and both Parties submit to the exclusive personal jurisdiction of the state and federal courts in Illinois, and to venue in said courts, and waive any claim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Each party waives any right to have any dispute in connection herewith resolved by jury trial.</w:t>
      </w:r>
    </w:p>
    <w:p>
      <w:pPr>
        <w:spacing w:after="0" w:line="217" w:lineRule="exact"/>
        <w:rPr>
          <w:rFonts w:ascii="Times New Roman" w:cs="Times New Roman" w:eastAsia="Times New Roman" w:hAnsi="Times New Roman"/>
          <w:sz w:val="20"/>
          <w:szCs w:val="20"/>
          <w:color w:val="auto"/>
        </w:rPr>
      </w:pPr>
    </w:p>
    <w:p>
      <w:pPr>
        <w:ind w:firstLine="332"/>
        <w:spacing w:after="0" w:line="255" w:lineRule="auto"/>
        <w:tabs>
          <w:tab w:leader="none" w:pos="61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Liability of Consultant</w:t>
      </w:r>
      <w:r>
        <w:rPr>
          <w:rFonts w:ascii="Times New Roman" w:cs="Times New Roman" w:eastAsia="Times New Roman" w:hAnsi="Times New Roman"/>
          <w:sz w:val="18"/>
          <w:szCs w:val="18"/>
          <w:color w:val="auto"/>
        </w:rPr>
        <w:t>. Consultant shall bear no liability to Client for loss or damage in connection with advice or assistance given in good faith performance of the Services.</w:t>
      </w:r>
    </w:p>
    <w:p>
      <w:pPr>
        <w:spacing w:after="0" w:line="210"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prevailing Party in any legal proceeding in connection with this Agreement shall have the right to require the non-prevailing Party in such proceeding to make payment to and reimburse the prevailing Party for reasonable attorneys’ fees and related expenses which the prevailing Party incurs in connection with the commencement, prosecution, or defense of such proceeding. The prevailing Party shall be that Party which prevails on a majority, but not necessarily all, of the material issues which were adjudicated in such proceeding.</w:t>
      </w:r>
    </w:p>
    <w:p>
      <w:pPr>
        <w:spacing w:after="0" w:line="217"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amendments or modifications of this Agreement shall be binding upon either Party unless made in writing and signed by both Parties.</w:t>
      </w:r>
    </w:p>
    <w:p>
      <w:pPr>
        <w:spacing w:after="0" w:line="229" w:lineRule="exact"/>
        <w:rPr>
          <w:rFonts w:ascii="Times New Roman" w:cs="Times New Roman" w:eastAsia="Times New Roman" w:hAnsi="Times New Roman"/>
          <w:sz w:val="20"/>
          <w:szCs w:val="20"/>
          <w:color w:val="auto"/>
        </w:rPr>
      </w:pPr>
    </w:p>
    <w:p>
      <w:pPr>
        <w:ind w:right="20" w:firstLine="656"/>
        <w:spacing w:after="0" w:line="255" w:lineRule="auto"/>
        <w:tabs>
          <w:tab w:leader="none" w:pos="98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Agreement constitutes the entire agreement between the Parties and supersedes all previous agreements, promises, proposals, representations, understandings, and negotiations, whether written or oral, respecting the subject matter hereof.</w:t>
      </w:r>
    </w:p>
    <w:p>
      <w:pPr>
        <w:spacing w:after="0" w:line="210" w:lineRule="exact"/>
        <w:rPr>
          <w:rFonts w:ascii="Times New Roman" w:cs="Times New Roman" w:eastAsia="Times New Roman" w:hAnsi="Times New Roman"/>
          <w:sz w:val="20"/>
          <w:szCs w:val="20"/>
          <w:color w:val="auto"/>
        </w:rPr>
      </w:pPr>
    </w:p>
    <w:p>
      <w:pPr>
        <w:jc w:val="both"/>
        <w:ind w:firstLine="656"/>
        <w:spacing w:after="0" w:line="252" w:lineRule="auto"/>
        <w:tabs>
          <w:tab w:leader="none" w:pos="93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the event any one or more of the provisions of this Agreement shall for any reason be held to be invalid, illegal, or unenforceable, the remaining provisions of this Agreement will be unimpaired, and the invalid, illegal, or unenforceable provision will be replaced by a provision which, being valid, legal, and enforceable, comes closest to the intention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0" w:name="page41"/>
    <w:bookmarkEnd w:id="40"/>
    <w:p>
      <w:pPr>
        <w:ind w:firstLine="656"/>
        <w:spacing w:after="0" w:line="255" w:lineRule="auto"/>
        <w:tabs>
          <w:tab w:leader="none" w:pos="9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Agreement may be executed in one or more counterparts, each of which shall be deemed to be an original, but all of which together will constitute one and the same instrument.</w:t>
      </w:r>
    </w:p>
    <w:p>
      <w:pPr>
        <w:spacing w:after="0" w:line="210"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section headings contained in this Agreement are inserted for convenience only and do not affect the meaning or interpretation of this</w:t>
      </w:r>
    </w:p>
    <w:p>
      <w:pPr>
        <w:spacing w:after="0" w:line="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Agreement.</w:t>
      </w:r>
    </w:p>
    <w:p>
      <w:pPr>
        <w:spacing w:after="0" w:line="232" w:lineRule="exact"/>
        <w:rPr>
          <w:rFonts w:ascii="Times New Roman" w:cs="Times New Roman" w:eastAsia="Times New Roman" w:hAnsi="Times New Roman"/>
          <w:sz w:val="20"/>
          <w:szCs w:val="20"/>
          <w:color w:val="auto"/>
        </w:rPr>
      </w:pPr>
    </w:p>
    <w:p>
      <w:pPr>
        <w:ind w:firstLine="656"/>
        <w:spacing w:after="0" w:line="255" w:lineRule="auto"/>
        <w:tabs>
          <w:tab w:leader="none" w:pos="92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Notwithstanding any provision to the contrary in this Agreement, in no event will Consultant be liable to Client (whether for damages, indemnification, or any other claim) for an amount greater than the amount of fees actually paid to Consultant by Client for the Services.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entered into this Agreement as of the Effective Date noted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730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CLIENT:</w:t>
            </w:r>
          </w:p>
        </w:tc>
      </w:tr>
      <w:tr>
        <w:trPr>
          <w:trHeight w:val="23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Mercury Public Affairs</w:t>
            </w:r>
          </w:p>
        </w:tc>
        <w:tc>
          <w:tcPr>
            <w:tcW w:w="730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One Earth Sequestration LLC</w:t>
            </w:r>
          </w:p>
        </w:tc>
      </w:tr>
      <w:tr>
        <w:trPr>
          <w:trHeight w:val="7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
        </w:trPr>
        <w:tc>
          <w:tcPr>
            <w:tcW w:w="580" w:type="dxa"/>
            <w:vAlign w:val="bottom"/>
            <w:gridSpan w:val="2"/>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960" w:type="dxa"/>
            <w:vAlign w:val="bottom"/>
            <w:gridSpan w:val="2"/>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63"/>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Arial" w:cs="Arial" w:eastAsia="Arial" w:hAnsi="Arial"/>
                <w:sz w:val="18"/>
                <w:szCs w:val="18"/>
                <w:color w:val="auto"/>
              </w:rPr>
              <w:t>Thomas Doherty</w:t>
            </w:r>
          </w:p>
        </w:tc>
        <w:tc>
          <w:tcPr>
            <w:tcW w:w="730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Name: Steven Kelly</w:t>
            </w: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2"/>
                <w:szCs w:val="22"/>
                <w:color w:val="auto"/>
              </w:rPr>
            </w:pPr>
          </w:p>
        </w:tc>
        <w:tc>
          <w:tcPr>
            <w:tcW w:w="3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Partner</w:t>
            </w:r>
          </w:p>
        </w:tc>
        <w:tc>
          <w:tcPr>
            <w:tcW w:w="39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0" w:type="dxa"/>
            <w:vAlign w:val="bottom"/>
          </w:tcPr>
          <w:p>
            <w:pPr>
              <w:spacing w:after="0"/>
              <w:rPr>
                <w:sz w:val="22"/>
                <w:szCs w:val="22"/>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07/31/2024</w:t>
            </w:r>
          </w:p>
        </w:tc>
        <w:tc>
          <w:tcPr>
            <w:tcW w:w="39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July 31,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-762635</wp:posOffset>
            </wp:positionV>
            <wp:extent cx="1276985"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6985" cy="19748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1 - Services</w:t>
      </w:r>
    </w:p>
    <w:p>
      <w:pPr>
        <w:spacing w:after="0" w:line="243" w:lineRule="exact"/>
        <w:rPr>
          <w:sz w:val="20"/>
          <w:szCs w:val="20"/>
          <w:color w:val="auto"/>
        </w:rPr>
      </w:pPr>
    </w:p>
    <w:p>
      <w:pPr>
        <w:ind w:left="520" w:hanging="188"/>
        <w:spacing w:after="0"/>
        <w:tabs>
          <w:tab w:leader="none" w:pos="5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Consultant will provide Services as follows:</w:t>
      </w:r>
    </w:p>
    <w:p>
      <w:pPr>
        <w:spacing w:after="0" w:line="215" w:lineRule="exact"/>
        <w:rPr>
          <w:rFonts w:ascii="Times New Roman" w:cs="Times New Roman" w:eastAsia="Times New Roman" w:hAnsi="Times New Roman"/>
          <w:sz w:val="20"/>
          <w:szCs w:val="20"/>
          <w:color w:val="auto"/>
        </w:rPr>
      </w:pPr>
    </w:p>
    <w:p>
      <w:pPr>
        <w:ind w:left="880" w:hanging="332"/>
        <w:spacing w:after="0"/>
        <w:tabs>
          <w:tab w:leader="none" w:pos="8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Engage with McLean and Ford County, Illinois officials to secure permits as needed.</w:t>
      </w:r>
    </w:p>
    <w:p>
      <w:pPr>
        <w:spacing w:after="0" w:line="19" w:lineRule="exact"/>
        <w:rPr>
          <w:rFonts w:ascii="Times New Roman" w:cs="Times New Roman" w:eastAsia="Times New Roman" w:hAnsi="Times New Roman"/>
          <w:sz w:val="20"/>
          <w:szCs w:val="20"/>
          <w:color w:val="auto"/>
        </w:rPr>
      </w:pPr>
    </w:p>
    <w:p>
      <w:pPr>
        <w:ind w:left="880" w:hanging="332"/>
        <w:spacing w:after="0" w:line="223" w:lineRule="auto"/>
        <w:tabs>
          <w:tab w:leader="none" w:pos="8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Work with Department of Transportation to implement PHSMA rules.</w:t>
      </w:r>
    </w:p>
    <w:p>
      <w:pPr>
        <w:spacing w:after="0" w:line="15" w:lineRule="exact"/>
        <w:rPr>
          <w:rFonts w:ascii="Times New Roman" w:cs="Times New Roman" w:eastAsia="Times New Roman" w:hAnsi="Times New Roman"/>
          <w:sz w:val="20"/>
          <w:szCs w:val="20"/>
          <w:color w:val="auto"/>
        </w:rPr>
      </w:pPr>
    </w:p>
    <w:p>
      <w:pPr>
        <w:ind w:left="880" w:hanging="332"/>
        <w:spacing w:after="0" w:line="223" w:lineRule="auto"/>
        <w:tabs>
          <w:tab w:leader="none" w:pos="8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Federal and Illinois State lobbying, if requested.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2 - Compensation and Expenses</w:t>
      </w:r>
    </w:p>
    <w:p>
      <w:pPr>
        <w:spacing w:after="0" w:line="243" w:lineRule="exact"/>
        <w:rPr>
          <w:sz w:val="20"/>
          <w:szCs w:val="20"/>
          <w:color w:val="auto"/>
        </w:rPr>
      </w:pPr>
    </w:p>
    <w:p>
      <w:pPr>
        <w:ind w:left="520" w:hanging="188"/>
        <w:spacing w:after="0"/>
        <w:tabs>
          <w:tab w:leader="none" w:pos="5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For Services per Schedule 1, Client will pay Consultant the following fees:</w:t>
      </w:r>
    </w:p>
    <w:p>
      <w:pPr>
        <w:spacing w:after="0" w:line="215" w:lineRule="exact"/>
        <w:rPr>
          <w:rFonts w:ascii="Times New Roman" w:cs="Times New Roman" w:eastAsia="Times New Roman" w:hAnsi="Times New Roman"/>
          <w:sz w:val="20"/>
          <w:szCs w:val="20"/>
          <w:color w:val="auto"/>
        </w:rPr>
      </w:pP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$ 15,000.00 per month, invoiced monthly during the Term, invoice to be sent to the address provided by Client on Schedule 3.</w:t>
      </w:r>
    </w:p>
    <w:p>
      <w:pPr>
        <w:spacing w:after="0" w:line="238" w:lineRule="exact"/>
        <w:rPr>
          <w:rFonts w:ascii="Times New Roman" w:cs="Times New Roman" w:eastAsia="Times New Roman" w:hAnsi="Times New Roman"/>
          <w:sz w:val="20"/>
          <w:szCs w:val="20"/>
          <w:color w:val="auto"/>
        </w:rPr>
      </w:pPr>
    </w:p>
    <w:p>
      <w:pPr>
        <w:ind w:firstLine="332"/>
        <w:spacing w:after="0" w:line="255" w:lineRule="auto"/>
        <w:tabs>
          <w:tab w:leader="none" w:pos="53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Client will pay and reimburse Consultant for out-of-state business expenses incurred in providing the Services, invoiced monthly. Out of state expenses require the prior approval of Client. All other expenses are included under Schedule 1, including transportation in the state of Illinois.</w:t>
      </w:r>
    </w:p>
    <w:p>
      <w:pPr>
        <w:spacing w:after="0" w:line="210" w:lineRule="exact"/>
        <w:rPr>
          <w:rFonts w:ascii="Times New Roman" w:cs="Times New Roman" w:eastAsia="Times New Roman" w:hAnsi="Times New Roman"/>
          <w:sz w:val="20"/>
          <w:szCs w:val="20"/>
          <w:color w:val="auto"/>
        </w:rPr>
      </w:pPr>
    </w:p>
    <w:p>
      <w:pPr>
        <w:ind w:firstLine="332"/>
        <w:spacing w:after="0" w:line="255" w:lineRule="auto"/>
        <w:tabs>
          <w:tab w:leader="none" w:pos="52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its sole and exclusive discretion, Consultant may require Client to pay in advance or directly to a vendor or creditor any expense(s) in connection with this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SCHEDULE 3 - Contact Information</w:t>
            </w:r>
          </w:p>
        </w:tc>
        <w:tc>
          <w:tcPr>
            <w:tcW w:w="148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434"/>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Consultant:</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Client:</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Mercury Public Affairs</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One Earth Sequestration LLC</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218 E Bearss Avenue, #405</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Attn: Steven Kelly</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Tampa, FL 33613</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202 N. Jordan Dr.</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Email: dasaccounting@mercuryllc.com</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Gibson City, IL 60936</w:t>
            </w:r>
          </w:p>
        </w:tc>
      </w:tr>
      <w:tr>
        <w:trPr>
          <w:trHeight w:val="216"/>
        </w:trPr>
        <w:tc>
          <w:tcPr>
            <w:tcW w:w="2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Email: zrizvi@rexamerican.com</w:t>
            </w:r>
          </w:p>
        </w:tc>
      </w:tr>
      <w:tr>
        <w:trPr>
          <w:trHeight w:val="234"/>
        </w:trPr>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skelly@oneearthenergy.com</w:t>
            </w:r>
          </w:p>
        </w:tc>
      </w:tr>
      <w:tr>
        <w:trPr>
          <w:trHeight w:val="432"/>
        </w:trPr>
        <w:tc>
          <w:tcPr>
            <w:tcW w:w="2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Billing email: Same as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ind w:left="-656" w:firstLine="656"/>
        <w:spacing w:after="0" w:line="282" w:lineRule="auto"/>
        <w:tabs>
          <w:tab w:leader="none" w:pos="1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7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August 30, 2024</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45" w:name="page46"/>
    <w:bookmarkEnd w:id="45"/>
    <w:p>
      <w:pPr>
        <w:ind w:left="-656" w:firstLine="656"/>
        <w:spacing w:after="0" w:line="282" w:lineRule="auto"/>
        <w:tabs>
          <w:tab w:leader="none" w:pos="1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7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8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August 30, 2024</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July 31, 2024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lvl w:ilvl="1">
      <w:lvlJc w:val="left"/>
      <w:lvlText w:val="(%2)"/>
      <w:numFmt w:val="decimal"/>
      <w:start w:val="1"/>
    </w:lvl>
  </w:abstractNum>
  <w:abstractNum w:abstractNumId="5">
    <w:nsid w:val="66EF438D"/>
    <w:multiLevelType w:val="hybridMultilevel"/>
    <w:lvl w:ilvl="0">
      <w:lvlJc w:val="left"/>
      <w:lvlText w:val="(%1)"/>
      <w:numFmt w:val="decimal"/>
      <w:start w:val="2"/>
    </w:lvl>
    <w:lvl w:ilvl="1">
      <w:lvlJc w:val="left"/>
      <w:lvlText w:val="(%2)"/>
      <w:numFmt w:val="decimal"/>
      <w:start w:val="3"/>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1"/>
      <w:numFmt w:val="decimal"/>
      <w:start w:val="31"/>
    </w:lvl>
  </w:abstractNum>
  <w:abstractNum w:abstractNumId="8">
    <w:nsid w:val="109CF92E"/>
    <w:multiLevelType w:val="hybridMultilevel"/>
    <w:lvl w:ilvl="0">
      <w:lvlJc w:val="left"/>
      <w:lvlText w:val="%1"/>
      <w:numFmt w:val="decimal"/>
      <w:start w:val="10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7"/>
    </w:lvl>
    <w:lvl w:ilvl="1">
      <w:lvlJc w:val="left"/>
      <w:lvlText w:val="(%2)"/>
      <w:numFmt w:val="lowerLetter"/>
      <w:start w:val="1"/>
    </w:lvl>
  </w:abstractNum>
  <w:abstractNum w:abstractNumId="11">
    <w:nsid w:val="1BEFD79F"/>
    <w:multiLevelType w:val="hybridMultilevel"/>
    <w:lvl w:ilvl="0">
      <w:lvlJc w:val="left"/>
      <w:lvlText w:val="(%1)"/>
      <w:numFmt w:val="lowerLetter"/>
      <w:start w:val="4"/>
    </w:lvl>
  </w:abstractNum>
  <w:abstractNum w:abstractNumId="12">
    <w:nsid w:val="41A7C4C9"/>
    <w:multiLevelType w:val="hybridMultilevel"/>
    <w:lvl w:ilvl="0">
      <w:lvlJc w:val="left"/>
      <w:lvlText w:val="%1."/>
      <w:numFmt w:val="decimal"/>
      <w:start w:val="1"/>
    </w:lvl>
    <w:lvl w:ilvl="1">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5"/>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47" Type="http://schemas.openxmlformats.org/officeDocument/2006/relationships/hyperlink" Target="https://www.sec.gov/Archives/edgar/data/744187/000093041324002264/c109730_ex99-3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2024-08-30T11:56:09Z</dcterms:created>
  <dcterms:modified xsi:type="dcterms:W3CDTF">2024-08-30T11:56:09Z</dcterms:modified>
</cp:coreProperties>
</file>