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125730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60" w:right="1620" w:hanging="452"/>
        <w:spacing w:after="0" w:line="261"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60" w:right="1620" w:hanging="452"/>
        <w:spacing w:after="0" w:line="500"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128905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369"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82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27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31-1095548</w:t>
      </w:r>
    </w:p>
    <w:p>
      <w:pPr>
        <w:spacing w:after="0" w:line="27"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30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820"/>
          </w:cols>
          <w:pgMar w:left="320" w:top="459" w:right="339" w:bottom="1440" w:gutter="0" w:footer="0" w:header="0"/>
          <w:type w:val="continuous"/>
        </w:sectPr>
      </w:pPr>
    </w:p>
    <w:p>
      <w:pPr>
        <w:spacing w:after="0" w:line="30" w:lineRule="exact"/>
        <w:rPr>
          <w:sz w:val="24"/>
          <w:szCs w:val="24"/>
          <w:color w:val="auto"/>
        </w:rPr>
      </w:pPr>
    </w:p>
    <w:p>
      <w:pPr>
        <w:jc w:val="center"/>
        <w:ind w:left="1860"/>
        <w:spacing w:after="0"/>
        <w:rPr>
          <w:sz w:val="20"/>
          <w:szCs w:val="20"/>
          <w:color w:val="auto"/>
        </w:rPr>
      </w:pPr>
      <w:r>
        <w:rPr>
          <w:rFonts w:ascii="Arial" w:cs="Arial" w:eastAsia="Arial" w:hAnsi="Arial"/>
          <w:sz w:val="18"/>
          <w:szCs w:val="18"/>
          <w:b w:val="1"/>
          <w:bCs w:val="1"/>
          <w:color w:val="auto"/>
        </w:rPr>
        <w:t>7720 Paragon Road, Dayton, Ohio</w:t>
      </w:r>
    </w:p>
    <w:p>
      <w:pPr>
        <w:spacing w:after="0" w:line="27" w:lineRule="exact"/>
        <w:rPr>
          <w:sz w:val="24"/>
          <w:szCs w:val="24"/>
          <w:color w:val="auto"/>
        </w:rPr>
      </w:pPr>
    </w:p>
    <w:p>
      <w:pPr>
        <w:jc w:val="center"/>
        <w:ind w:left="186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45459</w:t>
      </w:r>
    </w:p>
    <w:p>
      <w:pPr>
        <w:spacing w:after="0" w:line="27"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440" w:space="720"/>
            <w:col w:w="3080"/>
          </w:cols>
          <w:pgMar w:left="320" w:top="459"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(937) 276-3931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240"/>
          </w:cols>
          <w:pgMar w:left="320" w:top="459" w:right="3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ind w:left="7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7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ind w:left="840"/>
        <w:spacing w:after="0"/>
        <w:tabs>
          <w:tab w:leader="none" w:pos="364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380"/>
        <w:spacing w:after="0"/>
        <w:tabs>
          <w:tab w:leader="none" w:pos="4340" w:val="left"/>
        </w:tabs>
        <w:rPr>
          <w:sz w:val="20"/>
          <w:szCs w:val="20"/>
          <w:color w:val="auto"/>
        </w:rPr>
      </w:pPr>
      <w:r>
        <w:rPr>
          <w:rFonts w:ascii="Arial" w:cs="Arial" w:eastAsia="Arial" w:hAnsi="Arial"/>
          <w:sz w:val="18"/>
          <w:szCs w:val="18"/>
          <w:color w:val="auto"/>
        </w:rPr>
        <w:t>REX</w:t>
      </w:r>
      <w:r>
        <w:rPr>
          <w:sz w:val="20"/>
          <w:szCs w:val="20"/>
          <w:color w:val="auto"/>
        </w:rPr>
        <w:tab/>
      </w: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wp:posOffset>
            </wp:positionH>
            <wp:positionV relativeFrom="paragraph">
              <wp:posOffset>125730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020" w:space="540"/>
            <w:col w:w="7680"/>
          </w:cols>
          <w:pgMar w:left="320" w:top="459" w:right="339" w:bottom="1440" w:gutter="0" w:footer="0" w:header="0"/>
          <w:type w:val="continuous"/>
        </w:sectPr>
      </w:pPr>
    </w:p>
    <w:p>
      <w:pPr>
        <w:spacing w:after="0" w:line="18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1" w:lineRule="exact"/>
        <w:rPr>
          <w:sz w:val="24"/>
          <w:szCs w:val="24"/>
          <w:color w:val="auto"/>
        </w:rPr>
      </w:pPr>
    </w:p>
    <w:p>
      <w:pPr>
        <w:spacing w:after="0" w:line="207" w:lineRule="exact"/>
        <w:tabs>
          <w:tab w:leader="none" w:pos="958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459" w:right="339" w:bottom="1440" w:gutter="0" w:footer="0" w:header="0"/>
          <w:type w:val="continuous"/>
        </w:sectPr>
      </w:pPr>
    </w:p>
    <w:p>
      <w:pPr>
        <w:spacing w:after="0" w:line="151" w:lineRule="exact"/>
        <w:rPr>
          <w:sz w:val="24"/>
          <w:szCs w:val="24"/>
          <w:color w:val="auto"/>
        </w:rPr>
      </w:pPr>
    </w:p>
    <w:p>
      <w:pPr>
        <w:spacing w:after="0" w:line="25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820" w:space="220"/>
            <w:col w:w="4040" w:space="720"/>
            <w:col w:w="4440"/>
          </w:cols>
          <w:pgMar w:left="320" w:top="459"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 the close of business on May 27, 2021 the registrant had 5,992,000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40" w:type="dxa"/>
            <w:vAlign w:val="bottom"/>
            <w:gridSpan w:val="15"/>
          </w:tcPr>
          <w:p>
            <w:pPr>
              <w:jc w:val="center"/>
              <w:ind w:right="820"/>
              <w:spacing w:after="0"/>
              <w:rPr>
                <w:sz w:val="20"/>
                <w:szCs w:val="20"/>
                <w:color w:val="auto"/>
              </w:rPr>
            </w:pPr>
            <w:r>
              <w:rPr>
                <w:rFonts w:ascii="Arial" w:cs="Arial" w:eastAsia="Arial" w:hAnsi="Arial"/>
                <w:sz w:val="22"/>
                <w:szCs w:val="22"/>
                <w:color w:val="auto"/>
                <w:w w:val="94"/>
              </w:rPr>
              <w:t>REX AMERICAN RESOURCES CORPORATION AND SUBSIDIARIES</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7"/>
          </w:tcPr>
          <w:p>
            <w:pPr>
              <w:jc w:val="center"/>
              <w:ind w:right="3780"/>
              <w:spacing w:after="0"/>
              <w:rPr>
                <w:sz w:val="20"/>
                <w:szCs w:val="20"/>
                <w:color w:val="auto"/>
              </w:rPr>
            </w:pPr>
            <w:r>
              <w:rPr>
                <w:rFonts w:ascii="Arial" w:cs="Arial" w:eastAsia="Arial" w:hAnsi="Arial"/>
                <w:sz w:val="22"/>
                <w:szCs w:val="22"/>
                <w:color w:val="auto"/>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408"/>
        </w:trPr>
        <w:tc>
          <w:tcPr>
            <w:tcW w:w="1140" w:type="dxa"/>
            <w:vAlign w:val="bottom"/>
            <w:gridSpan w:val="5"/>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PART I.</w:t>
              </w:r>
            </w:hyperlink>
          </w:p>
        </w:tc>
        <w:tc>
          <w:tcPr>
            <w:tcW w:w="8720" w:type="dxa"/>
            <w:vAlign w:val="bottom"/>
            <w:gridSpan w:val="1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
              <w:r>
                <w:rPr>
                  <w:rFonts w:ascii="Arial" w:cs="Arial" w:eastAsia="Arial" w:hAnsi="Arial"/>
                  <w:sz w:val="22"/>
                  <w:szCs w:val="22"/>
                  <w:color w:val="0000EE"/>
                  <w:w w:val="89"/>
                </w:rPr>
                <w:t>Item 1.</w:t>
              </w:r>
            </w:hyperlink>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Statements</w:t>
              </w:r>
            </w:hyperlink>
          </w:p>
        </w:tc>
        <w:tc>
          <w:tcPr>
            <w:tcW w:w="6020" w:type="dxa"/>
            <w:vAlign w:val="bottom"/>
            <w:gridSpan w:val="10"/>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Consolidated Condensed Balance Sheets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2</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Borders>
              <w:bottom w:val="single" w:sz="8" w:color="0000EE"/>
            </w:tcBorders>
            <w:gridSpan w:val="11"/>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Consolidated Condensed Statements of Operations</w:t>
              </w:r>
            </w:hyperlink>
          </w:p>
        </w:tc>
        <w:tc>
          <w:tcPr>
            <w:tcW w:w="4320" w:type="dxa"/>
            <w:vAlign w:val="bottom"/>
            <w:gridSpan w:val="6"/>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20" w:type="dxa"/>
            <w:vAlign w:val="bottom"/>
            <w:gridSpan w:val="17"/>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Consolidated Condensed Statements of Equity</w:t>
              </w:r>
            </w:hyperlink>
          </w:p>
        </w:tc>
        <w:tc>
          <w:tcPr>
            <w:tcW w:w="1380" w:type="dxa"/>
            <w:vAlign w:val="bottom"/>
          </w:tcPr>
          <w:p>
            <w:pPr>
              <w:jc w:val="right"/>
              <w:spacing w:after="0" w:line="22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Borders>
              <w:bottom w:val="single" w:sz="8" w:color="0000EE"/>
            </w:tcBorders>
            <w:gridSpan w:val="12"/>
          </w:tcPr>
          <w:p>
            <w:pPr>
              <w:spacing w:after="0" w:line="223" w:lineRule="exact"/>
              <w:rPr>
                <w:rFonts w:ascii="Arial" w:cs="Arial" w:eastAsia="Arial" w:hAnsi="Arial"/>
                <w:sz w:val="22"/>
                <w:szCs w:val="22"/>
                <w:color w:val="0000EE"/>
                <w:w w:val="87"/>
              </w:rPr>
            </w:pPr>
            <w:hyperlink w:anchor="page6">
              <w:r>
                <w:rPr>
                  <w:rFonts w:ascii="Arial" w:cs="Arial" w:eastAsia="Arial" w:hAnsi="Arial"/>
                  <w:sz w:val="22"/>
                  <w:szCs w:val="22"/>
                  <w:color w:val="0000EE"/>
                  <w:w w:val="87"/>
                </w:rPr>
                <w:t>Consolidated Condensed Statements of Cash Flows</w:t>
              </w:r>
            </w:hyperlink>
          </w:p>
        </w:tc>
        <w:tc>
          <w:tcPr>
            <w:tcW w:w="4260" w:type="dxa"/>
            <w:vAlign w:val="bottom"/>
            <w:gridSpan w:val="5"/>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rFonts w:ascii="Arial" w:cs="Arial" w:eastAsia="Arial" w:hAnsi="Arial"/>
                <w:sz w:val="22"/>
                <w:szCs w:val="22"/>
                <w:color w:val="0000EE"/>
                <w:w w:val="87"/>
              </w:rPr>
            </w:pPr>
            <w:hyperlink w:anchor="page7">
              <w:r>
                <w:rPr>
                  <w:rFonts w:ascii="Arial" w:cs="Arial" w:eastAsia="Arial" w:hAnsi="Arial"/>
                  <w:sz w:val="22"/>
                  <w:szCs w:val="22"/>
                  <w:color w:val="0000EE"/>
                  <w:w w:val="87"/>
                </w:rPr>
                <w:t>Notes to Consolidated Condensed Financial Statements</w:t>
              </w:r>
            </w:hyperlink>
          </w:p>
        </w:tc>
        <w:tc>
          <w:tcPr>
            <w:tcW w:w="3920" w:type="dxa"/>
            <w:vAlign w:val="bottom"/>
            <w:gridSpan w:val="4"/>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439"/>
        </w:trPr>
        <w:tc>
          <w:tcPr>
            <w:tcW w:w="620" w:type="dxa"/>
            <w:vAlign w:val="bottom"/>
            <w:tcBorders>
              <w:bottom w:val="single" w:sz="8" w:color="0000EE"/>
            </w:tcBorders>
          </w:tcPr>
          <w:p>
            <w:pPr>
              <w:spacing w:after="0"/>
              <w:rPr>
                <w:rFonts w:ascii="Arial" w:cs="Arial" w:eastAsia="Arial" w:hAnsi="Arial"/>
                <w:sz w:val="22"/>
                <w:szCs w:val="22"/>
                <w:color w:val="0000EE"/>
                <w:w w:val="89"/>
              </w:rPr>
            </w:pPr>
            <w:hyperlink w:anchor="page22">
              <w:r>
                <w:rPr>
                  <w:rFonts w:ascii="Arial" w:cs="Arial" w:eastAsia="Arial" w:hAnsi="Arial"/>
                  <w:sz w:val="22"/>
                  <w:szCs w:val="22"/>
                  <w:color w:val="0000EE"/>
                  <w:w w:val="89"/>
                </w:rPr>
                <w:t>Item 2.</w:t>
              </w:r>
            </w:hyperlink>
          </w:p>
        </w:tc>
        <w:tc>
          <w:tcPr>
            <w:tcW w:w="52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rFonts w:ascii="Arial" w:cs="Arial" w:eastAsia="Arial" w:hAnsi="Arial"/>
                <w:sz w:val="22"/>
                <w:szCs w:val="22"/>
                <w:color w:val="0000EE"/>
                <w:w w:val="89"/>
              </w:rPr>
            </w:pPr>
            <w:hyperlink w:anchor="page22">
              <w:r>
                <w:rPr>
                  <w:rFonts w:ascii="Arial" w:cs="Arial" w:eastAsia="Arial" w:hAnsi="Arial"/>
                  <w:sz w:val="22"/>
                  <w:szCs w:val="22"/>
                  <w:color w:val="0000EE"/>
                  <w:w w:val="89"/>
                </w:rPr>
                <w:t>Management’s Discussion and Analysis of Financial Condition and Results of Operations</w:t>
              </w:r>
            </w:hyperlink>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439"/>
        </w:trPr>
        <w:tc>
          <w:tcPr>
            <w:tcW w:w="620" w:type="dxa"/>
            <w:vAlign w:val="bottom"/>
            <w:tcBorders>
              <w:bottom w:val="single" w:sz="8" w:color="0000EE"/>
            </w:tcBorders>
          </w:tcPr>
          <w:p>
            <w:pPr>
              <w:spacing w:after="0"/>
              <w:rPr>
                <w:rFonts w:ascii="Arial" w:cs="Arial" w:eastAsia="Arial" w:hAnsi="Arial"/>
                <w:sz w:val="22"/>
                <w:szCs w:val="22"/>
                <w:color w:val="0000EE"/>
                <w:w w:val="89"/>
              </w:rPr>
            </w:pPr>
            <w:hyperlink w:anchor="page33">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22"/>
                <w:szCs w:val="22"/>
                <w:color w:val="0000EE"/>
                <w:w w:val="90"/>
              </w:rPr>
            </w:pPr>
            <w:hyperlink w:anchor="page33">
              <w:r>
                <w:rPr>
                  <w:rFonts w:ascii="Arial" w:cs="Arial" w:eastAsia="Arial" w:hAnsi="Arial"/>
                  <w:sz w:val="22"/>
                  <w:szCs w:val="22"/>
                  <w:color w:val="0000EE"/>
                  <w:w w:val="90"/>
                </w:rPr>
                <w:t>Quantitative and Qualitative Disclosures About Market Risk</w:t>
              </w:r>
            </w:hyperlink>
          </w:p>
        </w:tc>
        <w:tc>
          <w:tcPr>
            <w:tcW w:w="348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439"/>
        </w:trPr>
        <w:tc>
          <w:tcPr>
            <w:tcW w:w="620" w:type="dxa"/>
            <w:vAlign w:val="bottom"/>
          </w:tcPr>
          <w:p>
            <w:pPr>
              <w:spacing w:after="0"/>
              <w:rPr>
                <w:rFonts w:ascii="Arial" w:cs="Arial" w:eastAsia="Arial" w:hAnsi="Arial"/>
                <w:sz w:val="22"/>
                <w:szCs w:val="22"/>
                <w:color w:val="0000EE"/>
                <w:w w:val="89"/>
              </w:rPr>
            </w:pPr>
            <w:hyperlink w:anchor="page33">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Controls and Procedures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00" w:type="dxa"/>
            <w:vAlign w:val="bottom"/>
            <w:gridSpan w:val="4"/>
          </w:tcPr>
          <w:p>
            <w:pPr>
              <w:spacing w:after="0"/>
              <w:rPr>
                <w:rFonts w:ascii="Arial" w:cs="Arial" w:eastAsia="Arial" w:hAnsi="Arial"/>
                <w:sz w:val="22"/>
                <w:szCs w:val="22"/>
                <w:color w:val="0000EE"/>
                <w:w w:val="93"/>
              </w:rPr>
            </w:pPr>
            <w:hyperlink w:anchor="page34">
              <w:r>
                <w:rPr>
                  <w:rFonts w:ascii="Arial" w:cs="Arial" w:eastAsia="Arial" w:hAnsi="Arial"/>
                  <w:sz w:val="22"/>
                  <w:szCs w:val="22"/>
                  <w:color w:val="0000EE"/>
                  <w:w w:val="93"/>
                </w:rPr>
                <w:t>PART II.</w:t>
              </w:r>
            </w:hyperlink>
          </w:p>
        </w:tc>
        <w:tc>
          <w:tcPr>
            <w:tcW w:w="340" w:type="dxa"/>
            <w:vAlign w:val="bottom"/>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OTHER INFORMATION</w:t>
              </w:r>
            </w:hyperlink>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1.</w:t>
              </w:r>
            </w:hyperlink>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Legal Proceedings</w:t>
              </w:r>
            </w:hyperlink>
          </w:p>
        </w:tc>
        <w:tc>
          <w:tcPr>
            <w:tcW w:w="646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22"/>
                <w:szCs w:val="22"/>
                <w:color w:val="0000EE"/>
                <w:w w:val="92"/>
              </w:rPr>
            </w:pPr>
            <w:hyperlink w:anchor="page34">
              <w:r>
                <w:rPr>
                  <w:rFonts w:ascii="Arial" w:cs="Arial" w:eastAsia="Arial" w:hAnsi="Arial"/>
                  <w:sz w:val="22"/>
                  <w:szCs w:val="22"/>
                  <w:color w:val="0000EE"/>
                  <w:w w:val="92"/>
                </w:rPr>
                <w:t>Item 1A.</w:t>
              </w:r>
            </w:hyperlink>
          </w:p>
        </w:tc>
        <w:tc>
          <w:tcPr>
            <w:tcW w:w="360" w:type="dxa"/>
            <w:vAlign w:val="bottom"/>
            <w:gridSpan w:val="2"/>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Risk Factors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0" w:type="dxa"/>
            <w:vAlign w:val="bottom"/>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2.</w:t>
              </w:r>
            </w:hyperlink>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Unregistered Sales of Equity Securities and Use of Proceeds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439"/>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Defaults upon Senior Securities</w:t>
              </w:r>
            </w:hyperlink>
          </w:p>
        </w:tc>
        <w:tc>
          <w:tcPr>
            <w:tcW w:w="350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439"/>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8"/>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Mine Safety Disclosures</w:t>
              </w:r>
            </w:hyperlink>
          </w:p>
        </w:tc>
        <w:tc>
          <w:tcPr>
            <w:tcW w:w="5980" w:type="dxa"/>
            <w:vAlign w:val="bottom"/>
            <w:gridSpan w:val="9"/>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439"/>
        </w:trPr>
        <w:tc>
          <w:tcPr>
            <w:tcW w:w="620" w:type="dxa"/>
            <w:vAlign w:val="bottom"/>
            <w:tcBorders>
              <w:top w:val="single" w:sz="8" w:color="0000EE"/>
              <w:bottom w:val="single" w:sz="8" w:color="0000EE"/>
            </w:tcBorders>
          </w:tcPr>
          <w:p>
            <w:pPr>
              <w:spacing w:after="0"/>
              <w:rPr>
                <w:rFonts w:ascii="Arial" w:cs="Arial" w:eastAsia="Arial" w:hAnsi="Arial"/>
                <w:sz w:val="22"/>
                <w:szCs w:val="22"/>
                <w:color w:val="0000EE"/>
                <w:w w:val="89"/>
              </w:rPr>
            </w:pPr>
            <w:hyperlink w:anchor="page34">
              <w:r>
                <w:rPr>
                  <w:rFonts w:ascii="Arial" w:cs="Arial" w:eastAsia="Arial" w:hAnsi="Arial"/>
                  <w:sz w:val="22"/>
                  <w:szCs w:val="22"/>
                  <w:color w:val="0000EE"/>
                  <w:w w:val="89"/>
                </w:rPr>
                <w:t>Item 5.</w:t>
              </w:r>
            </w:hyperlink>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rFonts w:ascii="Arial" w:cs="Arial" w:eastAsia="Arial" w:hAnsi="Arial"/>
                <w:sz w:val="22"/>
                <w:szCs w:val="22"/>
                <w:color w:val="0000EE"/>
                <w:w w:val="91"/>
              </w:rPr>
            </w:pPr>
            <w:hyperlink w:anchor="page34">
              <w:r>
                <w:rPr>
                  <w:rFonts w:ascii="Arial" w:cs="Arial" w:eastAsia="Arial" w:hAnsi="Arial"/>
                  <w:sz w:val="22"/>
                  <w:szCs w:val="22"/>
                  <w:color w:val="0000EE"/>
                  <w:w w:val="91"/>
                </w:rPr>
                <w:t>Other Information</w:t>
              </w:r>
            </w:hyperlink>
          </w:p>
        </w:tc>
        <w:tc>
          <w:tcPr>
            <w:tcW w:w="520" w:type="dxa"/>
            <w:vAlign w:val="bottom"/>
            <w:tcBorders>
              <w:top w:val="single" w:sz="8" w:color="0000EE"/>
            </w:tcBorders>
            <w:gridSpan w:val="2"/>
          </w:tcPr>
          <w:p>
            <w:pPr>
              <w:spacing w:after="0"/>
              <w:rPr>
                <w:sz w:val="24"/>
                <w:szCs w:val="24"/>
                <w:color w:val="auto"/>
              </w:rPr>
            </w:pPr>
          </w:p>
        </w:tc>
        <w:tc>
          <w:tcPr>
            <w:tcW w:w="6600" w:type="dxa"/>
            <w:vAlign w:val="bottom"/>
            <w:gridSpan w:val="1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439"/>
        </w:trPr>
        <w:tc>
          <w:tcPr>
            <w:tcW w:w="1140" w:type="dxa"/>
            <w:vAlign w:val="bottom"/>
            <w:gridSpan w:val="5"/>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Item 6.</w:t>
              </w:r>
            </w:hyperlink>
          </w:p>
        </w:tc>
        <w:tc>
          <w:tcPr>
            <w:tcW w:w="8720" w:type="dxa"/>
            <w:vAlign w:val="bottom"/>
            <w:gridSpan w:val="17"/>
          </w:tcPr>
          <w:p>
            <w:pPr>
              <w:spacing w:after="0"/>
              <w:rPr>
                <w:rFonts w:ascii="Arial" w:cs="Arial" w:eastAsia="Arial" w:hAnsi="Arial"/>
                <w:sz w:val="22"/>
                <w:szCs w:val="22"/>
                <w:color w:val="0000EE"/>
              </w:rPr>
            </w:pPr>
            <w:hyperlink w:anchor="page34">
              <w:r>
                <w:rPr>
                  <w:rFonts w:ascii="Arial" w:cs="Arial" w:eastAsia="Arial" w:hAnsi="Arial"/>
                  <w:sz w:val="22"/>
                  <w:szCs w:val="22"/>
                  <w:color w:val="0000EE"/>
                </w:rPr>
                <w:t>Exhibits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98"/>
        </w:trPr>
        <w:tc>
          <w:tcPr>
            <w:tcW w:w="620" w:type="dxa"/>
            <w:vAlign w:val="bottom"/>
            <w:tcBorders>
              <w:top w:val="single" w:sz="8" w:color="0000EE"/>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720" w:type="dxa"/>
            <w:vAlign w:val="bottom"/>
            <w:tcBorders>
              <w:top w:val="single" w:sz="8" w:color="0000EE"/>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52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50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6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42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2520" w:type="dxa"/>
            <w:vAlign w:val="bottom"/>
            <w:tcBorders>
              <w:bottom w:val="single" w:sz="8" w:color="C0C0C0"/>
            </w:tcBorders>
          </w:tcPr>
          <w:p>
            <w:pPr>
              <w:spacing w:after="0"/>
              <w:rPr>
                <w:sz w:val="24"/>
                <w:szCs w:val="24"/>
                <w:color w:val="auto"/>
              </w:rPr>
            </w:pPr>
          </w:p>
        </w:tc>
        <w:tc>
          <w:tcPr>
            <w:tcW w:w="96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8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38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30,</w:t>
            </w:r>
          </w:p>
        </w:tc>
        <w:tc>
          <w:tcPr>
            <w:tcW w:w="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January 31,</w:t>
            </w:r>
          </w:p>
        </w:tc>
        <w:tc>
          <w:tcPr>
            <w:tcW w:w="0" w:type="dxa"/>
            <w:vAlign w:val="bottom"/>
          </w:tcPr>
          <w:p>
            <w:pPr>
              <w:spacing w:after="0"/>
              <w:rPr>
                <w:sz w:val="1"/>
                <w:szCs w:val="1"/>
                <w:color w:val="auto"/>
              </w:rPr>
            </w:pPr>
          </w:p>
        </w:tc>
      </w:tr>
      <w:tr>
        <w:trPr>
          <w:trHeight w:val="234"/>
        </w:trPr>
        <w:tc>
          <w:tcPr>
            <w:tcW w:w="838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E5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838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157,105</w:t>
            </w:r>
          </w:p>
        </w:tc>
        <w:tc>
          <w:tcPr>
            <w:tcW w:w="8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144,501</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35,864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36,194</w:t>
            </w: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27,557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19,713</w:t>
            </w: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26,687</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37,880</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r>
        <w:trPr>
          <w:trHeight w:val="230"/>
        </w:trPr>
        <w:tc>
          <w:tcPr>
            <w:tcW w:w="8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14,831</w:t>
            </w:r>
          </w:p>
        </w:tc>
        <w:tc>
          <w:tcPr>
            <w:tcW w:w="80" w:type="dxa"/>
            <w:vAlign w:val="bottom"/>
            <w:shd w:val="clear" w:color="auto" w:fill="E5FFFF"/>
          </w:tcPr>
          <w:p>
            <w:pPr>
              <w:spacing w:after="0"/>
              <w:rPr>
                <w:sz w:val="19"/>
                <w:szCs w:val="19"/>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12,785</w:t>
            </w:r>
          </w:p>
        </w:tc>
        <w:tc>
          <w:tcPr>
            <w:tcW w:w="0" w:type="dxa"/>
            <w:vAlign w:val="bottom"/>
          </w:tcPr>
          <w:p>
            <w:pPr>
              <w:spacing w:after="0"/>
              <w:rPr>
                <w:sz w:val="1"/>
                <w:szCs w:val="1"/>
                <w:color w:val="auto"/>
              </w:rPr>
            </w:pPr>
          </w:p>
        </w:tc>
      </w:tr>
      <w:tr>
        <w:trPr>
          <w:trHeight w:val="209"/>
        </w:trPr>
        <w:tc>
          <w:tcPr>
            <w:tcW w:w="83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269,781</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258,750</w:t>
            </w: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149,067</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153,186</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11,289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12,678</w:t>
            </w: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spacing w:after="0"/>
              <w:rPr>
                <w:sz w:val="20"/>
                <w:szCs w:val="20"/>
                <w:color w:val="auto"/>
              </w:rPr>
            </w:pPr>
            <w:r>
              <w:rPr>
                <w:rFonts w:ascii="Arial" w:cs="Arial" w:eastAsia="Arial" w:hAnsi="Arial"/>
                <w:sz w:val="18"/>
                <w:szCs w:val="18"/>
                <w:color w:val="auto"/>
              </w:rPr>
              <w:t>Deferred taxes and other assets</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25,977</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25,275</w:t>
            </w: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30,026</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29,456</w:t>
            </w:r>
          </w:p>
        </w:tc>
        <w:tc>
          <w:tcPr>
            <w:tcW w:w="0" w:type="dxa"/>
            <w:vAlign w:val="bottom"/>
          </w:tcPr>
          <w:p>
            <w:pPr>
              <w:spacing w:after="0"/>
              <w:rPr>
                <w:sz w:val="1"/>
                <w:szCs w:val="1"/>
                <w:color w:val="auto"/>
              </w:rPr>
            </w:pPr>
          </w:p>
        </w:tc>
      </w:tr>
      <w:tr>
        <w:trPr>
          <w:trHeight w:val="223"/>
        </w:trPr>
        <w:tc>
          <w:tcPr>
            <w:tcW w:w="838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486,140</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479,345</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80" w:type="dxa"/>
            <w:vAlign w:val="bottom"/>
          </w:tcPr>
          <w:p>
            <w:pPr>
              <w:ind w:left="180"/>
              <w:spacing w:after="0" w:line="201" w:lineRule="exact"/>
              <w:rPr>
                <w:sz w:val="20"/>
                <w:szCs w:val="20"/>
                <w:color w:val="auto"/>
              </w:rPr>
            </w:pPr>
            <w:r>
              <w:rPr>
                <w:rFonts w:ascii="Arial" w:cs="Arial" w:eastAsia="Arial" w:hAnsi="Arial"/>
                <w:sz w:val="18"/>
                <w:szCs w:val="18"/>
                <w:color w:val="auto"/>
                <w:w w:val="99"/>
              </w:rPr>
              <w:t>Accounts payable, trade (includes $1.3 million and $0.7 million with related parties at April 30, 2021 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Arial" w:cs="Arial" w:eastAsia="Arial" w:hAnsi="Arial"/>
                <w:sz w:val="18"/>
                <w:szCs w:val="18"/>
                <w:color w:val="auto"/>
              </w:rPr>
              <w:t>January 31, 2021, respectively)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15,808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4,632</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02"/>
        </w:trPr>
        <w:tc>
          <w:tcPr>
            <w:tcW w:w="8380" w:type="dxa"/>
            <w:vAlign w:val="bottom"/>
          </w:tcPr>
          <w:p>
            <w:pPr>
              <w:ind w:left="180"/>
              <w:spacing w:after="0" w:line="201" w:lineRule="exact"/>
              <w:rPr>
                <w:sz w:val="20"/>
                <w:szCs w:val="20"/>
                <w:color w:val="auto"/>
              </w:rPr>
            </w:pPr>
            <w:r>
              <w:rPr>
                <w:rFonts w:ascii="Arial" w:cs="Arial" w:eastAsia="Arial" w:hAnsi="Arial"/>
                <w:sz w:val="18"/>
                <w:szCs w:val="18"/>
                <w:color w:val="auto"/>
                <w:w w:val="94"/>
              </w:rPr>
              <w:t>Accrued expenses and other current liabilities (includes $0.1 million with related parties at April 30, 2021 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380" w:type="dxa"/>
            <w:vAlign w:val="bottom"/>
          </w:tcPr>
          <w:p>
            <w:pPr>
              <w:ind w:left="360"/>
              <w:spacing w:after="0"/>
              <w:rPr>
                <w:sz w:val="20"/>
                <w:szCs w:val="20"/>
                <w:color w:val="auto"/>
              </w:rPr>
            </w:pPr>
            <w:r>
              <w:rPr>
                <w:rFonts w:ascii="Arial" w:cs="Arial" w:eastAsia="Arial" w:hAnsi="Arial"/>
                <w:sz w:val="18"/>
                <w:szCs w:val="18"/>
                <w:color w:val="auto"/>
              </w:rPr>
              <w:t>January 31, 2021)</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9,185</w:t>
            </w: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10"/>
        </w:trPr>
        <w:tc>
          <w:tcPr>
            <w:tcW w:w="83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29,625</w:t>
            </w:r>
          </w:p>
        </w:tc>
        <w:tc>
          <w:tcPr>
            <w:tcW w:w="3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30,737</w:t>
            </w:r>
          </w:p>
        </w:tc>
        <w:tc>
          <w:tcPr>
            <w:tcW w:w="0" w:type="dxa"/>
            <w:vAlign w:val="bottom"/>
          </w:tcPr>
          <w:p>
            <w:pPr>
              <w:spacing w:after="0"/>
              <w:rPr>
                <w:sz w:val="1"/>
                <w:szCs w:val="1"/>
                <w:color w:val="auto"/>
              </w:rPr>
            </w:pPr>
          </w:p>
        </w:tc>
      </w:tr>
      <w:tr>
        <w:trPr>
          <w:trHeight w:val="210"/>
        </w:trPr>
        <w:tc>
          <w:tcPr>
            <w:tcW w:w="8380" w:type="dxa"/>
            <w:vAlign w:val="bottom"/>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4,294</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6,327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29"/>
        </w:trPr>
        <w:tc>
          <w:tcPr>
            <w:tcW w:w="83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E5FFFF"/>
          </w:tcPr>
          <w:p>
            <w:pPr>
              <w:spacing w:after="0"/>
              <w:rPr>
                <w:sz w:val="19"/>
                <w:szCs w:val="19"/>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E5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340" w:type="dxa"/>
            <w:vAlign w:val="bottom"/>
            <w:tcBorders>
              <w:bottom w:val="single" w:sz="8" w:color="E5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10"/>
        </w:trPr>
        <w:tc>
          <w:tcPr>
            <w:tcW w:w="838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REX shareholders’ equity: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ind w:left="54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380" w:type="dxa"/>
            <w:vAlign w:val="bottom"/>
          </w:tcPr>
          <w:p>
            <w:pPr>
              <w:ind w:left="54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149,144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149,110</w:t>
            </w:r>
          </w:p>
        </w:tc>
        <w:tc>
          <w:tcPr>
            <w:tcW w:w="0" w:type="dxa"/>
            <w:vAlign w:val="bottom"/>
          </w:tcPr>
          <w:p>
            <w:pPr>
              <w:spacing w:after="0"/>
              <w:rPr>
                <w:sz w:val="1"/>
                <w:szCs w:val="1"/>
                <w:color w:val="auto"/>
              </w:rPr>
            </w:pPr>
          </w:p>
        </w:tc>
      </w:tr>
      <w:tr>
        <w:trPr>
          <w:trHeight w:val="216"/>
        </w:trPr>
        <w:tc>
          <w:tcPr>
            <w:tcW w:w="8380" w:type="dxa"/>
            <w:vAlign w:val="bottom"/>
            <w:shd w:val="clear" w:color="auto" w:fill="E5FFFF"/>
          </w:tcPr>
          <w:p>
            <w:pPr>
              <w:ind w:left="5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597,770</w:t>
            </w:r>
          </w:p>
        </w:tc>
        <w:tc>
          <w:tcPr>
            <w:tcW w:w="8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589,986</w:t>
            </w:r>
          </w:p>
        </w:tc>
        <w:tc>
          <w:tcPr>
            <w:tcW w:w="0" w:type="dxa"/>
            <w:vAlign w:val="bottom"/>
          </w:tcPr>
          <w:p>
            <w:pPr>
              <w:spacing w:after="0"/>
              <w:rPr>
                <w:sz w:val="1"/>
                <w:szCs w:val="1"/>
                <w:color w:val="auto"/>
              </w:rPr>
            </w:pPr>
          </w:p>
        </w:tc>
      </w:tr>
      <w:tr>
        <w:trPr>
          <w:trHeight w:val="230"/>
        </w:trPr>
        <w:tc>
          <w:tcPr>
            <w:tcW w:w="8380" w:type="dxa"/>
            <w:vAlign w:val="bottom"/>
          </w:tcPr>
          <w:p>
            <w:pPr>
              <w:ind w:left="54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(354,604)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(354,612)</w:t>
            </w:r>
          </w:p>
        </w:tc>
        <w:tc>
          <w:tcPr>
            <w:tcW w:w="0" w:type="dxa"/>
            <w:vAlign w:val="bottom"/>
          </w:tcPr>
          <w:p>
            <w:pPr>
              <w:spacing w:after="0"/>
              <w:rPr>
                <w:sz w:val="1"/>
                <w:szCs w:val="1"/>
                <w:color w:val="auto"/>
              </w:rPr>
            </w:pPr>
          </w:p>
        </w:tc>
      </w:tr>
      <w:tr>
        <w:trPr>
          <w:trHeight w:val="210"/>
        </w:trPr>
        <w:tc>
          <w:tcPr>
            <w:tcW w:w="8380" w:type="dxa"/>
            <w:vAlign w:val="bottom"/>
            <w:tcBorders>
              <w:top w:val="single" w:sz="8" w:color="E5FFFF"/>
            </w:tcBorders>
            <w:shd w:val="clear" w:color="auto" w:fill="E5FFFF"/>
          </w:tcPr>
          <w:p>
            <w:pPr>
              <w:ind w:left="720"/>
              <w:spacing w:after="0"/>
              <w:rPr>
                <w:sz w:val="20"/>
                <w:szCs w:val="20"/>
                <w:color w:val="auto"/>
              </w:rPr>
            </w:pPr>
            <w:r>
              <w:rPr>
                <w:rFonts w:ascii="Arial" w:cs="Arial" w:eastAsia="Arial" w:hAnsi="Arial"/>
                <w:sz w:val="18"/>
                <w:szCs w:val="18"/>
                <w:color w:val="auto"/>
              </w:rPr>
              <w:t>Total REX shareholders’ equity</w:t>
            </w:r>
          </w:p>
        </w:tc>
        <w:tc>
          <w:tcPr>
            <w:tcW w:w="2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392,609</w:t>
            </w:r>
          </w:p>
        </w:tc>
        <w:tc>
          <w:tcPr>
            <w:tcW w:w="3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384,783</w:t>
            </w:r>
          </w:p>
        </w:tc>
        <w:tc>
          <w:tcPr>
            <w:tcW w:w="0" w:type="dxa"/>
            <w:vAlign w:val="bottom"/>
          </w:tcPr>
          <w:p>
            <w:pPr>
              <w:spacing w:after="0"/>
              <w:rPr>
                <w:sz w:val="1"/>
                <w:szCs w:val="1"/>
                <w:color w:val="auto"/>
              </w:rPr>
            </w:pP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53,007</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52,400</w:t>
            </w:r>
          </w:p>
        </w:tc>
        <w:tc>
          <w:tcPr>
            <w:tcW w:w="0" w:type="dxa"/>
            <w:vAlign w:val="bottom"/>
          </w:tcPr>
          <w:p>
            <w:pPr>
              <w:spacing w:after="0"/>
              <w:rPr>
                <w:sz w:val="1"/>
                <w:szCs w:val="1"/>
                <w:color w:val="auto"/>
              </w:rPr>
            </w:pPr>
          </w:p>
        </w:tc>
      </w:tr>
      <w:tr>
        <w:trPr>
          <w:trHeight w:val="209"/>
        </w:trPr>
        <w:tc>
          <w:tcPr>
            <w:tcW w:w="838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445,616</w:t>
            </w:r>
          </w:p>
        </w:tc>
        <w:tc>
          <w:tcPr>
            <w:tcW w:w="34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auto"/>
              <w:bottom w:val="single" w:sz="8" w:color="auto"/>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437,183</w:t>
            </w:r>
          </w:p>
        </w:tc>
        <w:tc>
          <w:tcPr>
            <w:tcW w:w="0" w:type="dxa"/>
            <w:vAlign w:val="bottom"/>
          </w:tcPr>
          <w:p>
            <w:pPr>
              <w:spacing w:after="0"/>
              <w:rPr>
                <w:sz w:val="1"/>
                <w:szCs w:val="1"/>
                <w:color w:val="auto"/>
              </w:rPr>
            </w:pPr>
          </w:p>
        </w:tc>
      </w:tr>
      <w:tr>
        <w:trPr>
          <w:trHeight w:val="223"/>
        </w:trPr>
        <w:tc>
          <w:tcPr>
            <w:tcW w:w="838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486,140</w:t>
            </w: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479,345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4399"/>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Ended</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5"/>
              </w:rPr>
              <w:t>April 30,</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w w:val="92"/>
              </w:rPr>
              <w:t>164,104</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83,250</w:t>
            </w: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5"/>
              </w:rPr>
              <w:t>Cost of sales (includes $16.7 million and $12.3 million with related parties for the quarters ended April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980" w:type="dxa"/>
            <w:vAlign w:val="bottom"/>
          </w:tcPr>
          <w:p>
            <w:pPr>
              <w:ind w:left="180"/>
              <w:spacing w:after="0"/>
              <w:rPr>
                <w:sz w:val="20"/>
                <w:szCs w:val="20"/>
                <w:color w:val="auto"/>
              </w:rPr>
            </w:pPr>
            <w:r>
              <w:rPr>
                <w:rFonts w:ascii="Arial" w:cs="Arial" w:eastAsia="Arial" w:hAnsi="Arial"/>
                <w:sz w:val="18"/>
                <w:szCs w:val="18"/>
                <w:color w:val="auto"/>
              </w:rPr>
              <w:t>2021 and 2020, respectively)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146,302</w:t>
            </w: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92,580</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Gross profit (loss)</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0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17,802</w:t>
            </w: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7"/>
              </w:rPr>
              <w:t>Selling, general and administrative expenses (includes $(0.3) million with related parties for the quarter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ended April 30,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(9,988)</w:t>
            </w: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(loss) of unconsolidated affiliates</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0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0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8,427</w:t>
            </w: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89"/>
              </w:rPr>
              <w:t>(13,743)</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0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8,398</w:t>
            </w:r>
          </w:p>
        </w:tc>
        <w:tc>
          <w:tcPr>
            <w:tcW w:w="100" w:type="dxa"/>
            <w:vAlign w:val="bottom"/>
            <w:shd w:val="clear" w:color="auto" w:fill="E5FFFF"/>
          </w:tcPr>
          <w:p>
            <w:pPr>
              <w:spacing w:after="0"/>
              <w:rPr>
                <w:sz w:val="18"/>
                <w:szCs w:val="18"/>
                <w:color w:val="auto"/>
              </w:rPr>
            </w:pP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 attributable to REX common shareholders</w:t>
            </w:r>
          </w:p>
        </w:tc>
        <w:tc>
          <w:tcPr>
            <w:tcW w:w="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0"/>
        </w:trPr>
        <w:tc>
          <w:tcPr>
            <w:tcW w:w="79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8"/>
                <w:szCs w:val="18"/>
                <w:color w:val="auto"/>
              </w:rPr>
              <w:t>Basic and diluted net income (loss) per share attributable to REX common shareholders</w:t>
            </w:r>
          </w:p>
        </w:tc>
        <w:tc>
          <w:tcPr>
            <w:tcW w:w="2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9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w w:val="90"/>
              </w:rPr>
              <w:t>The accompanying notes are an integral part of these unaudited consolidated condensed financial statements.</w:t>
            </w:r>
          </w:p>
        </w:tc>
        <w:tc>
          <w:tcPr>
            <w:tcW w:w="1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April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REX Shareholders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300" w:type="dxa"/>
            <w:vAlign w:val="bottom"/>
            <w:gridSpan w:val="5"/>
          </w:tcPr>
          <w:p>
            <w:pPr>
              <w:jc w:val="right"/>
              <w:ind w:right="740"/>
              <w:spacing w:after="0" w:line="119" w:lineRule="exact"/>
              <w:rPr>
                <w:sz w:val="20"/>
                <w:szCs w:val="20"/>
                <w:color w:val="auto"/>
              </w:rPr>
            </w:pPr>
            <w:r>
              <w:rPr>
                <w:rFonts w:ascii="Arial" w:cs="Arial" w:eastAsia="Arial" w:hAnsi="Arial"/>
                <w:sz w:val="13"/>
                <w:szCs w:val="13"/>
                <w:b w:val="1"/>
                <w:bCs w:val="1"/>
                <w:color w:val="auto"/>
              </w:rPr>
              <w:t>Common Shares</w:t>
            </w: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Issued</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16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1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72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9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0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3"/>
                <w:szCs w:val="13"/>
                <w:color w:val="auto"/>
              </w:rPr>
            </w:pPr>
          </w:p>
        </w:tc>
        <w:tc>
          <w:tcPr>
            <w:tcW w:w="8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2021</w:t>
            </w:r>
          </w:p>
        </w:tc>
        <w:tc>
          <w:tcPr>
            <w:tcW w:w="116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29,853</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299</w:t>
            </w:r>
          </w:p>
        </w:tc>
        <w:tc>
          <w:tcPr>
            <w:tcW w:w="110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23,861</w:t>
            </w:r>
          </w:p>
        </w:tc>
        <w:tc>
          <w:tcPr>
            <w:tcW w:w="180" w:type="dxa"/>
            <w:vAlign w:val="bottom"/>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(354,612)</w:t>
            </w:r>
          </w:p>
        </w:tc>
        <w:tc>
          <w:tcPr>
            <w:tcW w:w="140" w:type="dxa"/>
            <w:vAlign w:val="bottom"/>
            <w:shd w:val="clear" w:color="auto" w:fill="E5FF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149,110</w:t>
            </w:r>
          </w:p>
        </w:tc>
        <w:tc>
          <w:tcPr>
            <w:tcW w:w="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589,986</w:t>
            </w:r>
          </w:p>
        </w:tc>
        <w:tc>
          <w:tcPr>
            <w:tcW w:w="1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52,400</w:t>
            </w:r>
          </w:p>
        </w:tc>
        <w:tc>
          <w:tcPr>
            <w:tcW w:w="160" w:type="dxa"/>
            <w:vAlign w:val="bottom"/>
            <w:shd w:val="clear" w:color="auto" w:fill="E5FF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437,183</w:t>
            </w:r>
          </w:p>
        </w:tc>
        <w:tc>
          <w:tcPr>
            <w:tcW w:w="0" w:type="dxa"/>
            <w:vAlign w:val="bottom"/>
          </w:tcPr>
          <w:p>
            <w:pPr>
              <w:spacing w:after="0"/>
              <w:rPr>
                <w:sz w:val="1"/>
                <w:szCs w:val="1"/>
                <w:color w:val="auto"/>
              </w:rPr>
            </w:pPr>
          </w:p>
        </w:tc>
      </w:tr>
      <w:tr>
        <w:trPr>
          <w:trHeight w:val="312"/>
        </w:trPr>
        <w:tc>
          <w:tcPr>
            <w:tcW w:w="238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7,784</w:t>
            </w: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614</w:t>
            </w: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8,398</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Noncontrolling interests distribution</w:t>
            </w:r>
          </w:p>
        </w:tc>
        <w:tc>
          <w:tcPr>
            <w:tcW w:w="9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8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E5FFFF"/>
          </w:tcPr>
          <w:p>
            <w:pPr>
              <w:spacing w:after="0"/>
              <w:rPr>
                <w:sz w:val="20"/>
                <w:szCs w:val="20"/>
                <w:color w:val="auto"/>
              </w:rPr>
            </w:pPr>
            <w:r>
              <w:rPr>
                <w:rFonts w:ascii="Arial" w:cs="Arial" w:eastAsia="Arial" w:hAnsi="Arial"/>
                <w:sz w:val="14"/>
                <w:szCs w:val="14"/>
                <w:color w:val="auto"/>
              </w:rPr>
              <w:t>and other</w:t>
            </w:r>
          </w:p>
        </w:tc>
        <w:tc>
          <w:tcPr>
            <w:tcW w:w="92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88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00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(75)</w:t>
            </w:r>
          </w:p>
        </w:tc>
        <w:tc>
          <w:tcPr>
            <w:tcW w:w="160" w:type="dxa"/>
            <w:vAlign w:val="bottom"/>
            <w:shd w:val="clear" w:color="auto" w:fill="E5FFFF"/>
          </w:tcPr>
          <w:p>
            <w:pPr>
              <w:spacing w:after="0"/>
              <w:rPr>
                <w:sz w:val="14"/>
                <w:szCs w:val="14"/>
                <w:color w:val="auto"/>
              </w:rPr>
            </w:pP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312"/>
        </w:trPr>
        <w:tc>
          <w:tcPr>
            <w:tcW w:w="2380" w:type="dxa"/>
            <w:vAlign w:val="bottom"/>
          </w:tcPr>
          <w:p>
            <w:pPr>
              <w:spacing w:after="0"/>
              <w:rPr>
                <w:sz w:val="20"/>
                <w:szCs w:val="20"/>
                <w:color w:val="auto"/>
              </w:rPr>
            </w:pPr>
            <w:r>
              <w:rPr>
                <w:rFonts w:ascii="Arial" w:cs="Arial" w:eastAsia="Arial" w:hAnsi="Arial"/>
                <w:sz w:val="14"/>
                <w:szCs w:val="14"/>
                <w:color w:val="auto"/>
              </w:rPr>
              <w:t>Capital contributions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68</w:t>
            </w: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w:t>
            </w:r>
          </w:p>
        </w:tc>
        <w:tc>
          <w:tcPr>
            <w:tcW w:w="920" w:type="dxa"/>
            <w:vAlign w:val="bottom"/>
            <w:shd w:val="clear" w:color="auto" w:fill="E5FFFF"/>
          </w:tcPr>
          <w:p>
            <w:pPr>
              <w:spacing w:after="0"/>
              <w:rPr>
                <w:sz w:val="11"/>
                <w:szCs w:val="11"/>
                <w:color w:val="auto"/>
              </w:rPr>
            </w:pPr>
          </w:p>
        </w:tc>
        <w:tc>
          <w:tcPr>
            <w:tcW w:w="24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88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72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2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20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2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74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80" w:type="dxa"/>
            <w:vAlign w:val="bottom"/>
            <w:shd w:val="clear" w:color="auto" w:fill="E5FFFF"/>
          </w:tcPr>
          <w:p>
            <w:pPr>
              <w:spacing w:after="0"/>
              <w:rPr>
                <w:sz w:val="20"/>
                <w:szCs w:val="20"/>
                <w:color w:val="auto"/>
              </w:rPr>
            </w:pPr>
            <w:r>
              <w:rPr>
                <w:rFonts w:ascii="Arial" w:cs="Arial" w:eastAsia="Arial" w:hAnsi="Arial"/>
                <w:sz w:val="14"/>
                <w:szCs w:val="14"/>
                <w:color w:val="auto"/>
              </w:rPr>
              <w:t>based compensation expense</w:t>
            </w:r>
          </w:p>
        </w:tc>
        <w:tc>
          <w:tcPr>
            <w:tcW w:w="1160" w:type="dxa"/>
            <w:vAlign w:val="bottom"/>
            <w:gridSpan w:val="2"/>
            <w:shd w:val="clear" w:color="auto" w:fill="E5FF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5"/>
                <w:szCs w:val="15"/>
                <w:color w:val="auto"/>
              </w:rPr>
            </w:pPr>
          </w:p>
        </w:tc>
        <w:tc>
          <w:tcPr>
            <w:tcW w:w="100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FFFF"/>
          </w:tcPr>
          <w:p>
            <w:pPr>
              <w:spacing w:after="0"/>
              <w:rPr>
                <w:sz w:val="15"/>
                <w:szCs w:val="15"/>
                <w:color w:val="auto"/>
              </w:rPr>
            </w:pPr>
          </w:p>
        </w:tc>
        <w:tc>
          <w:tcPr>
            <w:tcW w:w="94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8</w:t>
            </w:r>
          </w:p>
        </w:tc>
        <w:tc>
          <w:tcPr>
            <w:tcW w:w="140" w:type="dxa"/>
            <w:vAlign w:val="bottom"/>
            <w:shd w:val="clear" w:color="auto" w:fill="E5FFFF"/>
          </w:tcPr>
          <w:p>
            <w:pPr>
              <w:spacing w:after="0"/>
              <w:rPr>
                <w:sz w:val="15"/>
                <w:szCs w:val="15"/>
                <w:color w:val="auto"/>
              </w:rPr>
            </w:pPr>
          </w:p>
        </w:tc>
        <w:tc>
          <w:tcPr>
            <w:tcW w:w="96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E5FFFF"/>
          </w:tcPr>
          <w:p>
            <w:pPr>
              <w:spacing w:after="0"/>
              <w:rPr>
                <w:sz w:val="15"/>
                <w:szCs w:val="15"/>
                <w:color w:val="auto"/>
              </w:rPr>
            </w:pPr>
          </w:p>
        </w:tc>
        <w:tc>
          <w:tcPr>
            <w:tcW w:w="980" w:type="dxa"/>
            <w:vAlign w:val="bottom"/>
            <w:gridSpan w:val="2"/>
            <w:shd w:val="clear" w:color="auto" w:fill="E5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FFFF"/>
          </w:tcPr>
          <w:p>
            <w:pPr>
              <w:spacing w:after="0"/>
              <w:rPr>
                <w:sz w:val="15"/>
                <w:szCs w:val="15"/>
                <w:color w:val="auto"/>
              </w:rPr>
            </w:pPr>
          </w:p>
        </w:tc>
        <w:tc>
          <w:tcPr>
            <w:tcW w:w="1000" w:type="dxa"/>
            <w:vAlign w:val="bottom"/>
            <w:gridSpan w:val="2"/>
            <w:shd w:val="clear" w:color="auto" w:fill="E5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380" w:type="dxa"/>
            <w:vAlign w:val="bottom"/>
          </w:tcPr>
          <w:p>
            <w:pPr>
              <w:spacing w:after="0"/>
              <w:rPr>
                <w:sz w:val="20"/>
                <w:szCs w:val="20"/>
                <w:color w:val="auto"/>
              </w:rPr>
            </w:pPr>
            <w:r>
              <w:rPr>
                <w:rFonts w:ascii="Arial" w:cs="Arial" w:eastAsia="Arial" w:hAnsi="Arial"/>
                <w:sz w:val="14"/>
                <w:szCs w:val="14"/>
                <w:color w:val="auto"/>
              </w:rPr>
              <w:t>Balance at April 30, 2021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29,853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299</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23,861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(354,604)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149,144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597,770</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53,007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445,616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2020</w:t>
            </w:r>
          </w:p>
        </w:tc>
        <w:tc>
          <w:tcPr>
            <w:tcW w:w="116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29,853</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299</w:t>
            </w:r>
          </w:p>
        </w:tc>
        <w:tc>
          <w:tcPr>
            <w:tcW w:w="110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23,561</w:t>
            </w:r>
          </w:p>
        </w:tc>
        <w:tc>
          <w:tcPr>
            <w:tcW w:w="180" w:type="dxa"/>
            <w:vAlign w:val="bottom"/>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(335,066)</w:t>
            </w:r>
          </w:p>
        </w:tc>
        <w:tc>
          <w:tcPr>
            <w:tcW w:w="140" w:type="dxa"/>
            <w:vAlign w:val="bottom"/>
            <w:shd w:val="clear" w:color="auto" w:fill="E5FF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148,789</w:t>
            </w:r>
          </w:p>
        </w:tc>
        <w:tc>
          <w:tcPr>
            <w:tcW w:w="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586,985</w:t>
            </w:r>
          </w:p>
        </w:tc>
        <w:tc>
          <w:tcPr>
            <w:tcW w:w="1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52,599</w:t>
            </w:r>
          </w:p>
        </w:tc>
        <w:tc>
          <w:tcPr>
            <w:tcW w:w="160" w:type="dxa"/>
            <w:vAlign w:val="bottom"/>
            <w:shd w:val="clear" w:color="auto" w:fill="E5FF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453,606</w:t>
            </w:r>
          </w:p>
        </w:tc>
        <w:tc>
          <w:tcPr>
            <w:tcW w:w="0" w:type="dxa"/>
            <w:vAlign w:val="bottom"/>
          </w:tcPr>
          <w:p>
            <w:pPr>
              <w:spacing w:after="0"/>
              <w:rPr>
                <w:sz w:val="1"/>
                <w:szCs w:val="1"/>
                <w:color w:val="auto"/>
              </w:rPr>
            </w:pPr>
          </w:p>
        </w:tc>
      </w:tr>
      <w:tr>
        <w:trPr>
          <w:trHeight w:val="312"/>
        </w:trPr>
        <w:tc>
          <w:tcPr>
            <w:tcW w:w="238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(7,635)</w:t>
            </w: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(795)</w:t>
            </w: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(8,430)</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92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10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180" w:type="dxa"/>
            <w:vAlign w:val="bottom"/>
            <w:shd w:val="clear" w:color="auto" w:fill="E5FFFF"/>
          </w:tcPr>
          <w:p>
            <w:pPr>
              <w:spacing w:after="0"/>
              <w:rPr>
                <w:sz w:val="12"/>
                <w:szCs w:val="12"/>
                <w:color w:val="auto"/>
              </w:rPr>
            </w:pPr>
          </w:p>
        </w:tc>
        <w:tc>
          <w:tcPr>
            <w:tcW w:w="94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(3,923)</w:t>
            </w: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278"/>
        </w:trPr>
        <w:tc>
          <w:tcPr>
            <w:tcW w:w="2380" w:type="dxa"/>
            <w:vAlign w:val="bottom"/>
          </w:tcPr>
          <w:p>
            <w:pPr>
              <w:spacing w:after="0"/>
              <w:rPr>
                <w:sz w:val="20"/>
                <w:szCs w:val="20"/>
                <w:color w:val="auto"/>
              </w:rPr>
            </w:pPr>
            <w:r>
              <w:rPr>
                <w:rFonts w:ascii="Arial" w:cs="Arial" w:eastAsia="Arial" w:hAnsi="Arial"/>
                <w:sz w:val="14"/>
                <w:szCs w:val="14"/>
                <w:color w:val="auto"/>
              </w:rPr>
              <w:t>Noncontrolling interests distribution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rPr>
                <w:sz w:val="20"/>
                <w:szCs w:val="20"/>
                <w:color w:val="auto"/>
              </w:rPr>
            </w:pPr>
            <w:r>
              <w:rPr>
                <w:rFonts w:ascii="Arial" w:cs="Arial" w:eastAsia="Arial" w:hAnsi="Arial"/>
                <w:sz w:val="14"/>
                <w:szCs w:val="14"/>
                <w:color w:val="auto"/>
              </w:rPr>
              <w:t>and other</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92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88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7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4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E5FFFF"/>
          </w:tcPr>
          <w:p>
            <w:pPr>
              <w:spacing w:after="0"/>
              <w:rPr>
                <w:sz w:val="12"/>
                <w:szCs w:val="12"/>
                <w:color w:val="auto"/>
              </w:rPr>
            </w:pPr>
          </w:p>
        </w:tc>
        <w:tc>
          <w:tcPr>
            <w:tcW w:w="8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8"/>
        </w:trPr>
        <w:tc>
          <w:tcPr>
            <w:tcW w:w="2380" w:type="dxa"/>
            <w:vAlign w:val="bottom"/>
          </w:tcPr>
          <w:p>
            <w:pPr>
              <w:spacing w:after="0"/>
              <w:rPr>
                <w:sz w:val="20"/>
                <w:szCs w:val="20"/>
                <w:color w:val="auto"/>
              </w:rPr>
            </w:pPr>
            <w:r>
              <w:rPr>
                <w:rFonts w:ascii="Arial" w:cs="Arial" w:eastAsia="Arial" w:hAnsi="Arial"/>
                <w:sz w:val="14"/>
                <w:szCs w:val="14"/>
                <w:color w:val="auto"/>
              </w:rPr>
              <w:t>Issuance of equity awards and stock</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380" w:type="dxa"/>
            <w:vAlign w:val="bottom"/>
          </w:tcPr>
          <w:p>
            <w:pPr>
              <w:spacing w:after="0"/>
              <w:rPr>
                <w:sz w:val="20"/>
                <w:szCs w:val="20"/>
                <w:color w:val="auto"/>
              </w:rPr>
            </w:pPr>
            <w:r>
              <w:rPr>
                <w:rFonts w:ascii="Arial" w:cs="Arial" w:eastAsia="Arial" w:hAnsi="Arial"/>
                <w:sz w:val="14"/>
                <w:szCs w:val="14"/>
                <w:color w:val="auto"/>
              </w:rPr>
              <w:t>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April 30, 2020</w:t>
            </w:r>
          </w:p>
        </w:tc>
        <w:tc>
          <w:tcPr>
            <w:tcW w:w="1160" w:type="dxa"/>
            <w:vAlign w:val="bottom"/>
            <w:gridSpan w:val="2"/>
            <w:shd w:val="clear" w:color="auto" w:fill="E5FFFF"/>
          </w:tcPr>
          <w:p>
            <w:pPr>
              <w:jc w:val="right"/>
              <w:ind w:right="240"/>
              <w:spacing w:after="0" w:line="149" w:lineRule="exact"/>
              <w:rPr>
                <w:sz w:val="20"/>
                <w:szCs w:val="20"/>
                <w:color w:val="auto"/>
              </w:rPr>
            </w:pPr>
            <w:r>
              <w:rPr>
                <w:rFonts w:ascii="Arial" w:cs="Arial" w:eastAsia="Arial" w:hAnsi="Arial"/>
                <w:sz w:val="14"/>
                <w:szCs w:val="14"/>
                <w:color w:val="auto"/>
              </w:rPr>
              <w:t>29,853</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299</w:t>
            </w:r>
          </w:p>
        </w:tc>
        <w:tc>
          <w:tcPr>
            <w:tcW w:w="110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23,639</w:t>
            </w:r>
          </w:p>
        </w:tc>
        <w:tc>
          <w:tcPr>
            <w:tcW w:w="180" w:type="dxa"/>
            <w:vAlign w:val="bottom"/>
            <w:shd w:val="clear" w:color="auto" w:fill="E5FF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(338,982)</w:t>
            </w:r>
          </w:p>
        </w:tc>
        <w:tc>
          <w:tcPr>
            <w:tcW w:w="140" w:type="dxa"/>
            <w:vAlign w:val="bottom"/>
            <w:shd w:val="clear" w:color="auto" w:fill="E5FF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148,821</w:t>
            </w:r>
          </w:p>
        </w:tc>
        <w:tc>
          <w:tcPr>
            <w:tcW w:w="12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E5FFFF"/>
          </w:tcPr>
          <w:p>
            <w:pPr>
              <w:jc w:val="right"/>
              <w:ind w:right="200"/>
              <w:spacing w:after="0" w:line="149" w:lineRule="exact"/>
              <w:rPr>
                <w:sz w:val="20"/>
                <w:szCs w:val="20"/>
                <w:color w:val="auto"/>
              </w:rPr>
            </w:pPr>
            <w:r>
              <w:rPr>
                <w:rFonts w:ascii="Arial" w:cs="Arial" w:eastAsia="Arial" w:hAnsi="Arial"/>
                <w:sz w:val="14"/>
                <w:szCs w:val="14"/>
                <w:color w:val="auto"/>
              </w:rPr>
              <w:t>579,350</w:t>
            </w:r>
          </w:p>
        </w:tc>
        <w:tc>
          <w:tcPr>
            <w:tcW w:w="14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5FFFF"/>
          </w:tcPr>
          <w:p>
            <w:pPr>
              <w:jc w:val="right"/>
              <w:ind w:right="220"/>
              <w:spacing w:after="0" w:line="149" w:lineRule="exact"/>
              <w:rPr>
                <w:sz w:val="20"/>
                <w:szCs w:val="20"/>
                <w:color w:val="auto"/>
              </w:rPr>
            </w:pPr>
            <w:r>
              <w:rPr>
                <w:rFonts w:ascii="Arial" w:cs="Arial" w:eastAsia="Arial" w:hAnsi="Arial"/>
                <w:sz w:val="14"/>
                <w:szCs w:val="14"/>
                <w:color w:val="auto"/>
              </w:rPr>
              <w:t>51,779</w:t>
            </w:r>
          </w:p>
        </w:tc>
        <w:tc>
          <w:tcPr>
            <w:tcW w:w="160" w:type="dxa"/>
            <w:vAlign w:val="bottom"/>
            <w:shd w:val="clear" w:color="auto" w:fill="E5FF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441,267</w:t>
            </w:r>
          </w:p>
        </w:tc>
        <w:tc>
          <w:tcPr>
            <w:tcW w:w="0" w:type="dxa"/>
            <w:vAlign w:val="bottom"/>
          </w:tcPr>
          <w:p>
            <w:pPr>
              <w:spacing w:after="0"/>
              <w:rPr>
                <w:sz w:val="1"/>
                <w:szCs w:val="1"/>
                <w:color w:val="auto"/>
              </w:rPr>
            </w:pPr>
          </w:p>
        </w:tc>
      </w:tr>
      <w:tr>
        <w:trPr>
          <w:trHeight w:val="20"/>
        </w:trPr>
        <w:tc>
          <w:tcPr>
            <w:tcW w:w="2380" w:type="dxa"/>
            <w:vAlign w:val="bottom"/>
            <w:tcBorders>
              <w:top w:val="single" w:sz="8" w:color="E5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rPr>
              <w:t>April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20" w:type="dxa"/>
            <w:vAlign w:val="bottom"/>
            <w:tcBorders>
              <w:bottom w:val="single" w:sz="8" w:color="E5FFFF"/>
            </w:tcBorders>
          </w:tcPr>
          <w:p>
            <w:pPr>
              <w:spacing w:after="0"/>
              <w:rPr>
                <w:sz w:val="20"/>
                <w:szCs w:val="20"/>
                <w:color w:val="auto"/>
              </w:rPr>
            </w:pPr>
          </w:p>
        </w:tc>
        <w:tc>
          <w:tcPr>
            <w:tcW w:w="840" w:type="dxa"/>
            <w:vAlign w:val="bottom"/>
            <w:tcBorders>
              <w:bottom w:val="single" w:sz="8" w:color="E5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income (loss) including noncontrolling interests</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8,398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(Income) loss from equity method investments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Dividends received from equity method investee</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Interest income from investments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income tax</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Stock based compensation expense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Gain on sale of property and equipment – net</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(7,844)</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11,193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(2,187)</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Accounts payable, trade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(11,934)</w:t>
            </w:r>
          </w:p>
        </w:tc>
        <w:tc>
          <w:tcPr>
            <w:tcW w:w="0" w:type="dxa"/>
            <w:vAlign w:val="bottom"/>
          </w:tcPr>
          <w:p>
            <w:pPr>
              <w:spacing w:after="0"/>
              <w:rPr>
                <w:sz w:val="1"/>
                <w:szCs w:val="1"/>
                <w:color w:val="auto"/>
              </w:rPr>
            </w:pPr>
          </w:p>
        </w:tc>
      </w:tr>
      <w:tr>
        <w:trPr>
          <w:trHeight w:val="230"/>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(1,369)</w:t>
            </w:r>
          </w:p>
        </w:tc>
        <w:tc>
          <w:tcPr>
            <w:tcW w:w="200" w:type="dxa"/>
            <w:vAlign w:val="bottom"/>
            <w:shd w:val="clear" w:color="auto" w:fill="E5FFFF"/>
          </w:tcPr>
          <w:p>
            <w:pPr>
              <w:spacing w:after="0"/>
              <w:rPr>
                <w:sz w:val="19"/>
                <w:szCs w:val="19"/>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Borders>
              <w:bottom w:val="single" w:sz="8" w:color="E5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13,563</w:t>
            </w:r>
          </w:p>
        </w:tc>
        <w:tc>
          <w:tcPr>
            <w:tcW w:w="4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Purchases of short-term investments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(25,930)</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Maturities of short-term investments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26,275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29"/>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E5FFFF"/>
          </w:tcPr>
          <w:p>
            <w:pPr>
              <w:spacing w:after="0"/>
              <w:rPr>
                <w:sz w:val="19"/>
                <w:szCs w:val="19"/>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E5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460" w:type="dxa"/>
            <w:vAlign w:val="bottom"/>
            <w:tcBorders>
              <w:bottom w:val="single" w:sz="8" w:color="E5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Treasury stock acquired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8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Capital contributions from minority investor</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78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8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12,664</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(15,590)</w:t>
            </w:r>
          </w:p>
        </w:tc>
        <w:tc>
          <w:tcPr>
            <w:tcW w:w="0" w:type="dxa"/>
            <w:vAlign w:val="bottom"/>
          </w:tcPr>
          <w:p>
            <w:pPr>
              <w:spacing w:after="0"/>
              <w:rPr>
                <w:sz w:val="1"/>
                <w:szCs w:val="1"/>
                <w:color w:val="auto"/>
              </w:rPr>
            </w:pPr>
          </w:p>
        </w:tc>
      </w:tr>
      <w:tr>
        <w:trPr>
          <w:trHeight w:val="230"/>
        </w:trPr>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146,158</w:t>
            </w:r>
          </w:p>
        </w:tc>
        <w:tc>
          <w:tcPr>
            <w:tcW w:w="200" w:type="dxa"/>
            <w:vAlign w:val="bottom"/>
            <w:shd w:val="clear" w:color="auto" w:fill="E5FFFF"/>
          </w:tcPr>
          <w:p>
            <w:pPr>
              <w:spacing w:after="0"/>
              <w:rPr>
                <w:sz w:val="19"/>
                <w:szCs w:val="19"/>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180,771</w:t>
            </w: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158,822</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06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E5FF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782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Non cash financing activities – Stock awards accrued</w:t>
            </w:r>
          </w:p>
        </w:tc>
        <w:tc>
          <w:tcPr>
            <w:tcW w:w="840" w:type="dxa"/>
            <w:vAlign w:val="bottom"/>
            <w:tcBorders>
              <w:top w:val="single" w:sz="8" w:color="E5FFFF"/>
              <w:bottom w:val="single" w:sz="8" w:color="E5FF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bottom w:val="single" w:sz="8" w:color="E5FF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20" w:type="dxa"/>
            <w:vAlign w:val="bottom"/>
            <w:tcBorders>
              <w:bottom w:val="single" w:sz="8" w:color="E5FFFF"/>
            </w:tcBorders>
            <w:vMerge w:val="continue"/>
          </w:tcPr>
          <w:p>
            <w:pPr>
              <w:spacing w:after="0"/>
              <w:rPr>
                <w:sz w:val="20"/>
                <w:szCs w:val="20"/>
                <w:color w:val="auto"/>
              </w:rPr>
            </w:pPr>
          </w:p>
        </w:tc>
        <w:tc>
          <w:tcPr>
            <w:tcW w:w="840" w:type="dxa"/>
            <w:vAlign w:val="bottom"/>
            <w:tcBorders>
              <w:bottom w:val="single" w:sz="8" w:color="E5FF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w:t>
            </w:r>
          </w:p>
        </w:tc>
        <w:tc>
          <w:tcPr>
            <w:tcW w:w="46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5FF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82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Right-of-use assets acquired and liabilities incurred upon lease execution</w:t>
            </w:r>
          </w:p>
        </w:tc>
        <w:tc>
          <w:tcPr>
            <w:tcW w:w="8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1,863</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Reconciliation of total cash, cash equivalents and restricted cash:</w:t>
            </w: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157,105</w:t>
            </w:r>
          </w:p>
        </w:tc>
        <w:tc>
          <w:tcPr>
            <w:tcW w:w="200" w:type="dxa"/>
            <w:vAlign w:val="bottom"/>
            <w:shd w:val="clear" w:color="auto" w:fill="E5FF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163,771</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1,717</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23"/>
        </w:trPr>
        <w:tc>
          <w:tcPr>
            <w:tcW w:w="78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Total cash, cash equivalents and restricted cash</w:t>
            </w:r>
          </w:p>
        </w:tc>
        <w:tc>
          <w:tcPr>
            <w:tcW w:w="84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158,822</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165,181</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left="2180"/>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April 30, 2021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18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2021 included in these financial statements has been derived from the audited consolidated financial statements included in the Company’s Annual Report on Form 10-K for the year ended January 31, 2021 (fiscal year 2020). It is suggested that these unaudited consolidated condensed financial statements be read in conjunction with the consolidated financial statements and the notes thereto included in the Company’s Annual Report on Form 10-K for the year ended January 31, 2021. The results of operations for the interim periods are not necessarily indicative of the results to be expected for the year.</w:t>
      </w:r>
    </w:p>
    <w:p>
      <w:pPr>
        <w:spacing w:after="0" w:line="200" w:lineRule="exact"/>
        <w:rPr>
          <w:sz w:val="20"/>
          <w:szCs w:val="20"/>
          <w:color w:val="auto"/>
        </w:rPr>
      </w:pPr>
    </w:p>
    <w:p>
      <w:pPr>
        <w:spacing w:after="0" w:line="208"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187"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Nature of Operations –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12" w:lineRule="exact"/>
        <w:rPr>
          <w:sz w:val="20"/>
          <w:szCs w:val="20"/>
          <w:color w:val="auto"/>
        </w:rPr>
      </w:pPr>
    </w:p>
    <w:p>
      <w:pPr>
        <w:ind w:right="160" w:firstLine="648"/>
        <w:spacing w:after="0" w:line="246" w:lineRule="auto"/>
        <w:rPr>
          <w:sz w:val="20"/>
          <w:szCs w:val="20"/>
          <w:color w:val="auto"/>
        </w:rPr>
      </w:pPr>
      <w:r>
        <w:rPr>
          <w:rFonts w:ascii="Arial" w:cs="Arial" w:eastAsia="Arial" w:hAnsi="Arial"/>
          <w:sz w:val="21"/>
          <w:szCs w:val="21"/>
          <w:color w:val="auto"/>
        </w:rPr>
        <w:t>The interim consolidated condensed financial statements have been prepared in accordance with the accounting policies described in the notes to the consolidated financial statements included in the Company’s fiscal year 2020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Cash and Cash Equivalents</w:t>
      </w:r>
    </w:p>
    <w:p>
      <w:pPr>
        <w:spacing w:after="0" w:line="21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12" w:lineRule="exact"/>
        <w:rPr>
          <w:sz w:val="20"/>
          <w:szCs w:val="20"/>
          <w:color w:val="auto"/>
        </w:rPr>
      </w:pPr>
    </w:p>
    <w:p>
      <w:pPr>
        <w:ind w:right="44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management, certain compensations costs and general facility overhead charges.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12"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 Company includes non-production related costs such as professional fees, outbound freight charges, selling charges and certain payroll in SG&amp;A expenses. Outbound freight charges were approximately $5,596,000 and $1,323,000 in the first quarter of fiscal years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12"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47"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8" w:name="page9"/>
    <w:bookmarkEnd w:id="8"/>
    <w:p>
      <w:pPr>
        <w:ind w:right="220"/>
        <w:spacing w:after="0"/>
        <w:rPr>
          <w:sz w:val="20"/>
          <w:szCs w:val="20"/>
          <w:color w:val="auto"/>
        </w:rPr>
      </w:pPr>
      <w:r>
        <w:rPr>
          <w:rFonts w:ascii="Arial" w:cs="Arial" w:eastAsia="Arial" w:hAnsi="Arial"/>
          <w:sz w:val="22"/>
          <w:szCs w:val="22"/>
          <w:color w:val="auto"/>
        </w:rPr>
        <w:t>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2"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months ended April 30, 2021 and 2020.</w:t>
      </w:r>
    </w:p>
    <w:p>
      <w:pPr>
        <w:spacing w:after="0" w:line="186"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no income taxes nor received refunds of income taxes during the three months ended April 30, 2021. The Company paid income taxes of approximately $0.3 million and received refunds of income taxes of approximately $0.2 million during the three months ended April 30, 2020.</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of April 30, 2021, and January 31, 2021, total unrecognized tax benefits were approximately $8,518,000 and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$8,380,000 respectively. Accrued penalties and interest were approximately $25,000 and approximately $20,000 at April 30,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2021 and January 31, 2021, respectively. If the Company were to prevail on all unrecognized tax benefits recorded, the provision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 income taxes would be reduced by approximately $8.3 million. In addition, the impact of penalties and interest would also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benefit the effective tax rate. Interest and penalties associated with unrecognized tax benefits are recorded within income tax</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expense. On a quarterly basis, the Company accrues for the effects of open uncertain tax positions and the related potential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penalties and interest.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12"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and refined coal. Inventory is written down for instances when cost exceeds estimated net realizable value; such write-downs are based primarily upon commodity prices as the market value of inventory is often dependent upon changes in commodity prices. The Company recorded approximately $1.0 million of inventory write-downs in cost of sales at January 31, 2021. There were no inventory write-downs at April 30, 2021. Fluctuations in the write-down of inventory generally relate to the levels and composition of such inventory and changes in commodity prices at a given point in time. The components of inventory are as follows as of the dates presented (amounts in thousands):</w:t>
      </w:r>
    </w:p>
    <w:p>
      <w:pPr>
        <w:sectPr>
          <w:pgSz w:w="11900" w:h="16838" w:orient="portrait"/>
          <w:cols w:equalWidth="0" w:num="1">
            <w:col w:w="11220"/>
          </w:cols>
          <w:pgMar w:left="320" w:top="4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740"/>
        <w:spacing w:after="0" w:line="239" w:lineRule="auto"/>
        <w:rPr>
          <w:sz w:val="20"/>
          <w:szCs w:val="20"/>
          <w:color w:val="auto"/>
        </w:rPr>
      </w:pPr>
      <w:r>
        <w:rPr>
          <w:rFonts w:ascii="Arial" w:cs="Arial" w:eastAsia="Arial" w:hAnsi="Arial"/>
          <w:sz w:val="22"/>
          <w:szCs w:val="22"/>
          <w:color w:val="auto"/>
        </w:rPr>
        <w:t>Ethanol and other finished goods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98919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Grain and other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498919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Total</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22"/>
                <w:szCs w:val="22"/>
                <w:b w:val="1"/>
                <w:bCs w:val="1"/>
                <w:color w:val="auto"/>
              </w:rPr>
              <w:t>April 30,</w:t>
            </w:r>
          </w:p>
        </w:tc>
        <w:tc>
          <w:tcPr>
            <w:tcW w:w="1100" w:type="dxa"/>
            <w:vAlign w:val="bottom"/>
            <w:gridSpan w:val="2"/>
          </w:tcPr>
          <w:p>
            <w:pPr>
              <w:spacing w:after="0"/>
              <w:rPr>
                <w:sz w:val="20"/>
                <w:szCs w:val="20"/>
                <w:color w:val="auto"/>
              </w:rPr>
            </w:pPr>
            <w:r>
              <w:rPr>
                <w:rFonts w:ascii="Arial" w:cs="Arial" w:eastAsia="Arial" w:hAnsi="Arial"/>
                <w:sz w:val="22"/>
                <w:szCs w:val="22"/>
                <w:b w:val="1"/>
                <w:bCs w:val="1"/>
                <w:color w:val="auto"/>
                <w:w w:val="89"/>
              </w:rPr>
              <w:t>January 31,</w:t>
            </w:r>
          </w:p>
        </w:tc>
      </w:tr>
      <w:tr>
        <w:trPr>
          <w:trHeight w:val="270"/>
        </w:trPr>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2021</w:t>
            </w:r>
          </w:p>
        </w:tc>
      </w:tr>
      <w:tr>
        <w:trPr>
          <w:trHeight w:val="458"/>
        </w:trPr>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20" w:type="dxa"/>
            <w:vAlign w:val="bottom"/>
          </w:tcPr>
          <w:p>
            <w:pPr>
              <w:jc w:val="right"/>
              <w:spacing w:after="0"/>
              <w:rPr>
                <w:sz w:val="20"/>
                <w:szCs w:val="20"/>
                <w:color w:val="auto"/>
              </w:rPr>
            </w:pPr>
            <w:r>
              <w:rPr>
                <w:rFonts w:ascii="Arial" w:cs="Arial" w:eastAsia="Arial" w:hAnsi="Arial"/>
                <w:sz w:val="22"/>
                <w:szCs w:val="22"/>
                <w:color w:val="auto"/>
              </w:rPr>
              <w:t>6,102</w:t>
            </w:r>
          </w:p>
        </w:tc>
        <w:tc>
          <w:tcPr>
            <w:tcW w:w="4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18,346</w:t>
            </w:r>
          </w:p>
        </w:tc>
      </w:tr>
      <w:tr>
        <w:trPr>
          <w:trHeight w:val="257"/>
        </w:trPr>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5,213</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4,374</w:t>
            </w:r>
          </w:p>
        </w:tc>
      </w:tr>
      <w:tr>
        <w:trPr>
          <w:trHeight w:val="264"/>
        </w:trPr>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15,372</w:t>
            </w:r>
          </w:p>
        </w:tc>
        <w:tc>
          <w:tcPr>
            <w:tcW w:w="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15,160</w:t>
            </w:r>
          </w:p>
        </w:tc>
      </w:tr>
      <w:tr>
        <w:trPr>
          <w:trHeight w:val="250"/>
        </w:trPr>
        <w:tc>
          <w:tcPr>
            <w:tcW w:w="1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9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26,687</w:t>
            </w:r>
          </w:p>
        </w:tc>
        <w:tc>
          <w:tcPr>
            <w:tcW w:w="400" w:type="dxa"/>
            <w:vAlign w:val="bottom"/>
          </w:tcPr>
          <w:p>
            <w:pPr>
              <w:spacing w:after="0"/>
              <w:rPr>
                <w:sz w:val="21"/>
                <w:szCs w:val="21"/>
                <w:color w:val="auto"/>
              </w:rPr>
            </w:pPr>
          </w:p>
        </w:tc>
        <w:tc>
          <w:tcPr>
            <w:tcW w:w="2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37,880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3"/>
        </w:trPr>
        <w:tc>
          <w:tcPr>
            <w:tcW w:w="120" w:type="dxa"/>
            <w:vAlign w:val="bottom"/>
          </w:tcPr>
          <w:p>
            <w:pPr>
              <w:spacing w:after="0"/>
              <w:rPr>
                <w:sz w:val="24"/>
                <w:szCs w:val="24"/>
                <w:color w:val="auto"/>
              </w:rPr>
            </w:pPr>
          </w:p>
        </w:tc>
        <w:tc>
          <w:tcPr>
            <w:tcW w:w="920" w:type="dxa"/>
            <w:vAlign w:val="bottom"/>
          </w:tcPr>
          <w:p>
            <w:pPr>
              <w:jc w:val="right"/>
              <w:ind w:right="572"/>
              <w:spacing w:after="0"/>
              <w:rPr>
                <w:sz w:val="20"/>
                <w:szCs w:val="20"/>
                <w:color w:val="auto"/>
              </w:rPr>
            </w:pPr>
            <w:r>
              <w:rPr>
                <w:rFonts w:ascii="Arial" w:cs="Arial" w:eastAsia="Arial" w:hAnsi="Arial"/>
                <w:sz w:val="22"/>
                <w:szCs w:val="22"/>
                <w:color w:val="auto"/>
              </w:rPr>
              <w:t>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130810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600" w:space="720"/>
            <w:col w:w="5900"/>
          </w:cols>
          <w:pgMar w:left="320" w:top="402"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auto"/>
        </w:rPr>
        <w:t>Property and Equipment</w:t>
      </w:r>
    </w:p>
    <w:p>
      <w:pPr>
        <w:spacing w:after="0" w:line="212" w:lineRule="exact"/>
        <w:rPr>
          <w:sz w:val="20"/>
          <w:szCs w:val="20"/>
          <w:color w:val="auto"/>
        </w:rPr>
      </w:pPr>
    </w:p>
    <w:p>
      <w:pPr>
        <w:ind w:right="1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169"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In accordance with ASC 360-10 “</w:t>
      </w:r>
      <w:r>
        <w:rPr>
          <w:rFonts w:ascii="Arial" w:cs="Arial" w:eastAsia="Arial" w:hAnsi="Arial"/>
          <w:sz w:val="19"/>
          <w:szCs w:val="19"/>
          <w:i w:val="1"/>
          <w:iCs w:val="1"/>
          <w:color w:val="auto"/>
        </w:rPr>
        <w:t>Impairment or Disposal of Long-Lived Assets</w:t>
      </w:r>
      <w:r>
        <w:rPr>
          <w:rFonts w:ascii="Arial" w:cs="Arial" w:eastAsia="Arial" w:hAnsi="Arial"/>
          <w:sz w:val="19"/>
          <w:szCs w:val="19"/>
          <w:color w:val="auto"/>
        </w:rPr>
        <w:t>”, the carrying value of long-lived assets is assessed for recoverability by management when changes in circumstances indicate that the carrying amount may not be recoverable. During fiscal year 2020, the Company concluded that the impact of the coronavirus (” COVID- 19”) pandemic on the ethanol industry and the Company’s operating results was an indicator that impairment may exist related to certain of its long-lived assets. As a result, the Company performed a recoverability test and determined that there was no impairment for fiscal year 2020. There were no impairment charges in the first three months of fiscal year 2020.</w:t>
      </w:r>
    </w:p>
    <w:p>
      <w:pPr>
        <w:spacing w:after="0" w:line="150"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The Company did not identify any indicators of impairment during the first quarter of fiscal year 2021. There were no impairment charges in the first three months of fiscal year 2021.</w:t>
      </w:r>
    </w:p>
    <w:p>
      <w:pPr>
        <w:spacing w:after="0" w:line="17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12"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0" w:name="page11"/>
    <w:bookmarkEnd w:id="10"/>
    <w:p>
      <w:pPr>
        <w:ind w:right="6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174" w:lineRule="exact"/>
        <w:rPr>
          <w:sz w:val="20"/>
          <w:szCs w:val="20"/>
          <w:color w:val="auto"/>
        </w:rPr>
      </w:pPr>
    </w:p>
    <w:p>
      <w:pPr>
        <w:ind w:right="1140" w:firstLine="648"/>
        <w:spacing w:after="0" w:line="435" w:lineRule="auto"/>
        <w:rPr>
          <w:sz w:val="20"/>
          <w:szCs w:val="20"/>
          <w:color w:val="auto"/>
        </w:rPr>
      </w:pPr>
      <w:r>
        <w:rPr>
          <w:rFonts w:ascii="Arial" w:cs="Arial" w:eastAsia="Arial" w:hAnsi="Arial"/>
          <w:sz w:val="22"/>
          <w:szCs w:val="22"/>
          <w:color w:val="auto"/>
        </w:rPr>
        <w:t xml:space="preserve">Short-term investments are considered held to maturity, and therefore are carried at amortized historical cost. </w:t>
      </w:r>
      <w:r>
        <w:rPr>
          <w:rFonts w:ascii="Arial" w:cs="Arial" w:eastAsia="Arial" w:hAnsi="Arial"/>
          <w:sz w:val="22"/>
          <w:szCs w:val="22"/>
          <w:b w:val="1"/>
          <w:bCs w:val="1"/>
          <w:color w:val="auto"/>
        </w:rPr>
        <w:t>Comprehensive Income</w:t>
      </w:r>
    </w:p>
    <w:p>
      <w:pPr>
        <w:spacing w:after="0" w:line="1"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1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In December 2019, the Financial Accounting Standards Board (“FASB”) issued Accounting Standards Update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simplifies the accounting for income taxes by removing certain exceptions to the general principles in Topic 740. The Company adopted this update effective February 1, 2021. The adoption of this update did not impact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87"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14 for disaggregation of net sales and revenue by operating segment and by product.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At April 30, 2021,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1" w:name="page12"/>
    <w:bookmarkEnd w:id="11"/>
    <w:p>
      <w:pPr>
        <w:ind w:right="180"/>
        <w:spacing w:after="0" w:line="257" w:lineRule="auto"/>
        <w:rPr>
          <w:sz w:val="20"/>
          <w:szCs w:val="20"/>
          <w:color w:val="auto"/>
        </w:rPr>
      </w:pPr>
      <w:r>
        <w:rPr>
          <w:rFonts w:ascii="Arial" w:cs="Arial" w:eastAsia="Arial" w:hAnsi="Arial"/>
          <w:sz w:val="21"/>
          <w:szCs w:val="21"/>
          <w:color w:val="auto"/>
        </w:rPr>
        <w:t>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w:t>
      </w:r>
    </w:p>
    <w:p>
      <w:pPr>
        <w:sectPr>
          <w:pgSz w:w="11900" w:h="16838" w:orient="portrait"/>
          <w:cols w:equalWidth="0" w:num="1">
            <w:col w:w="11060"/>
          </w:cols>
          <w:pgMar w:left="320" w:top="40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Variable lease expense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Three Months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Ended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April 30, 2021</w:t>
      </w:r>
    </w:p>
    <w:p>
      <w:pPr>
        <w:spacing w:after="0" w:line="263" w:lineRule="exact"/>
        <w:rPr>
          <w:sz w:val="20"/>
          <w:szCs w:val="20"/>
          <w:color w:val="auto"/>
        </w:rPr>
      </w:pPr>
    </w:p>
    <w:p>
      <w:pPr>
        <w:ind w:left="840" w:hanging="839"/>
        <w:spacing w:after="0"/>
        <w:tabs>
          <w:tab w:leader="none" w:pos="840" w:val="left"/>
        </w:tabs>
        <w:numPr>
          <w:ilvl w:val="0"/>
          <w:numId w:val="3"/>
        </w:numPr>
        <w:rPr>
          <w:rFonts w:ascii="Arial" w:cs="Arial" w:eastAsia="Arial" w:hAnsi="Arial"/>
          <w:sz w:val="19"/>
          <w:szCs w:val="19"/>
          <w:color w:val="auto"/>
        </w:rPr>
      </w:pPr>
      <w:r>
        <w:rPr>
          <w:rFonts w:ascii="Arial" w:cs="Arial" w:eastAsia="Arial" w:hAnsi="Arial"/>
          <w:sz w:val="19"/>
          <w:szCs w:val="19"/>
          <w:color w:val="auto"/>
        </w:rPr>
        <w:t>1,550</w:t>
      </w:r>
    </w:p>
    <w:p>
      <w:pPr>
        <w:spacing w:after="0" w:line="55" w:lineRule="exact"/>
        <w:rPr>
          <w:rFonts w:ascii="Arial" w:cs="Arial" w:eastAsia="Arial" w:hAnsi="Arial"/>
          <w:sz w:val="19"/>
          <w:szCs w:val="19"/>
          <w:color w:val="auto"/>
        </w:rPr>
      </w:pPr>
    </w:p>
    <w:p>
      <w:pPr>
        <w:ind w:left="1100"/>
        <w:spacing w:after="0"/>
        <w:rPr>
          <w:rFonts w:ascii="Arial" w:cs="Arial" w:eastAsia="Arial" w:hAnsi="Arial"/>
          <w:sz w:val="19"/>
          <w:szCs w:val="19"/>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-298450</wp:posOffset>
            </wp:positionV>
            <wp:extent cx="4989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17780</wp:posOffset>
            </wp:positionV>
            <wp:extent cx="498919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18" w:lineRule="exact"/>
        <w:rPr>
          <w:sz w:val="20"/>
          <w:szCs w:val="20"/>
          <w:color w:val="auto"/>
        </w:rPr>
      </w:pPr>
    </w:p>
    <w:p>
      <w:pPr>
        <w:ind w:left="840" w:hanging="839"/>
        <w:spacing w:after="0"/>
        <w:tabs>
          <w:tab w:leader="none" w:pos="840" w:val="left"/>
        </w:tabs>
        <w:numPr>
          <w:ilvl w:val="0"/>
          <w:numId w:val="4"/>
        </w:numPr>
        <w:rPr>
          <w:rFonts w:ascii="Arial" w:cs="Arial" w:eastAsia="Arial" w:hAnsi="Arial"/>
          <w:sz w:val="19"/>
          <w:szCs w:val="19"/>
          <w:color w:val="auto"/>
        </w:rPr>
      </w:pPr>
      <w:r>
        <w:rPr>
          <w:rFonts w:ascii="Arial" w:cs="Arial" w:eastAsia="Arial" w:hAnsi="Arial"/>
          <w:sz w:val="19"/>
          <w:szCs w:val="19"/>
          <w:color w:val="auto"/>
        </w:rPr>
        <w:t>1,594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840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3200"/>
        <w:spacing w:after="0"/>
        <w:rPr>
          <w:sz w:val="20"/>
          <w:szCs w:val="20"/>
          <w:color w:val="auto"/>
        </w:rPr>
      </w:pPr>
      <w:r>
        <w:rPr>
          <w:rFonts w:ascii="Arial" w:cs="Arial" w:eastAsia="Arial" w:hAnsi="Arial"/>
          <w:sz w:val="19"/>
          <w:szCs w:val="19"/>
          <w:b w:val="1"/>
          <w:bCs w:val="1"/>
          <w:color w:val="auto"/>
        </w:rPr>
        <w:t>Three Months</w:t>
      </w:r>
    </w:p>
    <w:p>
      <w:pPr>
        <w:spacing w:after="0" w:line="49" w:lineRule="exact"/>
        <w:rPr>
          <w:sz w:val="20"/>
          <w:szCs w:val="20"/>
          <w:color w:val="auto"/>
        </w:rPr>
      </w:pPr>
    </w:p>
    <w:p>
      <w:pPr>
        <w:jc w:val="center"/>
        <w:ind w:right="3200"/>
        <w:spacing w:after="0"/>
        <w:rPr>
          <w:sz w:val="20"/>
          <w:szCs w:val="20"/>
          <w:color w:val="auto"/>
        </w:rPr>
      </w:pPr>
      <w:r>
        <w:rPr>
          <w:rFonts w:ascii="Arial" w:cs="Arial" w:eastAsia="Arial" w:hAnsi="Arial"/>
          <w:sz w:val="22"/>
          <w:szCs w:val="22"/>
          <w:b w:val="1"/>
          <w:bCs w:val="1"/>
          <w:color w:val="auto"/>
        </w:rPr>
        <w:t>Ended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April 30, 2020</w:t>
      </w:r>
    </w:p>
    <w:p>
      <w:pPr>
        <w:spacing w:after="0" w:line="263" w:lineRule="exact"/>
        <w:rPr>
          <w:sz w:val="20"/>
          <w:szCs w:val="20"/>
          <w:color w:val="auto"/>
        </w:rPr>
      </w:pPr>
    </w:p>
    <w:p>
      <w:pPr>
        <w:ind w:left="840" w:hanging="838"/>
        <w:spacing w:after="0"/>
        <w:tabs>
          <w:tab w:leader="none" w:pos="840" w:val="left"/>
        </w:tabs>
        <w:numPr>
          <w:ilvl w:val="0"/>
          <w:numId w:val="5"/>
        </w:numPr>
        <w:rPr>
          <w:rFonts w:ascii="Arial" w:cs="Arial" w:eastAsia="Arial" w:hAnsi="Arial"/>
          <w:sz w:val="19"/>
          <w:szCs w:val="19"/>
          <w:color w:val="auto"/>
        </w:rPr>
      </w:pPr>
      <w:r>
        <w:rPr>
          <w:rFonts w:ascii="Arial" w:cs="Arial" w:eastAsia="Arial" w:hAnsi="Arial"/>
          <w:sz w:val="19"/>
          <w:szCs w:val="19"/>
          <w:color w:val="auto"/>
        </w:rPr>
        <w:t>1,686</w:t>
      </w:r>
    </w:p>
    <w:p>
      <w:pPr>
        <w:spacing w:after="0" w:line="55" w:lineRule="exact"/>
        <w:rPr>
          <w:rFonts w:ascii="Arial" w:cs="Arial" w:eastAsia="Arial" w:hAnsi="Arial"/>
          <w:sz w:val="19"/>
          <w:szCs w:val="19"/>
          <w:color w:val="auto"/>
        </w:rPr>
      </w:pPr>
    </w:p>
    <w:p>
      <w:pPr>
        <w:ind w:left="1000"/>
        <w:spacing w:after="0"/>
        <w:rPr>
          <w:rFonts w:ascii="Arial" w:cs="Arial" w:eastAsia="Arial" w:hAnsi="Arial"/>
          <w:sz w:val="19"/>
          <w:szCs w:val="19"/>
          <w:color w:val="auto"/>
        </w:rPr>
      </w:pPr>
      <w:r>
        <w:rPr>
          <w:rFonts w:ascii="Arial" w:cs="Arial" w:eastAsia="Arial" w:hAnsi="Arial"/>
          <w:sz w:val="19"/>
          <w:szCs w:val="19"/>
          <w:color w:val="auto"/>
        </w:rPr>
        <w:t>131</w:t>
      </w:r>
    </w:p>
    <w:p>
      <w:pPr>
        <w:spacing w:after="0" w:line="38" w:lineRule="exact"/>
        <w:rPr>
          <w:sz w:val="20"/>
          <w:szCs w:val="20"/>
          <w:color w:val="auto"/>
        </w:rPr>
      </w:pPr>
    </w:p>
    <w:p>
      <w:pPr>
        <w:ind w:left="840" w:hanging="838"/>
        <w:spacing w:after="0"/>
        <w:tabs>
          <w:tab w:leader="none" w:pos="840" w:val="left"/>
        </w:tabs>
        <w:numPr>
          <w:ilvl w:val="0"/>
          <w:numId w:val="6"/>
        </w:numPr>
        <w:rPr>
          <w:rFonts w:ascii="Arial" w:cs="Arial" w:eastAsia="Arial" w:hAnsi="Arial"/>
          <w:sz w:val="19"/>
          <w:szCs w:val="19"/>
          <w:color w:val="auto"/>
        </w:rPr>
      </w:pPr>
      <w:r>
        <w:rPr>
          <w:rFonts w:ascii="Arial" w:cs="Arial" w:eastAsia="Arial" w:hAnsi="Arial"/>
          <w:sz w:val="19"/>
          <w:szCs w:val="19"/>
          <w:color w:val="auto"/>
        </w:rPr>
        <w:t>1,817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8401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120" w:space="720"/>
            <w:col w:w="1320" w:space="380"/>
            <w:col w:w="4520"/>
          </w:cols>
          <w:pgMar w:left="320" w:top="402" w:right="519" w:bottom="1440" w:gutter="0" w:footer="0" w:header="0"/>
          <w:type w:val="continuous"/>
        </w:sectPr>
      </w:pPr>
    </w:p>
    <w:p>
      <w:pPr>
        <w:spacing w:after="0" w:line="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April 30, 2021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4"/>
          </w:tcPr>
          <w:p>
            <w:pPr>
              <w:spacing w:after="0"/>
              <w:rPr>
                <w:sz w:val="20"/>
                <w:szCs w:val="20"/>
                <w:color w:val="auto"/>
              </w:rPr>
            </w:pPr>
            <w:r>
              <w:rPr>
                <w:rFonts w:ascii="Arial" w:cs="Arial" w:eastAsia="Arial" w:hAnsi="Arial"/>
                <w:sz w:val="22"/>
                <w:szCs w:val="22"/>
                <w:b w:val="1"/>
                <w:bCs w:val="1"/>
                <w:color w:val="auto"/>
                <w:w w:val="97"/>
              </w:rPr>
              <w:t>Minimum</w:t>
            </w:r>
          </w:p>
        </w:tc>
      </w:tr>
      <w:tr>
        <w:trPr>
          <w:trHeight w:val="270"/>
        </w:trPr>
        <w:tc>
          <w:tcPr>
            <w:tcW w:w="4200" w:type="dxa"/>
            <w:vAlign w:val="bottom"/>
            <w:gridSpan w:val="2"/>
          </w:tcPr>
          <w:p>
            <w:pPr>
              <w:spacing w:after="0"/>
              <w:rPr>
                <w:sz w:val="20"/>
                <w:szCs w:val="20"/>
                <w:color w:val="auto"/>
              </w:rPr>
            </w:pPr>
            <w:r>
              <w:rPr>
                <w:rFonts w:ascii="Arial" w:cs="Arial" w:eastAsia="Arial" w:hAnsi="Arial"/>
                <w:sz w:val="22"/>
                <w:szCs w:val="22"/>
                <w:b w:val="1"/>
                <w:bCs w:val="1"/>
                <w:color w:val="auto"/>
              </w:rPr>
              <w:t>Years Ended January 31,</w:t>
            </w:r>
          </w:p>
        </w:tc>
        <w:tc>
          <w:tcPr>
            <w:tcW w:w="160" w:type="dxa"/>
            <w:vAlign w:val="bottom"/>
          </w:tcPr>
          <w:p>
            <w:pPr>
              <w:spacing w:after="0"/>
              <w:rPr>
                <w:sz w:val="23"/>
                <w:szCs w:val="23"/>
                <w:color w:val="auto"/>
              </w:rPr>
            </w:pPr>
          </w:p>
        </w:tc>
        <w:tc>
          <w:tcPr>
            <w:tcW w:w="800" w:type="dxa"/>
            <w:vAlign w:val="bottom"/>
            <w:gridSpan w:val="3"/>
          </w:tcPr>
          <w:p>
            <w:pPr>
              <w:ind w:left="60"/>
              <w:spacing w:after="0"/>
              <w:rPr>
                <w:sz w:val="20"/>
                <w:szCs w:val="20"/>
                <w:color w:val="auto"/>
              </w:rPr>
            </w:pPr>
            <w:r>
              <w:rPr>
                <w:rFonts w:ascii="Arial" w:cs="Arial" w:eastAsia="Arial" w:hAnsi="Arial"/>
                <w:sz w:val="22"/>
                <w:szCs w:val="22"/>
                <w:b w:val="1"/>
                <w:bCs w:val="1"/>
                <w:color w:val="auto"/>
                <w:w w:val="90"/>
              </w:rPr>
              <w:t>Rentals</w:t>
            </w:r>
          </w:p>
        </w:tc>
      </w:tr>
      <w:tr>
        <w:trPr>
          <w:trHeight w:val="237"/>
        </w:trPr>
        <w:tc>
          <w:tcPr>
            <w:tcW w:w="38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2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2022</w:t>
            </w:r>
          </w:p>
        </w:tc>
        <w:tc>
          <w:tcPr>
            <w:tcW w:w="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3,881</w:t>
            </w:r>
          </w:p>
        </w:tc>
        <w:tc>
          <w:tcPr>
            <w:tcW w:w="20" w:type="dxa"/>
            <w:vAlign w:val="bottom"/>
            <w:shd w:val="clear" w:color="auto" w:fill="E5FFFF"/>
          </w:tcPr>
          <w:p>
            <w:pPr>
              <w:spacing w:after="0"/>
              <w:rPr>
                <w:sz w:val="21"/>
                <w:szCs w:val="21"/>
                <w:color w:val="auto"/>
              </w:rPr>
            </w:pPr>
          </w:p>
        </w:tc>
      </w:tr>
      <w:tr>
        <w:trPr>
          <w:trHeight w:val="243"/>
        </w:trPr>
        <w:tc>
          <w:tcPr>
            <w:tcW w:w="386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3,690</w:t>
            </w:r>
          </w:p>
        </w:tc>
        <w:tc>
          <w:tcPr>
            <w:tcW w:w="20" w:type="dxa"/>
            <w:vAlign w:val="bottom"/>
          </w:tcPr>
          <w:p>
            <w:pPr>
              <w:spacing w:after="0"/>
              <w:rPr>
                <w:sz w:val="21"/>
                <w:szCs w:val="21"/>
                <w:color w:val="auto"/>
              </w:rPr>
            </w:pPr>
          </w:p>
        </w:tc>
      </w:tr>
      <w:tr>
        <w:trPr>
          <w:trHeight w:val="243"/>
        </w:trPr>
        <w:tc>
          <w:tcPr>
            <w:tcW w:w="3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3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2,524</w:t>
            </w:r>
          </w:p>
        </w:tc>
        <w:tc>
          <w:tcPr>
            <w:tcW w:w="20" w:type="dxa"/>
            <w:vAlign w:val="bottom"/>
            <w:shd w:val="clear" w:color="auto" w:fill="E5FFFF"/>
          </w:tcPr>
          <w:p>
            <w:pPr>
              <w:spacing w:after="0"/>
              <w:rPr>
                <w:sz w:val="21"/>
                <w:szCs w:val="21"/>
                <w:color w:val="auto"/>
              </w:rPr>
            </w:pPr>
          </w:p>
        </w:tc>
      </w:tr>
      <w:tr>
        <w:trPr>
          <w:trHeight w:val="243"/>
        </w:trPr>
        <w:tc>
          <w:tcPr>
            <w:tcW w:w="3860" w:type="dxa"/>
            <w:vAlign w:val="bottom"/>
          </w:tcPr>
          <w:p>
            <w:pPr>
              <w:spacing w:after="0" w:line="243" w:lineRule="exact"/>
              <w:rPr>
                <w:sz w:val="20"/>
                <w:szCs w:val="20"/>
                <w:color w:val="auto"/>
              </w:rPr>
            </w:pPr>
            <w:r>
              <w:rPr>
                <w:rFonts w:ascii="Arial" w:cs="Arial" w:eastAsia="Arial" w:hAnsi="Arial"/>
                <w:sz w:val="22"/>
                <w:szCs w:val="22"/>
                <w:color w:val="auto"/>
              </w:rPr>
              <w:t>2025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1,648</w:t>
            </w:r>
          </w:p>
        </w:tc>
        <w:tc>
          <w:tcPr>
            <w:tcW w:w="20" w:type="dxa"/>
            <w:vAlign w:val="bottom"/>
          </w:tcPr>
          <w:p>
            <w:pPr>
              <w:spacing w:after="0"/>
              <w:rPr>
                <w:sz w:val="21"/>
                <w:szCs w:val="21"/>
                <w:color w:val="auto"/>
              </w:rPr>
            </w:pPr>
          </w:p>
        </w:tc>
      </w:tr>
      <w:tr>
        <w:trPr>
          <w:trHeight w:val="257"/>
        </w:trPr>
        <w:tc>
          <w:tcPr>
            <w:tcW w:w="3860" w:type="dxa"/>
            <w:vAlign w:val="bottom"/>
            <w:shd w:val="clear" w:color="auto" w:fill="E5FFFF"/>
          </w:tcPr>
          <w:p>
            <w:pPr>
              <w:spacing w:after="0"/>
              <w:rPr>
                <w:sz w:val="20"/>
                <w:szCs w:val="20"/>
                <w:color w:val="auto"/>
              </w:rPr>
            </w:pPr>
            <w:r>
              <w:rPr>
                <w:rFonts w:ascii="Arial" w:cs="Arial" w:eastAsia="Arial" w:hAnsi="Arial"/>
                <w:sz w:val="22"/>
                <w:szCs w:val="22"/>
                <w:color w:val="auto"/>
              </w:rPr>
              <w:t>2026</w:t>
            </w:r>
          </w:p>
        </w:tc>
        <w:tc>
          <w:tcPr>
            <w:tcW w:w="3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49</w:t>
            </w:r>
          </w:p>
        </w:tc>
        <w:tc>
          <w:tcPr>
            <w:tcW w:w="20" w:type="dxa"/>
            <w:vAlign w:val="bottom"/>
            <w:shd w:val="clear" w:color="auto" w:fill="E5FFFF"/>
          </w:tcPr>
          <w:p>
            <w:pPr>
              <w:spacing w:after="0"/>
              <w:rPr>
                <w:sz w:val="22"/>
                <w:szCs w:val="22"/>
                <w:color w:val="auto"/>
              </w:rPr>
            </w:pPr>
          </w:p>
        </w:tc>
      </w:tr>
      <w:tr>
        <w:trPr>
          <w:trHeight w:val="237"/>
        </w:trPr>
        <w:tc>
          <w:tcPr>
            <w:tcW w:w="420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11,792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200" w:type="dxa"/>
            <w:vAlign w:val="bottom"/>
            <w:gridSpan w:val="2"/>
            <w:shd w:val="clear" w:color="auto" w:fill="E5FFFF"/>
          </w:tcPr>
          <w:p>
            <w:pPr>
              <w:spacing w:after="0"/>
              <w:rPr>
                <w:sz w:val="20"/>
                <w:szCs w:val="20"/>
                <w:color w:val="auto"/>
              </w:rPr>
            </w:pPr>
            <w:r>
              <w:rPr>
                <w:rFonts w:ascii="Arial" w:cs="Arial" w:eastAsia="Arial" w:hAnsi="Arial"/>
                <w:sz w:val="22"/>
                <w:szCs w:val="22"/>
                <w:color w:val="auto"/>
              </w:rPr>
              <w:t>Less: present value discount</w:t>
            </w:r>
          </w:p>
        </w:tc>
        <w:tc>
          <w:tcPr>
            <w:tcW w:w="16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833</w:t>
            </w:r>
          </w:p>
        </w:tc>
        <w:tc>
          <w:tcPr>
            <w:tcW w:w="20" w:type="dxa"/>
            <w:vAlign w:val="bottom"/>
            <w:shd w:val="clear" w:color="auto" w:fill="E5FFFF"/>
          </w:tcPr>
          <w:p>
            <w:pPr>
              <w:spacing w:after="0"/>
              <w:rPr>
                <w:sz w:val="22"/>
                <w:szCs w:val="22"/>
                <w:color w:val="auto"/>
              </w:rPr>
            </w:pPr>
          </w:p>
        </w:tc>
      </w:tr>
      <w:tr>
        <w:trPr>
          <w:trHeight w:val="250"/>
        </w:trPr>
        <w:tc>
          <w:tcPr>
            <w:tcW w:w="4200" w:type="dxa"/>
            <w:vAlign w:val="bottom"/>
            <w:gridSpan w:val="2"/>
          </w:tcPr>
          <w:p>
            <w:pPr>
              <w:spacing w:after="0" w:line="250" w:lineRule="exact"/>
              <w:rPr>
                <w:sz w:val="20"/>
                <w:szCs w:val="20"/>
                <w:color w:val="auto"/>
              </w:rPr>
            </w:pPr>
            <w:r>
              <w:rPr>
                <w:rFonts w:ascii="Arial" w:cs="Arial" w:eastAsia="Arial" w:hAnsi="Arial"/>
                <w:sz w:val="22"/>
                <w:szCs w:val="22"/>
                <w:color w:val="auto"/>
              </w:rPr>
              <w:t>Operating lease liabilities</w:t>
            </w:r>
          </w:p>
        </w:tc>
        <w:tc>
          <w:tcPr>
            <w:tcW w:w="1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10,959</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At April 30, 2021, the weighted average remaining lease term is 2.8 years, and the weighted average discount rate is 5.24% for the above leases.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January 31, 2021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4"/>
          </w:tcPr>
          <w:p>
            <w:pPr>
              <w:spacing w:after="0"/>
              <w:rPr>
                <w:sz w:val="20"/>
                <w:szCs w:val="20"/>
                <w:color w:val="auto"/>
              </w:rPr>
            </w:pPr>
            <w:r>
              <w:rPr>
                <w:rFonts w:ascii="Arial" w:cs="Arial" w:eastAsia="Arial" w:hAnsi="Arial"/>
                <w:sz w:val="22"/>
                <w:szCs w:val="22"/>
                <w:b w:val="1"/>
                <w:bCs w:val="1"/>
                <w:color w:val="auto"/>
                <w:w w:val="97"/>
              </w:rPr>
              <w:t>Minimum</w:t>
            </w:r>
          </w:p>
        </w:tc>
      </w:tr>
      <w:tr>
        <w:trPr>
          <w:trHeight w:val="270"/>
        </w:trPr>
        <w:tc>
          <w:tcPr>
            <w:tcW w:w="4200" w:type="dxa"/>
            <w:vAlign w:val="bottom"/>
            <w:gridSpan w:val="2"/>
          </w:tcPr>
          <w:p>
            <w:pPr>
              <w:spacing w:after="0"/>
              <w:rPr>
                <w:sz w:val="20"/>
                <w:szCs w:val="20"/>
                <w:color w:val="auto"/>
              </w:rPr>
            </w:pPr>
            <w:r>
              <w:rPr>
                <w:rFonts w:ascii="Arial" w:cs="Arial" w:eastAsia="Arial" w:hAnsi="Arial"/>
                <w:sz w:val="22"/>
                <w:szCs w:val="22"/>
                <w:b w:val="1"/>
                <w:bCs w:val="1"/>
                <w:color w:val="auto"/>
              </w:rPr>
              <w:t>Years Ended January 31,</w:t>
            </w:r>
          </w:p>
        </w:tc>
        <w:tc>
          <w:tcPr>
            <w:tcW w:w="160" w:type="dxa"/>
            <w:vAlign w:val="bottom"/>
          </w:tcPr>
          <w:p>
            <w:pPr>
              <w:spacing w:after="0"/>
              <w:rPr>
                <w:sz w:val="23"/>
                <w:szCs w:val="23"/>
                <w:color w:val="auto"/>
              </w:rPr>
            </w:pPr>
          </w:p>
        </w:tc>
        <w:tc>
          <w:tcPr>
            <w:tcW w:w="800" w:type="dxa"/>
            <w:vAlign w:val="bottom"/>
            <w:gridSpan w:val="3"/>
          </w:tcPr>
          <w:p>
            <w:pPr>
              <w:ind w:left="60"/>
              <w:spacing w:after="0"/>
              <w:rPr>
                <w:sz w:val="20"/>
                <w:szCs w:val="20"/>
                <w:color w:val="auto"/>
              </w:rPr>
            </w:pPr>
            <w:r>
              <w:rPr>
                <w:rFonts w:ascii="Arial" w:cs="Arial" w:eastAsia="Arial" w:hAnsi="Arial"/>
                <w:sz w:val="22"/>
                <w:szCs w:val="22"/>
                <w:b w:val="1"/>
                <w:bCs w:val="1"/>
                <w:color w:val="auto"/>
                <w:w w:val="90"/>
              </w:rPr>
              <w:t>Rentals</w:t>
            </w:r>
          </w:p>
        </w:tc>
      </w:tr>
      <w:tr>
        <w:trPr>
          <w:trHeight w:val="237"/>
        </w:trPr>
        <w:tc>
          <w:tcPr>
            <w:tcW w:w="39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2022</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5,397</w:t>
            </w:r>
          </w:p>
        </w:tc>
        <w:tc>
          <w:tcPr>
            <w:tcW w:w="20" w:type="dxa"/>
            <w:vAlign w:val="bottom"/>
            <w:shd w:val="clear" w:color="auto" w:fill="E5FFFF"/>
          </w:tcPr>
          <w:p>
            <w:pPr>
              <w:spacing w:after="0"/>
              <w:rPr>
                <w:sz w:val="21"/>
                <w:szCs w:val="21"/>
                <w:color w:val="auto"/>
              </w:rPr>
            </w:pPr>
          </w:p>
        </w:tc>
      </w:tr>
      <w:tr>
        <w:trPr>
          <w:trHeight w:val="243"/>
        </w:trPr>
        <w:tc>
          <w:tcPr>
            <w:tcW w:w="392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3,690</w:t>
            </w:r>
          </w:p>
        </w:tc>
        <w:tc>
          <w:tcPr>
            <w:tcW w:w="20" w:type="dxa"/>
            <w:vAlign w:val="bottom"/>
          </w:tcPr>
          <w:p>
            <w:pPr>
              <w:spacing w:after="0"/>
              <w:rPr>
                <w:sz w:val="21"/>
                <w:szCs w:val="21"/>
                <w:color w:val="auto"/>
              </w:rPr>
            </w:pPr>
          </w:p>
        </w:tc>
      </w:tr>
      <w:tr>
        <w:trPr>
          <w:trHeight w:val="243"/>
        </w:trPr>
        <w:tc>
          <w:tcPr>
            <w:tcW w:w="39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2,524</w:t>
            </w:r>
          </w:p>
        </w:tc>
        <w:tc>
          <w:tcPr>
            <w:tcW w:w="20" w:type="dxa"/>
            <w:vAlign w:val="bottom"/>
            <w:shd w:val="clear" w:color="auto" w:fill="E5FFFF"/>
          </w:tcPr>
          <w:p>
            <w:pPr>
              <w:spacing w:after="0"/>
              <w:rPr>
                <w:sz w:val="21"/>
                <w:szCs w:val="21"/>
                <w:color w:val="auto"/>
              </w:rPr>
            </w:pPr>
          </w:p>
        </w:tc>
      </w:tr>
      <w:tr>
        <w:trPr>
          <w:trHeight w:val="243"/>
        </w:trPr>
        <w:tc>
          <w:tcPr>
            <w:tcW w:w="3920" w:type="dxa"/>
            <w:vAlign w:val="bottom"/>
          </w:tcPr>
          <w:p>
            <w:pPr>
              <w:spacing w:after="0" w:line="243" w:lineRule="exact"/>
              <w:rPr>
                <w:sz w:val="20"/>
                <w:szCs w:val="20"/>
                <w:color w:val="auto"/>
              </w:rPr>
            </w:pPr>
            <w:r>
              <w:rPr>
                <w:rFonts w:ascii="Arial" w:cs="Arial" w:eastAsia="Arial" w:hAnsi="Arial"/>
                <w:sz w:val="22"/>
                <w:szCs w:val="22"/>
                <w:color w:val="auto"/>
              </w:rPr>
              <w:t>2025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1,648</w:t>
            </w:r>
          </w:p>
        </w:tc>
        <w:tc>
          <w:tcPr>
            <w:tcW w:w="20" w:type="dxa"/>
            <w:vAlign w:val="bottom"/>
          </w:tcPr>
          <w:p>
            <w:pPr>
              <w:spacing w:after="0"/>
              <w:rPr>
                <w:sz w:val="21"/>
                <w:szCs w:val="21"/>
                <w:color w:val="auto"/>
              </w:rPr>
            </w:pPr>
          </w:p>
        </w:tc>
      </w:tr>
      <w:tr>
        <w:trPr>
          <w:trHeight w:val="257"/>
        </w:trPr>
        <w:tc>
          <w:tcPr>
            <w:tcW w:w="3920" w:type="dxa"/>
            <w:vAlign w:val="bottom"/>
            <w:shd w:val="clear" w:color="auto" w:fill="E5FFFF"/>
          </w:tcPr>
          <w:p>
            <w:pPr>
              <w:spacing w:after="0"/>
              <w:rPr>
                <w:sz w:val="20"/>
                <w:szCs w:val="20"/>
                <w:color w:val="auto"/>
              </w:rPr>
            </w:pPr>
            <w:r>
              <w:rPr>
                <w:rFonts w:ascii="Arial" w:cs="Arial" w:eastAsia="Arial" w:hAnsi="Arial"/>
                <w:sz w:val="22"/>
                <w:szCs w:val="22"/>
                <w:color w:val="auto"/>
              </w:rPr>
              <w:t>2026</w:t>
            </w:r>
          </w:p>
        </w:tc>
        <w:tc>
          <w:tcPr>
            <w:tcW w:w="2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49</w:t>
            </w:r>
          </w:p>
        </w:tc>
        <w:tc>
          <w:tcPr>
            <w:tcW w:w="20" w:type="dxa"/>
            <w:vAlign w:val="bottom"/>
            <w:shd w:val="clear" w:color="auto" w:fill="E5FFFF"/>
          </w:tcPr>
          <w:p>
            <w:pPr>
              <w:spacing w:after="0"/>
              <w:rPr>
                <w:sz w:val="22"/>
                <w:szCs w:val="22"/>
                <w:color w:val="auto"/>
              </w:rPr>
            </w:pPr>
          </w:p>
        </w:tc>
      </w:tr>
      <w:tr>
        <w:trPr>
          <w:trHeight w:val="237"/>
        </w:trPr>
        <w:tc>
          <w:tcPr>
            <w:tcW w:w="420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13,308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200" w:type="dxa"/>
            <w:vAlign w:val="bottom"/>
            <w:gridSpan w:val="2"/>
            <w:shd w:val="clear" w:color="auto" w:fill="E5FFFF"/>
          </w:tcPr>
          <w:p>
            <w:pPr>
              <w:spacing w:after="0"/>
              <w:rPr>
                <w:sz w:val="20"/>
                <w:szCs w:val="20"/>
                <w:color w:val="auto"/>
              </w:rPr>
            </w:pPr>
            <w:r>
              <w:rPr>
                <w:rFonts w:ascii="Arial" w:cs="Arial" w:eastAsia="Arial" w:hAnsi="Arial"/>
                <w:sz w:val="22"/>
                <w:szCs w:val="22"/>
                <w:color w:val="auto"/>
              </w:rPr>
              <w:t>Less: present value discount</w:t>
            </w:r>
          </w:p>
        </w:tc>
        <w:tc>
          <w:tcPr>
            <w:tcW w:w="16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994</w:t>
            </w:r>
          </w:p>
        </w:tc>
        <w:tc>
          <w:tcPr>
            <w:tcW w:w="20" w:type="dxa"/>
            <w:vAlign w:val="bottom"/>
            <w:shd w:val="clear" w:color="auto" w:fill="E5FFFF"/>
          </w:tcPr>
          <w:p>
            <w:pPr>
              <w:spacing w:after="0"/>
              <w:rPr>
                <w:sz w:val="22"/>
                <w:szCs w:val="22"/>
                <w:color w:val="auto"/>
              </w:rPr>
            </w:pPr>
          </w:p>
        </w:tc>
      </w:tr>
      <w:tr>
        <w:trPr>
          <w:trHeight w:val="250"/>
        </w:trPr>
        <w:tc>
          <w:tcPr>
            <w:tcW w:w="4200" w:type="dxa"/>
            <w:vAlign w:val="bottom"/>
            <w:gridSpan w:val="2"/>
          </w:tcPr>
          <w:p>
            <w:pPr>
              <w:spacing w:after="0" w:line="250" w:lineRule="exact"/>
              <w:rPr>
                <w:sz w:val="20"/>
                <w:szCs w:val="20"/>
                <w:color w:val="auto"/>
              </w:rPr>
            </w:pPr>
            <w:r>
              <w:rPr>
                <w:rFonts w:ascii="Arial" w:cs="Arial" w:eastAsia="Arial" w:hAnsi="Arial"/>
                <w:sz w:val="22"/>
                <w:szCs w:val="22"/>
                <w:color w:val="auto"/>
              </w:rPr>
              <w:t>Operating lease liabilities</w:t>
            </w:r>
          </w:p>
        </w:tc>
        <w:tc>
          <w:tcPr>
            <w:tcW w:w="1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12,314</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At January 31, 2021, the weighted average remaining lease term was 3.0 years, and the weighted average discount rate was 5.26% for the above leases.</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60"/>
          </w:cols>
          <w:pgMar w:left="320" w:top="402" w:right="5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87"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43"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5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120" w:firstLine="8"/>
        <w:spacing w:after="0" w:line="287" w:lineRule="auto"/>
        <w:tabs>
          <w:tab w:leader="none" w:pos="258" w:val="left"/>
        </w:tabs>
        <w:numPr>
          <w:ilvl w:val="0"/>
          <w:numId w:val="7"/>
        </w:numPr>
        <w:rPr>
          <w:rFonts w:ascii="Arial" w:cs="Arial" w:eastAsia="Arial" w:hAnsi="Arial"/>
          <w:sz w:val="19"/>
          <w:szCs w:val="19"/>
          <w:color w:val="auto"/>
        </w:rPr>
      </w:pPr>
      <w:r>
        <w:rPr>
          <w:rFonts w:ascii="Arial" w:cs="Arial" w:eastAsia="Arial" w:hAnsi="Arial"/>
          <w:sz w:val="19"/>
          <w:szCs w:val="19"/>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April 30, 2021 are summarized below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b w:val="1"/>
                <w:bCs w:val="1"/>
                <w:color w:val="auto"/>
                <w:w w:val="99"/>
              </w:rPr>
              <w:t>Level 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3"/>
          </w:tcPr>
          <w:p>
            <w:pPr>
              <w:ind w:left="100"/>
              <w:spacing w:after="0"/>
              <w:rPr>
                <w:sz w:val="20"/>
                <w:szCs w:val="20"/>
                <w:color w:val="auto"/>
              </w:rPr>
            </w:pPr>
            <w:r>
              <w:rPr>
                <w:rFonts w:ascii="Arial" w:cs="Arial" w:eastAsia="Arial" w:hAnsi="Arial"/>
                <w:sz w:val="22"/>
                <w:szCs w:val="22"/>
                <w:b w:val="1"/>
                <w:bCs w:val="1"/>
                <w:color w:val="auto"/>
              </w:rPr>
              <w:t>Level 2</w:t>
            </w:r>
          </w:p>
        </w:tc>
        <w:tc>
          <w:tcPr>
            <w:tcW w:w="1000" w:type="dxa"/>
            <w:vAlign w:val="bottom"/>
            <w:gridSpan w:val="3"/>
          </w:tcPr>
          <w:p>
            <w:pPr>
              <w:ind w:left="100"/>
              <w:spacing w:after="0"/>
              <w:rPr>
                <w:sz w:val="20"/>
                <w:szCs w:val="20"/>
                <w:color w:val="auto"/>
              </w:rPr>
            </w:pPr>
            <w:r>
              <w:rPr>
                <w:rFonts w:ascii="Arial" w:cs="Arial" w:eastAsia="Arial" w:hAnsi="Arial"/>
                <w:sz w:val="22"/>
                <w:szCs w:val="22"/>
                <w:b w:val="1"/>
                <w:bCs w:val="1"/>
                <w:color w:val="auto"/>
              </w:rPr>
              <w:t>Level 3</w:t>
            </w:r>
          </w:p>
        </w:tc>
        <w:tc>
          <w:tcPr>
            <w:tcW w:w="14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Arial" w:cs="Arial" w:eastAsia="Arial" w:hAnsi="Arial"/>
                <w:sz w:val="22"/>
                <w:szCs w:val="22"/>
                <w:b w:val="1"/>
                <w:bCs w:val="1"/>
                <w:color w:val="auto"/>
                <w:w w:val="91"/>
              </w:rPr>
              <w:t>Fair Value</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780" w:type="dxa"/>
            <w:vAlign w:val="bottom"/>
            <w:shd w:val="clear" w:color="auto" w:fill="E5FFFF"/>
          </w:tcPr>
          <w:p>
            <w:pPr>
              <w:jc w:val="right"/>
              <w:ind w:right="578"/>
              <w:spacing w:after="0"/>
              <w:rPr>
                <w:sz w:val="20"/>
                <w:szCs w:val="20"/>
                <w:color w:val="auto"/>
              </w:rPr>
            </w:pPr>
            <w:r>
              <w:rPr>
                <w:rFonts w:ascii="Arial" w:cs="Arial" w:eastAsia="Arial" w:hAnsi="Arial"/>
                <w:sz w:val="19"/>
                <w:szCs w:val="19"/>
                <w:color w:val="auto"/>
                <w:w w:val="75"/>
              </w:rPr>
              <w:t>$</w:t>
            </w:r>
          </w:p>
        </w:tc>
        <w:tc>
          <w:tcPr>
            <w:tcW w:w="2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w w:val="81"/>
              </w:rPr>
              <w:t>-</w:t>
            </w:r>
          </w:p>
        </w:tc>
        <w:tc>
          <w:tcPr>
            <w:tcW w:w="380" w:type="dxa"/>
            <w:vAlign w:val="bottom"/>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rPr>
              <w:t>354</w:t>
            </w:r>
          </w:p>
        </w:tc>
        <w:tc>
          <w:tcPr>
            <w:tcW w:w="440" w:type="dxa"/>
            <w:vAlign w:val="bottom"/>
            <w:gridSpan w:val="2"/>
            <w:shd w:val="clear" w:color="auto" w:fill="E5FFFF"/>
          </w:tcPr>
          <w:p>
            <w:pPr>
              <w:ind w:left="140"/>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0"/>
                <w:szCs w:val="20"/>
                <w:color w:val="auto"/>
              </w:rPr>
            </w:pPr>
            <w:r>
              <w:rPr>
                <w:rFonts w:ascii="Arial" w:cs="Arial" w:eastAsia="Arial" w:hAnsi="Arial"/>
                <w:sz w:val="22"/>
                <w:szCs w:val="22"/>
                <w:color w:val="auto"/>
              </w:rPr>
              <w:t>Forward purchase contracts (2)</w:t>
            </w:r>
          </w:p>
        </w:tc>
        <w:tc>
          <w:tcPr>
            <w:tcW w:w="780" w:type="dxa"/>
            <w:vAlign w:val="bottom"/>
          </w:tcPr>
          <w:p>
            <w:pPr>
              <w:spacing w:after="0"/>
              <w:rPr>
                <w:sz w:val="22"/>
                <w:szCs w:val="22"/>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22"/>
                <w:szCs w:val="22"/>
                <w:color w:val="auto"/>
                <w:w w:val="81"/>
              </w:rPr>
              <w:t>-</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4,480</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4,480</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780" w:type="dxa"/>
            <w:vAlign w:val="bottom"/>
            <w:tcBorders>
              <w:top w:val="single" w:sz="8" w:color="auto"/>
              <w:bottom w:val="single" w:sz="8" w:color="auto"/>
            </w:tcBorders>
            <w:shd w:val="clear" w:color="auto" w:fill="E5FFFF"/>
          </w:tcPr>
          <w:p>
            <w:pPr>
              <w:jc w:val="right"/>
              <w:ind w:right="578"/>
              <w:spacing w:after="0"/>
              <w:rPr>
                <w:sz w:val="20"/>
                <w:szCs w:val="20"/>
                <w:color w:val="auto"/>
              </w:rPr>
            </w:pPr>
            <w:r>
              <w:rPr>
                <w:rFonts w:ascii="Arial" w:cs="Arial" w:eastAsia="Arial" w:hAnsi="Arial"/>
                <w:sz w:val="19"/>
                <w:szCs w:val="19"/>
                <w:color w:val="auto"/>
                <w:w w:val="75"/>
              </w:rPr>
              <w:t>$</w:t>
            </w:r>
          </w:p>
        </w:tc>
        <w:tc>
          <w:tcPr>
            <w:tcW w:w="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6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4,480</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354</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4,834</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22"/>
                <w:szCs w:val="22"/>
                <w:color w:val="auto"/>
              </w:rPr>
              <w:t>Commodity futures liability (3)</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140" w:type="dxa"/>
            <w:vAlign w:val="bottom"/>
            <w:vMerge w:val="continue"/>
          </w:tcPr>
          <w:p>
            <w:pPr>
              <w:spacing w:after="0"/>
              <w:rPr>
                <w:sz w:val="24"/>
                <w:szCs w:val="24"/>
                <w:color w:val="auto"/>
              </w:rPr>
            </w:pPr>
          </w:p>
        </w:tc>
        <w:tc>
          <w:tcPr>
            <w:tcW w:w="780" w:type="dxa"/>
            <w:vAlign w:val="bottom"/>
          </w:tcPr>
          <w:p>
            <w:pPr>
              <w:jc w:val="right"/>
              <w:ind w:right="578"/>
              <w:spacing w:after="0"/>
              <w:rPr>
                <w:sz w:val="20"/>
                <w:szCs w:val="20"/>
                <w:color w:val="auto"/>
              </w:rPr>
            </w:pPr>
            <w:r>
              <w:rPr>
                <w:rFonts w:ascii="Arial" w:cs="Arial" w:eastAsia="Arial" w:hAnsi="Arial"/>
                <w:sz w:val="19"/>
                <w:szCs w:val="19"/>
                <w:color w:val="auto"/>
                <w:w w:val="75"/>
              </w:rPr>
              <w:t>$</w:t>
            </w:r>
          </w:p>
        </w:tc>
        <w:tc>
          <w:tcPr>
            <w:tcW w:w="220" w:type="dxa"/>
            <w:vAlign w:val="bottom"/>
            <w:gridSpan w:val="2"/>
          </w:tcPr>
          <w:p>
            <w:pPr>
              <w:jc w:val="right"/>
              <w:ind w:right="140"/>
              <w:spacing w:after="0"/>
              <w:rPr>
                <w:sz w:val="20"/>
                <w:szCs w:val="20"/>
                <w:color w:val="auto"/>
              </w:rPr>
            </w:pPr>
            <w:r>
              <w:rPr>
                <w:rFonts w:ascii="Arial" w:cs="Arial" w:eastAsia="Arial" w:hAnsi="Arial"/>
                <w:sz w:val="22"/>
                <w:szCs w:val="22"/>
                <w:color w:val="auto"/>
                <w:w w:val="81"/>
              </w:rPr>
              <w:t>-</w:t>
            </w:r>
          </w:p>
        </w:tc>
        <w:tc>
          <w:tcPr>
            <w:tcW w:w="38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620" w:type="dxa"/>
            <w:vAlign w:val="bottom"/>
          </w:tcPr>
          <w:p>
            <w:pPr>
              <w:jc w:val="right"/>
              <w:spacing w:after="0"/>
              <w:rPr>
                <w:sz w:val="20"/>
                <w:szCs w:val="20"/>
                <w:color w:val="auto"/>
              </w:rPr>
            </w:pPr>
            <w:r>
              <w:rPr>
                <w:rFonts w:ascii="Arial" w:cs="Arial" w:eastAsia="Arial" w:hAnsi="Arial"/>
                <w:sz w:val="22"/>
                <w:szCs w:val="22"/>
                <w:color w:val="auto"/>
              </w:rPr>
              <w:t>1,825</w:t>
            </w:r>
          </w:p>
        </w:tc>
        <w:tc>
          <w:tcPr>
            <w:tcW w:w="30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Arial" w:cs="Arial" w:eastAsia="Arial" w:hAnsi="Arial"/>
                <w:sz w:val="19"/>
                <w:szCs w:val="19"/>
                <w:color w:val="auto"/>
                <w:w w:val="75"/>
              </w:rPr>
              <w:t>$</w:t>
            </w:r>
          </w:p>
        </w:tc>
        <w:tc>
          <w:tcPr>
            <w:tcW w:w="680" w:type="dxa"/>
            <w:vAlign w:val="bottom"/>
            <w:gridSpan w:val="2"/>
          </w:tcPr>
          <w:p>
            <w:pPr>
              <w:jc w:val="right"/>
              <w:ind w:right="140"/>
              <w:spacing w:after="0"/>
              <w:rPr>
                <w:sz w:val="20"/>
                <w:szCs w:val="20"/>
                <w:color w:val="auto"/>
              </w:rPr>
            </w:pPr>
            <w:r>
              <w:rPr>
                <w:rFonts w:ascii="Arial" w:cs="Arial" w:eastAsia="Arial" w:hAnsi="Arial"/>
                <w:sz w:val="22"/>
                <w:szCs w:val="22"/>
                <w:color w:val="auto"/>
              </w:rPr>
              <w:t>-</w:t>
            </w:r>
          </w:p>
        </w:tc>
        <w:tc>
          <w:tcPr>
            <w:tcW w:w="440" w:type="dxa"/>
            <w:vAlign w:val="bottom"/>
            <w:gridSpan w:val="2"/>
          </w:tcPr>
          <w:p>
            <w:pPr>
              <w:ind w:left="140"/>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1,825</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140" w:type="dxa"/>
            <w:vAlign w:val="bottom"/>
          </w:tcPr>
          <w:p>
            <w:pPr>
              <w:spacing w:after="0"/>
              <w:rPr>
                <w:sz w:val="24"/>
                <w:szCs w:val="24"/>
                <w:color w:val="auto"/>
              </w:rPr>
            </w:pPr>
          </w:p>
        </w:tc>
        <w:tc>
          <w:tcPr>
            <w:tcW w:w="780" w:type="dxa"/>
            <w:vAlign w:val="bottom"/>
          </w:tcPr>
          <w:p>
            <w:pPr>
              <w:jc w:val="right"/>
              <w:ind w:right="98"/>
              <w:spacing w:after="0"/>
              <w:rPr>
                <w:sz w:val="20"/>
                <w:szCs w:val="20"/>
                <w:color w:val="auto"/>
              </w:rPr>
            </w:pPr>
            <w:r>
              <w:rPr>
                <w:rFonts w:ascii="Arial" w:cs="Arial" w:eastAsia="Arial" w:hAnsi="Arial"/>
                <w:sz w:val="22"/>
                <w:szCs w:val="22"/>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1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16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13" w:name="page14"/>
    <w:bookmarkEnd w:id="13"/>
    <w:p>
      <w:pPr>
        <w:ind w:right="5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2021 are summarized below (amounts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b w:val="1"/>
                <w:bCs w:val="1"/>
                <w:color w:val="auto"/>
                <w:w w:val="99"/>
              </w:rPr>
              <w:t>Level 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3"/>
          </w:tcPr>
          <w:p>
            <w:pPr>
              <w:ind w:left="100"/>
              <w:spacing w:after="0"/>
              <w:rPr>
                <w:sz w:val="20"/>
                <w:szCs w:val="20"/>
                <w:color w:val="auto"/>
              </w:rPr>
            </w:pPr>
            <w:r>
              <w:rPr>
                <w:rFonts w:ascii="Arial" w:cs="Arial" w:eastAsia="Arial" w:hAnsi="Arial"/>
                <w:sz w:val="22"/>
                <w:szCs w:val="22"/>
                <w:b w:val="1"/>
                <w:bCs w:val="1"/>
                <w:color w:val="auto"/>
              </w:rPr>
              <w:t>Level 2</w:t>
            </w:r>
          </w:p>
        </w:tc>
        <w:tc>
          <w:tcPr>
            <w:tcW w:w="1140" w:type="dxa"/>
            <w:vAlign w:val="bottom"/>
            <w:gridSpan w:val="3"/>
          </w:tcPr>
          <w:p>
            <w:pPr>
              <w:ind w:left="100"/>
              <w:spacing w:after="0"/>
              <w:rPr>
                <w:sz w:val="20"/>
                <w:szCs w:val="20"/>
                <w:color w:val="auto"/>
              </w:rPr>
            </w:pPr>
            <w:r>
              <w:rPr>
                <w:rFonts w:ascii="Arial" w:cs="Arial" w:eastAsia="Arial" w:hAnsi="Arial"/>
                <w:sz w:val="22"/>
                <w:szCs w:val="22"/>
                <w:b w:val="1"/>
                <w:bCs w:val="1"/>
                <w:color w:val="auto"/>
              </w:rPr>
              <w:t>Level 3</w:t>
            </w:r>
          </w:p>
        </w:tc>
        <w:tc>
          <w:tcPr>
            <w:tcW w:w="2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22"/>
                <w:szCs w:val="22"/>
                <w:b w:val="1"/>
                <w:bCs w:val="1"/>
                <w:color w:val="auto"/>
                <w:w w:val="89"/>
              </w:rPr>
              <w:t>Fair Value</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780" w:type="dxa"/>
            <w:vAlign w:val="bottom"/>
            <w:shd w:val="clear" w:color="auto" w:fill="E5FFFF"/>
          </w:tcPr>
          <w:p>
            <w:pPr>
              <w:jc w:val="right"/>
              <w:ind w:right="580"/>
              <w:spacing w:after="0"/>
              <w:rPr>
                <w:sz w:val="20"/>
                <w:szCs w:val="20"/>
                <w:color w:val="auto"/>
              </w:rPr>
            </w:pPr>
            <w:r>
              <w:rPr>
                <w:rFonts w:ascii="Arial" w:cs="Arial" w:eastAsia="Arial" w:hAnsi="Arial"/>
                <w:sz w:val="19"/>
                <w:szCs w:val="19"/>
                <w:color w:val="auto"/>
                <w:w w:val="75"/>
              </w:rPr>
              <w:t>$</w:t>
            </w:r>
          </w:p>
        </w:tc>
        <w:tc>
          <w:tcPr>
            <w:tcW w:w="220" w:type="dxa"/>
            <w:vAlign w:val="bottom"/>
            <w:gridSpan w:val="2"/>
            <w:shd w:val="clear" w:color="auto" w:fill="E5FFFF"/>
          </w:tcPr>
          <w:p>
            <w:pPr>
              <w:jc w:val="right"/>
              <w:ind w:right="140"/>
              <w:spacing w:after="0" w:line="243" w:lineRule="exact"/>
              <w:rPr>
                <w:sz w:val="20"/>
                <w:szCs w:val="20"/>
                <w:color w:val="auto"/>
              </w:rPr>
            </w:pPr>
            <w:r>
              <w:rPr>
                <w:rFonts w:ascii="Arial" w:cs="Arial" w:eastAsia="Arial" w:hAnsi="Arial"/>
                <w:sz w:val="22"/>
                <w:szCs w:val="22"/>
                <w:color w:val="auto"/>
                <w:w w:val="81"/>
              </w:rPr>
              <w:t>-</w:t>
            </w:r>
          </w:p>
        </w:tc>
        <w:tc>
          <w:tcPr>
            <w:tcW w:w="380" w:type="dxa"/>
            <w:vAlign w:val="bottom"/>
            <w:gridSpan w:val="2"/>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820" w:type="dxa"/>
            <w:vAlign w:val="bottom"/>
            <w:gridSpan w:val="2"/>
            <w:shd w:val="clear" w:color="auto" w:fill="E5FFFF"/>
          </w:tcPr>
          <w:p>
            <w:pPr>
              <w:jc w:val="right"/>
              <w:ind w:right="280"/>
              <w:spacing w:after="0" w:line="243" w:lineRule="exact"/>
              <w:rPr>
                <w:sz w:val="20"/>
                <w:szCs w:val="20"/>
                <w:color w:val="auto"/>
              </w:rPr>
            </w:pPr>
            <w:r>
              <w:rPr>
                <w:rFonts w:ascii="Arial" w:cs="Arial" w:eastAsia="Arial" w:hAnsi="Arial"/>
                <w:sz w:val="22"/>
                <w:szCs w:val="22"/>
                <w:color w:val="auto"/>
              </w:rPr>
              <w:t>354</w:t>
            </w:r>
          </w:p>
        </w:tc>
        <w:tc>
          <w:tcPr>
            <w:tcW w:w="30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0" w:type="dxa"/>
            <w:vAlign w:val="bottom"/>
          </w:tcPr>
          <w:p>
            <w:pPr>
              <w:spacing w:after="0"/>
              <w:rPr>
                <w:sz w:val="1"/>
                <w:szCs w:val="1"/>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22"/>
                <w:szCs w:val="22"/>
                <w:color w:val="auto"/>
              </w:rPr>
              <w:t>Forward purchase contracts asset (2)</w:t>
            </w:r>
          </w:p>
        </w:tc>
        <w:tc>
          <w:tcPr>
            <w:tcW w:w="780" w:type="dxa"/>
            <w:vAlign w:val="bottom"/>
          </w:tcPr>
          <w:p>
            <w:pPr>
              <w:spacing w:after="0"/>
              <w:rPr>
                <w:sz w:val="22"/>
                <w:szCs w:val="22"/>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22"/>
                <w:szCs w:val="22"/>
                <w:color w:val="auto"/>
                <w:w w:val="81"/>
              </w:rPr>
              <w:t>-</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2,144</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2,144</w:t>
            </w:r>
          </w:p>
        </w:tc>
        <w:tc>
          <w:tcPr>
            <w:tcW w:w="0" w:type="dxa"/>
            <w:vAlign w:val="bottom"/>
          </w:tcPr>
          <w:p>
            <w:pPr>
              <w:spacing w:after="0"/>
              <w:rPr>
                <w:sz w:val="1"/>
                <w:szCs w:val="1"/>
                <w:color w:val="auto"/>
              </w:rPr>
            </w:pPr>
          </w:p>
        </w:tc>
      </w:tr>
      <w:tr>
        <w:trPr>
          <w:trHeight w:val="250"/>
        </w:trPr>
        <w:tc>
          <w:tcPr>
            <w:tcW w:w="51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780" w:type="dxa"/>
            <w:vAlign w:val="bottom"/>
            <w:tcBorders>
              <w:top w:val="single" w:sz="8" w:color="auto"/>
              <w:bottom w:val="single" w:sz="8" w:color="auto"/>
            </w:tcBorders>
            <w:shd w:val="clear" w:color="auto" w:fill="E5FFFF"/>
          </w:tcPr>
          <w:p>
            <w:pPr>
              <w:jc w:val="right"/>
              <w:ind w:right="580"/>
              <w:spacing w:after="0"/>
              <w:rPr>
                <w:sz w:val="20"/>
                <w:szCs w:val="20"/>
                <w:color w:val="auto"/>
              </w:rPr>
            </w:pPr>
            <w:r>
              <w:rPr>
                <w:rFonts w:ascii="Arial" w:cs="Arial" w:eastAsia="Arial" w:hAnsi="Arial"/>
                <w:sz w:val="19"/>
                <w:szCs w:val="19"/>
                <w:color w:val="auto"/>
                <w:w w:val="75"/>
              </w:rPr>
              <w:t>$</w:t>
            </w:r>
          </w:p>
        </w:tc>
        <w:tc>
          <w:tcPr>
            <w:tcW w:w="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Arial" w:cs="Arial" w:eastAsia="Arial" w:hAnsi="Arial"/>
                <w:sz w:val="22"/>
                <w:szCs w:val="22"/>
                <w:color w:val="auto"/>
                <w:w w:val="81"/>
              </w:rPr>
              <w:t>$</w:t>
            </w:r>
          </w:p>
        </w:tc>
        <w:tc>
          <w:tcPr>
            <w:tcW w:w="6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2,144</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20"/>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354</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2,498</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22"/>
                <w:szCs w:val="22"/>
                <w:color w:val="auto"/>
              </w:rPr>
              <w:t>Commodity futures liability (3)</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140" w:type="dxa"/>
            <w:vAlign w:val="bottom"/>
            <w:vMerge w:val="continue"/>
          </w:tcPr>
          <w:p>
            <w:pPr>
              <w:spacing w:after="0"/>
              <w:rPr>
                <w:sz w:val="24"/>
                <w:szCs w:val="24"/>
                <w:color w:val="auto"/>
              </w:rPr>
            </w:pPr>
          </w:p>
        </w:tc>
        <w:tc>
          <w:tcPr>
            <w:tcW w:w="780" w:type="dxa"/>
            <w:vAlign w:val="bottom"/>
          </w:tcPr>
          <w:p>
            <w:pPr>
              <w:jc w:val="right"/>
              <w:ind w:right="580"/>
              <w:spacing w:after="0"/>
              <w:rPr>
                <w:sz w:val="20"/>
                <w:szCs w:val="20"/>
                <w:color w:val="auto"/>
              </w:rPr>
            </w:pPr>
            <w:r>
              <w:rPr>
                <w:rFonts w:ascii="Arial" w:cs="Arial" w:eastAsia="Arial" w:hAnsi="Arial"/>
                <w:sz w:val="19"/>
                <w:szCs w:val="19"/>
                <w:color w:val="auto"/>
                <w:w w:val="75"/>
              </w:rPr>
              <w:t>$</w:t>
            </w:r>
          </w:p>
        </w:tc>
        <w:tc>
          <w:tcPr>
            <w:tcW w:w="220" w:type="dxa"/>
            <w:vAlign w:val="bottom"/>
            <w:gridSpan w:val="2"/>
          </w:tcPr>
          <w:p>
            <w:pPr>
              <w:jc w:val="right"/>
              <w:ind w:right="140"/>
              <w:spacing w:after="0"/>
              <w:rPr>
                <w:sz w:val="20"/>
                <w:szCs w:val="20"/>
                <w:color w:val="auto"/>
              </w:rPr>
            </w:pPr>
            <w:r>
              <w:rPr>
                <w:rFonts w:ascii="Arial" w:cs="Arial" w:eastAsia="Arial" w:hAnsi="Arial"/>
                <w:sz w:val="22"/>
                <w:szCs w:val="22"/>
                <w:color w:val="auto"/>
                <w:w w:val="81"/>
              </w:rPr>
              <w:t>-</w:t>
            </w:r>
          </w:p>
        </w:tc>
        <w:tc>
          <w:tcPr>
            <w:tcW w:w="38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620" w:type="dxa"/>
            <w:vAlign w:val="bottom"/>
          </w:tcPr>
          <w:p>
            <w:pPr>
              <w:jc w:val="right"/>
              <w:spacing w:after="0"/>
              <w:rPr>
                <w:sz w:val="20"/>
                <w:szCs w:val="20"/>
                <w:color w:val="auto"/>
              </w:rPr>
            </w:pPr>
            <w:r>
              <w:rPr>
                <w:rFonts w:ascii="Arial" w:cs="Arial" w:eastAsia="Arial" w:hAnsi="Arial"/>
                <w:sz w:val="22"/>
                <w:szCs w:val="22"/>
                <w:color w:val="auto"/>
              </w:rPr>
              <w:t>1,794</w:t>
            </w:r>
          </w:p>
        </w:tc>
        <w:tc>
          <w:tcPr>
            <w:tcW w:w="30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Arial" w:cs="Arial" w:eastAsia="Arial" w:hAnsi="Arial"/>
                <w:sz w:val="19"/>
                <w:szCs w:val="19"/>
                <w:color w:val="auto"/>
                <w:w w:val="75"/>
              </w:rPr>
              <w:t>$</w:t>
            </w:r>
          </w:p>
        </w:tc>
        <w:tc>
          <w:tcPr>
            <w:tcW w:w="82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300" w:type="dxa"/>
            <w:vAlign w:val="bottom"/>
            <w:gridSpan w:val="2"/>
          </w:tcPr>
          <w:p>
            <w:pPr>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1,794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ind w:right="120" w:firstLine="656"/>
        <w:spacing w:after="0" w:line="230" w:lineRule="auto"/>
        <w:tabs>
          <w:tab w:leader="none" w:pos="95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forward purchase contracts asset is included in “Prepaid expenses and other current assets” on the accompanying Consolidated Condensed Balance Sheets.</w:t>
      </w:r>
    </w:p>
    <w:p>
      <w:pPr>
        <w:spacing w:after="0" w:line="1" w:lineRule="exact"/>
        <w:rPr>
          <w:rFonts w:ascii="Arial" w:cs="Arial" w:eastAsia="Arial" w:hAnsi="Arial"/>
          <w:sz w:val="22"/>
          <w:szCs w:val="22"/>
          <w:color w:val="auto"/>
        </w:rPr>
      </w:pPr>
    </w:p>
    <w:p>
      <w:pPr>
        <w:ind w:right="200" w:firstLine="656"/>
        <w:spacing w:after="0" w:line="236" w:lineRule="auto"/>
        <w:tabs>
          <w:tab w:leader="none" w:pos="95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commodity futures liability is included in “Accrued expenses and other current liabilities” on the accompanying Consolidated Condensed Balance Sheets.</w:t>
      </w:r>
    </w:p>
    <w:p>
      <w:pPr>
        <w:spacing w:after="0" w:line="187"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April 30, 2021 or January 31, 2021.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Arial" w:cs="Arial" w:eastAsia="Arial" w:hAnsi="Arial"/>
                <w:sz w:val="22"/>
                <w:szCs w:val="22"/>
                <w:b w:val="1"/>
                <w:bCs w:val="1"/>
                <w:color w:val="auto"/>
              </w:rPr>
              <w:t>April 30,</w:t>
            </w:r>
          </w:p>
        </w:tc>
        <w:tc>
          <w:tcPr>
            <w:tcW w:w="1340" w:type="dxa"/>
            <w:vAlign w:val="bottom"/>
            <w:gridSpan w:val="2"/>
          </w:tcPr>
          <w:p>
            <w:pPr>
              <w:jc w:val="right"/>
              <w:ind w:right="52"/>
              <w:spacing w:after="0"/>
              <w:rPr>
                <w:sz w:val="20"/>
                <w:szCs w:val="20"/>
                <w:color w:val="auto"/>
              </w:rPr>
            </w:pPr>
            <w:r>
              <w:rPr>
                <w:rFonts w:ascii="Arial" w:cs="Arial" w:eastAsia="Arial" w:hAnsi="Arial"/>
                <w:sz w:val="22"/>
                <w:szCs w:val="22"/>
                <w:b w:val="1"/>
                <w:bCs w:val="1"/>
                <w:color w:val="auto"/>
                <w:w w:val="95"/>
              </w:rPr>
              <w:t>January 31,</w:t>
            </w:r>
          </w:p>
        </w:tc>
        <w:tc>
          <w:tcPr>
            <w:tcW w:w="3380" w:type="dxa"/>
            <w:vAlign w:val="bottom"/>
          </w:tcPr>
          <w:p>
            <w:pPr>
              <w:spacing w:after="0"/>
              <w:rPr>
                <w:sz w:val="21"/>
                <w:szCs w:val="21"/>
                <w:color w:val="auto"/>
              </w:rPr>
            </w:pPr>
          </w:p>
        </w:tc>
      </w:tr>
      <w:tr>
        <w:trPr>
          <w:trHeight w:val="270"/>
        </w:trPr>
        <w:tc>
          <w:tcPr>
            <w:tcW w:w="4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22"/>
                <w:szCs w:val="22"/>
                <w:b w:val="1"/>
                <w:bCs w:val="1"/>
                <w:color w:val="auto"/>
              </w:rPr>
              <w:t>2021</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2021</w:t>
            </w:r>
          </w:p>
        </w:tc>
        <w:tc>
          <w:tcPr>
            <w:tcW w:w="3380" w:type="dxa"/>
            <w:vAlign w:val="bottom"/>
          </w:tcPr>
          <w:p>
            <w:pPr>
              <w:spacing w:after="0"/>
              <w:rPr>
                <w:sz w:val="23"/>
                <w:szCs w:val="23"/>
                <w:color w:val="auto"/>
              </w:rPr>
            </w:pPr>
          </w:p>
        </w:tc>
      </w:tr>
      <w:tr>
        <w:trPr>
          <w:trHeight w:val="236"/>
        </w:trPr>
        <w:tc>
          <w:tcPr>
            <w:tcW w:w="4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41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12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27,437</w:t>
            </w:r>
          </w:p>
        </w:tc>
        <w:tc>
          <w:tcPr>
            <w:tcW w:w="260" w:type="dxa"/>
            <w:vAlign w:val="bottom"/>
            <w:shd w:val="clear" w:color="auto" w:fill="E5FFFF"/>
          </w:tcPr>
          <w:p>
            <w:pPr>
              <w:jc w:val="right"/>
              <w:ind w:right="59"/>
              <w:spacing w:after="0"/>
              <w:rPr>
                <w:sz w:val="20"/>
                <w:szCs w:val="20"/>
                <w:color w:val="auto"/>
              </w:rPr>
            </w:pPr>
            <w:r>
              <w:rPr>
                <w:rFonts w:ascii="Arial" w:cs="Arial" w:eastAsia="Arial" w:hAnsi="Arial"/>
                <w:sz w:val="19"/>
                <w:szCs w:val="19"/>
                <w:color w:val="auto"/>
                <w:w w:val="75"/>
              </w:rPr>
              <w:t>$</w:t>
            </w:r>
          </w:p>
        </w:tc>
        <w:tc>
          <w:tcPr>
            <w:tcW w:w="108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27,437</w:t>
            </w:r>
          </w:p>
        </w:tc>
        <w:tc>
          <w:tcPr>
            <w:tcW w:w="3380" w:type="dxa"/>
            <w:vAlign w:val="bottom"/>
          </w:tcPr>
          <w:p>
            <w:pPr>
              <w:spacing w:after="0"/>
              <w:rPr>
                <w:sz w:val="21"/>
                <w:szCs w:val="21"/>
                <w:color w:val="auto"/>
              </w:rPr>
            </w:pPr>
          </w:p>
        </w:tc>
      </w:tr>
      <w:tr>
        <w:trPr>
          <w:trHeight w:val="243"/>
        </w:trPr>
        <w:tc>
          <w:tcPr>
            <w:tcW w:w="414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23,702</w:t>
            </w:r>
          </w:p>
        </w:tc>
        <w:tc>
          <w:tcPr>
            <w:tcW w:w="2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23,701</w:t>
            </w:r>
          </w:p>
        </w:tc>
        <w:tc>
          <w:tcPr>
            <w:tcW w:w="3380" w:type="dxa"/>
            <w:vAlign w:val="bottom"/>
          </w:tcPr>
          <w:p>
            <w:pPr>
              <w:spacing w:after="0"/>
              <w:rPr>
                <w:sz w:val="21"/>
                <w:szCs w:val="21"/>
                <w:color w:val="auto"/>
              </w:rPr>
            </w:pPr>
          </w:p>
        </w:tc>
      </w:tr>
      <w:tr>
        <w:trPr>
          <w:trHeight w:val="243"/>
        </w:trPr>
        <w:tc>
          <w:tcPr>
            <w:tcW w:w="41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1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16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305,820</w:t>
            </w:r>
          </w:p>
        </w:tc>
        <w:tc>
          <w:tcPr>
            <w:tcW w:w="260" w:type="dxa"/>
            <w:vAlign w:val="bottom"/>
            <w:shd w:val="clear" w:color="auto" w:fill="E5FFFF"/>
          </w:tcPr>
          <w:p>
            <w:pPr>
              <w:spacing w:after="0"/>
              <w:rPr>
                <w:sz w:val="21"/>
                <w:szCs w:val="21"/>
                <w:color w:val="auto"/>
              </w:rPr>
            </w:pPr>
          </w:p>
        </w:tc>
        <w:tc>
          <w:tcPr>
            <w:tcW w:w="108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305,640</w:t>
            </w:r>
          </w:p>
        </w:tc>
        <w:tc>
          <w:tcPr>
            <w:tcW w:w="3380" w:type="dxa"/>
            <w:vAlign w:val="bottom"/>
          </w:tcPr>
          <w:p>
            <w:pPr>
              <w:spacing w:after="0"/>
              <w:rPr>
                <w:sz w:val="21"/>
                <w:szCs w:val="21"/>
                <w:color w:val="auto"/>
              </w:rPr>
            </w:pPr>
          </w:p>
        </w:tc>
      </w:tr>
      <w:tr>
        <w:trPr>
          <w:trHeight w:val="256"/>
        </w:trPr>
        <w:tc>
          <w:tcPr>
            <w:tcW w:w="4140" w:type="dxa"/>
            <w:vAlign w:val="bottom"/>
          </w:tcPr>
          <w:p>
            <w:pPr>
              <w:spacing w:after="0"/>
              <w:rPr>
                <w:sz w:val="20"/>
                <w:szCs w:val="20"/>
                <w:color w:val="auto"/>
              </w:rPr>
            </w:pPr>
            <w:r>
              <w:rPr>
                <w:rFonts w:ascii="Arial" w:cs="Arial" w:eastAsia="Arial" w:hAnsi="Arial"/>
                <w:sz w:val="22"/>
                <w:szCs w:val="22"/>
                <w:color w:val="auto"/>
              </w:rPr>
              <w:t>Construction in progress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rPr>
              <w:t>899</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215</w:t>
            </w:r>
          </w:p>
        </w:tc>
        <w:tc>
          <w:tcPr>
            <w:tcW w:w="3380" w:type="dxa"/>
            <w:vAlign w:val="bottom"/>
          </w:tcPr>
          <w:p>
            <w:pPr>
              <w:spacing w:after="0"/>
              <w:rPr>
                <w:sz w:val="22"/>
                <w:szCs w:val="22"/>
                <w:color w:val="auto"/>
              </w:rPr>
            </w:pPr>
          </w:p>
        </w:tc>
      </w:tr>
      <w:tr>
        <w:trPr>
          <w:trHeight w:val="237"/>
        </w:trPr>
        <w:tc>
          <w:tcPr>
            <w:tcW w:w="4140" w:type="dxa"/>
            <w:vAlign w:val="bottom"/>
            <w:tcBorders>
              <w:top w:val="single" w:sz="8" w:color="E5FFFF"/>
            </w:tcBorders>
            <w:shd w:val="clear" w:color="auto" w:fill="E5FFFF"/>
          </w:tcPr>
          <w:p>
            <w:pPr>
              <w:spacing w:after="0"/>
              <w:rPr>
                <w:sz w:val="20"/>
                <w:szCs w:val="20"/>
                <w:color w:val="auto"/>
              </w:rPr>
            </w:pPr>
          </w:p>
        </w:tc>
        <w:tc>
          <w:tcPr>
            <w:tcW w:w="1120" w:type="dxa"/>
            <w:vAlign w:val="bottom"/>
            <w:tcBorders>
              <w:top w:val="single" w:sz="8" w:color="E5FFFF"/>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8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357,858</w:t>
            </w:r>
          </w:p>
        </w:tc>
        <w:tc>
          <w:tcPr>
            <w:tcW w:w="300" w:type="dxa"/>
            <w:vAlign w:val="bottom"/>
            <w:tcBorders>
              <w:top w:val="single" w:sz="8" w:color="E5FFFF"/>
            </w:tcBorders>
            <w:shd w:val="clear" w:color="auto" w:fill="E5FFFF"/>
          </w:tcPr>
          <w:p>
            <w:pPr>
              <w:spacing w:after="0"/>
              <w:rPr>
                <w:sz w:val="20"/>
                <w:szCs w:val="20"/>
                <w:color w:val="auto"/>
              </w:rPr>
            </w:pPr>
          </w:p>
        </w:tc>
        <w:tc>
          <w:tcPr>
            <w:tcW w:w="260" w:type="dxa"/>
            <w:vAlign w:val="bottom"/>
            <w:tcBorders>
              <w:top w:val="single" w:sz="8" w:color="auto"/>
            </w:tcBorders>
            <w:shd w:val="clear" w:color="auto" w:fill="E5FFFF"/>
          </w:tcPr>
          <w:p>
            <w:pPr>
              <w:spacing w:after="0"/>
              <w:rPr>
                <w:sz w:val="20"/>
                <w:szCs w:val="20"/>
                <w:color w:val="auto"/>
              </w:rPr>
            </w:pPr>
          </w:p>
        </w:tc>
        <w:tc>
          <w:tcPr>
            <w:tcW w:w="1080" w:type="dxa"/>
            <w:vAlign w:val="bottom"/>
            <w:tcBorders>
              <w:top w:val="single" w:sz="8" w:color="auto"/>
              <w:right w:val="single" w:sz="8" w:color="E5FFFF"/>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356,993</w:t>
            </w:r>
          </w:p>
        </w:tc>
        <w:tc>
          <w:tcPr>
            <w:tcW w:w="3380" w:type="dxa"/>
            <w:vAlign w:val="bottom"/>
          </w:tcPr>
          <w:p>
            <w:pPr>
              <w:spacing w:after="0"/>
              <w:rPr>
                <w:sz w:val="20"/>
                <w:szCs w:val="20"/>
                <w:color w:val="auto"/>
              </w:rPr>
            </w:pPr>
          </w:p>
        </w:tc>
      </w:tr>
      <w:tr>
        <w:trPr>
          <w:trHeight w:val="257"/>
        </w:trPr>
        <w:tc>
          <w:tcPr>
            <w:tcW w:w="4140" w:type="dxa"/>
            <w:vAlign w:val="bottom"/>
          </w:tcPr>
          <w:p>
            <w:pPr>
              <w:spacing w:after="0"/>
              <w:rPr>
                <w:sz w:val="20"/>
                <w:szCs w:val="20"/>
                <w:color w:val="auto"/>
              </w:rPr>
            </w:pPr>
            <w:r>
              <w:rPr>
                <w:rFonts w:ascii="Arial" w:cs="Arial" w:eastAsia="Arial" w:hAnsi="Arial"/>
                <w:sz w:val="22"/>
                <w:szCs w:val="22"/>
                <w:color w:val="auto"/>
              </w:rPr>
              <w:t>Less: accumulated depreciation</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22"/>
                <w:szCs w:val="22"/>
                <w:color w:val="auto"/>
                <w:w w:val="89"/>
              </w:rPr>
              <w:t>(208,791)</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(203,807)</w:t>
            </w:r>
          </w:p>
        </w:tc>
        <w:tc>
          <w:tcPr>
            <w:tcW w:w="3380" w:type="dxa"/>
            <w:vAlign w:val="bottom"/>
          </w:tcPr>
          <w:p>
            <w:pPr>
              <w:spacing w:after="0"/>
              <w:rPr>
                <w:sz w:val="22"/>
                <w:szCs w:val="22"/>
                <w:color w:val="auto"/>
              </w:rPr>
            </w:pPr>
          </w:p>
        </w:tc>
      </w:tr>
      <w:tr>
        <w:trPr>
          <w:trHeight w:val="250"/>
        </w:trPr>
        <w:tc>
          <w:tcPr>
            <w:tcW w:w="41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12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149,067</w:t>
            </w: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59"/>
              <w:spacing w:after="0"/>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153,186</w:t>
            </w:r>
          </w:p>
        </w:tc>
        <w:tc>
          <w:tcPr>
            <w:tcW w:w="3380" w:type="dxa"/>
            <w:vAlign w:val="bottom"/>
          </w:tcPr>
          <w:p>
            <w:pPr>
              <w:spacing w:after="0"/>
              <w:rPr>
                <w:sz w:val="21"/>
                <w:szCs w:val="21"/>
                <w:color w:val="auto"/>
              </w:rPr>
            </w:pPr>
          </w:p>
        </w:tc>
      </w:tr>
      <w:tr>
        <w:trPr>
          <w:trHeight w:val="20"/>
        </w:trPr>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3"/>
        </w:trPr>
        <w:tc>
          <w:tcPr>
            <w:tcW w:w="4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160"/>
              <w:spacing w:after="0"/>
              <w:rPr>
                <w:sz w:val="20"/>
                <w:szCs w:val="20"/>
                <w:color w:val="auto"/>
              </w:rPr>
            </w:pPr>
            <w:r>
              <w:rPr>
                <w:rFonts w:ascii="Arial" w:cs="Arial" w:eastAsia="Arial" w:hAnsi="Arial"/>
                <w:sz w:val="22"/>
                <w:szCs w:val="22"/>
                <w:color w:val="auto"/>
              </w:rPr>
              <w:t>12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40"/>
        </w:trPr>
        <w:tc>
          <w:tcPr>
            <w:tcW w:w="414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12"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20" w:type="dxa"/>
            <w:vAlign w:val="bottom"/>
          </w:tcPr>
          <w:p>
            <w:pPr>
              <w:spacing w:after="0"/>
              <w:rPr>
                <w:sz w:val="21"/>
                <w:szCs w:val="21"/>
                <w:color w:val="auto"/>
              </w:rPr>
            </w:pPr>
          </w:p>
        </w:tc>
        <w:tc>
          <w:tcPr>
            <w:tcW w:w="1200" w:type="dxa"/>
            <w:vAlign w:val="bottom"/>
            <w:gridSpan w:val="3"/>
          </w:tcPr>
          <w:p>
            <w:pPr>
              <w:ind w:left="40"/>
              <w:spacing w:after="0"/>
              <w:rPr>
                <w:sz w:val="20"/>
                <w:szCs w:val="20"/>
                <w:color w:val="auto"/>
              </w:rPr>
            </w:pPr>
            <w:r>
              <w:rPr>
                <w:rFonts w:ascii="Arial" w:cs="Arial" w:eastAsia="Arial" w:hAnsi="Arial"/>
                <w:sz w:val="22"/>
                <w:szCs w:val="22"/>
                <w:b w:val="1"/>
                <w:bCs w:val="1"/>
                <w:color w:val="auto"/>
              </w:rPr>
              <w:t>April 30,</w:t>
            </w:r>
          </w:p>
        </w:tc>
        <w:tc>
          <w:tcPr>
            <w:tcW w:w="1340" w:type="dxa"/>
            <w:vAlign w:val="bottom"/>
            <w:gridSpan w:val="3"/>
          </w:tcPr>
          <w:p>
            <w:pPr>
              <w:ind w:left="100"/>
              <w:spacing w:after="0"/>
              <w:rPr>
                <w:sz w:val="20"/>
                <w:szCs w:val="20"/>
                <w:color w:val="auto"/>
              </w:rPr>
            </w:pPr>
            <w:r>
              <w:rPr>
                <w:rFonts w:ascii="Arial" w:cs="Arial" w:eastAsia="Arial" w:hAnsi="Arial"/>
                <w:sz w:val="22"/>
                <w:szCs w:val="22"/>
                <w:b w:val="1"/>
                <w:bCs w:val="1"/>
                <w:color w:val="auto"/>
              </w:rPr>
              <w:t>January 31,</w:t>
            </w:r>
          </w:p>
        </w:tc>
      </w:tr>
      <w:tr>
        <w:trPr>
          <w:trHeight w:val="270"/>
        </w:trPr>
        <w:tc>
          <w:tcPr>
            <w:tcW w:w="53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93"/>
              </w:rPr>
              <w:t>2021</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w:t>
            </w:r>
          </w:p>
        </w:tc>
        <w:tc>
          <w:tcPr>
            <w:tcW w:w="60" w:type="dxa"/>
            <w:vAlign w:val="bottom"/>
          </w:tcPr>
          <w:p>
            <w:pPr>
              <w:spacing w:after="0"/>
              <w:rPr>
                <w:sz w:val="23"/>
                <w:szCs w:val="23"/>
                <w:color w:val="auto"/>
              </w:rPr>
            </w:pPr>
          </w:p>
        </w:tc>
      </w:tr>
      <w:tr>
        <w:trPr>
          <w:trHeight w:val="237"/>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1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2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1,391</w:t>
            </w:r>
          </w:p>
        </w:tc>
        <w:tc>
          <w:tcPr>
            <w:tcW w:w="260" w:type="dxa"/>
            <w:vAlign w:val="bottom"/>
            <w:shd w:val="clear" w:color="auto" w:fill="E5FFFF"/>
          </w:tcPr>
          <w:p>
            <w:pPr>
              <w:jc w:val="right"/>
              <w:ind w:right="59"/>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690</w:t>
            </w:r>
          </w:p>
        </w:tc>
        <w:tc>
          <w:tcPr>
            <w:tcW w:w="60" w:type="dxa"/>
            <w:vAlign w:val="bottom"/>
            <w:shd w:val="clear" w:color="auto" w:fill="E5FFFF"/>
          </w:tcPr>
          <w:p>
            <w:pPr>
              <w:spacing w:after="0"/>
              <w:rPr>
                <w:sz w:val="21"/>
                <w:szCs w:val="21"/>
                <w:color w:val="auto"/>
              </w:rPr>
            </w:pPr>
          </w:p>
        </w:tc>
      </w:tr>
      <w:tr>
        <w:trPr>
          <w:trHeight w:val="243"/>
        </w:trPr>
        <w:tc>
          <w:tcPr>
            <w:tcW w:w="532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180" w:type="dxa"/>
            <w:vAlign w:val="bottom"/>
          </w:tcPr>
          <w:p>
            <w:pPr>
              <w:spacing w:after="0"/>
              <w:rPr>
                <w:sz w:val="21"/>
                <w:szCs w:val="21"/>
                <w:color w:val="auto"/>
              </w:rPr>
            </w:pP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1,873</w:t>
            </w:r>
          </w:p>
        </w:tc>
        <w:tc>
          <w:tcPr>
            <w:tcW w:w="26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2,515</w:t>
            </w:r>
          </w:p>
        </w:tc>
        <w:tc>
          <w:tcPr>
            <w:tcW w:w="60" w:type="dxa"/>
            <w:vAlign w:val="bottom"/>
          </w:tcPr>
          <w:p>
            <w:pPr>
              <w:spacing w:after="0"/>
              <w:rPr>
                <w:sz w:val="21"/>
                <w:szCs w:val="21"/>
                <w:color w:val="auto"/>
              </w:rPr>
            </w:pPr>
          </w:p>
        </w:tc>
      </w:tr>
      <w:tr>
        <w:trPr>
          <w:trHeight w:val="243"/>
        </w:trPr>
        <w:tc>
          <w:tcPr>
            <w:tcW w:w="5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18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1,560</w:t>
            </w: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1,560</w:t>
            </w:r>
          </w:p>
        </w:tc>
        <w:tc>
          <w:tcPr>
            <w:tcW w:w="60" w:type="dxa"/>
            <w:vAlign w:val="bottom"/>
            <w:shd w:val="clear" w:color="auto" w:fill="E5FFFF"/>
          </w:tcPr>
          <w:p>
            <w:pPr>
              <w:spacing w:after="0"/>
              <w:rPr>
                <w:sz w:val="21"/>
                <w:szCs w:val="21"/>
                <w:color w:val="auto"/>
              </w:rPr>
            </w:pPr>
          </w:p>
        </w:tc>
      </w:tr>
      <w:tr>
        <w:trPr>
          <w:trHeight w:val="243"/>
        </w:trPr>
        <w:tc>
          <w:tcPr>
            <w:tcW w:w="532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180" w:type="dxa"/>
            <w:vAlign w:val="bottom"/>
          </w:tcPr>
          <w:p>
            <w:pPr>
              <w:spacing w:after="0"/>
              <w:rPr>
                <w:sz w:val="21"/>
                <w:szCs w:val="21"/>
                <w:color w:val="auto"/>
              </w:rPr>
            </w:pP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1,945</w:t>
            </w:r>
          </w:p>
        </w:tc>
        <w:tc>
          <w:tcPr>
            <w:tcW w:w="26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1,778</w:t>
            </w:r>
          </w:p>
        </w:tc>
        <w:tc>
          <w:tcPr>
            <w:tcW w:w="60" w:type="dxa"/>
            <w:vAlign w:val="bottom"/>
          </w:tcPr>
          <w:p>
            <w:pPr>
              <w:spacing w:after="0"/>
              <w:rPr>
                <w:sz w:val="21"/>
                <w:szCs w:val="21"/>
                <w:color w:val="auto"/>
              </w:rPr>
            </w:pPr>
          </w:p>
        </w:tc>
      </w:tr>
      <w:tr>
        <w:trPr>
          <w:trHeight w:val="243"/>
        </w:trPr>
        <w:tc>
          <w:tcPr>
            <w:tcW w:w="5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w:t>
            </w:r>
          </w:p>
        </w:tc>
        <w:tc>
          <w:tcPr>
            <w:tcW w:w="18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300"/>
              <w:spacing w:after="0" w:line="243" w:lineRule="exact"/>
              <w:rPr>
                <w:sz w:val="20"/>
                <w:szCs w:val="20"/>
                <w:color w:val="auto"/>
              </w:rPr>
            </w:pPr>
            <w:r>
              <w:rPr>
                <w:rFonts w:ascii="Arial" w:cs="Arial" w:eastAsia="Arial" w:hAnsi="Arial"/>
                <w:sz w:val="22"/>
                <w:szCs w:val="22"/>
                <w:color w:val="auto"/>
              </w:rPr>
              <w:t>1,825</w:t>
            </w: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1,794</w:t>
            </w:r>
          </w:p>
        </w:tc>
        <w:tc>
          <w:tcPr>
            <w:tcW w:w="60" w:type="dxa"/>
            <w:vAlign w:val="bottom"/>
            <w:shd w:val="clear" w:color="auto" w:fill="E5FFFF"/>
          </w:tcPr>
          <w:p>
            <w:pPr>
              <w:spacing w:after="0"/>
              <w:rPr>
                <w:sz w:val="21"/>
                <w:szCs w:val="21"/>
                <w:color w:val="auto"/>
              </w:rPr>
            </w:pPr>
          </w:p>
        </w:tc>
      </w:tr>
      <w:tr>
        <w:trPr>
          <w:trHeight w:val="243"/>
        </w:trPr>
        <w:tc>
          <w:tcPr>
            <w:tcW w:w="5320" w:type="dxa"/>
            <w:vAlign w:val="bottom"/>
          </w:tcPr>
          <w:p>
            <w:pPr>
              <w:spacing w:after="0" w:line="243" w:lineRule="exact"/>
              <w:rPr>
                <w:sz w:val="20"/>
                <w:szCs w:val="20"/>
                <w:color w:val="auto"/>
              </w:rPr>
            </w:pPr>
            <w:r>
              <w:rPr>
                <w:rFonts w:ascii="Arial" w:cs="Arial" w:eastAsia="Arial" w:hAnsi="Arial"/>
                <w:sz w:val="22"/>
                <w:szCs w:val="22"/>
                <w:color w:val="auto"/>
              </w:rPr>
              <w:t>Accrued income taxes</w:t>
            </w:r>
          </w:p>
        </w:tc>
        <w:tc>
          <w:tcPr>
            <w:tcW w:w="180" w:type="dxa"/>
            <w:vAlign w:val="bottom"/>
          </w:tcPr>
          <w:p>
            <w:pPr>
              <w:spacing w:after="0"/>
              <w:rPr>
                <w:sz w:val="21"/>
                <w:szCs w:val="21"/>
                <w:color w:val="auto"/>
              </w:rPr>
            </w:pP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34</w:t>
            </w:r>
          </w:p>
        </w:tc>
        <w:tc>
          <w:tcPr>
            <w:tcW w:w="26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c>
          <w:tcPr>
            <w:tcW w:w="60" w:type="dxa"/>
            <w:vAlign w:val="bottom"/>
          </w:tcPr>
          <w:p>
            <w:pPr>
              <w:spacing w:after="0"/>
              <w:rPr>
                <w:sz w:val="21"/>
                <w:szCs w:val="21"/>
                <w:color w:val="auto"/>
              </w:rPr>
            </w:pPr>
          </w:p>
        </w:tc>
      </w:tr>
      <w:tr>
        <w:trPr>
          <w:trHeight w:val="257"/>
        </w:trPr>
        <w:tc>
          <w:tcPr>
            <w:tcW w:w="5320" w:type="dxa"/>
            <w:vAlign w:val="bottom"/>
            <w:shd w:val="clear" w:color="auto" w:fill="E5FFFF"/>
          </w:tcPr>
          <w:p>
            <w:pPr>
              <w:spacing w:after="0"/>
              <w:rPr>
                <w:sz w:val="20"/>
                <w:szCs w:val="20"/>
                <w:color w:val="auto"/>
              </w:rPr>
            </w:pPr>
            <w:r>
              <w:rPr>
                <w:rFonts w:ascii="Arial" w:cs="Arial" w:eastAsia="Arial" w:hAnsi="Arial"/>
                <w:sz w:val="22"/>
                <w:szCs w:val="22"/>
                <w:color w:val="auto"/>
              </w:rPr>
              <w:t>Other</w:t>
            </w:r>
          </w:p>
        </w:tc>
        <w:tc>
          <w:tcPr>
            <w:tcW w:w="180" w:type="dxa"/>
            <w:vAlign w:val="bottom"/>
            <w:shd w:val="clear" w:color="auto" w:fill="E5FFFF"/>
          </w:tcPr>
          <w:p>
            <w:pPr>
              <w:spacing w:after="0"/>
              <w:rPr>
                <w:sz w:val="22"/>
                <w:szCs w:val="22"/>
                <w:color w:val="auto"/>
              </w:rPr>
            </w:pPr>
          </w:p>
        </w:tc>
        <w:tc>
          <w:tcPr>
            <w:tcW w:w="1020" w:type="dxa"/>
            <w:vAlign w:val="bottom"/>
            <w:gridSpan w:val="2"/>
            <w:shd w:val="clear" w:color="auto" w:fill="E5FFFF"/>
          </w:tcPr>
          <w:p>
            <w:pPr>
              <w:jc w:val="right"/>
              <w:ind w:right="300"/>
              <w:spacing w:after="0"/>
              <w:rPr>
                <w:sz w:val="20"/>
                <w:szCs w:val="20"/>
                <w:color w:val="auto"/>
              </w:rPr>
            </w:pPr>
            <w:r>
              <w:rPr>
                <w:rFonts w:ascii="Arial" w:cs="Arial" w:eastAsia="Arial" w:hAnsi="Arial"/>
                <w:sz w:val="22"/>
                <w:szCs w:val="22"/>
                <w:color w:val="auto"/>
              </w:rPr>
              <w:t>557</w:t>
            </w:r>
          </w:p>
        </w:tc>
        <w:tc>
          <w:tcPr>
            <w:tcW w:w="260" w:type="dxa"/>
            <w:vAlign w:val="bottom"/>
            <w:shd w:val="clear" w:color="auto" w:fill="E5FFFF"/>
          </w:tcPr>
          <w:p>
            <w:pPr>
              <w:spacing w:after="0"/>
              <w:rPr>
                <w:sz w:val="22"/>
                <w:szCs w:val="22"/>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563</w:t>
            </w:r>
          </w:p>
        </w:tc>
        <w:tc>
          <w:tcPr>
            <w:tcW w:w="60" w:type="dxa"/>
            <w:vAlign w:val="bottom"/>
            <w:shd w:val="clear" w:color="auto" w:fill="E5FFFF"/>
          </w:tcPr>
          <w:p>
            <w:pPr>
              <w:spacing w:after="0"/>
              <w:rPr>
                <w:sz w:val="22"/>
                <w:szCs w:val="22"/>
                <w:color w:val="auto"/>
              </w:rPr>
            </w:pPr>
          </w:p>
        </w:tc>
      </w:tr>
      <w:tr>
        <w:trPr>
          <w:trHeight w:val="250"/>
        </w:trPr>
        <w:tc>
          <w:tcPr>
            <w:tcW w:w="5320" w:type="dxa"/>
            <w:vAlign w:val="bottom"/>
          </w:tcPr>
          <w:p>
            <w:pPr>
              <w:spacing w:after="0" w:line="250"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9,185</w:t>
            </w:r>
          </w:p>
        </w:tc>
        <w:tc>
          <w:tcPr>
            <w:tcW w:w="3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9"/>
                <w:szCs w:val="19"/>
                <w:color w:val="auto"/>
                <w:w w:val="75"/>
              </w:rPr>
              <w:t>$</w:t>
            </w:r>
          </w:p>
        </w:tc>
        <w:tc>
          <w:tcPr>
            <w:tcW w:w="10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8,955</w:t>
            </w:r>
          </w:p>
        </w:tc>
        <w:tc>
          <w:tcPr>
            <w:tcW w:w="60" w:type="dxa"/>
            <w:vAlign w:val="bottom"/>
          </w:tcPr>
          <w:p>
            <w:pPr>
              <w:spacing w:after="0"/>
              <w:rPr>
                <w:sz w:val="21"/>
                <w:szCs w:val="2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52"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5"/>
          </w:tcPr>
          <w:p>
            <w:pPr>
              <w:ind w:left="540"/>
              <w:spacing w:after="0"/>
              <w:rPr>
                <w:sz w:val="20"/>
                <w:szCs w:val="20"/>
                <w:color w:val="auto"/>
              </w:rPr>
            </w:pPr>
            <w:r>
              <w:rPr>
                <w:rFonts w:ascii="Arial" w:cs="Arial" w:eastAsia="Arial" w:hAnsi="Arial"/>
                <w:sz w:val="22"/>
                <w:szCs w:val="22"/>
                <w:b w:val="1"/>
                <w:bCs w:val="1"/>
                <w:color w:val="auto"/>
              </w:rPr>
              <w:t>Asset Derivatives</w:t>
            </w:r>
          </w:p>
        </w:tc>
        <w:tc>
          <w:tcPr>
            <w:tcW w:w="160" w:type="dxa"/>
            <w:vAlign w:val="bottom"/>
          </w:tcPr>
          <w:p>
            <w:pPr>
              <w:spacing w:after="0"/>
              <w:rPr>
                <w:sz w:val="21"/>
                <w:szCs w:val="21"/>
                <w:color w:val="auto"/>
              </w:rPr>
            </w:pPr>
          </w:p>
        </w:tc>
        <w:tc>
          <w:tcPr>
            <w:tcW w:w="2840" w:type="dxa"/>
            <w:vAlign w:val="bottom"/>
            <w:gridSpan w:val="5"/>
          </w:tcPr>
          <w:p>
            <w:pPr>
              <w:ind w:left="340"/>
              <w:spacing w:after="0"/>
              <w:rPr>
                <w:sz w:val="20"/>
                <w:szCs w:val="20"/>
                <w:color w:val="auto"/>
              </w:rPr>
            </w:pPr>
            <w:r>
              <w:rPr>
                <w:rFonts w:ascii="Arial" w:cs="Arial" w:eastAsia="Arial" w:hAnsi="Arial"/>
                <w:sz w:val="22"/>
                <w:szCs w:val="22"/>
                <w:b w:val="1"/>
                <w:bCs w:val="1"/>
                <w:color w:val="auto"/>
              </w:rPr>
              <w:t>Liability Derivatives</w:t>
            </w: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rPr>
              <w:t>Fair Value</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tcPr>
          <w:p>
            <w:pPr>
              <w:jc w:val="right"/>
              <w:spacing w:after="0" w:line="243" w:lineRule="exact"/>
              <w:rPr>
                <w:sz w:val="20"/>
                <w:szCs w:val="20"/>
                <w:color w:val="auto"/>
              </w:rPr>
            </w:pPr>
            <w:r>
              <w:rPr>
                <w:rFonts w:ascii="Arial" w:cs="Arial" w:eastAsia="Arial" w:hAnsi="Arial"/>
                <w:sz w:val="22"/>
                <w:szCs w:val="22"/>
                <w:b w:val="1"/>
                <w:bCs w:val="1"/>
                <w:color w:val="auto"/>
              </w:rPr>
              <w:t>Fair Value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2"/>
              <w:spacing w:after="0" w:line="243" w:lineRule="exact"/>
              <w:rPr>
                <w:sz w:val="20"/>
                <w:szCs w:val="20"/>
                <w:color w:val="auto"/>
              </w:rPr>
            </w:pPr>
            <w:r>
              <w:rPr>
                <w:rFonts w:ascii="Arial" w:cs="Arial" w:eastAsia="Arial" w:hAnsi="Arial"/>
                <w:sz w:val="22"/>
                <w:szCs w:val="22"/>
                <w:b w:val="1"/>
                <w:bCs w:val="1"/>
                <w:color w:val="auto"/>
                <w:w w:val="99"/>
              </w:rPr>
              <w:t>April 30,</w:t>
            </w:r>
          </w:p>
        </w:tc>
        <w:tc>
          <w:tcPr>
            <w:tcW w:w="460" w:type="dxa"/>
            <w:vAlign w:val="bottom"/>
          </w:tcPr>
          <w:p>
            <w:pPr>
              <w:spacing w:after="0"/>
              <w:rPr>
                <w:sz w:val="21"/>
                <w:szCs w:val="21"/>
                <w:color w:val="auto"/>
              </w:rPr>
            </w:pPr>
          </w:p>
        </w:tc>
        <w:tc>
          <w:tcPr>
            <w:tcW w:w="1680" w:type="dxa"/>
            <w:vAlign w:val="bottom"/>
            <w:gridSpan w:val="3"/>
          </w:tcPr>
          <w:p>
            <w:pPr>
              <w:ind w:left="80"/>
              <w:spacing w:after="0" w:line="243" w:lineRule="exact"/>
              <w:rPr>
                <w:sz w:val="20"/>
                <w:szCs w:val="20"/>
                <w:color w:val="auto"/>
              </w:rPr>
            </w:pPr>
            <w:r>
              <w:rPr>
                <w:rFonts w:ascii="Arial" w:cs="Arial" w:eastAsia="Arial" w:hAnsi="Arial"/>
                <w:sz w:val="22"/>
                <w:szCs w:val="22"/>
                <w:b w:val="1"/>
                <w:bCs w:val="1"/>
                <w:color w:val="auto"/>
              </w:rPr>
              <w:t>January 31,</w:t>
            </w:r>
          </w:p>
        </w:tc>
        <w:tc>
          <w:tcPr>
            <w:tcW w:w="160" w:type="dxa"/>
            <w:vAlign w:val="bottom"/>
          </w:tcPr>
          <w:p>
            <w:pPr>
              <w:spacing w:after="0"/>
              <w:rPr>
                <w:sz w:val="21"/>
                <w:szCs w:val="21"/>
                <w:color w:val="auto"/>
              </w:rPr>
            </w:pPr>
          </w:p>
        </w:tc>
        <w:tc>
          <w:tcPr>
            <w:tcW w:w="1080" w:type="dxa"/>
            <w:vAlign w:val="bottom"/>
          </w:tcPr>
          <w:p>
            <w:pPr>
              <w:jc w:val="right"/>
              <w:ind w:right="112"/>
              <w:spacing w:after="0" w:line="243" w:lineRule="exact"/>
              <w:rPr>
                <w:sz w:val="20"/>
                <w:szCs w:val="20"/>
                <w:color w:val="auto"/>
              </w:rPr>
            </w:pPr>
            <w:r>
              <w:rPr>
                <w:rFonts w:ascii="Arial" w:cs="Arial" w:eastAsia="Arial" w:hAnsi="Arial"/>
                <w:sz w:val="22"/>
                <w:szCs w:val="22"/>
                <w:b w:val="1"/>
                <w:bCs w:val="1"/>
                <w:color w:val="auto"/>
                <w:w w:val="96"/>
              </w:rPr>
              <w:t>April 30,</w:t>
            </w:r>
          </w:p>
        </w:tc>
        <w:tc>
          <w:tcPr>
            <w:tcW w:w="420" w:type="dxa"/>
            <w:vAlign w:val="bottom"/>
          </w:tcPr>
          <w:p>
            <w:pPr>
              <w:spacing w:after="0"/>
              <w:rPr>
                <w:sz w:val="21"/>
                <w:szCs w:val="21"/>
                <w:color w:val="auto"/>
              </w:rPr>
            </w:pPr>
          </w:p>
        </w:tc>
        <w:tc>
          <w:tcPr>
            <w:tcW w:w="1340" w:type="dxa"/>
            <w:vAlign w:val="bottom"/>
            <w:gridSpan w:val="3"/>
          </w:tcPr>
          <w:p>
            <w:pPr>
              <w:ind w:left="80"/>
              <w:spacing w:after="0" w:line="243" w:lineRule="exact"/>
              <w:rPr>
                <w:sz w:val="20"/>
                <w:szCs w:val="20"/>
                <w:color w:val="auto"/>
              </w:rPr>
            </w:pPr>
            <w:r>
              <w:rPr>
                <w:rFonts w:ascii="Arial" w:cs="Arial" w:eastAsia="Arial" w:hAnsi="Arial"/>
                <w:sz w:val="22"/>
                <w:szCs w:val="22"/>
                <w:b w:val="1"/>
                <w:bCs w:val="1"/>
                <w:color w:val="auto"/>
              </w:rPr>
              <w:t>January 31,</w:t>
            </w:r>
          </w:p>
        </w:tc>
      </w:tr>
      <w:tr>
        <w:trPr>
          <w:trHeight w:val="270"/>
        </w:trPr>
        <w:tc>
          <w:tcPr>
            <w:tcW w:w="48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w:t>
            </w:r>
          </w:p>
        </w:tc>
        <w:tc>
          <w:tcPr>
            <w:tcW w:w="4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2021</w:t>
            </w:r>
          </w:p>
        </w:tc>
        <w:tc>
          <w:tcPr>
            <w:tcW w:w="4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2021</w:t>
            </w:r>
          </w:p>
        </w:tc>
        <w:tc>
          <w:tcPr>
            <w:tcW w:w="4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w w:val="98"/>
              </w:rPr>
              <w:t>2021</w:t>
            </w:r>
          </w:p>
        </w:tc>
        <w:tc>
          <w:tcPr>
            <w:tcW w:w="100" w:type="dxa"/>
            <w:vAlign w:val="bottom"/>
          </w:tcPr>
          <w:p>
            <w:pPr>
              <w:spacing w:after="0"/>
              <w:rPr>
                <w:sz w:val="23"/>
                <w:szCs w:val="23"/>
                <w:color w:val="auto"/>
              </w:rPr>
            </w:pPr>
          </w:p>
        </w:tc>
      </w:tr>
      <w:tr>
        <w:trPr>
          <w:trHeight w:val="236"/>
        </w:trPr>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(1)</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117"/>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1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1,825</w:t>
            </w:r>
          </w:p>
        </w:tc>
        <w:tc>
          <w:tcPr>
            <w:tcW w:w="760" w:type="dxa"/>
            <w:vAlign w:val="bottom"/>
            <w:gridSpan w:val="2"/>
            <w:shd w:val="clear" w:color="auto" w:fill="E5FFFF"/>
          </w:tcPr>
          <w:p>
            <w:pPr>
              <w:jc w:val="right"/>
              <w:ind w:right="112"/>
              <w:spacing w:after="0" w:line="243" w:lineRule="exact"/>
              <w:rPr>
                <w:sz w:val="20"/>
                <w:szCs w:val="20"/>
                <w:color w:val="auto"/>
              </w:rPr>
            </w:pPr>
            <w:r>
              <w:rPr>
                <w:rFonts w:ascii="Arial" w:cs="Arial" w:eastAsia="Arial" w:hAnsi="Arial"/>
                <w:sz w:val="22"/>
                <w:szCs w:val="22"/>
                <w:color w:val="auto"/>
              </w:rPr>
              <w:t>$</w:t>
            </w:r>
          </w:p>
        </w:tc>
        <w:tc>
          <w:tcPr>
            <w:tcW w:w="10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1,794</w:t>
            </w:r>
          </w:p>
        </w:tc>
      </w:tr>
      <w:tr>
        <w:trPr>
          <w:trHeight w:val="257"/>
        </w:trPr>
        <w:tc>
          <w:tcPr>
            <w:tcW w:w="4840" w:type="dxa"/>
            <w:vAlign w:val="bottom"/>
          </w:tcPr>
          <w:p>
            <w:pPr>
              <w:spacing w:after="0"/>
              <w:rPr>
                <w:sz w:val="20"/>
                <w:szCs w:val="20"/>
                <w:color w:val="auto"/>
              </w:rPr>
            </w:pPr>
            <w:r>
              <w:rPr>
                <w:rFonts w:ascii="Arial" w:cs="Arial" w:eastAsia="Arial" w:hAnsi="Arial"/>
                <w:sz w:val="22"/>
                <w:szCs w:val="22"/>
                <w:color w:val="auto"/>
              </w:rPr>
              <w:t>Forward purchase contracts (2)</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4,480</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22"/>
                <w:szCs w:val="22"/>
                <w:color w:val="auto"/>
              </w:rPr>
              <w:t>2,144</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4,480</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jc w:val="right"/>
              <w:ind w:right="117"/>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2,144</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0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1,825</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jc w:val="right"/>
              <w:ind w:right="112"/>
              <w:spacing w:after="0" w:line="250" w:lineRule="exact"/>
              <w:rPr>
                <w:sz w:val="20"/>
                <w:szCs w:val="20"/>
                <w:color w:val="auto"/>
              </w:rPr>
            </w:pPr>
            <w:r>
              <w:rPr>
                <w:rFonts w:ascii="Arial" w:cs="Arial" w:eastAsia="Arial" w:hAnsi="Arial"/>
                <w:sz w:val="22"/>
                <w:szCs w:val="22"/>
                <w:color w:val="auto"/>
                <w:w w:val="81"/>
              </w:rPr>
              <w:t>$</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1,794</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440" w:hanging="5"/>
        <w:spacing w:after="0" w:line="236" w:lineRule="auto"/>
        <w:tabs>
          <w:tab w:leader="none" w:pos="748"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Commodity futures liabilities are included in accrued expenses and other current liabilities. These contracts are short/sell positions for approximately 2.6 million bushels of corn at April 30, 2021. These contracts are short/sell positions for approximately 6.9 million bushels of corn at January 31, 2021.</w:t>
      </w:r>
    </w:p>
    <w:p>
      <w:pPr>
        <w:jc w:val="both"/>
        <w:ind w:left="440" w:right="20" w:hanging="5"/>
        <w:spacing w:after="0" w:line="234" w:lineRule="auto"/>
        <w:tabs>
          <w:tab w:leader="none" w:pos="775" w:val="left"/>
        </w:tabs>
        <w:numPr>
          <w:ilvl w:val="0"/>
          <w:numId w:val="9"/>
        </w:numPr>
        <w:rPr>
          <w:rFonts w:ascii="Arial" w:cs="Arial" w:eastAsia="Arial" w:hAnsi="Arial"/>
          <w:sz w:val="22"/>
          <w:szCs w:val="22"/>
          <w:color w:val="auto"/>
        </w:rPr>
      </w:pPr>
      <w:r>
        <w:rPr>
          <w:rFonts w:ascii="Arial" w:cs="Arial" w:eastAsia="Arial" w:hAnsi="Arial"/>
          <w:sz w:val="22"/>
          <w:szCs w:val="22"/>
          <w:color w:val="auto"/>
        </w:rPr>
        <w:t>Forward purchase contracts assets are included in prepaid expenses and other current assets. These contracts are for purchases of approximately 9.5 million bushels of corn at April 30, 2021 and 6.4 million bushels of corn at January 31, 2021.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5" w:name="page16"/>
    <w:bookmarkEnd w:id="15"/>
    <w:p>
      <w:pPr>
        <w:ind w:right="100" w:firstLine="648"/>
        <w:spacing w:after="0" w:line="277" w:lineRule="auto"/>
        <w:rPr>
          <w:sz w:val="20"/>
          <w:szCs w:val="20"/>
          <w:color w:val="auto"/>
        </w:rPr>
      </w:pPr>
      <w:r>
        <w:rPr>
          <w:rFonts w:ascii="Arial" w:cs="Arial" w:eastAsia="Arial" w:hAnsi="Arial"/>
          <w:sz w:val="19"/>
          <w:szCs w:val="19"/>
          <w:color w:val="auto"/>
        </w:rPr>
        <w:t>As of April 30, 2021, and January 31, 2021, all of the derivative financial instruments held by the Company were subject to enforceable master netting arrangements. The Company’s accounting policy is to offset positions and amounts owed or owing with the same counterparty. As of April 30, 2021, and January 31, 2021,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$1,717,000 and approximately $1,657,000 to secure the Company’s derivative position at April 30, 2021 and January 31, 2021, respectively.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06" w:lineRule="exact"/>
        <w:rPr>
          <w:sz w:val="20"/>
          <w:szCs w:val="20"/>
          <w:color w:val="auto"/>
        </w:rPr>
      </w:pPr>
    </w:p>
    <w:p>
      <w:pPr>
        <w:jc w:val="both"/>
        <w:ind w:right="100" w:firstLine="648"/>
        <w:spacing w:after="0"/>
        <w:rPr>
          <w:sz w:val="20"/>
          <w:szCs w:val="20"/>
          <w:color w:val="auto"/>
        </w:rPr>
      </w:pPr>
      <w:r>
        <w:rPr>
          <w:rFonts w:ascii="Arial" w:cs="Arial" w:eastAsia="Arial" w:hAnsi="Arial"/>
          <w:sz w:val="22"/>
          <w:szCs w:val="22"/>
          <w:color w:val="auto"/>
        </w:rPr>
        <w:t>The Company recognized losses (included in net sales and revenue) on derivative financial instruments of approximately $1,126,000 for the first quarter of fiscal year 2021. There were no recognized gains or losses (included in net sales and revenue) on derivative financial instruments during the first quarter of fiscal year 2020.</w:t>
      </w:r>
    </w:p>
    <w:p>
      <w:pPr>
        <w:spacing w:after="0" w:line="186" w:lineRule="exact"/>
        <w:rPr>
          <w:sz w:val="20"/>
          <w:szCs w:val="20"/>
          <w:color w:val="auto"/>
        </w:rPr>
      </w:pPr>
    </w:p>
    <w:p>
      <w:pPr>
        <w:ind w:right="240" w:firstLine="648"/>
        <w:spacing w:after="0" w:line="328" w:lineRule="auto"/>
        <w:rPr>
          <w:sz w:val="20"/>
          <w:szCs w:val="20"/>
          <w:color w:val="auto"/>
        </w:rPr>
      </w:pPr>
      <w:r>
        <w:rPr>
          <w:rFonts w:ascii="Arial" w:cs="Arial" w:eastAsia="Arial" w:hAnsi="Arial"/>
          <w:sz w:val="19"/>
          <w:szCs w:val="19"/>
          <w:color w:val="auto"/>
        </w:rPr>
        <w:t>The Company recognized (losses) gains (included in cost of sales) on derivative financial instruments of approximately $(1,894,000) and approximately $3,144,000 for the first quarter of fiscal years 2021 and 2020,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12" w:lineRule="exact"/>
        <w:rPr>
          <w:sz w:val="20"/>
          <w:szCs w:val="20"/>
          <w:color w:val="auto"/>
        </w:rPr>
      </w:pPr>
    </w:p>
    <w:p>
      <w:pPr>
        <w:ind w:right="68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April 30, 2021 and January 31, 2021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0" w:type="dxa"/>
            <w:vAlign w:val="bottom"/>
            <w:gridSpan w:val="3"/>
          </w:tcPr>
          <w:p>
            <w:pPr>
              <w:jc w:val="right"/>
              <w:ind w:right="1152"/>
              <w:spacing w:after="0"/>
              <w:rPr>
                <w:sz w:val="20"/>
                <w:szCs w:val="20"/>
                <w:color w:val="auto"/>
              </w:rPr>
            </w:pPr>
            <w:r>
              <w:rPr>
                <w:rFonts w:ascii="Arial" w:cs="Arial" w:eastAsia="Arial" w:hAnsi="Arial"/>
                <w:sz w:val="22"/>
                <w:szCs w:val="22"/>
                <w:b w:val="1"/>
                <w:bCs w:val="1"/>
                <w:color w:val="auto"/>
              </w:rPr>
              <w:t>Carrying Amount</w:t>
            </w:r>
          </w:p>
        </w:tc>
      </w:tr>
      <w:tr>
        <w:trPr>
          <w:trHeight w:val="270"/>
        </w:trPr>
        <w:tc>
          <w:tcPr>
            <w:tcW w:w="12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Entity</w:t>
            </w:r>
          </w:p>
        </w:tc>
        <w:tc>
          <w:tcPr>
            <w:tcW w:w="260" w:type="dxa"/>
            <w:vAlign w:val="bottom"/>
          </w:tcPr>
          <w:p>
            <w:pPr>
              <w:spacing w:after="0"/>
              <w:rPr>
                <w:sz w:val="23"/>
                <w:szCs w:val="23"/>
                <w:color w:val="auto"/>
              </w:rPr>
            </w:pPr>
          </w:p>
        </w:tc>
        <w:tc>
          <w:tcPr>
            <w:tcW w:w="2980" w:type="dxa"/>
            <w:vAlign w:val="bottom"/>
            <w:tcBorders>
              <w:bottom w:val="single" w:sz="8" w:color="auto"/>
            </w:tcBorders>
          </w:tcPr>
          <w:p>
            <w:pPr>
              <w:jc w:val="right"/>
              <w:ind w:right="772"/>
              <w:spacing w:after="0"/>
              <w:rPr>
                <w:sz w:val="20"/>
                <w:szCs w:val="20"/>
                <w:color w:val="auto"/>
              </w:rPr>
            </w:pPr>
            <w:r>
              <w:rPr>
                <w:rFonts w:ascii="Arial" w:cs="Arial" w:eastAsia="Arial" w:hAnsi="Arial"/>
                <w:sz w:val="22"/>
                <w:szCs w:val="22"/>
                <w:b w:val="1"/>
                <w:bCs w:val="1"/>
                <w:color w:val="auto"/>
                <w:w w:val="87"/>
              </w:rPr>
              <w:t>Ownership Percentage</w:t>
            </w:r>
          </w:p>
        </w:tc>
        <w:tc>
          <w:tcPr>
            <w:tcW w:w="260" w:type="dxa"/>
            <w:vAlign w:val="bottom"/>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April 30, 2021</w:t>
            </w:r>
          </w:p>
        </w:tc>
        <w:tc>
          <w:tcPr>
            <w:tcW w:w="260" w:type="dxa"/>
            <w:vAlign w:val="bottom"/>
          </w:tcPr>
          <w:p>
            <w:pPr>
              <w:spacing w:after="0"/>
              <w:rPr>
                <w:sz w:val="23"/>
                <w:szCs w:val="23"/>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January 31, 2021</w:t>
            </w:r>
          </w:p>
        </w:tc>
      </w:tr>
      <w:tr>
        <w:trPr>
          <w:trHeight w:val="490"/>
        </w:trPr>
        <w:tc>
          <w:tcPr>
            <w:tcW w:w="154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2980" w:type="dxa"/>
            <w:vAlign w:val="bottom"/>
          </w:tcPr>
          <w:p>
            <w:pPr>
              <w:jc w:val="right"/>
              <w:ind w:right="1092"/>
              <w:spacing w:after="0"/>
              <w:rPr>
                <w:sz w:val="20"/>
                <w:szCs w:val="20"/>
                <w:color w:val="auto"/>
              </w:rPr>
            </w:pPr>
            <w:r>
              <w:rPr>
                <w:rFonts w:ascii="Arial" w:cs="Arial" w:eastAsia="Arial" w:hAnsi="Arial"/>
                <w:sz w:val="22"/>
                <w:szCs w:val="22"/>
                <w:color w:val="auto"/>
              </w:rPr>
              <w:t>10.3%</w:t>
            </w:r>
          </w:p>
        </w:tc>
        <w:tc>
          <w:tcPr>
            <w:tcW w:w="260" w:type="dxa"/>
            <w:vAlign w:val="bottom"/>
          </w:tcPr>
          <w:p>
            <w:pPr>
              <w:spacing w:after="0"/>
              <w:rPr>
                <w:sz w:val="24"/>
                <w:szCs w:val="24"/>
                <w:color w:val="auto"/>
              </w:rPr>
            </w:pPr>
          </w:p>
        </w:tc>
        <w:tc>
          <w:tcPr>
            <w:tcW w:w="2240" w:type="dxa"/>
            <w:vAlign w:val="bottom"/>
            <w:gridSpan w:val="2"/>
          </w:tcPr>
          <w:p>
            <w:pPr>
              <w:jc w:val="right"/>
              <w:ind w:right="260"/>
              <w:spacing w:after="0"/>
              <w:rPr>
                <w:sz w:val="20"/>
                <w:szCs w:val="20"/>
                <w:color w:val="auto"/>
              </w:rPr>
            </w:pPr>
            <w:r>
              <w:rPr>
                <w:rFonts w:ascii="Arial" w:cs="Arial" w:eastAsia="Arial" w:hAnsi="Arial"/>
                <w:sz w:val="22"/>
                <w:szCs w:val="22"/>
                <w:color w:val="auto"/>
              </w:rPr>
              <w:t>$30,026</w:t>
            </w:r>
          </w:p>
        </w:tc>
        <w:tc>
          <w:tcPr>
            <w:tcW w:w="1960" w:type="dxa"/>
            <w:vAlign w:val="bottom"/>
          </w:tcPr>
          <w:p>
            <w:pPr>
              <w:jc w:val="right"/>
              <w:spacing w:after="0"/>
              <w:rPr>
                <w:sz w:val="20"/>
                <w:szCs w:val="20"/>
                <w:color w:val="auto"/>
              </w:rPr>
            </w:pPr>
            <w:r>
              <w:rPr>
                <w:rFonts w:ascii="Arial" w:cs="Arial" w:eastAsia="Arial" w:hAnsi="Arial"/>
                <w:sz w:val="22"/>
                <w:szCs w:val="22"/>
                <w:color w:val="auto"/>
              </w:rPr>
              <w:t>$29,456</w:t>
            </w:r>
          </w:p>
        </w:tc>
      </w:tr>
    </w:tbl>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Undistributed earnings of the Company’s equity method investee totaled approximately $10.0 million and approximately $9.4 million at April 30, 2021 and January 31, 2021, respectively. The Company did not receive any dividends from its equity method investee in the first quarter of fiscal year 2021 and received dividends of approximately $2.0 million in the first quarter of fiscal year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6" w:name="page17"/>
    <w:bookmarkEnd w:id="16"/>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140" w:type="dxa"/>
            <w:vAlign w:val="bottom"/>
            <w:gridSpan w:val="5"/>
          </w:tcPr>
          <w:p>
            <w:pPr>
              <w:jc w:val="center"/>
              <w:ind w:right="60"/>
              <w:spacing w:after="0"/>
              <w:rPr>
                <w:sz w:val="20"/>
                <w:szCs w:val="20"/>
                <w:color w:val="auto"/>
              </w:rPr>
            </w:pPr>
            <w:r>
              <w:rPr>
                <w:rFonts w:ascii="Arial" w:cs="Arial" w:eastAsia="Arial" w:hAnsi="Arial"/>
                <w:sz w:val="22"/>
                <w:szCs w:val="22"/>
                <w:b w:val="1"/>
                <w:bCs w:val="1"/>
                <w:color w:val="auto"/>
                <w:w w:val="90"/>
              </w:rPr>
              <w:t>Three Months Ended</w:t>
            </w:r>
          </w:p>
        </w:tc>
      </w:tr>
      <w:tr>
        <w:trPr>
          <w:trHeight w:val="243"/>
        </w:trPr>
        <w:tc>
          <w:tcPr>
            <w:tcW w:w="4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4"/>
          </w:tcPr>
          <w:p>
            <w:pPr>
              <w:jc w:val="center"/>
              <w:ind w:right="160"/>
              <w:spacing w:after="0" w:line="243" w:lineRule="exact"/>
              <w:rPr>
                <w:sz w:val="20"/>
                <w:szCs w:val="20"/>
                <w:color w:val="auto"/>
              </w:rPr>
            </w:pPr>
            <w:r>
              <w:rPr>
                <w:rFonts w:ascii="Arial" w:cs="Arial" w:eastAsia="Arial" w:hAnsi="Arial"/>
                <w:sz w:val="22"/>
                <w:szCs w:val="22"/>
                <w:b w:val="1"/>
                <w:bCs w:val="1"/>
                <w:color w:val="auto"/>
                <w:w w:val="92"/>
              </w:rPr>
              <w:t>April 30,</w:t>
            </w:r>
          </w:p>
        </w:tc>
      </w:tr>
      <w:tr>
        <w:trPr>
          <w:trHeight w:val="270"/>
        </w:trPr>
        <w:tc>
          <w:tcPr>
            <w:tcW w:w="4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22"/>
                <w:szCs w:val="22"/>
                <w:b w:val="1"/>
                <w:bCs w:val="1"/>
                <w:color w:val="auto"/>
              </w:rPr>
              <w:t>2021</w:t>
            </w:r>
          </w:p>
        </w:tc>
        <w:tc>
          <w:tcPr>
            <w:tcW w:w="1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5"/>
              </w:rPr>
              <w:t>2020</w:t>
            </w:r>
          </w:p>
        </w:tc>
        <w:tc>
          <w:tcPr>
            <w:tcW w:w="60" w:type="dxa"/>
            <w:vAlign w:val="bottom"/>
          </w:tcPr>
          <w:p>
            <w:pPr>
              <w:spacing w:after="0"/>
              <w:rPr>
                <w:sz w:val="23"/>
                <w:szCs w:val="23"/>
                <w:color w:val="auto"/>
              </w:rPr>
            </w:pPr>
          </w:p>
        </w:tc>
      </w:tr>
      <w:tr>
        <w:trPr>
          <w:trHeight w:val="237"/>
        </w:trPr>
        <w:tc>
          <w:tcPr>
            <w:tcW w:w="4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1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5"/>
              </w:rPr>
              <w:t>256,416</w:t>
            </w:r>
          </w:p>
        </w:tc>
        <w:tc>
          <w:tcPr>
            <w:tcW w:w="1280" w:type="dxa"/>
            <w:vAlign w:val="bottom"/>
            <w:gridSpan w:val="2"/>
            <w:shd w:val="clear" w:color="auto" w:fill="E5FFFF"/>
          </w:tcPr>
          <w:p>
            <w:pPr>
              <w:jc w:val="center"/>
              <w:ind w:left="352"/>
              <w:spacing w:after="0" w:line="243" w:lineRule="exact"/>
              <w:rPr>
                <w:sz w:val="20"/>
                <w:szCs w:val="20"/>
                <w:color w:val="auto"/>
              </w:rPr>
            </w:pPr>
            <w:r>
              <w:rPr>
                <w:rFonts w:ascii="Arial" w:cs="Arial" w:eastAsia="Arial" w:hAnsi="Arial"/>
                <w:sz w:val="22"/>
                <w:szCs w:val="22"/>
                <w:color w:val="auto"/>
                <w:w w:val="89"/>
              </w:rPr>
              <w:t>$197,632</w:t>
            </w:r>
          </w:p>
        </w:tc>
        <w:tc>
          <w:tcPr>
            <w:tcW w:w="60" w:type="dxa"/>
            <w:vAlign w:val="bottom"/>
            <w:shd w:val="clear" w:color="auto" w:fill="E5FFFF"/>
          </w:tcPr>
          <w:p>
            <w:pPr>
              <w:spacing w:after="0"/>
              <w:rPr>
                <w:sz w:val="21"/>
                <w:szCs w:val="21"/>
                <w:color w:val="auto"/>
              </w:rPr>
            </w:pPr>
          </w:p>
        </w:tc>
      </w:tr>
      <w:tr>
        <w:trPr>
          <w:trHeight w:val="243"/>
        </w:trPr>
        <w:tc>
          <w:tcPr>
            <w:tcW w:w="4660" w:type="dxa"/>
            <w:vAlign w:val="bottom"/>
          </w:tcPr>
          <w:p>
            <w:pPr>
              <w:spacing w:after="0" w:line="243" w:lineRule="exact"/>
              <w:rPr>
                <w:sz w:val="20"/>
                <w:szCs w:val="20"/>
                <w:color w:val="auto"/>
              </w:rPr>
            </w:pPr>
            <w:r>
              <w:rPr>
                <w:rFonts w:ascii="Arial" w:cs="Arial" w:eastAsia="Arial" w:hAnsi="Arial"/>
                <w:sz w:val="22"/>
                <w:szCs w:val="22"/>
                <w:color w:val="auto"/>
              </w:rPr>
              <w:t>Gross profit (loss)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1,544</w:t>
            </w:r>
          </w:p>
        </w:tc>
        <w:tc>
          <w:tcPr>
            <w:tcW w:w="1280" w:type="dxa"/>
            <w:vAlign w:val="bottom"/>
            <w:gridSpan w:val="2"/>
          </w:tcPr>
          <w:p>
            <w:pPr>
              <w:jc w:val="center"/>
              <w:ind w:left="352"/>
              <w:spacing w:after="0" w:line="243" w:lineRule="exact"/>
              <w:rPr>
                <w:sz w:val="20"/>
                <w:szCs w:val="20"/>
                <w:color w:val="auto"/>
              </w:rPr>
            </w:pPr>
            <w:r>
              <w:rPr>
                <w:rFonts w:ascii="Arial" w:cs="Arial" w:eastAsia="Arial" w:hAnsi="Arial"/>
                <w:sz w:val="22"/>
                <w:szCs w:val="22"/>
                <w:color w:val="auto"/>
                <w:w w:val="93"/>
              </w:rPr>
              <w:t>$ (5,943)</w:t>
            </w:r>
          </w:p>
        </w:tc>
        <w:tc>
          <w:tcPr>
            <w:tcW w:w="60" w:type="dxa"/>
            <w:vAlign w:val="bottom"/>
          </w:tcPr>
          <w:p>
            <w:pPr>
              <w:spacing w:after="0"/>
              <w:rPr>
                <w:sz w:val="21"/>
                <w:szCs w:val="21"/>
                <w:color w:val="auto"/>
              </w:rPr>
            </w:pPr>
          </w:p>
        </w:tc>
      </w:tr>
      <w:tr>
        <w:trPr>
          <w:trHeight w:val="243"/>
        </w:trPr>
        <w:tc>
          <w:tcPr>
            <w:tcW w:w="46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from continuing operations</w:t>
            </w:r>
          </w:p>
        </w:tc>
        <w:tc>
          <w:tcPr>
            <w:tcW w:w="11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5,535</w:t>
            </w:r>
          </w:p>
        </w:tc>
        <w:tc>
          <w:tcPr>
            <w:tcW w:w="1280" w:type="dxa"/>
            <w:vAlign w:val="bottom"/>
            <w:gridSpan w:val="2"/>
            <w:shd w:val="clear" w:color="auto" w:fill="E5FFFF"/>
          </w:tcPr>
          <w:p>
            <w:pPr>
              <w:jc w:val="center"/>
              <w:ind w:left="352"/>
              <w:spacing w:after="0" w:line="243" w:lineRule="exact"/>
              <w:rPr>
                <w:sz w:val="20"/>
                <w:szCs w:val="20"/>
                <w:color w:val="auto"/>
              </w:rPr>
            </w:pPr>
            <w:r>
              <w:rPr>
                <w:rFonts w:ascii="Arial" w:cs="Arial" w:eastAsia="Arial" w:hAnsi="Arial"/>
                <w:sz w:val="22"/>
                <w:szCs w:val="22"/>
                <w:color w:val="auto"/>
                <w:w w:val="93"/>
              </w:rPr>
              <w:t>$ (4,626)</w:t>
            </w:r>
          </w:p>
        </w:tc>
        <w:tc>
          <w:tcPr>
            <w:tcW w:w="60" w:type="dxa"/>
            <w:vAlign w:val="bottom"/>
            <w:shd w:val="clear" w:color="auto" w:fill="E5FFFF"/>
          </w:tcPr>
          <w:p>
            <w:pPr>
              <w:spacing w:after="0"/>
              <w:rPr>
                <w:sz w:val="21"/>
                <w:szCs w:val="21"/>
                <w:color w:val="auto"/>
              </w:rPr>
            </w:pPr>
          </w:p>
        </w:tc>
      </w:tr>
      <w:tr>
        <w:trPr>
          <w:trHeight w:val="274"/>
        </w:trPr>
        <w:tc>
          <w:tcPr>
            <w:tcW w:w="4660" w:type="dxa"/>
            <w:vAlign w:val="bottom"/>
          </w:tcPr>
          <w:p>
            <w:pPr>
              <w:spacing w:after="0"/>
              <w:rPr>
                <w:sz w:val="20"/>
                <w:szCs w:val="20"/>
                <w:color w:val="auto"/>
              </w:rPr>
            </w:pPr>
            <w:r>
              <w:rPr>
                <w:rFonts w:ascii="Arial" w:cs="Arial" w:eastAsia="Arial" w:hAnsi="Arial"/>
                <w:sz w:val="22"/>
                <w:szCs w:val="22"/>
                <w:color w:val="auto"/>
              </w:rPr>
              <w:t>Net income (loss)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5,535</w:t>
            </w:r>
          </w:p>
        </w:tc>
        <w:tc>
          <w:tcPr>
            <w:tcW w:w="1280" w:type="dxa"/>
            <w:vAlign w:val="bottom"/>
            <w:gridSpan w:val="2"/>
          </w:tcPr>
          <w:p>
            <w:pPr>
              <w:jc w:val="center"/>
              <w:ind w:left="352"/>
              <w:spacing w:after="0"/>
              <w:rPr>
                <w:sz w:val="20"/>
                <w:szCs w:val="20"/>
                <w:color w:val="auto"/>
              </w:rPr>
            </w:pPr>
            <w:r>
              <w:rPr>
                <w:rFonts w:ascii="Arial" w:cs="Arial" w:eastAsia="Arial" w:hAnsi="Arial"/>
                <w:sz w:val="22"/>
                <w:szCs w:val="22"/>
                <w:color w:val="auto"/>
                <w:w w:val="93"/>
              </w:rPr>
              <w:t>$ (4,626)</w:t>
            </w:r>
          </w:p>
        </w:tc>
        <w:tc>
          <w:tcPr>
            <w:tcW w:w="60" w:type="dxa"/>
            <w:vAlign w:val="bottom"/>
          </w:tcPr>
          <w:p>
            <w:pPr>
              <w:spacing w:after="0"/>
              <w:rPr>
                <w:sz w:val="23"/>
                <w:szCs w:val="23"/>
                <w:color w:val="auto"/>
              </w:rPr>
            </w:pPr>
          </w:p>
        </w:tc>
      </w:tr>
    </w:tbl>
    <w:p>
      <w:pPr>
        <w:spacing w:after="0" w:line="16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April 30, 2021, the Company owned certificates of deposit that had an amortized cost, or carrying value, of approximately $35,864,000. The contractual maturity of these investments was less than one year. The yield to maturity rate was approximately 0.2%. Unrealized gains or losses were insignificant.</w:t>
      </w:r>
    </w:p>
    <w:p>
      <w:pPr>
        <w:spacing w:after="0" w:line="186"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January 31, 2021, the Company owned certificates of deposit that had an amortized cost, or carrying value, of approximately $36,194,000. The contractual maturity of these investments was less than one year. The yield to maturity rate was approximately 0.2%. Unrealized gains or losses were insignificant.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April 30, 2021, 473,830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grant date. The 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7" w:name="page18"/>
    <w:bookmarkEnd w:id="17"/>
    <w:p>
      <w:pPr>
        <w:jc w:val="both"/>
        <w:ind w:firstLine="648"/>
        <w:spacing w:after="0"/>
        <w:rPr>
          <w:sz w:val="20"/>
          <w:szCs w:val="20"/>
          <w:color w:val="auto"/>
        </w:rPr>
      </w:pPr>
      <w:r>
        <w:rPr>
          <w:rFonts w:ascii="Arial" w:cs="Arial" w:eastAsia="Arial" w:hAnsi="Arial"/>
          <w:sz w:val="22"/>
          <w:szCs w:val="22"/>
          <w:color w:val="auto"/>
        </w:rPr>
        <w:t>At April 30, 2021 and January 31, 2021, unrecognized compensation cost related to nonvested restricted stock was approximately $189,000 and $272,000, respectively. The following tables summarize non-vested restricted stock award activity for the periods presented:</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5000" w:type="dxa"/>
            <w:vAlign w:val="bottom"/>
          </w:tcPr>
          <w:p>
            <w:pPr>
              <w:spacing w:after="0"/>
              <w:rPr>
                <w:sz w:val="24"/>
                <w:szCs w:val="24"/>
                <w:color w:val="auto"/>
              </w:rPr>
            </w:pPr>
          </w:p>
        </w:tc>
        <w:tc>
          <w:tcPr>
            <w:tcW w:w="5440" w:type="dxa"/>
            <w:vAlign w:val="bottom"/>
            <w:gridSpan w:val="7"/>
          </w:tcPr>
          <w:p>
            <w:pPr>
              <w:ind w:left="1020"/>
              <w:spacing w:after="0"/>
              <w:rPr>
                <w:sz w:val="20"/>
                <w:szCs w:val="20"/>
                <w:color w:val="auto"/>
              </w:rPr>
            </w:pPr>
            <w:r>
              <w:rPr>
                <w:rFonts w:ascii="Arial" w:cs="Arial" w:eastAsia="Arial" w:hAnsi="Arial"/>
                <w:sz w:val="22"/>
                <w:szCs w:val="22"/>
                <w:b w:val="1"/>
                <w:bCs w:val="1"/>
                <w:color w:val="auto"/>
              </w:rPr>
              <w:t>Three Months Ended April 30, 2021</w:t>
            </w:r>
          </w:p>
        </w:tc>
      </w:tr>
      <w:tr>
        <w:trPr>
          <w:trHeight w:val="449"/>
        </w:trPr>
        <w:tc>
          <w:tcPr>
            <w:tcW w:w="5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12"/>
              <w:spacing w:after="0"/>
              <w:rPr>
                <w:sz w:val="20"/>
                <w:szCs w:val="20"/>
                <w:color w:val="auto"/>
              </w:rPr>
            </w:pPr>
            <w:r>
              <w:rPr>
                <w:rFonts w:ascii="Arial" w:cs="Arial" w:eastAsia="Arial" w:hAnsi="Arial"/>
                <w:sz w:val="22"/>
                <w:szCs w:val="22"/>
                <w:b w:val="1"/>
                <w:bCs w:val="1"/>
                <w:color w:val="auto"/>
                <w:w w:val="88"/>
              </w:rPr>
              <w:t>Weighted</w:t>
            </w:r>
          </w:p>
        </w:tc>
        <w:tc>
          <w:tcPr>
            <w:tcW w:w="4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5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420" w:type="dxa"/>
            <w:vAlign w:val="bottom"/>
          </w:tcPr>
          <w:p>
            <w:pPr>
              <w:spacing w:after="0"/>
              <w:rPr>
                <w:sz w:val="21"/>
                <w:szCs w:val="21"/>
                <w:color w:val="auto"/>
              </w:rPr>
            </w:pPr>
          </w:p>
        </w:tc>
        <w:tc>
          <w:tcPr>
            <w:tcW w:w="192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57"/>
        </w:trPr>
        <w:tc>
          <w:tcPr>
            <w:tcW w:w="50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Non-Vested</w:t>
            </w:r>
          </w:p>
        </w:tc>
        <w:tc>
          <w:tcPr>
            <w:tcW w:w="400" w:type="dxa"/>
            <w:vAlign w:val="bottom"/>
          </w:tcPr>
          <w:p>
            <w:pPr>
              <w:spacing w:after="0"/>
              <w:rPr>
                <w:sz w:val="22"/>
                <w:szCs w:val="22"/>
                <w:color w:val="auto"/>
              </w:rPr>
            </w:pPr>
          </w:p>
        </w:tc>
        <w:tc>
          <w:tcPr>
            <w:tcW w:w="1560" w:type="dxa"/>
            <w:vAlign w:val="bottom"/>
            <w:gridSpan w:val="2"/>
          </w:tcPr>
          <w:p>
            <w:pPr>
              <w:jc w:val="center"/>
              <w:spacing w:after="0"/>
              <w:rPr>
                <w:sz w:val="20"/>
                <w:szCs w:val="20"/>
                <w:color w:val="auto"/>
              </w:rPr>
            </w:pPr>
            <w:r>
              <w:rPr>
                <w:rFonts w:ascii="Arial" w:cs="Arial" w:eastAsia="Arial" w:hAnsi="Arial"/>
                <w:sz w:val="22"/>
                <w:szCs w:val="22"/>
                <w:b w:val="1"/>
                <w:bCs w:val="1"/>
                <w:color w:val="auto"/>
                <w:w w:val="91"/>
              </w:rPr>
              <w:t>Date Fair Value</w:t>
            </w:r>
          </w:p>
        </w:tc>
        <w:tc>
          <w:tcPr>
            <w:tcW w:w="42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7"/>
              </w:rPr>
              <w:t>Vesting Term</w:t>
            </w:r>
          </w:p>
        </w:tc>
      </w:tr>
      <w:tr>
        <w:trPr>
          <w:trHeight w:val="270"/>
        </w:trPr>
        <w:tc>
          <w:tcPr>
            <w:tcW w:w="50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center"/>
              <w:ind w:right="92"/>
              <w:spacing w:after="0"/>
              <w:rPr>
                <w:sz w:val="20"/>
                <w:szCs w:val="20"/>
                <w:color w:val="auto"/>
              </w:rPr>
            </w:pPr>
            <w:r>
              <w:rPr>
                <w:rFonts w:ascii="Arial" w:cs="Arial" w:eastAsia="Arial" w:hAnsi="Arial"/>
                <w:sz w:val="22"/>
                <w:szCs w:val="22"/>
                <w:b w:val="1"/>
                <w:bCs w:val="1"/>
                <w:color w:val="auto"/>
                <w:w w:val="88"/>
              </w:rPr>
              <w:t>(000’s)</w:t>
            </w:r>
          </w:p>
        </w:tc>
        <w:tc>
          <w:tcPr>
            <w:tcW w:w="420" w:type="dxa"/>
            <w:vAlign w:val="bottom"/>
          </w:tcPr>
          <w:p>
            <w:pPr>
              <w:spacing w:after="0"/>
              <w:rPr>
                <w:sz w:val="23"/>
                <w:szCs w:val="23"/>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7"/>
              </w:rPr>
              <w:t>(in years)</w:t>
            </w:r>
          </w:p>
        </w:tc>
      </w:tr>
      <w:tr>
        <w:trPr>
          <w:trHeight w:val="237"/>
        </w:trPr>
        <w:tc>
          <w:tcPr>
            <w:tcW w:w="50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2021</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19,705</w:t>
            </w: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1,398</w:t>
            </w:r>
          </w:p>
        </w:tc>
        <w:tc>
          <w:tcPr>
            <w:tcW w:w="23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w:t>
            </w:r>
          </w:p>
        </w:tc>
      </w:tr>
      <w:tr>
        <w:trPr>
          <w:trHeight w:val="243"/>
        </w:trPr>
        <w:tc>
          <w:tcPr>
            <w:tcW w:w="500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2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57"/>
        </w:trPr>
        <w:tc>
          <w:tcPr>
            <w:tcW w:w="5000" w:type="dxa"/>
            <w:vAlign w:val="bottom"/>
          </w:tcPr>
          <w:p>
            <w:pPr>
              <w:spacing w:after="0"/>
              <w:rPr>
                <w:sz w:val="20"/>
                <w:szCs w:val="20"/>
                <w:color w:val="auto"/>
              </w:rPr>
            </w:pPr>
            <w:r>
              <w:rPr>
                <w:rFonts w:ascii="Arial" w:cs="Arial" w:eastAsia="Arial" w:hAnsi="Arial"/>
                <w:sz w:val="22"/>
                <w:szCs w:val="22"/>
                <w:color w:val="auto"/>
              </w:rPr>
              <w:t>Vested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5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0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22"/>
                <w:szCs w:val="22"/>
                <w:color w:val="auto"/>
              </w:rPr>
              <w:t>Non-Vested at April 30, 2021</w:t>
            </w: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19,705</w:t>
            </w:r>
          </w:p>
        </w:tc>
        <w:tc>
          <w:tcPr>
            <w:tcW w:w="400" w:type="dxa"/>
            <w:vAlign w:val="bottom"/>
            <w:tcBorders>
              <w:bottom w:val="single" w:sz="8" w:color="E5FFFF"/>
            </w:tcBorders>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1,398</w:t>
            </w:r>
          </w:p>
        </w:tc>
        <w:tc>
          <w:tcPr>
            <w:tcW w:w="2340" w:type="dxa"/>
            <w:vAlign w:val="bottom"/>
            <w:tcBorders>
              <w:bottom w:val="single" w:sz="8" w:color="E5FFFF"/>
            </w:tcBorders>
            <w:gridSpan w:val="3"/>
            <w:shd w:val="clear" w:color="auto" w:fill="E5FFFF"/>
          </w:tcPr>
          <w:p>
            <w:pPr>
              <w:jc w:val="right"/>
              <w:ind w:right="100"/>
              <w:spacing w:after="0"/>
              <w:rPr>
                <w:sz w:val="20"/>
                <w:szCs w:val="20"/>
                <w:color w:val="auto"/>
              </w:rPr>
            </w:pPr>
            <w:r>
              <w:rPr>
                <w:rFonts w:ascii="Arial" w:cs="Arial" w:eastAsia="Arial" w:hAnsi="Arial"/>
                <w:sz w:val="22"/>
                <w:szCs w:val="22"/>
                <w:color w:val="auto"/>
              </w:rPr>
              <w:t>1</w:t>
            </w:r>
          </w:p>
        </w:tc>
      </w:tr>
      <w:tr>
        <w:trPr>
          <w:trHeight w:val="20"/>
        </w:trPr>
        <w:tc>
          <w:tcPr>
            <w:tcW w:w="5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0"/>
        </w:trPr>
        <w:tc>
          <w:tcPr>
            <w:tcW w:w="5000" w:type="dxa"/>
            <w:vAlign w:val="bottom"/>
          </w:tcPr>
          <w:p>
            <w:pPr>
              <w:spacing w:after="0"/>
              <w:rPr>
                <w:sz w:val="24"/>
                <w:szCs w:val="24"/>
                <w:color w:val="auto"/>
              </w:rPr>
            </w:pPr>
          </w:p>
        </w:tc>
        <w:tc>
          <w:tcPr>
            <w:tcW w:w="5440" w:type="dxa"/>
            <w:vAlign w:val="bottom"/>
            <w:gridSpan w:val="7"/>
          </w:tcPr>
          <w:p>
            <w:pPr>
              <w:ind w:left="1020"/>
              <w:spacing w:after="0"/>
              <w:rPr>
                <w:sz w:val="20"/>
                <w:szCs w:val="20"/>
                <w:color w:val="auto"/>
              </w:rPr>
            </w:pPr>
            <w:r>
              <w:rPr>
                <w:rFonts w:ascii="Arial" w:cs="Arial" w:eastAsia="Arial" w:hAnsi="Arial"/>
                <w:sz w:val="22"/>
                <w:szCs w:val="22"/>
                <w:b w:val="1"/>
                <w:bCs w:val="1"/>
                <w:color w:val="auto"/>
              </w:rPr>
              <w:t>Three Months Ended April 30, 2020</w:t>
            </w:r>
          </w:p>
        </w:tc>
      </w:tr>
      <w:tr>
        <w:trPr>
          <w:trHeight w:val="449"/>
        </w:trPr>
        <w:tc>
          <w:tcPr>
            <w:tcW w:w="5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12"/>
              <w:spacing w:after="0"/>
              <w:rPr>
                <w:sz w:val="20"/>
                <w:szCs w:val="20"/>
                <w:color w:val="auto"/>
              </w:rPr>
            </w:pPr>
            <w:r>
              <w:rPr>
                <w:rFonts w:ascii="Arial" w:cs="Arial" w:eastAsia="Arial" w:hAnsi="Arial"/>
                <w:sz w:val="22"/>
                <w:szCs w:val="22"/>
                <w:b w:val="1"/>
                <w:bCs w:val="1"/>
                <w:color w:val="auto"/>
                <w:w w:val="88"/>
              </w:rPr>
              <w:t>Weighted</w:t>
            </w:r>
          </w:p>
        </w:tc>
        <w:tc>
          <w:tcPr>
            <w:tcW w:w="4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5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420" w:type="dxa"/>
            <w:vAlign w:val="bottom"/>
          </w:tcPr>
          <w:p>
            <w:pPr>
              <w:spacing w:after="0"/>
              <w:rPr>
                <w:sz w:val="21"/>
                <w:szCs w:val="21"/>
                <w:color w:val="auto"/>
              </w:rPr>
            </w:pPr>
          </w:p>
        </w:tc>
        <w:tc>
          <w:tcPr>
            <w:tcW w:w="192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57"/>
        </w:trPr>
        <w:tc>
          <w:tcPr>
            <w:tcW w:w="50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Non-Vested</w:t>
            </w:r>
          </w:p>
        </w:tc>
        <w:tc>
          <w:tcPr>
            <w:tcW w:w="400" w:type="dxa"/>
            <w:vAlign w:val="bottom"/>
          </w:tcPr>
          <w:p>
            <w:pPr>
              <w:spacing w:after="0"/>
              <w:rPr>
                <w:sz w:val="22"/>
                <w:szCs w:val="22"/>
                <w:color w:val="auto"/>
              </w:rPr>
            </w:pPr>
          </w:p>
        </w:tc>
        <w:tc>
          <w:tcPr>
            <w:tcW w:w="1560" w:type="dxa"/>
            <w:vAlign w:val="bottom"/>
            <w:gridSpan w:val="2"/>
          </w:tcPr>
          <w:p>
            <w:pPr>
              <w:jc w:val="center"/>
              <w:spacing w:after="0"/>
              <w:rPr>
                <w:sz w:val="20"/>
                <w:szCs w:val="20"/>
                <w:color w:val="auto"/>
              </w:rPr>
            </w:pPr>
            <w:r>
              <w:rPr>
                <w:rFonts w:ascii="Arial" w:cs="Arial" w:eastAsia="Arial" w:hAnsi="Arial"/>
                <w:sz w:val="22"/>
                <w:szCs w:val="22"/>
                <w:b w:val="1"/>
                <w:bCs w:val="1"/>
                <w:color w:val="auto"/>
                <w:w w:val="91"/>
              </w:rPr>
              <w:t>Date Fair Value</w:t>
            </w:r>
          </w:p>
        </w:tc>
        <w:tc>
          <w:tcPr>
            <w:tcW w:w="42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7"/>
              </w:rPr>
              <w:t>Vesting Term</w:t>
            </w:r>
          </w:p>
        </w:tc>
      </w:tr>
      <w:tr>
        <w:trPr>
          <w:trHeight w:val="270"/>
        </w:trPr>
        <w:tc>
          <w:tcPr>
            <w:tcW w:w="50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center"/>
              <w:ind w:right="92"/>
              <w:spacing w:after="0"/>
              <w:rPr>
                <w:sz w:val="20"/>
                <w:szCs w:val="20"/>
                <w:color w:val="auto"/>
              </w:rPr>
            </w:pPr>
            <w:r>
              <w:rPr>
                <w:rFonts w:ascii="Arial" w:cs="Arial" w:eastAsia="Arial" w:hAnsi="Arial"/>
                <w:sz w:val="22"/>
                <w:szCs w:val="22"/>
                <w:b w:val="1"/>
                <w:bCs w:val="1"/>
                <w:color w:val="auto"/>
                <w:w w:val="88"/>
              </w:rPr>
              <w:t>(000’s)</w:t>
            </w:r>
          </w:p>
        </w:tc>
        <w:tc>
          <w:tcPr>
            <w:tcW w:w="420" w:type="dxa"/>
            <w:vAlign w:val="bottom"/>
          </w:tcPr>
          <w:p>
            <w:pPr>
              <w:spacing w:after="0"/>
              <w:rPr>
                <w:sz w:val="23"/>
                <w:szCs w:val="23"/>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7"/>
              </w:rPr>
              <w:t>(in years)</w:t>
            </w:r>
          </w:p>
        </w:tc>
      </w:tr>
      <w:tr>
        <w:trPr>
          <w:trHeight w:val="237"/>
        </w:trPr>
        <w:tc>
          <w:tcPr>
            <w:tcW w:w="50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2020</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28,576</w:t>
            </w:r>
          </w:p>
        </w:tc>
        <w:tc>
          <w:tcPr>
            <w:tcW w:w="6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2,193</w:t>
            </w:r>
          </w:p>
        </w:tc>
        <w:tc>
          <w:tcPr>
            <w:tcW w:w="2340" w:type="dxa"/>
            <w:vAlign w:val="bottom"/>
            <w:gridSpan w:val="3"/>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r>
      <w:tr>
        <w:trPr>
          <w:trHeight w:val="243"/>
        </w:trPr>
        <w:tc>
          <w:tcPr>
            <w:tcW w:w="500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3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42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56"/>
        </w:trPr>
        <w:tc>
          <w:tcPr>
            <w:tcW w:w="5000" w:type="dxa"/>
            <w:vAlign w:val="bottom"/>
          </w:tcPr>
          <w:p>
            <w:pPr>
              <w:spacing w:after="0"/>
              <w:rPr>
                <w:sz w:val="20"/>
                <w:szCs w:val="20"/>
                <w:color w:val="auto"/>
              </w:rPr>
            </w:pPr>
            <w:r>
              <w:rPr>
                <w:rFonts w:ascii="Arial" w:cs="Arial" w:eastAsia="Arial" w:hAnsi="Arial"/>
                <w:sz w:val="22"/>
                <w:szCs w:val="22"/>
                <w:color w:val="auto"/>
              </w:rPr>
              <w:t>Vested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000" w:type="dxa"/>
            <w:vAlign w:val="bottom"/>
            <w:shd w:val="clear" w:color="auto" w:fill="E5FFFF"/>
          </w:tcPr>
          <w:p>
            <w:pPr>
              <w:spacing w:after="0"/>
              <w:rPr>
                <w:sz w:val="20"/>
                <w:szCs w:val="20"/>
                <w:color w:val="auto"/>
              </w:rPr>
            </w:pPr>
            <w:r>
              <w:rPr>
                <w:rFonts w:ascii="Arial" w:cs="Arial" w:eastAsia="Arial" w:hAnsi="Arial"/>
                <w:sz w:val="22"/>
                <w:szCs w:val="22"/>
                <w:color w:val="auto"/>
              </w:rPr>
              <w:t>Non-Vested at April 30, 2020</w:t>
            </w:r>
          </w:p>
        </w:tc>
        <w:tc>
          <w:tcPr>
            <w:tcW w:w="11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28,576</w:t>
            </w: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2,193</w:t>
            </w:r>
          </w:p>
        </w:tc>
        <w:tc>
          <w:tcPr>
            <w:tcW w:w="2340" w:type="dxa"/>
            <w:vAlign w:val="bottom"/>
            <w:gridSpan w:val="3"/>
            <w:shd w:val="clear" w:color="auto" w:fill="E5FFFF"/>
          </w:tcPr>
          <w:p>
            <w:pPr>
              <w:jc w:val="right"/>
              <w:ind w:right="100"/>
              <w:spacing w:after="0"/>
              <w:rPr>
                <w:sz w:val="20"/>
                <w:szCs w:val="20"/>
                <w:color w:val="auto"/>
              </w:rPr>
            </w:pPr>
            <w:r>
              <w:rPr>
                <w:rFonts w:ascii="Arial" w:cs="Arial" w:eastAsia="Arial" w:hAnsi="Arial"/>
                <w:sz w:val="22"/>
                <w:szCs w:val="22"/>
                <w:color w:val="auto"/>
              </w:rPr>
              <w:t>1</w:t>
            </w:r>
          </w:p>
        </w:tc>
      </w:tr>
      <w:tr>
        <w:trPr>
          <w:trHeight w:val="20"/>
        </w:trPr>
        <w:tc>
          <w:tcPr>
            <w:tcW w:w="500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above tables include 14,777 and 24,219 non-vested shares at April 30, 2021 and 2020,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12"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months ended April 30, 2021 and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 w:name="page19"/>
    <w:bookmarkEnd w:id="18"/>
    <w:p>
      <w:pPr>
        <w:ind w:firstLine="648"/>
        <w:spacing w:after="0" w:line="279" w:lineRule="auto"/>
        <w:rPr>
          <w:sz w:val="20"/>
          <w:szCs w:val="20"/>
          <w:color w:val="auto"/>
        </w:rPr>
      </w:pPr>
      <w:r>
        <w:rPr>
          <w:rFonts w:ascii="Arial" w:cs="Arial" w:eastAsia="Arial" w:hAnsi="Arial"/>
          <w:sz w:val="19"/>
          <w:szCs w:val="19"/>
          <w:color w:val="auto"/>
        </w:rPr>
        <w:t>The Company’s income tax provision was approximately 0.3% and a benefit of approximately 38.7% for the three months ended April 30, 2021 and 2020, respectively. The fluctuation in the rate results primarily from the production tax credits the Company expects to receive associated with its refined coal segment relative to consolidated pre-tax income or loss. Through its refined coal operation, the Company earns production tax credits pursuant to IRC Section 45. The credits can be used to reduce future income tax liabilities for up to 20 years. The Company’s income tax benefit for the first quarter of fiscal year 2020 includes approximately $1.4 million related to the lengthening of a net operating loss carryback allowed by the CARES Act.</w:t>
      </w:r>
    </w:p>
    <w:p>
      <w:pPr>
        <w:spacing w:after="0" w:line="15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The Company assessed all available positive and negative evidence to determine whether it expects sufficient future taxable income will be generated to allow for the realization of existing federal deferred tax assets. For the three year period ended April 30, 2021, the Company has a cumulative pre-tax book loss on a comprehensive basis, including the impact of an operation that has historically produced pre-tax book losses, but after tax net income. The Company expects that this entity will cease operations in fiscal year 2021. There is sufficient objectively verifiable income for management to conclude that it is more likely than not that the Company will utilize available federal deferred tax assets prior to their expiration.</w:t>
      </w:r>
    </w:p>
    <w:p>
      <w:pPr>
        <w:spacing w:after="0" w:line="150"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2016 and 2017.</w:t>
      </w:r>
    </w:p>
    <w:p>
      <w:pPr>
        <w:spacing w:after="0" w:line="18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9"/>
          <w:szCs w:val="19"/>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6"/>
          </w:tcPr>
          <w:p>
            <w:pPr>
              <w:ind w:left="60"/>
              <w:spacing w:after="0"/>
              <w:rPr>
                <w:sz w:val="20"/>
                <w:szCs w:val="20"/>
                <w:color w:val="auto"/>
              </w:rPr>
            </w:pPr>
            <w:r>
              <w:rPr>
                <w:rFonts w:ascii="Arial" w:cs="Arial" w:eastAsia="Arial" w:hAnsi="Arial"/>
                <w:sz w:val="22"/>
                <w:szCs w:val="22"/>
                <w:b w:val="1"/>
                <w:bCs w:val="1"/>
                <w:color w:val="auto"/>
              </w:rPr>
              <w:t>Three Months Ended</w:t>
            </w:r>
          </w:p>
        </w:tc>
      </w:tr>
      <w:tr>
        <w:trPr>
          <w:trHeight w:val="257"/>
        </w:trPr>
        <w:tc>
          <w:tcPr>
            <w:tcW w:w="5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April 30,</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5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2021</w:t>
            </w:r>
          </w:p>
        </w:tc>
        <w:tc>
          <w:tcPr>
            <w:tcW w:w="5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w w:val="93"/>
              </w:rPr>
              <w:t>2020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7"/>
        </w:trPr>
        <w:tc>
          <w:tcPr>
            <w:tcW w:w="5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11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8,400</w:t>
            </w:r>
          </w:p>
        </w:tc>
        <w:tc>
          <w:tcPr>
            <w:tcW w:w="500" w:type="dxa"/>
            <w:vAlign w:val="bottom"/>
            <w:shd w:val="clear" w:color="auto" w:fill="E5FFFF"/>
          </w:tcPr>
          <w:p>
            <w:pPr>
              <w:spacing w:after="0"/>
              <w:rPr>
                <w:sz w:val="21"/>
                <w:szCs w:val="21"/>
                <w:color w:val="auto"/>
              </w:rPr>
            </w:pPr>
          </w:p>
        </w:tc>
        <w:tc>
          <w:tcPr>
            <w:tcW w:w="2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76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7,370</w:t>
            </w:r>
          </w:p>
        </w:tc>
        <w:tc>
          <w:tcPr>
            <w:tcW w:w="60" w:type="dxa"/>
            <w:vAlign w:val="bottom"/>
            <w:shd w:val="clear" w:color="auto" w:fill="E5FFFF"/>
          </w:tcPr>
          <w:p>
            <w:pPr>
              <w:spacing w:after="0"/>
              <w:rPr>
                <w:sz w:val="21"/>
                <w:szCs w:val="21"/>
                <w:color w:val="auto"/>
              </w:rPr>
            </w:pP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w:t>
            </w:r>
          </w:p>
        </w:tc>
        <w:tc>
          <w:tcPr>
            <w:tcW w:w="60" w:type="dxa"/>
            <w:vAlign w:val="bottom"/>
          </w:tcPr>
          <w:p>
            <w:pPr>
              <w:spacing w:after="0"/>
              <w:rPr>
                <w:sz w:val="21"/>
                <w:szCs w:val="21"/>
                <w:color w:val="auto"/>
              </w:rPr>
            </w:pPr>
          </w:p>
        </w:tc>
      </w:tr>
      <w:tr>
        <w:trPr>
          <w:trHeight w:val="257"/>
        </w:trPr>
        <w:tc>
          <w:tcPr>
            <w:tcW w:w="502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9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138</w:t>
            </w:r>
          </w:p>
        </w:tc>
        <w:tc>
          <w:tcPr>
            <w:tcW w:w="5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w:t>
            </w:r>
          </w:p>
        </w:tc>
        <w:tc>
          <w:tcPr>
            <w:tcW w:w="60" w:type="dxa"/>
            <w:vAlign w:val="bottom"/>
            <w:shd w:val="clear" w:color="auto" w:fill="E5FFFF"/>
          </w:tcPr>
          <w:p>
            <w:pPr>
              <w:spacing w:after="0"/>
              <w:rPr>
                <w:sz w:val="22"/>
                <w:szCs w:val="22"/>
                <w:color w:val="auto"/>
              </w:rPr>
            </w:pPr>
          </w:p>
        </w:tc>
      </w:tr>
      <w:tr>
        <w:trPr>
          <w:trHeight w:val="250"/>
        </w:trPr>
        <w:tc>
          <w:tcPr>
            <w:tcW w:w="5020" w:type="dxa"/>
            <w:vAlign w:val="bottom"/>
          </w:tcPr>
          <w:p>
            <w:pPr>
              <w:spacing w:after="0" w:line="250" w:lineRule="exact"/>
              <w:rPr>
                <w:sz w:val="20"/>
                <w:szCs w:val="20"/>
                <w:color w:val="auto"/>
              </w:rPr>
            </w:pPr>
            <w:r>
              <w:rPr>
                <w:rFonts w:ascii="Arial" w:cs="Arial" w:eastAsia="Arial" w:hAnsi="Arial"/>
                <w:sz w:val="22"/>
                <w:szCs w:val="22"/>
                <w:color w:val="auto"/>
              </w:rPr>
              <w:t>Unrecognized tax benefits, end of period</w:t>
            </w:r>
          </w:p>
        </w:tc>
        <w:tc>
          <w:tcPr>
            <w:tcW w:w="9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8,543</w:t>
            </w:r>
          </w:p>
        </w:tc>
        <w:tc>
          <w:tcPr>
            <w:tcW w:w="5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7,371</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Commitments and Contingencies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Company is involved in various legal actions arising in the normal course of business. After taking into consideration legal counsels’ evaluations of such actions, management is of the opinion that their outcome will not have a material adverse effect on the Company’s Consolidated Condensed Financial Statements.</w:t>
      </w:r>
    </w:p>
    <w:p>
      <w:pPr>
        <w:spacing w:after="0" w:line="186"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One Earth and NuGen have combined forward purchase contracts for approximately 9.5 million bushels of corn, the principal raw material for their ethanol plants, and they have combined forward purchase contracts for approximately 666,000 MmBtu (million british thermal units) of natural gas.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9" w:name="page20"/>
    <w:bookmarkEnd w:id="19"/>
    <w:p>
      <w:pPr>
        <w:ind w:right="1120" w:firstLine="648"/>
        <w:spacing w:after="0" w:line="328" w:lineRule="auto"/>
        <w:rPr>
          <w:sz w:val="20"/>
          <w:szCs w:val="20"/>
          <w:color w:val="auto"/>
        </w:rPr>
      </w:pPr>
      <w:r>
        <w:rPr>
          <w:rFonts w:ascii="Arial" w:cs="Arial" w:eastAsia="Arial" w:hAnsi="Arial"/>
          <w:sz w:val="19"/>
          <w:szCs w:val="19"/>
          <w:color w:val="auto"/>
        </w:rPr>
        <w:t>One Earth and NuGen have combined sales commitments for approximately 45.4 million gallons of ethanol, approximately 58,000 tons of distillers grains and approximately 14.4 million pounds of non-food grade corn oil.</w:t>
      </w:r>
    </w:p>
    <w:p>
      <w:pPr>
        <w:spacing w:after="0" w:line="1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refined coal entity has various agreements (site license, operating agreements, etc.) containing payment terms based upon production of refined coal under which the Company is required to pay various fees. These fees totaled approximately $0.9 million and approximately $0.3 million in the first quarter of fiscal years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Related-Party Transactions</w:t>
      </w:r>
    </w:p>
    <w:p>
      <w:pPr>
        <w:spacing w:after="0" w:line="212"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During the first quarter of fiscal years 2021 and 2020, One Earth and NuGen purchased approximately $16.7 million and approximately $12.3 million, respectively, of corn (and other supplies) from minority equity investors and board members of those subsidiaries. The Company had amounts payable to related parties of approximately $1.3 million and approximately $0.7 million at April 30, 2021 and January 31, 2021, respectively.</w:t>
      </w:r>
    </w:p>
    <w:p>
      <w:pPr>
        <w:spacing w:after="0" w:line="185"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During the first quarter of fiscal years 2021 and 2020, the Company recognized commission expense of approximately $36,000 and approximately $(297,000), respectively, payable to the minority investor in the refined coal entity. The commission expense is associated with the refined coal segment. The Company had accrued liabilities and accounts payable related to the commission expense of approximately $0.1 million at April 30, 2021 and January 31, 2021.</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Segment Reporting</w:t>
      </w:r>
    </w:p>
    <w:p>
      <w:pPr>
        <w:spacing w:after="0" w:line="21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The Company has two reportable segments: i) ethanol and by-products; and ii) refined coal. The Company evaluates the performance of each reportable segment based on net income attributable to REX common shareholders. Segment profitability measures are determined using the same accounting policies used in the preparations of the consolidated condensed financial statements. The following tables summarize segment and other results and assets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6"/>
          </w:tcPr>
          <w:p>
            <w:pPr>
              <w:ind w:left="60"/>
              <w:spacing w:after="0"/>
              <w:rPr>
                <w:sz w:val="20"/>
                <w:szCs w:val="20"/>
                <w:color w:val="auto"/>
              </w:rPr>
            </w:pPr>
            <w:r>
              <w:rPr>
                <w:rFonts w:ascii="Arial" w:cs="Arial" w:eastAsia="Arial" w:hAnsi="Arial"/>
                <w:sz w:val="22"/>
                <w:szCs w:val="22"/>
                <w:b w:val="1"/>
                <w:bCs w:val="1"/>
                <w:color w:val="auto"/>
              </w:rPr>
              <w:t>Three Months Ended</w:t>
            </w:r>
          </w:p>
        </w:tc>
      </w:tr>
      <w:tr>
        <w:trPr>
          <w:trHeight w:val="257"/>
        </w:trPr>
        <w:tc>
          <w:tcPr>
            <w:tcW w:w="4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April 30,</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4160" w:type="dxa"/>
            <w:vAlign w:val="bottom"/>
            <w:tcBorders>
              <w:bottom w:val="single" w:sz="8" w:color="E5FFFF"/>
            </w:tcBorders>
          </w:tcPr>
          <w:p>
            <w:pPr>
              <w:spacing w:after="0"/>
              <w:rPr>
                <w:sz w:val="23"/>
                <w:szCs w:val="23"/>
                <w:color w:val="auto"/>
              </w:rPr>
            </w:pPr>
          </w:p>
        </w:tc>
        <w:tc>
          <w:tcPr>
            <w:tcW w:w="180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2021</w:t>
            </w:r>
          </w:p>
        </w:tc>
        <w:tc>
          <w:tcPr>
            <w:tcW w:w="500" w:type="dxa"/>
            <w:vAlign w:val="bottom"/>
            <w:tcBorders>
              <w:bottom w:val="single" w:sz="8" w:color="E5FF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w w:val="93"/>
              </w:rPr>
              <w:t>2020</w:t>
            </w:r>
          </w:p>
        </w:tc>
        <w:tc>
          <w:tcPr>
            <w:tcW w:w="20" w:type="dxa"/>
            <w:vAlign w:val="bottom"/>
            <w:tcBorders>
              <w:bottom w:val="single" w:sz="8" w:color="E5FFFF"/>
            </w:tcBorders>
          </w:tcPr>
          <w:p>
            <w:pPr>
              <w:spacing w:after="0"/>
              <w:rPr>
                <w:sz w:val="23"/>
                <w:szCs w:val="23"/>
                <w:color w:val="auto"/>
              </w:rPr>
            </w:pPr>
          </w:p>
        </w:tc>
        <w:tc>
          <w:tcPr>
            <w:tcW w:w="60" w:type="dxa"/>
            <w:vAlign w:val="bottom"/>
            <w:tcBorders>
              <w:bottom w:val="single" w:sz="8" w:color="E5FFFF"/>
            </w:tcBorders>
          </w:tcPr>
          <w:p>
            <w:pPr>
              <w:spacing w:after="0"/>
              <w:rPr>
                <w:sz w:val="23"/>
                <w:szCs w:val="23"/>
                <w:color w:val="auto"/>
              </w:rPr>
            </w:pPr>
          </w:p>
        </w:tc>
      </w:tr>
      <w:tr>
        <w:trPr>
          <w:trHeight w:val="237"/>
        </w:trPr>
        <w:tc>
          <w:tcPr>
            <w:tcW w:w="416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8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780" w:type="dxa"/>
            <w:vAlign w:val="bottom"/>
            <w:shd w:val="clear" w:color="auto" w:fill="E5FFFF"/>
          </w:tcPr>
          <w:p>
            <w:pPr>
              <w:spacing w:after="0"/>
              <w:rPr>
                <w:sz w:val="20"/>
                <w:szCs w:val="20"/>
                <w:color w:val="auto"/>
              </w:rPr>
            </w:pPr>
          </w:p>
        </w:tc>
        <w:tc>
          <w:tcPr>
            <w:tcW w:w="5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r>
      <w:tr>
        <w:trPr>
          <w:trHeight w:val="243"/>
        </w:trPr>
        <w:tc>
          <w:tcPr>
            <w:tcW w:w="41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9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80" w:type="dxa"/>
            <w:vAlign w:val="bottom"/>
          </w:tcPr>
          <w:p>
            <w:pPr>
              <w:jc w:val="right"/>
              <w:spacing w:after="0" w:line="243" w:lineRule="exact"/>
              <w:rPr>
                <w:sz w:val="20"/>
                <w:szCs w:val="20"/>
                <w:color w:val="auto"/>
              </w:rPr>
            </w:pPr>
            <w:r>
              <w:rPr>
                <w:rFonts w:ascii="Arial" w:cs="Arial" w:eastAsia="Arial" w:hAnsi="Arial"/>
                <w:sz w:val="22"/>
                <w:szCs w:val="22"/>
                <w:color w:val="auto"/>
                <w:w w:val="95"/>
              </w:rPr>
              <w:t>164,042</w:t>
            </w:r>
          </w:p>
        </w:tc>
        <w:tc>
          <w:tcPr>
            <w:tcW w:w="500" w:type="dxa"/>
            <w:vAlign w:val="bottom"/>
          </w:tcPr>
          <w:p>
            <w:pPr>
              <w:spacing w:after="0"/>
              <w:rPr>
                <w:sz w:val="21"/>
                <w:szCs w:val="21"/>
                <w:color w:val="auto"/>
              </w:rPr>
            </w:pPr>
          </w:p>
        </w:tc>
        <w:tc>
          <w:tcPr>
            <w:tcW w:w="2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7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83,235</w:t>
            </w:r>
          </w:p>
        </w:tc>
        <w:tc>
          <w:tcPr>
            <w:tcW w:w="60" w:type="dxa"/>
            <w:vAlign w:val="bottom"/>
          </w:tcPr>
          <w:p>
            <w:pPr>
              <w:spacing w:after="0"/>
              <w:rPr>
                <w:sz w:val="21"/>
                <w:szCs w:val="21"/>
                <w:color w:val="auto"/>
              </w:rPr>
            </w:pPr>
          </w:p>
        </w:tc>
      </w:tr>
      <w:tr>
        <w:trPr>
          <w:trHeight w:val="310"/>
        </w:trPr>
        <w:tc>
          <w:tcPr>
            <w:tcW w:w="416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8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62</w:t>
            </w:r>
          </w:p>
        </w:tc>
        <w:tc>
          <w:tcPr>
            <w:tcW w:w="500" w:type="dxa"/>
            <w:vAlign w:val="bottom"/>
            <w:shd w:val="clear" w:color="auto" w:fill="E5FFFF"/>
          </w:tcPr>
          <w:p>
            <w:pPr>
              <w:spacing w:after="0"/>
              <w:rPr>
                <w:sz w:val="24"/>
                <w:szCs w:val="24"/>
                <w:color w:val="auto"/>
              </w:rPr>
            </w:pPr>
          </w:p>
        </w:tc>
        <w:tc>
          <w:tcPr>
            <w:tcW w:w="220" w:type="dxa"/>
            <w:vAlign w:val="bottom"/>
            <w:shd w:val="clear" w:color="auto" w:fill="E5FFFF"/>
          </w:tcPr>
          <w:p>
            <w:pPr>
              <w:spacing w:after="0"/>
              <w:rPr>
                <w:sz w:val="24"/>
                <w:szCs w:val="24"/>
                <w:color w:val="auto"/>
              </w:rPr>
            </w:pPr>
          </w:p>
        </w:tc>
        <w:tc>
          <w:tcPr>
            <w:tcW w:w="76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15</w:t>
            </w:r>
          </w:p>
        </w:tc>
        <w:tc>
          <w:tcPr>
            <w:tcW w:w="60" w:type="dxa"/>
            <w:vAlign w:val="bottom"/>
            <w:shd w:val="clear" w:color="auto" w:fill="E5FFFF"/>
          </w:tcPr>
          <w:p>
            <w:pPr>
              <w:spacing w:after="0"/>
              <w:rPr>
                <w:sz w:val="24"/>
                <w:szCs w:val="24"/>
                <w:color w:val="auto"/>
              </w:rPr>
            </w:pPr>
          </w:p>
        </w:tc>
      </w:tr>
      <w:tr>
        <w:trPr>
          <w:trHeight w:val="250"/>
        </w:trPr>
        <w:tc>
          <w:tcPr>
            <w:tcW w:w="416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8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164,104</w:t>
            </w:r>
          </w:p>
        </w:tc>
        <w:tc>
          <w:tcPr>
            <w:tcW w:w="5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7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83,250</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9" w:lineRule="exact"/>
        <w:rPr>
          <w:sz w:val="20"/>
          <w:szCs w:val="20"/>
          <w:color w:val="auto"/>
        </w:rPr>
      </w:pPr>
    </w:p>
    <w:p>
      <w:pPr>
        <w:ind w:right="560" w:firstLine="656"/>
        <w:spacing w:after="0" w:line="196" w:lineRule="auto"/>
        <w:tabs>
          <w:tab w:leader="none" w:pos="783" w:val="left"/>
        </w:tabs>
        <w:numPr>
          <w:ilvl w:val="0"/>
          <w:numId w:val="10"/>
        </w:numPr>
        <w:rPr>
          <w:rFonts w:ascii="Arial" w:cs="Arial" w:eastAsia="Arial" w:hAnsi="Arial"/>
          <w:sz w:val="34"/>
          <w:szCs w:val="34"/>
          <w:color w:val="auto"/>
          <w:vertAlign w:val="superscript"/>
        </w:rPr>
      </w:pPr>
      <w:r>
        <w:rPr>
          <w:rFonts w:ascii="Arial" w:cs="Arial" w:eastAsia="Arial" w:hAnsi="Arial"/>
          <w:sz w:val="21"/>
          <w:szCs w:val="21"/>
          <w:color w:val="auto"/>
        </w:rPr>
        <w:t>The Company records sales in the refined coal segment net of the cost of coal as the Company purchases the coal feedstock from the customer to which refined coal is sold.</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02" w:right="4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53"/>
        </w:trPr>
        <w:tc>
          <w:tcPr>
            <w:tcW w:w="5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22"/>
                <w:szCs w:val="22"/>
                <w:b w:val="1"/>
                <w:bCs w:val="1"/>
                <w:color w:val="auto"/>
                <w:w w:val="90"/>
              </w:rPr>
              <w:t>Three Months Ended</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22"/>
                <w:szCs w:val="22"/>
                <w:b w:val="1"/>
                <w:bCs w:val="1"/>
                <w:color w:val="auto"/>
                <w:w w:val="94"/>
              </w:rPr>
              <w:t>April 30,</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20" w:type="dxa"/>
            <w:vAlign w:val="bottom"/>
            <w:tcBorders>
              <w:bottom w:val="single" w:sz="8" w:color="E5FFFF"/>
            </w:tcBorders>
          </w:tcPr>
          <w:p>
            <w:pPr>
              <w:spacing w:after="0"/>
              <w:rPr>
                <w:sz w:val="23"/>
                <w:szCs w:val="23"/>
                <w:color w:val="auto"/>
              </w:rPr>
            </w:pPr>
          </w:p>
        </w:tc>
        <w:tc>
          <w:tcPr>
            <w:tcW w:w="114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340" w:type="dxa"/>
            <w:vAlign w:val="bottom"/>
            <w:tcBorders>
              <w:bottom w:val="single" w:sz="8" w:color="E5FFFF"/>
            </w:tcBorders>
          </w:tcPr>
          <w:p>
            <w:pPr>
              <w:spacing w:after="0"/>
              <w:rPr>
                <w:sz w:val="23"/>
                <w:szCs w:val="23"/>
                <w:color w:val="auto"/>
              </w:rPr>
            </w:pPr>
          </w:p>
        </w:tc>
        <w:tc>
          <w:tcPr>
            <w:tcW w:w="2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9"/>
              </w:rPr>
              <w:t>2020</w:t>
            </w:r>
          </w:p>
        </w:tc>
        <w:tc>
          <w:tcPr>
            <w:tcW w:w="80" w:type="dxa"/>
            <w:vAlign w:val="bottom"/>
            <w:tcBorders>
              <w:bottom w:val="single" w:sz="8" w:color="E5FFFF"/>
            </w:tcBorders>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Segment gross profit (loss):</w:t>
            </w:r>
          </w:p>
        </w:tc>
        <w:tc>
          <w:tcPr>
            <w:tcW w:w="1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88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19,477</w:t>
            </w:r>
          </w:p>
        </w:tc>
        <w:tc>
          <w:tcPr>
            <w:tcW w:w="1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(8,223)</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340"/>
              <w:spacing w:after="0"/>
              <w:rPr>
                <w:sz w:val="20"/>
                <w:szCs w:val="20"/>
                <w:color w:val="auto"/>
              </w:rPr>
            </w:pPr>
            <w:r>
              <w:rPr>
                <w:rFonts w:ascii="Arial" w:cs="Arial" w:eastAsia="Arial" w:hAnsi="Arial"/>
                <w:sz w:val="22"/>
                <w:szCs w:val="22"/>
                <w:color w:val="auto"/>
              </w:rPr>
              <w:t>(1,675)</w:t>
            </w:r>
          </w:p>
        </w:tc>
        <w:tc>
          <w:tcPr>
            <w:tcW w:w="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(1,107)</w:t>
            </w:r>
          </w:p>
        </w:tc>
        <w:tc>
          <w:tcPr>
            <w:tcW w:w="80" w:type="dxa"/>
            <w:vAlign w:val="bottom"/>
            <w:shd w:val="clear" w:color="auto" w:fill="E5FFFF"/>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20" w:type="dxa"/>
            <w:vAlign w:val="bottom"/>
          </w:tcPr>
          <w:p>
            <w:pPr>
              <w:spacing w:after="0" w:line="250" w:lineRule="exact"/>
              <w:rPr>
                <w:sz w:val="20"/>
                <w:szCs w:val="20"/>
                <w:color w:val="auto"/>
              </w:rPr>
            </w:pPr>
            <w:r>
              <w:rPr>
                <w:rFonts w:ascii="Arial" w:cs="Arial" w:eastAsia="Arial" w:hAnsi="Arial"/>
                <w:sz w:val="22"/>
                <w:szCs w:val="22"/>
                <w:color w:val="auto"/>
              </w:rPr>
              <w:t>Total gross profit (loss)</w:t>
            </w:r>
          </w:p>
        </w:tc>
        <w:tc>
          <w:tcPr>
            <w:tcW w:w="1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17,802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(9,330)</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1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11,082</w:t>
            </w:r>
          </w:p>
        </w:tc>
        <w:tc>
          <w:tcPr>
            <w:tcW w:w="1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(12,351)</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(1,795)</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(847)</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22"/>
                <w:szCs w:val="22"/>
                <w:color w:val="auto"/>
              </w:rPr>
              <w:t>Corporate and other</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22"/>
                <w:szCs w:val="22"/>
                <w:color w:val="auto"/>
              </w:rPr>
              <w:t>(860)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(545)</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(loss) before income taxes</w:t>
            </w:r>
          </w:p>
        </w:tc>
        <w:tc>
          <w:tcPr>
            <w:tcW w:w="1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8,427</w:t>
            </w:r>
          </w:p>
        </w:tc>
        <w:tc>
          <w:tcPr>
            <w:tcW w:w="34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(13,743)</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22"/>
                <w:szCs w:val="22"/>
                <w:color w:val="auto"/>
              </w:rPr>
              <w:t>(Provision) benefit for income taxes:</w:t>
            </w: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3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(2,436)</w:t>
            </w:r>
          </w:p>
        </w:tc>
        <w:tc>
          <w:tcPr>
            <w:tcW w:w="12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4,161</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2,195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959</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340"/>
              <w:spacing w:after="0"/>
              <w:rPr>
                <w:sz w:val="20"/>
                <w:szCs w:val="20"/>
                <w:color w:val="auto"/>
              </w:rPr>
            </w:pPr>
            <w:r>
              <w:rPr>
                <w:rFonts w:ascii="Arial" w:cs="Arial" w:eastAsia="Arial" w:hAnsi="Arial"/>
                <w:sz w:val="22"/>
                <w:szCs w:val="22"/>
                <w:color w:val="auto"/>
              </w:rPr>
              <w:t>212</w:t>
            </w:r>
          </w:p>
        </w:tc>
        <w:tc>
          <w:tcPr>
            <w:tcW w:w="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193</w:t>
            </w:r>
          </w:p>
        </w:tc>
        <w:tc>
          <w:tcPr>
            <w:tcW w:w="80" w:type="dxa"/>
            <w:vAlign w:val="bottom"/>
            <w:shd w:val="clear" w:color="auto" w:fill="E5FFFF"/>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20" w:type="dxa"/>
            <w:vAlign w:val="bottom"/>
          </w:tcPr>
          <w:p>
            <w:pPr>
              <w:spacing w:after="0" w:line="250" w:lineRule="exact"/>
              <w:rPr>
                <w:sz w:val="20"/>
                <w:szCs w:val="20"/>
                <w:color w:val="auto"/>
              </w:rPr>
            </w:pPr>
            <w:r>
              <w:rPr>
                <w:rFonts w:ascii="Arial" w:cs="Arial" w:eastAsia="Arial" w:hAnsi="Arial"/>
                <w:sz w:val="22"/>
                <w:szCs w:val="22"/>
                <w:color w:val="auto"/>
              </w:rPr>
              <w:t>Total (provision) benefit for income taxes</w:t>
            </w:r>
          </w:p>
        </w:tc>
        <w:tc>
          <w:tcPr>
            <w:tcW w:w="1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5,313</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1"/>
              </w:rPr>
              <w:t>Net income (loss) attributable to REX common shareholders:</w:t>
            </w:r>
          </w:p>
        </w:tc>
        <w:tc>
          <w:tcPr>
            <w:tcW w:w="1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7,952</w:t>
            </w:r>
          </w:p>
        </w:tc>
        <w:tc>
          <w:tcPr>
            <w:tcW w:w="1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(7,433)</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480</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150</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22"/>
                <w:szCs w:val="22"/>
                <w:color w:val="auto"/>
              </w:rPr>
              <w:t>Corporate and other</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22"/>
                <w:szCs w:val="22"/>
                <w:color w:val="auto"/>
              </w:rPr>
              <w:t>(648)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(352)</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w w:val="92"/>
              </w:rPr>
              <w:t>Net income (loss) attributable to REX common shareholders</w:t>
            </w:r>
          </w:p>
        </w:tc>
        <w:tc>
          <w:tcPr>
            <w:tcW w:w="1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7,784</w:t>
            </w:r>
          </w:p>
        </w:tc>
        <w:tc>
          <w:tcPr>
            <w:tcW w:w="34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(7,635)</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22"/>
                <w:szCs w:val="22"/>
                <w:b w:val="1"/>
                <w:bCs w:val="1"/>
                <w:color w:val="auto"/>
              </w:rPr>
              <w:t>April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22"/>
                <w:szCs w:val="22"/>
                <w:b w:val="1"/>
                <w:bCs w:val="1"/>
                <w:color w:val="auto"/>
              </w:rPr>
              <w:t>January</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2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Assets:</w:t>
            </w:r>
          </w:p>
        </w:tc>
        <w:tc>
          <w:tcPr>
            <w:tcW w:w="114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340" w:type="dxa"/>
            <w:vAlign w:val="bottom"/>
            <w:tcBorders>
              <w:bottom w:val="single" w:sz="8" w:color="E5FFFF"/>
            </w:tcBorders>
          </w:tcPr>
          <w:p>
            <w:pPr>
              <w:spacing w:after="0"/>
              <w:rPr>
                <w:sz w:val="23"/>
                <w:szCs w:val="23"/>
                <w:color w:val="auto"/>
              </w:rPr>
            </w:pPr>
          </w:p>
        </w:tc>
        <w:tc>
          <w:tcPr>
            <w:tcW w:w="2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8"/>
              </w:rPr>
              <w:t>31, 2021</w:t>
            </w:r>
          </w:p>
        </w:tc>
        <w:tc>
          <w:tcPr>
            <w:tcW w:w="80" w:type="dxa"/>
            <w:vAlign w:val="bottom"/>
            <w:tcBorders>
              <w:bottom w:val="single" w:sz="8" w:color="E5FFFF"/>
            </w:tcBorders>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Ethanol and by-products</w:t>
            </w:r>
          </w:p>
        </w:tc>
        <w:tc>
          <w:tcPr>
            <w:tcW w:w="114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406,595</w:t>
            </w:r>
          </w:p>
        </w:tc>
        <w:tc>
          <w:tcPr>
            <w:tcW w:w="3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397,281</w:t>
            </w:r>
          </w:p>
        </w:tc>
        <w:tc>
          <w:tcPr>
            <w:tcW w:w="80" w:type="dxa"/>
            <w:vAlign w:val="bottom"/>
            <w:shd w:val="clear" w:color="auto" w:fill="E5FFFF"/>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2,163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2,861</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14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180" w:type="dxa"/>
            <w:vAlign w:val="bottom"/>
            <w:gridSpan w:val="2"/>
            <w:shd w:val="clear" w:color="auto" w:fill="E5FFFF"/>
          </w:tcPr>
          <w:p>
            <w:pPr>
              <w:jc w:val="right"/>
              <w:ind w:right="340"/>
              <w:spacing w:after="0"/>
              <w:rPr>
                <w:sz w:val="20"/>
                <w:szCs w:val="20"/>
                <w:color w:val="auto"/>
              </w:rPr>
            </w:pPr>
            <w:r>
              <w:rPr>
                <w:rFonts w:ascii="Arial" w:cs="Arial" w:eastAsia="Arial" w:hAnsi="Arial"/>
                <w:sz w:val="22"/>
                <w:szCs w:val="22"/>
                <w:color w:val="auto"/>
              </w:rPr>
              <w:t>77,382</w:t>
            </w:r>
          </w:p>
        </w:tc>
        <w:tc>
          <w:tcPr>
            <w:tcW w:w="2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79,203</w:t>
            </w:r>
          </w:p>
        </w:tc>
        <w:tc>
          <w:tcPr>
            <w:tcW w:w="80" w:type="dxa"/>
            <w:vAlign w:val="bottom"/>
            <w:shd w:val="clear" w:color="auto" w:fill="E5FFFF"/>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2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1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486,140</w:t>
            </w: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479,345</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22"/>
                <w:szCs w:val="22"/>
                <w:b w:val="1"/>
                <w:bCs w:val="1"/>
                <w:color w:val="auto"/>
                <w:w w:val="90"/>
              </w:rPr>
              <w:t>Three Months Ended</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vMerge w:val="restart"/>
          </w:tcPr>
          <w:p>
            <w:pPr>
              <w:spacing w:after="0"/>
              <w:rPr>
                <w:sz w:val="20"/>
                <w:szCs w:val="20"/>
                <w:color w:val="auto"/>
              </w:rPr>
            </w:pPr>
            <w:r>
              <w:rPr>
                <w:rFonts w:ascii="Arial" w:cs="Arial" w:eastAsia="Arial" w:hAnsi="Arial"/>
                <w:sz w:val="22"/>
                <w:szCs w:val="22"/>
                <w:color w:val="auto"/>
              </w:rPr>
              <w:t>Sales of products, ethanol and by-products segment:</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22"/>
                <w:szCs w:val="22"/>
                <w:b w:val="1"/>
                <w:bCs w:val="1"/>
                <w:color w:val="auto"/>
                <w:w w:val="94"/>
              </w:rPr>
              <w:t>April 30,</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20" w:type="dxa"/>
            <w:vAlign w:val="bottom"/>
            <w:tcBorders>
              <w:bottom w:val="single" w:sz="8" w:color="E5FFFF"/>
            </w:tcBorders>
            <w:vMerge w:val="continue"/>
          </w:tcPr>
          <w:p>
            <w:pPr>
              <w:spacing w:after="0"/>
              <w:rPr>
                <w:sz w:val="23"/>
                <w:szCs w:val="23"/>
                <w:color w:val="auto"/>
              </w:rPr>
            </w:pPr>
          </w:p>
        </w:tc>
        <w:tc>
          <w:tcPr>
            <w:tcW w:w="1140" w:type="dxa"/>
            <w:vAlign w:val="bottom"/>
            <w:tcBorders>
              <w:bottom w:val="single" w:sz="8" w:color="E5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340" w:type="dxa"/>
            <w:vAlign w:val="bottom"/>
            <w:tcBorders>
              <w:bottom w:val="single" w:sz="8" w:color="E5FFFF"/>
            </w:tcBorders>
          </w:tcPr>
          <w:p>
            <w:pPr>
              <w:spacing w:after="0"/>
              <w:rPr>
                <w:sz w:val="23"/>
                <w:szCs w:val="23"/>
                <w:color w:val="auto"/>
              </w:rPr>
            </w:pPr>
          </w:p>
        </w:tc>
        <w:tc>
          <w:tcPr>
            <w:tcW w:w="20" w:type="dxa"/>
            <w:vAlign w:val="bottom"/>
            <w:tcBorders>
              <w:bottom w:val="single" w:sz="8" w:color="E5FF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9"/>
              </w:rPr>
              <w:t>2020</w:t>
            </w:r>
          </w:p>
        </w:tc>
        <w:tc>
          <w:tcPr>
            <w:tcW w:w="80" w:type="dxa"/>
            <w:vAlign w:val="bottom"/>
            <w:tcBorders>
              <w:bottom w:val="single" w:sz="8" w:color="E5FFFF"/>
            </w:tcBorders>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114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126,069</w:t>
            </w:r>
          </w:p>
        </w:tc>
        <w:tc>
          <w:tcPr>
            <w:tcW w:w="3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60,597</w:t>
            </w:r>
          </w:p>
        </w:tc>
        <w:tc>
          <w:tcPr>
            <w:tcW w:w="80" w:type="dxa"/>
            <w:vAlign w:val="bottom"/>
            <w:shd w:val="clear" w:color="auto" w:fill="E5FFFF"/>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31,119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18,918</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1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5,594</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3,188</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2,293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457</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1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(1,126)</w:t>
            </w: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22"/>
                <w:szCs w:val="22"/>
                <w:color w:val="auto"/>
              </w:rPr>
              <w:t>Other</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22"/>
                <w:szCs w:val="22"/>
                <w:color w:val="auto"/>
              </w:rPr>
              <w:t>93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75</w:t>
            </w: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1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164,042</w:t>
            </w:r>
          </w:p>
        </w:tc>
        <w:tc>
          <w:tcPr>
            <w:tcW w:w="34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83,235</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22"/>
                <w:szCs w:val="22"/>
                <w:color w:val="auto"/>
              </w:rPr>
              <w:t>Sales of products, refined coal segment:</w:t>
            </w: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4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1180" w:type="dxa"/>
            <w:vAlign w:val="bottom"/>
            <w:gridSpan w:val="2"/>
            <w:shd w:val="clear" w:color="auto" w:fill="E5FFFF"/>
          </w:tcPr>
          <w:p>
            <w:pPr>
              <w:jc w:val="right"/>
              <w:ind w:right="340"/>
              <w:spacing w:after="0"/>
              <w:rPr>
                <w:sz w:val="20"/>
                <w:szCs w:val="20"/>
                <w:color w:val="auto"/>
              </w:rPr>
            </w:pPr>
            <w:r>
              <w:rPr>
                <w:rFonts w:ascii="Arial" w:cs="Arial" w:eastAsia="Arial" w:hAnsi="Arial"/>
                <w:sz w:val="22"/>
                <w:szCs w:val="22"/>
                <w:color w:val="auto"/>
              </w:rPr>
              <w:t>62</w:t>
            </w:r>
          </w:p>
        </w:tc>
        <w:tc>
          <w:tcPr>
            <w:tcW w:w="1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15</w:t>
            </w:r>
          </w:p>
        </w:tc>
        <w:tc>
          <w:tcPr>
            <w:tcW w:w="80" w:type="dxa"/>
            <w:vAlign w:val="bottom"/>
            <w:shd w:val="clear" w:color="auto" w:fill="E5FFFF"/>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E5FFFF"/>
            </w:tcBorders>
          </w:tcPr>
          <w:p>
            <w:pPr>
              <w:spacing w:after="0" w:line="20" w:lineRule="exact"/>
              <w:rPr>
                <w:sz w:val="1"/>
                <w:szCs w:val="1"/>
                <w:color w:val="auto"/>
              </w:rPr>
            </w:pPr>
          </w:p>
        </w:tc>
        <w:tc>
          <w:tcPr>
            <w:tcW w:w="1140" w:type="dxa"/>
            <w:vAlign w:val="bottom"/>
            <w:tcBorders>
              <w:top w:val="single" w:sz="8" w:color="E5FFFF"/>
              <w:bottom w:val="single" w:sz="8" w:color="E5FFFF"/>
            </w:tcBorders>
            <w:vMerge w:val="restart"/>
          </w:tcPr>
          <w:p>
            <w:pPr>
              <w:jc w:val="right"/>
              <w:ind w:right="712"/>
              <w:spacing w:after="0"/>
              <w:rPr>
                <w:sz w:val="20"/>
                <w:szCs w:val="20"/>
                <w:color w:val="auto"/>
              </w:rPr>
            </w:pPr>
            <w:r>
              <w:rPr>
                <w:rFonts w:ascii="Arial" w:cs="Arial" w:eastAsia="Arial" w:hAnsi="Arial"/>
                <w:sz w:val="22"/>
                <w:szCs w:val="22"/>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4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42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6" w:right="339" w:bottom="1440" w:gutter="0" w:footer="0" w:header="0"/>
        </w:sectPr>
      </w:pPr>
    </w:p>
    <w:bookmarkStart w:id="21" w:name="page22"/>
    <w:bookmarkEnd w:id="21"/>
    <w:p>
      <w:pPr>
        <w:ind w:right="2520"/>
        <w:spacing w:after="0" w:line="438" w:lineRule="auto"/>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r>
        <w:rPr>
          <w:rFonts w:ascii="Arial" w:cs="Arial" w:eastAsia="Arial" w:hAnsi="Arial"/>
          <w:sz w:val="22"/>
          <w:szCs w:val="22"/>
          <w:b w:val="1"/>
          <w:bCs w:val="1"/>
          <w:color w:val="auto"/>
        </w:rPr>
        <w:t xml:space="preserve"> Ethanol and By-Products</w:t>
      </w:r>
    </w:p>
    <w:p>
      <w:pPr>
        <w:spacing w:after="0" w:line="1"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At April 30, 2021, investments in our ethanol business include equity investments in three ethanol limited liability companies, two of which we have a majority ownership interest in. The following table is a summary of ethanol gallons shipped at our plants: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300" w:type="dxa"/>
            <w:vAlign w:val="bottom"/>
            <w:tcBorders>
              <w:top w:val="single" w:sz="8" w:color="auto"/>
              <w:left w:val="single" w:sz="8" w:color="auto"/>
              <w:right w:val="single" w:sz="8" w:color="auto"/>
            </w:tcBorders>
          </w:tcPr>
          <w:p>
            <w:pPr>
              <w:spacing w:after="0"/>
              <w:rPr>
                <w:sz w:val="19"/>
                <w:szCs w:val="19"/>
                <w:color w:val="auto"/>
              </w:rPr>
            </w:pPr>
          </w:p>
        </w:tc>
        <w:tc>
          <w:tcPr>
            <w:tcW w:w="1580" w:type="dxa"/>
            <w:vAlign w:val="bottom"/>
            <w:tcBorders>
              <w:top w:val="single" w:sz="8" w:color="auto"/>
            </w:tcBorders>
          </w:tcPr>
          <w:p>
            <w:pPr>
              <w:jc w:val="center"/>
              <w:ind w:left="212"/>
              <w:spacing w:after="0" w:line="229" w:lineRule="exact"/>
              <w:rPr>
                <w:sz w:val="20"/>
                <w:szCs w:val="20"/>
                <w:color w:val="auto"/>
              </w:rPr>
            </w:pPr>
            <w:r>
              <w:rPr>
                <w:rFonts w:ascii="Arial" w:cs="Arial" w:eastAsia="Arial" w:hAnsi="Arial"/>
                <w:sz w:val="22"/>
                <w:szCs w:val="22"/>
                <w:b w:val="1"/>
                <w:bCs w:val="1"/>
                <w:color w:val="auto"/>
                <w:w w:val="92"/>
              </w:rPr>
              <w:t>Trailing 12</w:t>
            </w:r>
          </w:p>
        </w:tc>
        <w:tc>
          <w:tcPr>
            <w:tcW w:w="34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4"/>
              </w:rPr>
              <w:t>REX’s</w:t>
            </w:r>
          </w:p>
        </w:tc>
        <w:tc>
          <w:tcPr>
            <w:tcW w:w="2120" w:type="dxa"/>
            <w:vAlign w:val="bottom"/>
            <w:tcBorders>
              <w:top w:val="single" w:sz="8" w:color="auto"/>
            </w:tcBorders>
          </w:tcPr>
          <w:p>
            <w:pPr>
              <w:jc w:val="center"/>
              <w:ind w:left="232"/>
              <w:spacing w:after="0" w:line="229" w:lineRule="exact"/>
              <w:rPr>
                <w:sz w:val="20"/>
                <w:szCs w:val="20"/>
                <w:color w:val="auto"/>
              </w:rPr>
            </w:pPr>
            <w:r>
              <w:rPr>
                <w:rFonts w:ascii="Arial" w:cs="Arial" w:eastAsia="Arial" w:hAnsi="Arial"/>
                <w:sz w:val="22"/>
                <w:szCs w:val="22"/>
                <w:b w:val="1"/>
                <w:bCs w:val="1"/>
                <w:color w:val="auto"/>
                <w:w w:val="91"/>
              </w:rPr>
              <w:t>Current Effective</w:t>
            </w:r>
          </w:p>
        </w:tc>
        <w:tc>
          <w:tcPr>
            <w:tcW w:w="3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80" w:type="dxa"/>
            <w:vAlign w:val="bottom"/>
          </w:tcPr>
          <w:p>
            <w:pPr>
              <w:jc w:val="center"/>
              <w:ind w:left="212"/>
              <w:spacing w:after="0" w:line="217" w:lineRule="exact"/>
              <w:rPr>
                <w:sz w:val="20"/>
                <w:szCs w:val="20"/>
                <w:color w:val="auto"/>
              </w:rPr>
            </w:pPr>
            <w:r>
              <w:rPr>
                <w:rFonts w:ascii="Arial" w:cs="Arial" w:eastAsia="Arial" w:hAnsi="Arial"/>
                <w:sz w:val="22"/>
                <w:szCs w:val="22"/>
                <w:b w:val="1"/>
                <w:bCs w:val="1"/>
                <w:color w:val="auto"/>
                <w:w w:val="89"/>
              </w:rPr>
              <w:t>Months</w:t>
            </w:r>
          </w:p>
        </w:tc>
        <w:tc>
          <w:tcPr>
            <w:tcW w:w="3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vMerge w:val="continue"/>
          </w:tcPr>
          <w:p>
            <w:pPr>
              <w:spacing w:after="0"/>
              <w:rPr>
                <w:sz w:val="18"/>
                <w:szCs w:val="18"/>
                <w:color w:val="auto"/>
              </w:rPr>
            </w:pPr>
          </w:p>
        </w:tc>
        <w:tc>
          <w:tcPr>
            <w:tcW w:w="2120" w:type="dxa"/>
            <w:vAlign w:val="bottom"/>
          </w:tcPr>
          <w:p>
            <w:pPr>
              <w:jc w:val="center"/>
              <w:ind w:left="232"/>
              <w:spacing w:after="0" w:line="217" w:lineRule="exact"/>
              <w:rPr>
                <w:sz w:val="20"/>
                <w:szCs w:val="20"/>
                <w:color w:val="auto"/>
              </w:rPr>
            </w:pPr>
            <w:r>
              <w:rPr>
                <w:rFonts w:ascii="Arial" w:cs="Arial" w:eastAsia="Arial" w:hAnsi="Arial"/>
                <w:sz w:val="22"/>
                <w:szCs w:val="22"/>
                <w:b w:val="1"/>
                <w:bCs w:val="1"/>
                <w:color w:val="auto"/>
                <w:w w:val="89"/>
              </w:rPr>
              <w:t>Ownership of</w:t>
            </w: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91"/>
              </w:rPr>
              <w:t>Ethanol</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3"/>
              </w:rPr>
              <w:t>Current</w:t>
            </w:r>
          </w:p>
        </w:tc>
        <w:tc>
          <w:tcPr>
            <w:tcW w:w="212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92"/>
              </w:rPr>
              <w:t>Trailing 12</w:t>
            </w: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58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6"/>
              </w:rPr>
              <w:t>Gallons</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Effective</w:t>
            </w:r>
          </w:p>
        </w:tc>
        <w:tc>
          <w:tcPr>
            <w:tcW w:w="212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90"/>
              </w:rPr>
              <w:t>Months Ethanol</w:t>
            </w: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Borders>
              <w:left w:val="single" w:sz="8" w:color="auto"/>
              <w:right w:val="single" w:sz="8" w:color="auto"/>
            </w:tcBorders>
          </w:tcPr>
          <w:p>
            <w:pPr>
              <w:ind w:left="2360"/>
              <w:spacing w:after="0" w:line="243" w:lineRule="exact"/>
              <w:rPr>
                <w:sz w:val="20"/>
                <w:szCs w:val="20"/>
                <w:color w:val="auto"/>
              </w:rPr>
            </w:pPr>
            <w:r>
              <w:rPr>
                <w:rFonts w:ascii="Arial" w:cs="Arial" w:eastAsia="Arial" w:hAnsi="Arial"/>
                <w:sz w:val="22"/>
                <w:szCs w:val="22"/>
                <w:b w:val="1"/>
                <w:bCs w:val="1"/>
                <w:color w:val="auto"/>
              </w:rPr>
              <w:t>Entity</w:t>
            </w:r>
          </w:p>
        </w:tc>
        <w:tc>
          <w:tcPr>
            <w:tcW w:w="1580" w:type="dxa"/>
            <w:vAlign w:val="bottom"/>
          </w:tcPr>
          <w:p>
            <w:pPr>
              <w:jc w:val="center"/>
              <w:ind w:left="232"/>
              <w:spacing w:after="0" w:line="243" w:lineRule="exact"/>
              <w:rPr>
                <w:sz w:val="20"/>
                <w:szCs w:val="20"/>
                <w:color w:val="auto"/>
              </w:rPr>
            </w:pPr>
            <w:r>
              <w:rPr>
                <w:rFonts w:ascii="Arial" w:cs="Arial" w:eastAsia="Arial" w:hAnsi="Arial"/>
                <w:sz w:val="22"/>
                <w:szCs w:val="22"/>
                <w:b w:val="1"/>
                <w:bCs w:val="1"/>
                <w:color w:val="auto"/>
                <w:w w:val="87"/>
              </w:rPr>
              <w:t>Shipped</w:t>
            </w:r>
          </w:p>
        </w:tc>
        <w:tc>
          <w:tcPr>
            <w:tcW w:w="3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c>
          <w:tcPr>
            <w:tcW w:w="212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7"/>
              </w:rPr>
              <w:t>Gallons Shipped</w:t>
            </w: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00" w:type="dxa"/>
            <w:vAlign w:val="bottom"/>
            <w:tcBorders>
              <w:left w:val="single" w:sz="8" w:color="auto"/>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w:t>
            </w:r>
          </w:p>
        </w:tc>
        <w:tc>
          <w:tcPr>
            <w:tcW w:w="212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One Earth Energy, LLC</w:t>
            </w:r>
          </w:p>
        </w:tc>
        <w:tc>
          <w:tcPr>
            <w:tcW w:w="192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119.2 M</w:t>
            </w:r>
          </w:p>
        </w:tc>
        <w:tc>
          <w:tcPr>
            <w:tcW w:w="15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75.5%</w:t>
            </w:r>
          </w:p>
        </w:tc>
        <w:tc>
          <w:tcPr>
            <w:tcW w:w="246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90.0 M</w:t>
            </w:r>
          </w:p>
        </w:tc>
        <w:tc>
          <w:tcPr>
            <w:tcW w:w="0" w:type="dxa"/>
            <w:vAlign w:val="bottom"/>
          </w:tcPr>
          <w:p>
            <w:pPr>
              <w:spacing w:after="0"/>
              <w:rPr>
                <w:sz w:val="1"/>
                <w:szCs w:val="1"/>
                <w:color w:val="auto"/>
              </w:rPr>
            </w:pPr>
          </w:p>
        </w:tc>
      </w:tr>
      <w:tr>
        <w:trPr>
          <w:trHeight w:val="237"/>
        </w:trPr>
        <w:tc>
          <w:tcPr>
            <w:tcW w:w="5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NuGen Energy, LLC</w:t>
            </w:r>
          </w:p>
        </w:tc>
        <w:tc>
          <w:tcPr>
            <w:tcW w:w="192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119.6 M</w:t>
            </w:r>
          </w:p>
        </w:tc>
        <w:tc>
          <w:tcPr>
            <w:tcW w:w="15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99.5%</w:t>
            </w:r>
          </w:p>
        </w:tc>
        <w:tc>
          <w:tcPr>
            <w:tcW w:w="2460" w:type="dxa"/>
            <w:vAlign w:val="bottom"/>
            <w:tcBorders>
              <w:bottom w:val="single" w:sz="8" w:color="auto"/>
              <w:right w:val="single" w:sz="8" w:color="auto"/>
            </w:tcBorders>
            <w:gridSpan w:val="2"/>
          </w:tcPr>
          <w:p>
            <w:pPr>
              <w:jc w:val="right"/>
              <w:ind w:right="12"/>
              <w:spacing w:after="0" w:line="237" w:lineRule="exact"/>
              <w:rPr>
                <w:sz w:val="20"/>
                <w:szCs w:val="20"/>
                <w:color w:val="auto"/>
              </w:rPr>
            </w:pPr>
            <w:r>
              <w:rPr>
                <w:rFonts w:ascii="Arial" w:cs="Arial" w:eastAsia="Arial" w:hAnsi="Arial"/>
                <w:sz w:val="22"/>
                <w:szCs w:val="22"/>
                <w:color w:val="auto"/>
              </w:rPr>
              <w:t>119.0 M</w:t>
            </w:r>
          </w:p>
        </w:tc>
        <w:tc>
          <w:tcPr>
            <w:tcW w:w="0" w:type="dxa"/>
            <w:vAlign w:val="bottom"/>
          </w:tcPr>
          <w:p>
            <w:pPr>
              <w:spacing w:after="0"/>
              <w:rPr>
                <w:sz w:val="1"/>
                <w:szCs w:val="1"/>
                <w:color w:val="auto"/>
              </w:rPr>
            </w:pPr>
          </w:p>
        </w:tc>
      </w:tr>
      <w:tr>
        <w:trPr>
          <w:trHeight w:val="215"/>
        </w:trPr>
        <w:tc>
          <w:tcPr>
            <w:tcW w:w="53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Big River Resources, LLC:</w:t>
            </w:r>
          </w:p>
        </w:tc>
        <w:tc>
          <w:tcPr>
            <w:tcW w:w="1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Resources W Burlington, LLC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97.3</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0" w:type="dxa"/>
            <w:vAlign w:val="bottom"/>
          </w:tcPr>
          <w:p>
            <w:pPr>
              <w:spacing w:after="0"/>
              <w:rPr>
                <w:sz w:val="1"/>
                <w:szCs w:val="1"/>
                <w:color w:val="auto"/>
              </w:rPr>
            </w:pPr>
          </w:p>
        </w:tc>
      </w:tr>
      <w:tr>
        <w:trPr>
          <w:trHeight w:val="243"/>
        </w:trPr>
        <w:tc>
          <w:tcPr>
            <w:tcW w:w="530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Resources Galva, LLC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111.5</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10.3%</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0" w:type="dxa"/>
            <w:vAlign w:val="bottom"/>
          </w:tcPr>
          <w:p>
            <w:pPr>
              <w:spacing w:after="0"/>
              <w:rPr>
                <w:sz w:val="1"/>
                <w:szCs w:val="1"/>
                <w:color w:val="auto"/>
              </w:rPr>
            </w:pPr>
          </w:p>
        </w:tc>
      </w:tr>
      <w:tr>
        <w:trPr>
          <w:trHeight w:val="243"/>
        </w:trPr>
        <w:tc>
          <w:tcPr>
            <w:tcW w:w="530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Big River United Energy, LLC</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113.8</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5.7%</w:t>
            </w:r>
          </w:p>
        </w:tc>
        <w:tc>
          <w:tcPr>
            <w:tcW w:w="212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c>
          <w:tcPr>
            <w:tcW w:w="340" w:type="dxa"/>
            <w:vAlign w:val="bottom"/>
            <w:tcBorders>
              <w:right w:val="single" w:sz="8" w:color="auto"/>
            </w:tcBorders>
          </w:tcPr>
          <w:p>
            <w:pPr>
              <w:jc w:val="right"/>
              <w:ind w:right="12"/>
              <w:spacing w:after="0" w:line="243" w:lineRule="exact"/>
              <w:rPr>
                <w:sz w:val="20"/>
                <w:szCs w:val="20"/>
                <w:color w:val="auto"/>
              </w:rPr>
            </w:pPr>
            <w:r>
              <w:rPr>
                <w:rFonts w:ascii="Arial" w:cs="Arial" w:eastAsia="Arial" w:hAnsi="Arial"/>
                <w:sz w:val="22"/>
                <w:szCs w:val="22"/>
                <w:color w:val="auto"/>
              </w:rPr>
              <w:t>M</w:t>
            </w:r>
          </w:p>
        </w:tc>
        <w:tc>
          <w:tcPr>
            <w:tcW w:w="0" w:type="dxa"/>
            <w:vAlign w:val="bottom"/>
          </w:tcPr>
          <w:p>
            <w:pPr>
              <w:spacing w:after="0"/>
              <w:rPr>
                <w:sz w:val="1"/>
                <w:szCs w:val="1"/>
                <w:color w:val="auto"/>
              </w:rPr>
            </w:pPr>
          </w:p>
        </w:tc>
      </w:tr>
      <w:tr>
        <w:trPr>
          <w:trHeight w:val="264"/>
        </w:trPr>
        <w:tc>
          <w:tcPr>
            <w:tcW w:w="530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2"/>
                <w:szCs w:val="22"/>
                <w:color w:val="auto"/>
              </w:rPr>
              <w:t>Big River Resources Boyceville, LLC</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55.8</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10.3%</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w:t>
            </w:r>
          </w:p>
        </w:tc>
        <w:tc>
          <w:tcPr>
            <w:tcW w:w="3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M</w:t>
            </w:r>
          </w:p>
        </w:tc>
        <w:tc>
          <w:tcPr>
            <w:tcW w:w="0" w:type="dxa"/>
            <w:vAlign w:val="bottom"/>
          </w:tcPr>
          <w:p>
            <w:pPr>
              <w:spacing w:after="0"/>
              <w:rPr>
                <w:sz w:val="1"/>
                <w:szCs w:val="1"/>
                <w:color w:val="auto"/>
              </w:rPr>
            </w:pPr>
          </w:p>
        </w:tc>
      </w:tr>
      <w:tr>
        <w:trPr>
          <w:trHeight w:val="237"/>
        </w:trPr>
        <w:tc>
          <w:tcPr>
            <w:tcW w:w="530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Total</w:t>
            </w:r>
          </w:p>
        </w:tc>
        <w:tc>
          <w:tcPr>
            <w:tcW w:w="15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617.2</w:t>
            </w:r>
          </w:p>
        </w:tc>
        <w:tc>
          <w:tcPr>
            <w:tcW w:w="3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242.7</w:t>
            </w:r>
          </w:p>
        </w:tc>
        <w:tc>
          <w:tcPr>
            <w:tcW w:w="34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M</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and foreign trade. Because the market prices of ethanol and distillers grains are not always directly related to corn prices (for example, demand for crude and other energy and related prices,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2" w:name="page23"/>
    <w:bookmarkEnd w:id="22"/>
    <w:p>
      <w:pPr>
        <w:ind w:right="40"/>
        <w:spacing w:after="0" w:line="287" w:lineRule="auto"/>
        <w:rPr>
          <w:sz w:val="20"/>
          <w:szCs w:val="20"/>
          <w:color w:val="auto"/>
        </w:rPr>
      </w:pPr>
      <w:r>
        <w:rPr>
          <w:rFonts w:ascii="Arial" w:cs="Arial" w:eastAsia="Arial" w:hAnsi="Arial"/>
          <w:sz w:val="19"/>
          <w:szCs w:val="19"/>
          <w:color w:val="auto"/>
        </w:rPr>
        <w:t>export market demand for ethanol and distillers grains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50"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12"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through a 95.35% owned subsidiary, for approximately $12.0 million. We began operating the refined coal facility immediately after the acquisition. We expect that the revenues from the sale of refined coal produced in the facility will be subsidized by federal production tax credits through November 18,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$7.38 per ton of refined coal produced and sold during calendar year 2021. The tax credits can be earned for refined coal produced and sold by our facility through November 18, 2021. Absent the tax credits, our refined coal operations would not be profitable.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02" w:right="379" w:bottom="1440" w:gutter="0" w:footer="0" w:header="0"/>
        </w:sectPr>
      </w:pPr>
    </w:p>
    <w:bookmarkStart w:id="23" w:name="page24"/>
    <w:bookmarkEnd w:id="23"/>
    <w:p>
      <w:pPr>
        <w:ind w:right="20" w:firstLine="648"/>
        <w:spacing w:after="0" w:line="248" w:lineRule="auto"/>
        <w:rPr>
          <w:sz w:val="20"/>
          <w:szCs w:val="20"/>
          <w:color w:val="auto"/>
        </w:rPr>
      </w:pPr>
      <w:r>
        <w:rPr>
          <w:rFonts w:ascii="Arial" w:cs="Arial" w:eastAsia="Arial" w:hAnsi="Arial"/>
          <w:sz w:val="21"/>
          <w:szCs w:val="21"/>
          <w:color w:val="auto"/>
        </w:rPr>
        <w:t>The refined coal facility is located at the site of a utility-owned electrical generating power station, which is our refined coal operation’s sole customer. Refined coal production and sales vary depending on fluctuations in demand from the site host utility, which generally changes based upon weather conditions in the geographic markets the utility serves and competing energy prices and supplies and the state of the economy. We have contracted with an experienced third party to operate and maintain the refined coal facility and to provide us with management reporting and operating data as required. We do not have any employees on site at the refined coal facility.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187" w:lineRule="exact"/>
        <w:rPr>
          <w:sz w:val="20"/>
          <w:szCs w:val="20"/>
          <w:color w:val="auto"/>
        </w:rPr>
      </w:pPr>
    </w:p>
    <w:p>
      <w:pPr>
        <w:ind w:right="60" w:firstLine="648"/>
        <w:spacing w:after="0" w:line="248" w:lineRule="auto"/>
        <w:rPr>
          <w:sz w:val="20"/>
          <w:szCs w:val="20"/>
          <w:color w:val="auto"/>
        </w:rPr>
      </w:pPr>
      <w:r>
        <w:rPr>
          <w:rFonts w:ascii="Arial" w:cs="Arial" w:eastAsia="Arial" w:hAnsi="Arial"/>
          <w:sz w:val="21"/>
          <w:szCs w:val="21"/>
          <w:color w:val="auto"/>
        </w:rPr>
        <w:t>We have agreed to fund direct patent expenses relating to patent applications and defense, annual annuity fees and maintenance on a country by country basis, with the right to terminate funding and transfer related patent rights to Hytken. We have funded all costs relating to new intellectual property, consultants, research and development, pilot field tests and equipment purchases with respect to the proposed commercialization stage of the technology. To date, we have paid and expensed approximately $2.5 million cumulatively to purchase our ownership interest and fund patent and other expenses. We have not yet tested or proven the commercial feasibility of the technology.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2" w:lineRule="exact"/>
        <w:rPr>
          <w:sz w:val="20"/>
          <w:szCs w:val="20"/>
          <w:color w:val="auto"/>
        </w:rPr>
      </w:pPr>
    </w:p>
    <w:p>
      <w:pPr>
        <w:ind w:right="260" w:firstLine="648"/>
        <w:spacing w:after="0" w:line="328" w:lineRule="auto"/>
        <w:rPr>
          <w:sz w:val="20"/>
          <w:szCs w:val="20"/>
          <w:color w:val="auto"/>
        </w:rPr>
      </w:pPr>
      <w:r>
        <w:rPr>
          <w:rFonts w:ascii="Arial" w:cs="Arial" w:eastAsia="Arial" w:hAnsi="Arial"/>
          <w:sz w:val="19"/>
          <w:szCs w:val="19"/>
          <w:color w:val="auto"/>
        </w:rPr>
        <w:t>During the three months ended April 30, 2021, we did not change any of our critical accounting policies as disclosed in our 2020 Annual Report on Form 10-K as filed with the Securities and Exchange Commission on April 12, 2021.</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1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2021” means the period February 1, 2021 to January 31, 2022.</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12"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In recent years, operating results in our ethanol and by-products segment have been, at times affected by a weak margin environment including such factors as higher costs for corn, lower availability of local corn, lower ethanol demand and the EPA granting small refiner waivers.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4" w:name="page25"/>
    <w:bookmarkEnd w:id="24"/>
    <w:p>
      <w:pPr>
        <w:ind w:right="20" w:firstLine="648"/>
        <w:spacing w:after="0" w:line="244" w:lineRule="auto"/>
        <w:rPr>
          <w:sz w:val="20"/>
          <w:szCs w:val="20"/>
          <w:color w:val="auto"/>
        </w:rPr>
      </w:pPr>
      <w:r>
        <w:rPr>
          <w:rFonts w:ascii="Arial" w:cs="Arial" w:eastAsia="Arial" w:hAnsi="Arial"/>
          <w:sz w:val="21"/>
          <w:szCs w:val="21"/>
          <w:color w:val="auto"/>
        </w:rPr>
        <w:t>During the early months of 2020, COVID-19 spread into the United States and other countries. 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This led to reduced demand for gasoline and ethanol, and consequently, historically low ethanol pricing. As a result, we idled our NuGen and One Earth ethanol plants in March of 2020. In May of 2020, businesses and other activities slowly began to reopen, which led to an increase in demand for gasoline and ethanol, and in related prices. As a result, we resumed production operations at the One Earth ethanol plant in late May of 2020 and at NuGen in late June of 2020. In addition, actions by the Federal Reserve related to the COVID-19 outbreak, reduced interest rates. Given the amount of cash and short-term investments we have, this could significantly reduce our interest income in future periods, depending on the length of time interest rates remain at these levels. The impacts of the COVID-19 outbreak on our business operations, including the duration and impact on ethanol demand, cannot be reasonably estimated at this time, although a prolonged production stoppage at our plants would have a material adverse impact on our results of operations, financial condition and cash flows in future periods.</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Congress passed the CARES Act in March 2020, which provided the United States department of Agriculture (“USDA”) with additional funding for the “Commodity Credit Corporation (“CCC”). The USDA is using this additional funding to provide direct payments to farmers, including farmers that we purchase corn from. Such direct payments to farmers could cause them to delay marketing decisions. Consequently, this could reduce the supply of corn and result in a price increase for what we pay for corn. In addition, China has been purchasing large quantities of corn, which has led to higher prices for corn. We have experienced an increase in the local basis paid for corn during the first quarter of fiscal year 2021.</w:t>
      </w:r>
    </w:p>
    <w:p>
      <w:pPr>
        <w:spacing w:after="0" w:line="150"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Renewable Fuel Standard II (“RFS II”), established in October 2010, has been an important factor in the growth of ethanol usage in the United States. When it was originally established, RFS II required the volume of “conventional” or corn derived ethanol to be blended with gasoline to increase each year until it reached 15.0 billion gallons in 2015 and was to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On December 19, 2019, the EPA announced the final 2020 renewable volume obligation for conventional ethanol, which met the 15.0 billion gallons congressional target. The EPA has missed its deadline and has not yet released a draft renewable volume obligation rule for the 2021 volumes. On April 15, 2020, five state Governors sent a letter to the EPA requesting a general waiver from RFS II due to the drop in demand caused by COVID-19 travel restrictions. On October 21, 2020, 15 U.S. Senators sent a letter to the EPA requesting a general waiver from RFS II to reduce the 2021 renewable volume obligation, citing the reduced demand for fuels due to COVID-19. It is unclear when the renewable volume obligation for 2021 will be released.</w:t>
      </w:r>
    </w:p>
    <w:p>
      <w:pPr>
        <w:spacing w:after="0" w:line="200" w:lineRule="exact"/>
        <w:rPr>
          <w:sz w:val="20"/>
          <w:szCs w:val="20"/>
          <w:color w:val="auto"/>
        </w:rPr>
      </w:pPr>
    </w:p>
    <w:p>
      <w:pPr>
        <w:spacing w:after="0" w:line="208"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Throughout fiscal year 2020 and the first quarter of fiscal year 2021, operating results in our refined coal segment were affected by inconsistent utility plant demand (our only customer). We expect to cease these operations and earning the resulting production tax credits by November 18, 2021.</w:t>
      </w:r>
    </w:p>
    <w:p>
      <w:pPr>
        <w:spacing w:after="0" w:line="186" w:lineRule="exact"/>
        <w:rPr>
          <w:sz w:val="20"/>
          <w:szCs w:val="20"/>
          <w:color w:val="auto"/>
        </w:rPr>
      </w:pPr>
    </w:p>
    <w:p>
      <w:pPr>
        <w:jc w:val="center"/>
        <w:ind w:right="260"/>
        <w:spacing w:after="0" w:line="430" w:lineRule="auto"/>
        <w:rPr>
          <w:sz w:val="20"/>
          <w:szCs w:val="20"/>
          <w:color w:val="auto"/>
        </w:rPr>
      </w:pPr>
      <w:r>
        <w:rPr>
          <w:rFonts w:ascii="Arial" w:cs="Arial" w:eastAsia="Arial" w:hAnsi="Arial"/>
          <w:sz w:val="22"/>
          <w:szCs w:val="22"/>
          <w:color w:val="auto"/>
        </w:rPr>
        <w:t>Should these trends and uncertainties continue, our future operating results are likely to be negatively impacted.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Comparison of Three Months Ended April 30, 2021 and 2020</w:t>
      </w:r>
    </w:p>
    <w:p>
      <w:pPr>
        <w:spacing w:after="0" w:line="212" w:lineRule="exact"/>
        <w:rPr>
          <w:sz w:val="20"/>
          <w:szCs w:val="20"/>
          <w:color w:val="auto"/>
        </w:rPr>
      </w:pPr>
    </w:p>
    <w:p>
      <w:pPr>
        <w:ind w:right="80" w:firstLine="648"/>
        <w:spacing w:after="0" w:line="248" w:lineRule="auto"/>
        <w:rPr>
          <w:sz w:val="20"/>
          <w:szCs w:val="20"/>
          <w:color w:val="auto"/>
        </w:rPr>
      </w:pPr>
      <w:r>
        <w:rPr>
          <w:rFonts w:ascii="Arial" w:cs="Arial" w:eastAsia="Arial" w:hAnsi="Arial"/>
          <w:sz w:val="21"/>
          <w:szCs w:val="21"/>
          <w:color w:val="auto"/>
        </w:rPr>
        <w:t>The following sections discuss the results of operations for each of our business segments and corporate and other. Amounts in the corporate and other category include activities that are not separately reportable or related to a segment. We have two reportable segments: i) ethanol and by-products; and ii) refined coal. We evaluate the performance of each reportable segment using net income attributable to REX common shareholders. Segment profitability measures are determined using the same accounting policies used in the preparation of the consolidated financial statements. The following tables summarizes segment and other results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300" w:type="dxa"/>
            <w:vAlign w:val="bottom"/>
            <w:gridSpan w:val="6"/>
          </w:tcPr>
          <w:p>
            <w:pPr>
              <w:ind w:left="140"/>
              <w:spacing w:after="0"/>
              <w:rPr>
                <w:sz w:val="20"/>
                <w:szCs w:val="20"/>
                <w:color w:val="auto"/>
              </w:rPr>
            </w:pPr>
            <w:r>
              <w:rPr>
                <w:rFonts w:ascii="Arial" w:cs="Arial" w:eastAsia="Arial" w:hAnsi="Arial"/>
                <w:sz w:val="22"/>
                <w:szCs w:val="22"/>
                <w:b w:val="1"/>
                <w:bCs w:val="1"/>
                <w:color w:val="auto"/>
                <w:w w:val="98"/>
              </w:rPr>
              <w:t>Three Months Ended</w:t>
            </w:r>
          </w:p>
        </w:tc>
      </w:tr>
      <w:tr>
        <w:trPr>
          <w:trHeight w:val="257"/>
        </w:trPr>
        <w:tc>
          <w:tcPr>
            <w:tcW w:w="39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560" w:type="dxa"/>
            <w:vAlign w:val="bottom"/>
            <w:gridSpan w:val="4"/>
          </w:tcPr>
          <w:p>
            <w:pPr>
              <w:jc w:val="right"/>
              <w:spacing w:after="0"/>
              <w:rPr>
                <w:sz w:val="20"/>
                <w:szCs w:val="20"/>
                <w:color w:val="auto"/>
              </w:rPr>
            </w:pPr>
            <w:r>
              <w:rPr>
                <w:rFonts w:ascii="Arial" w:cs="Arial" w:eastAsia="Arial" w:hAnsi="Arial"/>
                <w:sz w:val="22"/>
                <w:szCs w:val="22"/>
                <w:b w:val="1"/>
                <w:bCs w:val="1"/>
                <w:color w:val="auto"/>
              </w:rPr>
              <w:t>April 30,</w:t>
            </w: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3960" w:type="dxa"/>
            <w:vAlign w:val="bottom"/>
          </w:tcPr>
          <w:p>
            <w:pPr>
              <w:spacing w:after="0"/>
              <w:rPr>
                <w:sz w:val="23"/>
                <w:szCs w:val="23"/>
                <w:color w:val="auto"/>
              </w:rPr>
            </w:pPr>
          </w:p>
        </w:tc>
        <w:tc>
          <w:tcPr>
            <w:tcW w:w="2480" w:type="dxa"/>
            <w:vAlign w:val="bottom"/>
            <w:gridSpan w:val="2"/>
          </w:tcPr>
          <w:p>
            <w:pPr>
              <w:jc w:val="right"/>
              <w:ind w:right="112"/>
              <w:spacing w:after="0"/>
              <w:rPr>
                <w:sz w:val="20"/>
                <w:szCs w:val="20"/>
                <w:color w:val="auto"/>
              </w:rPr>
            </w:pPr>
            <w:r>
              <w:rPr>
                <w:rFonts w:ascii="Arial" w:cs="Arial" w:eastAsia="Arial" w:hAnsi="Arial"/>
                <w:sz w:val="22"/>
                <w:szCs w:val="22"/>
                <w:b w:val="1"/>
                <w:bCs w:val="1"/>
                <w:color w:val="auto"/>
              </w:rPr>
              <w:t>2021</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32"/>
              <w:spacing w:after="0"/>
              <w:rPr>
                <w:sz w:val="20"/>
                <w:szCs w:val="20"/>
                <w:color w:val="auto"/>
              </w:rPr>
            </w:pPr>
            <w:r>
              <w:rPr>
                <w:rFonts w:ascii="Arial" w:cs="Arial" w:eastAsia="Arial" w:hAnsi="Arial"/>
                <w:sz w:val="22"/>
                <w:szCs w:val="22"/>
                <w:b w:val="1"/>
                <w:bCs w:val="1"/>
                <w:color w:val="auto"/>
                <w:w w:val="85"/>
              </w:rPr>
              <w:t>2020</w:t>
            </w:r>
          </w:p>
        </w:tc>
        <w:tc>
          <w:tcPr>
            <w:tcW w:w="60" w:type="dxa"/>
            <w:vAlign w:val="bottom"/>
          </w:tcPr>
          <w:p>
            <w:pPr>
              <w:spacing w:after="0"/>
              <w:rPr>
                <w:sz w:val="23"/>
                <w:szCs w:val="23"/>
                <w:color w:val="auto"/>
              </w:rPr>
            </w:pPr>
          </w:p>
        </w:tc>
      </w:tr>
      <w:tr>
        <w:trPr>
          <w:trHeight w:val="237"/>
        </w:trPr>
        <w:tc>
          <w:tcPr>
            <w:tcW w:w="39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600" w:type="dxa"/>
            <w:vAlign w:val="bottom"/>
            <w:tcBorders>
              <w:top w:val="single" w:sz="8" w:color="E5FFFF"/>
            </w:tcBorders>
            <w:shd w:val="clear" w:color="auto" w:fill="E5FFFF"/>
          </w:tcPr>
          <w:p>
            <w:pPr>
              <w:spacing w:after="0"/>
              <w:rPr>
                <w:sz w:val="20"/>
                <w:szCs w:val="20"/>
                <w:color w:val="auto"/>
              </w:rPr>
            </w:pPr>
          </w:p>
        </w:tc>
        <w:tc>
          <w:tcPr>
            <w:tcW w:w="880" w:type="dxa"/>
            <w:vAlign w:val="bottom"/>
            <w:tcBorders>
              <w:top w:val="single" w:sz="8" w:color="auto"/>
            </w:tcBorders>
            <w:shd w:val="clear" w:color="auto" w:fill="E5FFFF"/>
          </w:tcPr>
          <w:p>
            <w:pPr>
              <w:spacing w:after="0"/>
              <w:rPr>
                <w:sz w:val="20"/>
                <w:szCs w:val="20"/>
                <w:color w:val="auto"/>
              </w:rPr>
            </w:pPr>
          </w:p>
        </w:tc>
        <w:tc>
          <w:tcPr>
            <w:tcW w:w="46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shd w:val="clear" w:color="auto" w:fill="E5FFFF"/>
          </w:tcPr>
          <w:p>
            <w:pPr>
              <w:spacing w:after="0"/>
              <w:rPr>
                <w:sz w:val="20"/>
                <w:szCs w:val="20"/>
                <w:color w:val="auto"/>
              </w:rPr>
            </w:pPr>
          </w:p>
        </w:tc>
        <w:tc>
          <w:tcPr>
            <w:tcW w:w="60" w:type="dxa"/>
            <w:vAlign w:val="bottom"/>
            <w:tcBorders>
              <w:top w:val="single" w:sz="8" w:color="E5FFFF"/>
            </w:tcBorders>
            <w:shd w:val="clear" w:color="auto" w:fill="E5FFFF"/>
          </w:tcPr>
          <w:p>
            <w:pPr>
              <w:spacing w:after="0"/>
              <w:rPr>
                <w:sz w:val="20"/>
                <w:szCs w:val="20"/>
                <w:color w:val="auto"/>
              </w:rPr>
            </w:pPr>
          </w:p>
        </w:tc>
      </w:tr>
      <w:tr>
        <w:trPr>
          <w:trHeight w:val="243"/>
        </w:trPr>
        <w:tc>
          <w:tcPr>
            <w:tcW w:w="39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24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$ 164,042</w:t>
            </w:r>
          </w:p>
        </w:tc>
        <w:tc>
          <w:tcPr>
            <w:tcW w:w="460" w:type="dxa"/>
            <w:vAlign w:val="bottom"/>
          </w:tcPr>
          <w:p>
            <w:pPr>
              <w:spacing w:after="0"/>
              <w:rPr>
                <w:sz w:val="21"/>
                <w:szCs w:val="21"/>
                <w:color w:val="auto"/>
              </w:rPr>
            </w:pPr>
          </w:p>
        </w:tc>
        <w:tc>
          <w:tcPr>
            <w:tcW w:w="22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w w:val="81"/>
              </w:rPr>
              <w: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w w:val="98"/>
              </w:rPr>
              <w:t>83,235</w:t>
            </w:r>
          </w:p>
        </w:tc>
        <w:tc>
          <w:tcPr>
            <w:tcW w:w="60" w:type="dxa"/>
            <w:vAlign w:val="bottom"/>
          </w:tcPr>
          <w:p>
            <w:pPr>
              <w:spacing w:after="0"/>
              <w:rPr>
                <w:sz w:val="21"/>
                <w:szCs w:val="21"/>
                <w:color w:val="auto"/>
              </w:rPr>
            </w:pPr>
          </w:p>
        </w:tc>
      </w:tr>
      <w:tr>
        <w:trPr>
          <w:trHeight w:val="310"/>
        </w:trPr>
        <w:tc>
          <w:tcPr>
            <w:tcW w:w="396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248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62</w:t>
            </w:r>
          </w:p>
        </w:tc>
        <w:tc>
          <w:tcPr>
            <w:tcW w:w="46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15</w:t>
            </w:r>
          </w:p>
        </w:tc>
        <w:tc>
          <w:tcPr>
            <w:tcW w:w="60" w:type="dxa"/>
            <w:vAlign w:val="bottom"/>
            <w:shd w:val="clear" w:color="auto" w:fill="E5FFFF"/>
          </w:tcPr>
          <w:p>
            <w:pPr>
              <w:spacing w:after="0"/>
              <w:rPr>
                <w:sz w:val="24"/>
                <w:szCs w:val="24"/>
                <w:color w:val="auto"/>
              </w:rPr>
            </w:pPr>
          </w:p>
        </w:tc>
      </w:tr>
      <w:tr>
        <w:trPr>
          <w:trHeight w:val="250"/>
        </w:trPr>
        <w:tc>
          <w:tcPr>
            <w:tcW w:w="396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6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7"/>
              </w:rPr>
              <w:t>$ 164,104</w:t>
            </w:r>
          </w:p>
        </w:tc>
        <w:tc>
          <w:tcPr>
            <w:tcW w:w="4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83,250</w:t>
            </w:r>
          </w:p>
        </w:tc>
        <w:tc>
          <w:tcPr>
            <w:tcW w:w="60" w:type="dxa"/>
            <w:vAlign w:val="bottom"/>
          </w:tcPr>
          <w:p>
            <w:pPr>
              <w:spacing w:after="0"/>
              <w:rPr>
                <w:sz w:val="21"/>
                <w:szCs w:val="21"/>
                <w:color w:val="auto"/>
              </w:rPr>
            </w:pPr>
          </w:p>
        </w:tc>
      </w:tr>
      <w:tr>
        <w:trPr>
          <w:trHeight w:val="20"/>
        </w:trPr>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22"/>
          <w:szCs w:val="22"/>
          <w:color w:val="auto"/>
        </w:rPr>
        <w:t>We record sales in the refined coal segment net of the cost of coal as we purchase the coal feedstock from the customer to which refined coal is sold.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shd w:val="clear" w:color="auto" w:fill="E5FFFF"/>
          </w:tcPr>
          <w:p>
            <w:pPr>
              <w:spacing w:after="0"/>
              <w:rPr>
                <w:sz w:val="20"/>
                <w:szCs w:val="20"/>
                <w:color w:val="auto"/>
              </w:rPr>
            </w:pPr>
            <w:r>
              <w:rPr>
                <w:rFonts w:ascii="Arial" w:cs="Arial" w:eastAsia="Arial" w:hAnsi="Arial"/>
                <w:sz w:val="22"/>
                <w:szCs w:val="22"/>
                <w:color w:val="auto"/>
              </w:rPr>
              <w:t>Segment gross profit (loss):</w:t>
            </w:r>
          </w:p>
        </w:tc>
        <w:tc>
          <w:tcPr>
            <w:tcW w:w="10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tcBorders>
              <w:right w:val="single" w:sz="8" w:color="E5FFFF"/>
            </w:tcBorders>
            <w:shd w:val="clear" w:color="auto" w:fill="E5FFFF"/>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20" w:type="dxa"/>
            <w:vAlign w:val="bottom"/>
            <w:gridSpan w:val="2"/>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w w:val="95"/>
              </w:rPr>
              <w:t>19,477</w:t>
            </w: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(8,223)</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000" w:type="dxa"/>
            <w:vAlign w:val="bottom"/>
            <w:shd w:val="clear" w:color="auto" w:fill="E5FFFF"/>
          </w:tcPr>
          <w:p>
            <w:pPr>
              <w:spacing w:after="0"/>
              <w:rPr>
                <w:sz w:val="22"/>
                <w:szCs w:val="22"/>
                <w:color w:val="auto"/>
              </w:rPr>
            </w:pPr>
          </w:p>
        </w:tc>
        <w:tc>
          <w:tcPr>
            <w:tcW w:w="220" w:type="dxa"/>
            <w:vAlign w:val="bottom"/>
            <w:tcBorders>
              <w:bottom w:val="single" w:sz="8" w:color="auto"/>
            </w:tcBorders>
            <w:shd w:val="clear" w:color="auto" w:fill="E5FFFF"/>
          </w:tcPr>
          <w:p>
            <w:pPr>
              <w:spacing w:after="0"/>
              <w:rPr>
                <w:sz w:val="22"/>
                <w:szCs w:val="22"/>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w w:val="91"/>
              </w:rPr>
              <w:t>(1,675)</w:t>
            </w:r>
          </w:p>
        </w:tc>
        <w:tc>
          <w:tcPr>
            <w:tcW w:w="46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82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22"/>
                <w:szCs w:val="22"/>
                <w:color w:val="auto"/>
              </w:rPr>
              <w:t>(1,107)</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line="250" w:lineRule="exact"/>
              <w:rPr>
                <w:sz w:val="20"/>
                <w:szCs w:val="20"/>
                <w:color w:val="auto"/>
              </w:rPr>
            </w:pPr>
            <w:r>
              <w:rPr>
                <w:rFonts w:ascii="Arial" w:cs="Arial" w:eastAsia="Arial" w:hAnsi="Arial"/>
                <w:sz w:val="22"/>
                <w:szCs w:val="22"/>
                <w:color w:val="auto"/>
              </w:rPr>
              <w:t>Total gross profit (loss)</w:t>
            </w:r>
          </w:p>
        </w:tc>
        <w:tc>
          <w:tcPr>
            <w:tcW w:w="1000" w:type="dxa"/>
            <w:vAlign w:val="bottom"/>
          </w:tcPr>
          <w:p>
            <w:pPr>
              <w:spacing w:after="0"/>
              <w:rPr>
                <w:sz w:val="21"/>
                <w:szCs w:val="21"/>
                <w:color w:val="auto"/>
              </w:rPr>
            </w:pPr>
          </w:p>
        </w:tc>
        <w:tc>
          <w:tcPr>
            <w:tcW w:w="220" w:type="dxa"/>
            <w:vAlign w:val="bottom"/>
            <w:tcBorders>
              <w:bottom w:val="single" w:sz="8" w:color="auto"/>
            </w:tcBorders>
          </w:tcPr>
          <w:p>
            <w:pPr>
              <w:jc w:val="center"/>
              <w:ind w:right="12"/>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17,802</w:t>
            </w:r>
          </w:p>
        </w:tc>
        <w:tc>
          <w:tcPr>
            <w:tcW w:w="46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(9,330)</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10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tcBorders>
              <w:right w:val="single" w:sz="8" w:color="E5FFFF"/>
            </w:tcBorders>
            <w:shd w:val="clear" w:color="auto" w:fill="E5FFFF"/>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220" w:type="dxa"/>
            <w:vAlign w:val="bottom"/>
            <w:gridSpan w:val="2"/>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w w:val="95"/>
              </w:rPr>
              <w:t>11,082</w:t>
            </w: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w w:val="90"/>
              </w:rPr>
              <w:t>(12,351)</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0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1"/>
              </w:rPr>
              <w:t>(1,795)</w:t>
            </w:r>
          </w:p>
        </w:tc>
        <w:tc>
          <w:tcPr>
            <w:tcW w:w="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(847)</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Corporate and other</w:t>
            </w:r>
          </w:p>
        </w:tc>
        <w:tc>
          <w:tcPr>
            <w:tcW w:w="1000" w:type="dxa"/>
            <w:vAlign w:val="bottom"/>
            <w:tcBorders>
              <w:bottom w:val="single" w:sz="8" w:color="E5FF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(860)</w:t>
            </w:r>
          </w:p>
        </w:tc>
        <w:tc>
          <w:tcPr>
            <w:tcW w:w="460" w:type="dxa"/>
            <w:vAlign w:val="bottom"/>
            <w:tcBorders>
              <w:bottom w:val="single" w:sz="8" w:color="E5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(545)</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(loss) before income taxes</w:t>
            </w:r>
          </w:p>
        </w:tc>
        <w:tc>
          <w:tcPr>
            <w:tcW w:w="1000" w:type="dxa"/>
            <w:vAlign w:val="bottom"/>
            <w:tcBorders>
              <w:bottom w:val="single" w:sz="8" w:color="E5FFFF"/>
            </w:tcBorders>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jc w:val="center"/>
              <w:ind w:right="12"/>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8,427</w:t>
            </w:r>
          </w:p>
        </w:tc>
        <w:tc>
          <w:tcPr>
            <w:tcW w:w="460" w:type="dxa"/>
            <w:vAlign w:val="bottom"/>
            <w:tcBorders>
              <w:bottom w:val="single" w:sz="8" w:color="E5FFFF"/>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20" w:type="dxa"/>
            <w:vAlign w:val="bottom"/>
            <w:tcBorders>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0"/>
              </w:rPr>
              <w:t>(13,743)</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22"/>
                <w:szCs w:val="22"/>
                <w:color w:val="auto"/>
              </w:rPr>
              <w:t>(Provision) benefit for income taxes:</w:t>
            </w: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5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220" w:type="dxa"/>
            <w:vAlign w:val="bottom"/>
            <w:gridSpan w:val="2"/>
            <w:shd w:val="clear" w:color="auto" w:fill="E5FFFF"/>
          </w:tcPr>
          <w:p>
            <w:pPr>
              <w:jc w:val="center"/>
              <w:ind w:left="772"/>
              <w:spacing w:after="0" w:line="243" w:lineRule="exact"/>
              <w:rPr>
                <w:sz w:val="20"/>
                <w:szCs w:val="20"/>
                <w:color w:val="auto"/>
              </w:rPr>
            </w:pPr>
            <w:r>
              <w:rPr>
                <w:rFonts w:ascii="Arial" w:cs="Arial" w:eastAsia="Arial" w:hAnsi="Arial"/>
                <w:sz w:val="22"/>
                <w:szCs w:val="22"/>
                <w:color w:val="auto"/>
                <w:w w:val="81"/>
              </w:rPr>
              <w:t>$</w:t>
            </w:r>
          </w:p>
        </w:tc>
        <w:tc>
          <w:tcPr>
            <w:tcW w:w="6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91"/>
              </w:rPr>
              <w:t>(2,436)</w:t>
            </w:r>
          </w:p>
        </w:tc>
        <w:tc>
          <w:tcPr>
            <w:tcW w:w="6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4,161</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2,195</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959</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000" w:type="dxa"/>
            <w:vAlign w:val="bottom"/>
            <w:shd w:val="clear" w:color="auto" w:fill="E5FFFF"/>
          </w:tcPr>
          <w:p>
            <w:pPr>
              <w:spacing w:after="0"/>
              <w:rPr>
                <w:sz w:val="22"/>
                <w:szCs w:val="22"/>
                <w:color w:val="auto"/>
              </w:rPr>
            </w:pPr>
          </w:p>
        </w:tc>
        <w:tc>
          <w:tcPr>
            <w:tcW w:w="220" w:type="dxa"/>
            <w:vAlign w:val="bottom"/>
            <w:tcBorders>
              <w:bottom w:val="single" w:sz="8" w:color="auto"/>
            </w:tcBorders>
            <w:shd w:val="clear" w:color="auto" w:fill="E5FFFF"/>
          </w:tcPr>
          <w:p>
            <w:pPr>
              <w:spacing w:after="0"/>
              <w:rPr>
                <w:sz w:val="22"/>
                <w:szCs w:val="22"/>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212</w:t>
            </w:r>
          </w:p>
        </w:tc>
        <w:tc>
          <w:tcPr>
            <w:tcW w:w="46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820" w:type="dxa"/>
            <w:vAlign w:val="bottom"/>
            <w:tcBorders>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22"/>
                <w:szCs w:val="22"/>
                <w:color w:val="auto"/>
              </w:rPr>
              <w:t>193</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line="250" w:lineRule="exact"/>
              <w:rPr>
                <w:sz w:val="20"/>
                <w:szCs w:val="20"/>
                <w:color w:val="auto"/>
              </w:rPr>
            </w:pPr>
            <w:r>
              <w:rPr>
                <w:rFonts w:ascii="Arial" w:cs="Arial" w:eastAsia="Arial" w:hAnsi="Arial"/>
                <w:sz w:val="22"/>
                <w:szCs w:val="22"/>
                <w:color w:val="auto"/>
              </w:rPr>
              <w:t>Total (provision) benefit for income taxes</w:t>
            </w:r>
          </w:p>
        </w:tc>
        <w:tc>
          <w:tcPr>
            <w:tcW w:w="1000" w:type="dxa"/>
            <w:vAlign w:val="bottom"/>
          </w:tcPr>
          <w:p>
            <w:pPr>
              <w:spacing w:after="0"/>
              <w:rPr>
                <w:sz w:val="21"/>
                <w:szCs w:val="21"/>
                <w:color w:val="auto"/>
              </w:rPr>
            </w:pPr>
          </w:p>
        </w:tc>
        <w:tc>
          <w:tcPr>
            <w:tcW w:w="220" w:type="dxa"/>
            <w:vAlign w:val="bottom"/>
            <w:tcBorders>
              <w:bottom w:val="single" w:sz="8" w:color="auto"/>
            </w:tcBorders>
          </w:tcPr>
          <w:p>
            <w:pPr>
              <w:jc w:val="center"/>
              <w:ind w:right="12"/>
              <w:spacing w:after="0" w:line="250" w:lineRule="exact"/>
              <w:rPr>
                <w:sz w:val="20"/>
                <w:szCs w:val="20"/>
                <w:color w:val="auto"/>
              </w:rPr>
            </w:pPr>
            <w:r>
              <w:rPr>
                <w:rFonts w:ascii="Arial" w:cs="Arial" w:eastAsia="Arial" w:hAnsi="Arial"/>
                <w:sz w:val="22"/>
                <w:szCs w:val="22"/>
                <w:color w:val="auto"/>
                <w:w w:val="81"/>
              </w:rPr>
              <w:t>$</w:t>
            </w:r>
          </w:p>
        </w:tc>
        <w:tc>
          <w:tcPr>
            <w:tcW w:w="6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(29)</w:t>
            </w:r>
          </w:p>
        </w:tc>
        <w:tc>
          <w:tcPr>
            <w:tcW w:w="46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5,313</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560" w:type="dxa"/>
            <w:vAlign w:val="bottom"/>
          </w:tcPr>
          <w:p>
            <w:pPr>
              <w:spacing w:after="0"/>
              <w:rPr>
                <w:sz w:val="24"/>
                <w:szCs w:val="24"/>
                <w:color w:val="auto"/>
              </w:rPr>
            </w:pPr>
          </w:p>
        </w:tc>
        <w:tc>
          <w:tcPr>
            <w:tcW w:w="1220" w:type="dxa"/>
            <w:vAlign w:val="bottom"/>
            <w:gridSpan w:val="2"/>
          </w:tcPr>
          <w:p>
            <w:pPr>
              <w:jc w:val="center"/>
              <w:ind w:left="812"/>
              <w:spacing w:after="0"/>
              <w:rPr>
                <w:sz w:val="20"/>
                <w:szCs w:val="20"/>
                <w:color w:val="auto"/>
              </w:rPr>
            </w:pPr>
            <w:r>
              <w:rPr>
                <w:rFonts w:ascii="Arial" w:cs="Arial" w:eastAsia="Arial" w:hAnsi="Arial"/>
                <w:sz w:val="22"/>
                <w:szCs w:val="22"/>
                <w:color w:val="auto"/>
                <w:w w:val="89"/>
              </w:rPr>
              <w:t>24</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60" w:type="dxa"/>
            <w:vAlign w:val="bottom"/>
            <w:tcBorders>
              <w:bottom w:val="single" w:sz="8" w:color="C0C0C0"/>
            </w:tcBorders>
          </w:tcPr>
          <w:p>
            <w:pPr>
              <w:spacing w:after="0"/>
              <w:rPr>
                <w:sz w:val="20"/>
                <w:szCs w:val="20"/>
                <w:color w:val="auto"/>
              </w:rPr>
            </w:pPr>
          </w:p>
        </w:tc>
        <w:tc>
          <w:tcPr>
            <w:tcW w:w="10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6"/>
          </w:tcPr>
          <w:p>
            <w:pPr>
              <w:ind w:left="40"/>
              <w:spacing w:after="0"/>
              <w:rPr>
                <w:sz w:val="20"/>
                <w:szCs w:val="20"/>
                <w:color w:val="auto"/>
              </w:rPr>
            </w:pPr>
            <w:r>
              <w:rPr>
                <w:rFonts w:ascii="Arial" w:cs="Arial" w:eastAsia="Arial" w:hAnsi="Arial"/>
                <w:sz w:val="22"/>
                <w:szCs w:val="22"/>
                <w:b w:val="1"/>
                <w:bCs w:val="1"/>
                <w:color w:val="auto"/>
              </w:rPr>
              <w:t>Three Months Ended</w:t>
            </w:r>
          </w:p>
        </w:tc>
      </w:tr>
      <w:tr>
        <w:trPr>
          <w:trHeight w:val="256"/>
        </w:trPr>
        <w:tc>
          <w:tcPr>
            <w:tcW w:w="5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4"/>
          </w:tcPr>
          <w:p>
            <w:pPr>
              <w:jc w:val="right"/>
              <w:spacing w:after="0"/>
              <w:rPr>
                <w:sz w:val="20"/>
                <w:szCs w:val="20"/>
                <w:color w:val="auto"/>
              </w:rPr>
            </w:pPr>
            <w:r>
              <w:rPr>
                <w:rFonts w:ascii="Arial" w:cs="Arial" w:eastAsia="Arial" w:hAnsi="Arial"/>
                <w:sz w:val="22"/>
                <w:szCs w:val="22"/>
                <w:b w:val="1"/>
                <w:bCs w:val="1"/>
                <w:color w:val="auto"/>
              </w:rPr>
              <w:t>April 30,</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5480" w:type="dxa"/>
            <w:vAlign w:val="bottom"/>
            <w:tcBorders>
              <w:bottom w:val="single" w:sz="8" w:color="E5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2021</w:t>
            </w:r>
          </w:p>
        </w:tc>
        <w:tc>
          <w:tcPr>
            <w:tcW w:w="260" w:type="dxa"/>
            <w:vAlign w:val="bottom"/>
            <w:tcBorders>
              <w:bottom w:val="single" w:sz="8" w:color="E5FFFF"/>
            </w:tcBorders>
          </w:tcPr>
          <w:p>
            <w:pPr>
              <w:spacing w:after="0"/>
              <w:rPr>
                <w:sz w:val="23"/>
                <w:szCs w:val="23"/>
                <w:color w:val="auto"/>
              </w:rPr>
            </w:pPr>
          </w:p>
        </w:tc>
        <w:tc>
          <w:tcPr>
            <w:tcW w:w="2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89"/>
              </w:rPr>
              <w:t>2020</w:t>
            </w:r>
          </w:p>
        </w:tc>
        <w:tc>
          <w:tcPr>
            <w:tcW w:w="60" w:type="dxa"/>
            <w:vAlign w:val="bottom"/>
            <w:tcBorders>
              <w:bottom w:val="single" w:sz="8" w:color="E5FFFF"/>
            </w:tcBorders>
          </w:tcPr>
          <w:p>
            <w:pPr>
              <w:spacing w:after="0"/>
              <w:rPr>
                <w:sz w:val="23"/>
                <w:szCs w:val="23"/>
                <w:color w:val="auto"/>
              </w:rPr>
            </w:pPr>
          </w:p>
        </w:tc>
      </w:tr>
      <w:tr>
        <w:trPr>
          <w:trHeight w:val="202"/>
        </w:trPr>
        <w:tc>
          <w:tcPr>
            <w:tcW w:w="5480" w:type="dxa"/>
            <w:vAlign w:val="bottom"/>
            <w:shd w:val="clear" w:color="auto" w:fill="E5FFFF"/>
          </w:tcPr>
          <w:p>
            <w:pPr>
              <w:spacing w:after="0" w:line="202" w:lineRule="exact"/>
              <w:rPr>
                <w:sz w:val="20"/>
                <w:szCs w:val="20"/>
                <w:color w:val="auto"/>
              </w:rPr>
            </w:pPr>
            <w:r>
              <w:rPr>
                <w:rFonts w:ascii="Arial" w:cs="Arial" w:eastAsia="Arial" w:hAnsi="Arial"/>
                <w:sz w:val="22"/>
                <w:szCs w:val="22"/>
                <w:color w:val="auto"/>
              </w:rPr>
              <w:t>Net income (loss) attributable to REX common</w:t>
            </w: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r>
      <w:tr>
        <w:trPr>
          <w:trHeight w:val="264"/>
        </w:trPr>
        <w:tc>
          <w:tcPr>
            <w:tcW w:w="5480" w:type="dxa"/>
            <w:vAlign w:val="bottom"/>
            <w:shd w:val="clear" w:color="auto" w:fill="E5FFFF"/>
          </w:tcPr>
          <w:p>
            <w:pPr>
              <w:spacing w:after="0"/>
              <w:rPr>
                <w:sz w:val="20"/>
                <w:szCs w:val="20"/>
                <w:color w:val="auto"/>
              </w:rPr>
            </w:pPr>
            <w:r>
              <w:rPr>
                <w:rFonts w:ascii="Arial" w:cs="Arial" w:eastAsia="Arial" w:hAnsi="Arial"/>
                <w:sz w:val="22"/>
                <w:szCs w:val="22"/>
                <w:color w:val="auto"/>
              </w:rPr>
              <w:t>shareholders:</w:t>
            </w:r>
          </w:p>
        </w:tc>
        <w:tc>
          <w:tcPr>
            <w:tcW w:w="14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60" w:type="dxa"/>
            <w:vAlign w:val="bottom"/>
            <w:shd w:val="clear" w:color="auto" w:fill="E5FFFF"/>
          </w:tcPr>
          <w:p>
            <w:pPr>
              <w:spacing w:after="0"/>
              <w:rPr>
                <w:sz w:val="22"/>
                <w:szCs w:val="22"/>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4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02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7,952</w:t>
            </w:r>
          </w:p>
        </w:tc>
        <w:tc>
          <w:tcPr>
            <w:tcW w:w="4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w w:val="97"/>
              </w:rPr>
              <w:t>(7,433)</w:t>
            </w:r>
          </w:p>
        </w:tc>
        <w:tc>
          <w:tcPr>
            <w:tcW w:w="60" w:type="dxa"/>
            <w:vAlign w:val="bottom"/>
          </w:tcPr>
          <w:p>
            <w:pPr>
              <w:spacing w:after="0"/>
              <w:rPr>
                <w:sz w:val="21"/>
                <w:szCs w:val="21"/>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4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480</w:t>
            </w: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150</w:t>
            </w:r>
          </w:p>
        </w:tc>
        <w:tc>
          <w:tcPr>
            <w:tcW w:w="60" w:type="dxa"/>
            <w:vAlign w:val="bottom"/>
            <w:shd w:val="clear" w:color="auto" w:fill="E5FFFF"/>
          </w:tcPr>
          <w:p>
            <w:pPr>
              <w:spacing w:after="0"/>
              <w:rPr>
                <w:sz w:val="21"/>
                <w:szCs w:val="2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22"/>
                <w:szCs w:val="22"/>
                <w:color w:val="auto"/>
              </w:rPr>
              <w:t>Corporate and other</w:t>
            </w:r>
          </w:p>
        </w:tc>
        <w:tc>
          <w:tcPr>
            <w:tcW w:w="14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22"/>
                <w:szCs w:val="22"/>
                <w:color w:val="auto"/>
              </w:rPr>
              <w:t>(648)</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(352)</w:t>
            </w:r>
          </w:p>
        </w:tc>
        <w:tc>
          <w:tcPr>
            <w:tcW w:w="60" w:type="dxa"/>
            <w:vAlign w:val="bottom"/>
          </w:tcPr>
          <w:p>
            <w:pPr>
              <w:spacing w:after="0"/>
              <w:rPr>
                <w:sz w:val="22"/>
                <w:szCs w:val="22"/>
                <w:color w:val="auto"/>
              </w:rPr>
            </w:pPr>
          </w:p>
        </w:tc>
      </w:tr>
      <w:tr>
        <w:trPr>
          <w:trHeight w:val="250"/>
        </w:trPr>
        <w:tc>
          <w:tcPr>
            <w:tcW w:w="54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w w:val="93"/>
              </w:rPr>
              <w:t>Net income (loss) attributable to REX common shareholders</w:t>
            </w: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7,784</w:t>
            </w:r>
          </w:p>
        </w:tc>
        <w:tc>
          <w:tcPr>
            <w:tcW w:w="26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7"/>
              </w:rPr>
              <w:t>(7,635)</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summarizes net sales and revenue from the ethanol and by-products segment (amounts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tcPr>
          <w:p>
            <w:pPr>
              <w:spacing w:after="0"/>
              <w:rPr>
                <w:sz w:val="21"/>
                <w:szCs w:val="21"/>
                <w:color w:val="auto"/>
              </w:rPr>
            </w:pPr>
          </w:p>
        </w:tc>
        <w:tc>
          <w:tcPr>
            <w:tcW w:w="2380" w:type="dxa"/>
            <w:vAlign w:val="bottom"/>
            <w:gridSpan w:val="5"/>
          </w:tcPr>
          <w:p>
            <w:pPr>
              <w:jc w:val="right"/>
              <w:ind w:right="132"/>
              <w:spacing w:after="0"/>
              <w:rPr>
                <w:sz w:val="20"/>
                <w:szCs w:val="20"/>
                <w:color w:val="auto"/>
              </w:rPr>
            </w:pPr>
            <w:r>
              <w:rPr>
                <w:rFonts w:ascii="Arial" w:cs="Arial" w:eastAsia="Arial" w:hAnsi="Arial"/>
                <w:sz w:val="22"/>
                <w:szCs w:val="22"/>
                <w:b w:val="1"/>
                <w:bCs w:val="1"/>
                <w:color w:val="auto"/>
                <w:w w:val="97"/>
              </w:rPr>
              <w:t>Three Months Ended</w:t>
            </w:r>
          </w:p>
        </w:tc>
        <w:tc>
          <w:tcPr>
            <w:tcW w:w="3380" w:type="dxa"/>
            <w:vAlign w:val="bottom"/>
          </w:tcPr>
          <w:p>
            <w:pPr>
              <w:spacing w:after="0"/>
              <w:rPr>
                <w:sz w:val="21"/>
                <w:szCs w:val="21"/>
                <w:color w:val="auto"/>
              </w:rPr>
            </w:pPr>
          </w:p>
        </w:tc>
      </w:tr>
      <w:tr>
        <w:trPr>
          <w:trHeight w:val="257"/>
        </w:trPr>
        <w:tc>
          <w:tcPr>
            <w:tcW w:w="5480" w:type="dxa"/>
            <w:vAlign w:val="bottom"/>
          </w:tcPr>
          <w:p>
            <w:pPr>
              <w:spacing w:after="0"/>
              <w:rPr>
                <w:sz w:val="22"/>
                <w:szCs w:val="22"/>
                <w:color w:val="auto"/>
              </w:rPr>
            </w:pPr>
          </w:p>
        </w:tc>
        <w:tc>
          <w:tcPr>
            <w:tcW w:w="1620" w:type="dxa"/>
            <w:vAlign w:val="bottom"/>
            <w:gridSpan w:val="4"/>
          </w:tcPr>
          <w:p>
            <w:pPr>
              <w:jc w:val="right"/>
              <w:spacing w:after="0"/>
              <w:rPr>
                <w:sz w:val="20"/>
                <w:szCs w:val="20"/>
                <w:color w:val="auto"/>
              </w:rPr>
            </w:pPr>
            <w:r>
              <w:rPr>
                <w:rFonts w:ascii="Arial" w:cs="Arial" w:eastAsia="Arial" w:hAnsi="Arial"/>
                <w:sz w:val="22"/>
                <w:szCs w:val="22"/>
                <w:b w:val="1"/>
                <w:bCs w:val="1"/>
                <w:color w:val="auto"/>
              </w:rPr>
              <w:t>April 30,</w:t>
            </w:r>
          </w:p>
        </w:tc>
        <w:tc>
          <w:tcPr>
            <w:tcW w:w="76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70"/>
        </w:trPr>
        <w:tc>
          <w:tcPr>
            <w:tcW w:w="5480" w:type="dxa"/>
            <w:vAlign w:val="bottom"/>
          </w:tcPr>
          <w:p>
            <w:pPr>
              <w:spacing w:after="0"/>
              <w:rPr>
                <w:sz w:val="23"/>
                <w:szCs w:val="23"/>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89"/>
              </w:rPr>
              <w:t>2020</w:t>
            </w:r>
          </w:p>
        </w:tc>
        <w:tc>
          <w:tcPr>
            <w:tcW w:w="3380" w:type="dxa"/>
            <w:vAlign w:val="bottom"/>
          </w:tcPr>
          <w:p>
            <w:pPr>
              <w:spacing w:after="0"/>
              <w:rPr>
                <w:sz w:val="23"/>
                <w:szCs w:val="23"/>
                <w:color w:val="auto"/>
              </w:rPr>
            </w:pPr>
          </w:p>
        </w:tc>
      </w:tr>
      <w:tr>
        <w:trPr>
          <w:trHeight w:val="236"/>
        </w:trPr>
        <w:tc>
          <w:tcPr>
            <w:tcW w:w="5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116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w w:val="89"/>
              </w:rPr>
              <w:t>$ 126,069</w:t>
            </w:r>
          </w:p>
        </w:tc>
        <w:tc>
          <w:tcPr>
            <w:tcW w:w="4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7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60,597</w:t>
            </w:r>
          </w:p>
        </w:tc>
        <w:tc>
          <w:tcPr>
            <w:tcW w:w="3380" w:type="dxa"/>
            <w:vAlign w:val="bottom"/>
          </w:tcPr>
          <w:p>
            <w:pPr>
              <w:spacing w:after="0"/>
              <w:rPr>
                <w:sz w:val="21"/>
                <w:szCs w:val="2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11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31,119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18,918</w:t>
            </w:r>
          </w:p>
        </w:tc>
        <w:tc>
          <w:tcPr>
            <w:tcW w:w="3380" w:type="dxa"/>
            <w:vAlign w:val="bottom"/>
          </w:tcPr>
          <w:p>
            <w:pPr>
              <w:spacing w:after="0"/>
              <w:rPr>
                <w:sz w:val="21"/>
                <w:szCs w:val="21"/>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116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5,594</w:t>
            </w: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3,188</w:t>
            </w:r>
          </w:p>
        </w:tc>
        <w:tc>
          <w:tcPr>
            <w:tcW w:w="3380" w:type="dxa"/>
            <w:vAlign w:val="bottom"/>
          </w:tcPr>
          <w:p>
            <w:pPr>
              <w:spacing w:after="0"/>
              <w:rPr>
                <w:sz w:val="21"/>
                <w:szCs w:val="2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11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2,293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457</w:t>
            </w:r>
          </w:p>
        </w:tc>
        <w:tc>
          <w:tcPr>
            <w:tcW w:w="3380" w:type="dxa"/>
            <w:vAlign w:val="bottom"/>
          </w:tcPr>
          <w:p>
            <w:pPr>
              <w:spacing w:after="0"/>
              <w:rPr>
                <w:sz w:val="21"/>
                <w:szCs w:val="21"/>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116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(1,126)</w:t>
            </w: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380" w:type="dxa"/>
            <w:vAlign w:val="bottom"/>
          </w:tcPr>
          <w:p>
            <w:pPr>
              <w:spacing w:after="0"/>
              <w:rPr>
                <w:sz w:val="21"/>
                <w:szCs w:val="21"/>
                <w:color w:val="auto"/>
              </w:rPr>
            </w:pPr>
          </w:p>
        </w:tc>
      </w:tr>
      <w:tr>
        <w:trPr>
          <w:trHeight w:val="257"/>
        </w:trPr>
        <w:tc>
          <w:tcPr>
            <w:tcW w:w="5480" w:type="dxa"/>
            <w:vAlign w:val="bottom"/>
          </w:tcPr>
          <w:p>
            <w:pPr>
              <w:spacing w:after="0"/>
              <w:rPr>
                <w:sz w:val="20"/>
                <w:szCs w:val="20"/>
                <w:color w:val="auto"/>
              </w:rPr>
            </w:pPr>
            <w:r>
              <w:rPr>
                <w:rFonts w:ascii="Arial" w:cs="Arial" w:eastAsia="Arial" w:hAnsi="Arial"/>
                <w:sz w:val="22"/>
                <w:szCs w:val="22"/>
                <w:color w:val="auto"/>
              </w:rPr>
              <w:t>Other</w:t>
            </w:r>
          </w:p>
        </w:tc>
        <w:tc>
          <w:tcPr>
            <w:tcW w:w="1160" w:type="dxa"/>
            <w:vAlign w:val="bottom"/>
            <w:gridSpan w:val="2"/>
          </w:tcPr>
          <w:p>
            <w:pPr>
              <w:jc w:val="right"/>
              <w:ind w:right="260"/>
              <w:spacing w:after="0"/>
              <w:rPr>
                <w:sz w:val="20"/>
                <w:szCs w:val="20"/>
                <w:color w:val="auto"/>
              </w:rPr>
            </w:pPr>
            <w:r>
              <w:rPr>
                <w:rFonts w:ascii="Arial" w:cs="Arial" w:eastAsia="Arial" w:hAnsi="Arial"/>
                <w:sz w:val="22"/>
                <w:szCs w:val="22"/>
                <w:color w:val="auto"/>
              </w:rPr>
              <w:t>93</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75</w:t>
            </w:r>
          </w:p>
        </w:tc>
        <w:tc>
          <w:tcPr>
            <w:tcW w:w="3380" w:type="dxa"/>
            <w:vAlign w:val="bottom"/>
          </w:tcPr>
          <w:p>
            <w:pPr>
              <w:spacing w:after="0"/>
              <w:rPr>
                <w:sz w:val="22"/>
                <w:szCs w:val="22"/>
                <w:color w:val="auto"/>
              </w:rPr>
            </w:pPr>
          </w:p>
        </w:tc>
      </w:tr>
      <w:tr>
        <w:trPr>
          <w:trHeight w:val="250"/>
        </w:trPr>
        <w:tc>
          <w:tcPr>
            <w:tcW w:w="548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9"/>
              </w:rPr>
              <w:t>$ 164,042</w:t>
            </w:r>
          </w:p>
        </w:tc>
        <w:tc>
          <w:tcPr>
            <w:tcW w:w="26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760" w:type="dxa"/>
            <w:vAlign w:val="bottom"/>
            <w:tcBorders>
              <w:top w:val="single" w:sz="8" w:color="auto"/>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83,235</w:t>
            </w:r>
          </w:p>
        </w:tc>
        <w:tc>
          <w:tcPr>
            <w:tcW w:w="3380" w:type="dxa"/>
            <w:vAlign w:val="bottom"/>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3"/>
        </w:trPr>
        <w:tc>
          <w:tcPr>
            <w:tcW w:w="5480" w:type="dxa"/>
            <w:vAlign w:val="bottom"/>
          </w:tcPr>
          <w:p>
            <w:pPr>
              <w:spacing w:after="0"/>
              <w:rPr>
                <w:sz w:val="24"/>
                <w:szCs w:val="24"/>
                <w:color w:val="auto"/>
              </w:rPr>
            </w:pPr>
          </w:p>
        </w:tc>
        <w:tc>
          <w:tcPr>
            <w:tcW w:w="900" w:type="dxa"/>
            <w:vAlign w:val="bottom"/>
          </w:tcPr>
          <w:p>
            <w:pPr>
              <w:jc w:val="right"/>
              <w:ind w:right="532"/>
              <w:spacing w:after="0"/>
              <w:rPr>
                <w:sz w:val="20"/>
                <w:szCs w:val="20"/>
                <w:color w:val="auto"/>
              </w:rPr>
            </w:pPr>
            <w:r>
              <w:rPr>
                <w:rFonts w:ascii="Arial" w:cs="Arial" w:eastAsia="Arial" w:hAnsi="Arial"/>
                <w:sz w:val="22"/>
                <w:szCs w:val="22"/>
                <w:color w:val="auto"/>
                <w:w w:val="97"/>
              </w:rPr>
              <w:t>25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40"/>
        </w:trPr>
        <w:tc>
          <w:tcPr>
            <w:tcW w:w="548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3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86"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22"/>
          <w:szCs w:val="22"/>
          <w:color w:val="auto"/>
        </w:rPr>
        <w:t>The following table summarizes selected data from the ethanol and by-products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6"/>
          </w:tcPr>
          <w:p>
            <w:pPr>
              <w:ind w:left="40"/>
              <w:spacing w:after="0"/>
              <w:rPr>
                <w:sz w:val="20"/>
                <w:szCs w:val="20"/>
                <w:color w:val="auto"/>
              </w:rPr>
            </w:pPr>
            <w:r>
              <w:rPr>
                <w:rFonts w:ascii="Arial" w:cs="Arial" w:eastAsia="Arial" w:hAnsi="Arial"/>
                <w:sz w:val="22"/>
                <w:szCs w:val="22"/>
                <w:b w:val="1"/>
                <w:bCs w:val="1"/>
                <w:color w:val="auto"/>
              </w:rPr>
              <w:t>Three Months Ended</w:t>
            </w:r>
          </w:p>
        </w:tc>
      </w:tr>
      <w:tr>
        <w:trPr>
          <w:trHeight w:val="257"/>
        </w:trPr>
        <w:tc>
          <w:tcPr>
            <w:tcW w:w="5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22"/>
                <w:szCs w:val="22"/>
                <w:b w:val="1"/>
                <w:bCs w:val="1"/>
                <w:color w:val="auto"/>
              </w:rPr>
              <w:t>April 30,</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0"/>
        </w:trPr>
        <w:tc>
          <w:tcPr>
            <w:tcW w:w="54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93"/>
              </w:rPr>
              <w:t>2020</w:t>
            </w:r>
          </w:p>
        </w:tc>
        <w:tc>
          <w:tcPr>
            <w:tcW w:w="60" w:type="dxa"/>
            <w:vAlign w:val="bottom"/>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5"/>
              </w:rPr>
              <w:t>Average selling price per gallon of ethanol (net of hedging)</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2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1.79</w:t>
            </w:r>
          </w:p>
        </w:tc>
        <w:tc>
          <w:tcPr>
            <w:tcW w:w="4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1.25</w:t>
            </w:r>
          </w:p>
        </w:tc>
        <w:tc>
          <w:tcPr>
            <w:tcW w:w="60" w:type="dxa"/>
            <w:vAlign w:val="bottom"/>
            <w:shd w:val="clear" w:color="auto" w:fill="E5FFFF"/>
          </w:tcPr>
          <w:p>
            <w:pPr>
              <w:spacing w:after="0"/>
              <w:rPr>
                <w:sz w:val="21"/>
                <w:szCs w:val="2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70.0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48.3</w:t>
            </w:r>
          </w:p>
        </w:tc>
        <w:tc>
          <w:tcPr>
            <w:tcW w:w="60" w:type="dxa"/>
            <w:vAlign w:val="bottom"/>
          </w:tcPr>
          <w:p>
            <w:pPr>
              <w:spacing w:after="0"/>
              <w:rPr>
                <w:sz w:val="21"/>
                <w:szCs w:val="21"/>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2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208.92</w:t>
            </w:r>
          </w:p>
        </w:tc>
        <w:tc>
          <w:tcPr>
            <w:tcW w:w="4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145.64</w:t>
            </w:r>
          </w:p>
        </w:tc>
        <w:tc>
          <w:tcPr>
            <w:tcW w:w="60" w:type="dxa"/>
            <w:vAlign w:val="bottom"/>
            <w:shd w:val="clear" w:color="auto" w:fill="E5FFFF"/>
          </w:tcPr>
          <w:p>
            <w:pPr>
              <w:spacing w:after="0"/>
              <w:rPr>
                <w:sz w:val="21"/>
                <w:szCs w:val="2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w w:val="93"/>
              </w:rPr>
              <w:t>148,951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w w:val="87"/>
              </w:rPr>
              <w:t>129,895</w:t>
            </w:r>
          </w:p>
        </w:tc>
        <w:tc>
          <w:tcPr>
            <w:tcW w:w="60" w:type="dxa"/>
            <w:vAlign w:val="bottom"/>
          </w:tcPr>
          <w:p>
            <w:pPr>
              <w:spacing w:after="0"/>
              <w:rPr>
                <w:sz w:val="21"/>
                <w:szCs w:val="21"/>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6"/>
              </w:rPr>
              <w:t>Average selling price per pound of non-food grade corn oil</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2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0.33</w:t>
            </w:r>
          </w:p>
        </w:tc>
        <w:tc>
          <w:tcPr>
            <w:tcW w:w="4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0.25</w:t>
            </w:r>
          </w:p>
        </w:tc>
        <w:tc>
          <w:tcPr>
            <w:tcW w:w="60" w:type="dxa"/>
            <w:vAlign w:val="bottom"/>
            <w:shd w:val="clear" w:color="auto" w:fill="E5FFFF"/>
          </w:tcPr>
          <w:p>
            <w:pPr>
              <w:spacing w:after="0"/>
              <w:rPr>
                <w:sz w:val="21"/>
                <w:szCs w:val="2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17.1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c>
          <w:tcPr>
            <w:tcW w:w="60" w:type="dxa"/>
            <w:vAlign w:val="bottom"/>
          </w:tcPr>
          <w:p>
            <w:pPr>
              <w:spacing w:after="0"/>
              <w:rPr>
                <w:sz w:val="21"/>
                <w:szCs w:val="21"/>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modified distillers grains</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2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71.54</w:t>
            </w:r>
          </w:p>
        </w:tc>
        <w:tc>
          <w:tcPr>
            <w:tcW w:w="4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65.82</w:t>
            </w:r>
          </w:p>
        </w:tc>
        <w:tc>
          <w:tcPr>
            <w:tcW w:w="60" w:type="dxa"/>
            <w:vAlign w:val="bottom"/>
            <w:shd w:val="clear" w:color="auto" w:fill="E5FFFF"/>
          </w:tcPr>
          <w:p>
            <w:pPr>
              <w:spacing w:after="0"/>
              <w:rPr>
                <w:sz w:val="21"/>
                <w:szCs w:val="21"/>
                <w:color w:val="auto"/>
              </w:rPr>
            </w:pPr>
          </w:p>
        </w:tc>
      </w:tr>
      <w:tr>
        <w:trPr>
          <w:trHeight w:val="243"/>
        </w:trPr>
        <w:tc>
          <w:tcPr>
            <w:tcW w:w="548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32,060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6,941</w:t>
            </w:r>
          </w:p>
        </w:tc>
        <w:tc>
          <w:tcPr>
            <w:tcW w:w="60" w:type="dxa"/>
            <w:vAlign w:val="bottom"/>
          </w:tcPr>
          <w:p>
            <w:pPr>
              <w:spacing w:after="0"/>
              <w:rPr>
                <w:sz w:val="21"/>
                <w:szCs w:val="21"/>
                <w:color w:val="auto"/>
              </w:rPr>
            </w:pPr>
          </w:p>
        </w:tc>
      </w:tr>
      <w:tr>
        <w:trPr>
          <w:trHeight w:val="243"/>
        </w:trPr>
        <w:tc>
          <w:tcPr>
            <w:tcW w:w="54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20" w:type="dxa"/>
            <w:vAlign w:val="bottom"/>
            <w:gridSpan w:val="2"/>
            <w:shd w:val="clear" w:color="auto" w:fill="E5FFFF"/>
          </w:tcPr>
          <w:p>
            <w:pPr>
              <w:jc w:val="right"/>
              <w:ind w:right="260"/>
              <w:spacing w:after="0" w:line="243" w:lineRule="exact"/>
              <w:rPr>
                <w:sz w:val="20"/>
                <w:szCs w:val="20"/>
                <w:color w:val="auto"/>
              </w:rPr>
            </w:pPr>
            <w:r>
              <w:rPr>
                <w:rFonts w:ascii="Arial" w:cs="Arial" w:eastAsia="Arial" w:hAnsi="Arial"/>
                <w:sz w:val="22"/>
                <w:szCs w:val="22"/>
                <w:color w:val="auto"/>
              </w:rPr>
              <w:t>5.16</w:t>
            </w:r>
          </w:p>
        </w:tc>
        <w:tc>
          <w:tcPr>
            <w:tcW w:w="440" w:type="dxa"/>
            <w:vAlign w:val="bottom"/>
            <w:gridSpan w:val="2"/>
            <w:shd w:val="clear" w:color="auto" w:fill="E5FF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7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3.93</w:t>
            </w:r>
          </w:p>
        </w:tc>
        <w:tc>
          <w:tcPr>
            <w:tcW w:w="60" w:type="dxa"/>
            <w:vAlign w:val="bottom"/>
            <w:shd w:val="clear" w:color="auto" w:fill="E5FFFF"/>
          </w:tcPr>
          <w:p>
            <w:pPr>
              <w:spacing w:after="0"/>
              <w:rPr>
                <w:sz w:val="21"/>
                <w:szCs w:val="21"/>
                <w:color w:val="auto"/>
              </w:rPr>
            </w:pPr>
          </w:p>
        </w:tc>
      </w:tr>
      <w:tr>
        <w:trPr>
          <w:trHeight w:val="274"/>
        </w:trPr>
        <w:tc>
          <w:tcPr>
            <w:tcW w:w="548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20" w:type="dxa"/>
            <w:vAlign w:val="bottom"/>
            <w:gridSpan w:val="2"/>
          </w:tcPr>
          <w:p>
            <w:pPr>
              <w:jc w:val="right"/>
              <w:ind w:right="260"/>
              <w:spacing w:after="0"/>
              <w:rPr>
                <w:sz w:val="20"/>
                <w:szCs w:val="20"/>
                <w:color w:val="auto"/>
              </w:rPr>
            </w:pPr>
            <w:r>
              <w:rPr>
                <w:rFonts w:ascii="Arial" w:cs="Arial" w:eastAsia="Arial" w:hAnsi="Arial"/>
                <w:sz w:val="22"/>
                <w:szCs w:val="22"/>
                <w:color w:val="auto"/>
              </w:rPr>
              <w:t>3.18</w:t>
            </w:r>
          </w:p>
        </w:tc>
        <w:tc>
          <w:tcPr>
            <w:tcW w:w="44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3.93</w:t>
            </w:r>
          </w:p>
        </w:tc>
        <w:tc>
          <w:tcPr>
            <w:tcW w:w="60" w:type="dxa"/>
            <w:vAlign w:val="bottom"/>
          </w:tcPr>
          <w:p>
            <w:pPr>
              <w:spacing w:after="0"/>
              <w:rPr>
                <w:sz w:val="23"/>
                <w:szCs w:val="23"/>
                <w:color w:val="auto"/>
              </w:rPr>
            </w:pPr>
          </w:p>
        </w:tc>
      </w:tr>
    </w:tbl>
    <w:p>
      <w:pPr>
        <w:spacing w:after="0" w:line="163"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Net sales and revenue in the quarter ended April 30, 2021 increased approximately 97% compared to the prior year’s first quarter. We had significantly lower production and sales volumes in our ethanol and by-products segment during fiscal year 2020, which related primarily to operations at NuGen as diminished local availability of corn, the effects of the COVID-19 outbreak and lower ethanol pricing resulted in the idling of the NuGen ethanol plant in March of 2020. Both of our consolidated plants produced at or near capacity during the first quarter of fiscal year 2021.</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Ethanol sales increased in the first quarter of fiscal year 2021 compared to the first quarter of fiscal year 2020 as the number of gallons sold increased 45% and the average selling price per gallon increased 43% over the prior year first quarter. The increase in the ethanol selling price resulted primarily from an increase in demand and an increase in commodity prices.</w:t>
      </w:r>
    </w:p>
    <w:p>
      <w:pPr>
        <w:spacing w:after="0" w:line="134"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Dried distillers grains sales increased in the first quarter of fiscal year 2021 compared to the first quarter of fiscal year 2020 as the number of tons sold increased 15% and the average selling price per ton increased 43% over the prior year first quarter. The increase in the dried distillers grains selling price resulted primarily from an increase in corn prices as dried distillers grains prices often follow corn pricing.</w:t>
      </w:r>
    </w:p>
    <w:p>
      <w:pPr>
        <w:spacing w:after="0" w:line="185"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Non-food grade corn oil sales increased in the first quarter of fiscal year 2021 compared to the first quarter of fiscal year 2020 as the number of pounds sold increased 34% and the average selling price per pound increased 32% over the prior year first quarter. The increase in the non-food grade corn oil selling price resulted primarily from an increase in demand from the biodiesel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8" w:name="page29"/>
    <w:bookmarkEnd w:id="28"/>
    <w:p>
      <w:pPr>
        <w:ind w:firstLine="648"/>
        <w:spacing w:after="0" w:line="297" w:lineRule="auto"/>
        <w:rPr>
          <w:sz w:val="20"/>
          <w:szCs w:val="20"/>
          <w:color w:val="auto"/>
        </w:rPr>
      </w:pPr>
      <w:r>
        <w:rPr>
          <w:rFonts w:ascii="Arial" w:cs="Arial" w:eastAsia="Arial" w:hAnsi="Arial"/>
          <w:sz w:val="19"/>
          <w:szCs w:val="19"/>
          <w:color w:val="auto"/>
        </w:rPr>
        <w:t>Modified distillers grains sales increased in the first quarter of fiscal year 2021 compared to the first quarter of fiscal year 2020 as the number of tons sold increased 362% and the average selling price per ton increased 9% over the prior year first quarter. The increase in the modified distillers grains selling price resulted primarily from an increase in corn prices.</w:t>
      </w:r>
    </w:p>
    <w:p>
      <w:pPr>
        <w:spacing w:after="0" w:line="134"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Losses on derivative financial instruments, included in net sales and revenue, of approximately $1.1 million in the first quarter of fiscal year 2021 related to our risk management activities and were impacted by the significant increase in ethanol prices during that quarter. There were no gains or losses on derivative financial instruments during the first quarter of fiscal year 2020.</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Gross profit for the first quarter of fiscal year 2021 increased approximately $27.1 million compared to the prior year’s first quarter. This was primarily caused by significantly higher production and sales volumes in our ethanol and by-products segment during the first quarter of fiscal year 2021 compared to the depressed levels during the first quarter of fiscal year 2020 discussed above. The crush spread for the first quarter of fiscal year 2021 was approximately $0.04 per gallon of ethanol sold compared to $(0.08) per gallon of ethanol sold during the first quarter of fiscal year 2020. The selling price per gallon of ethanol sold increased 43% for the first quarter of fiscal year 2021 compared to the first quarter of fiscal year 2020, outpacing the 31% increase in the cost per bushel of corn during the same periods. In addition, higher sales volumes and prices of by-products contributed to the increase in gross profit during the first quarter of fiscal year 2021 compared to the first quarter of fiscal year 2020. During the first quarter of fiscal year 2020 the impact from the COVID-19 outbreak and lower oil pricing resulted in lower ethanol and corn pricing which severely impacted operations and resulted in the large gross loss.</w:t>
      </w:r>
    </w:p>
    <w:p>
      <w:pPr>
        <w:spacing w:after="0" w:line="161"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Grain accounted for approximately 84% ($121.8 million) of our cost of sales during the first quarter of fiscal year 2021 compared to approximately 75% ($65.8 million) during the first quarter of fiscal year 2020. Natural gas accounted for approximately 3% ($3.6 million) of our cost of sales during the first quarter of fiscal year 2021 compared to approximately 6% ($5.4 million) during the first quarter of fiscal year 2020. The grain increase was primarily attributable to the higher production levels in the first quarter of fiscal year 2021 compared to the depressed production levels in the first quarter of fiscal year 2020 and the significant rise in corn prices during the first quarter of fiscal year 2021. The natural gas decrease was primarily attributable to gains realized on the sales of unused natural gas during the first quarter of fiscal year 2021. The sales were a result of unusual and significant increases in the spot price of natural gas during portions of the first quarter of fiscal year 2021 which resulted in an opportunity for us to sell forward natural gas purchases at a gain.</w:t>
      </w:r>
    </w:p>
    <w:p>
      <w:pPr>
        <w:spacing w:after="0" w:line="15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52" w:lineRule="exact"/>
        <w:rPr>
          <w:sz w:val="20"/>
          <w:szCs w:val="20"/>
          <w:color w:val="auto"/>
        </w:rPr>
      </w:pPr>
    </w:p>
    <w:p>
      <w:pPr>
        <w:ind w:right="120" w:firstLine="648"/>
        <w:spacing w:after="0" w:line="252" w:lineRule="auto"/>
        <w:rPr>
          <w:sz w:val="20"/>
          <w:szCs w:val="20"/>
          <w:color w:val="auto"/>
        </w:rPr>
      </w:pPr>
      <w:r>
        <w:rPr>
          <w:rFonts w:ascii="Arial" w:cs="Arial" w:eastAsia="Arial" w:hAnsi="Arial"/>
          <w:sz w:val="21"/>
          <w:szCs w:val="21"/>
          <w:color w:val="auto"/>
        </w:rPr>
        <w:t>SG&amp;A expenses were approximately $10.0 million for the first quarter of fiscal year 2021, significantly higher than the approximately $4.6 million of expenses for the first quarter of fiscal year 2020. A majority of the increase results from higher shipping costs as more sales contracts in our ethanol and by-products segment provided for shipping to be paid by us in the first quarter of fiscal year 2021 compared to the first quarter of fiscal year 2020.</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2" w:right="419" w:bottom="1440" w:gutter="0" w:footer="0" w:header="0"/>
        </w:sectPr>
      </w:pPr>
    </w:p>
    <w:bookmarkStart w:id="29" w:name="page30"/>
    <w:bookmarkEnd w:id="29"/>
    <w:p>
      <w:pPr>
        <w:ind w:right="40" w:firstLine="648"/>
        <w:spacing w:after="0" w:line="246" w:lineRule="auto"/>
        <w:rPr>
          <w:sz w:val="20"/>
          <w:szCs w:val="20"/>
          <w:color w:val="auto"/>
        </w:rPr>
      </w:pPr>
      <w:r>
        <w:rPr>
          <w:rFonts w:ascii="Arial" w:cs="Arial" w:eastAsia="Arial" w:hAnsi="Arial"/>
          <w:sz w:val="21"/>
          <w:szCs w:val="21"/>
          <w:color w:val="auto"/>
        </w:rPr>
        <w:t>During the first quarter of fiscal year 2021, we recognized income of approximately $0.6 million compared to a loss of approximately $0.5 million for the first quarter of fiscal year 2020, from our equity investment in Big River, which is included in our ethanol and by-products segment results. Big River has interests in four ethanol production plants that shipped approximately 378 million gallons in the trailing twelve months ended April 30, 2021 and has an effective ownership of ethanol gallons shipped for the same period of approximately 328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Interest and other income was approximately $43,000 for the first quarter of fiscal year 2021 versus approximately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$669,000 for the first quarter of fiscal year 2020. Interest income decreased as yields on our excess cash decreased in the first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quarter of fiscal year 2021 compared to the first quarter of fiscal year 2020.</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As a result of the foregoing, income before income taxes was approximately $8.4 million for the first quarter of fiscal year 2021 versus loss of approximately $13.7 million for the first quarter of fiscal year 2020.</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We determined that small changes in estimated “ordinary” income would result in significant changes in the estimated annual effective tax rate. Thus, the Company used a discrete effective tax rate method to calculate the provision or benefit for income taxes for the three months ended April 30, 2021 and 2020. Our tax provision was approximately 0.3% for the three months ended April 30, 2021 versus a benefit of approximately 38.7% for the three months ended April 30, 2020. The fluctuation in the rate results primarily from the production tax credits we expect to receive associated with our refined coal segment relative to pre-tax income or loss. Our income tax benefit for the first quarter of fiscal year 2020 includes approximately $1.4 million related to the lengthening of a net operating loss carryback allowed by the CARES Act.</w:t>
      </w:r>
    </w:p>
    <w:p>
      <w:pPr>
        <w:spacing w:after="0" w:line="15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As a result of the foregoing, net income was approximately $8.4 million for the first quarter of fiscal year 2021 compared to net loss of approximately $8.4 million for the first quarter of fiscal year 2020.</w:t>
      </w:r>
    </w:p>
    <w:p>
      <w:pPr>
        <w:spacing w:after="0" w:line="175"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(Income) loss related to noncontrolling interests was approximately $(0.6) million and approximately $0.8 million during the first quarter of fiscal years 2021 and 2020, respectively. These amounts represent the other owners’ share of the income or loss of NuGen, One Earth and the refined coal entity.</w:t>
      </w:r>
    </w:p>
    <w:p>
      <w:pPr>
        <w:spacing w:after="0" w:line="186"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As a result of the foregoing, net income attributable to REX common shareholders for the first quarter of fiscal year 2021 was approximately $7.8 million, an increase of approximately $15.4 million from net loss attributable to REX common shareholders of approximately $7.6 million for the first quarter of fiscal year 2020.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Net cash provided by operating activities was approximately $13.6 million for the first quarter of fiscal year 2021, compared to cash used of approximately $0.3 million for the first quarter of fiscal year 2020. For the first quarter of fiscal year 2021, cash was provided by net income of approximately $8.4 million, adjusted for non-cash items of approximately $6.4 million, which consisted of depreciation, amortization of operating lease right-of-use assets, income from equity method investments, interest income from short-term investments, the deferred income tax provision and stock based compensation expense. An increase in the balance of accounts receivable used cash of approximately $7.8 million, primarily a result of the timing of products shipped and the receipt of customer payments at One Earth and NuGen in addition to higher sales. Inventories decreased by approximately $11.2 million, primarily a result of the timing of receipt of raw materials and the shipment of finished goods. An increase in the balance of other assets of approximately $2.2 million primarily relates to increases in the carrying value of forward purchase contracts recorded at fair value as commodity price increased significantly during the first quarter of fiscal year 2021. A decrease in the balance of accounts payable used cash of approximately $1.0 million, which was primarily a result of the timing of inventory receipts and vendor payments. A decrease in the balance of other liabilities used cash of approximately $1.4 million, which was primarily a result of operating lease payments.</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Net cash used in operating activities was approximately $0.3 million for the first quarter of fiscal year 2020. For the first quarter of fiscal year 2020, cash was used by a net loss of approximately $8.4 million, adjusted for non-cash items of approximately $5.3 million, which consisted of depreciation, amortization of operating lease right-of-use assets, loss from equity method investments, interest income from short-term investments, the deferred income tax provision and stock based compensation expense. We received dividends from Big River of approximately $2.0 million during the first quarter of fiscal year 2020. A decrease in the balance of accounts receivable provided cash of approximately $10.2 million, which was primarily a result of idling production at the NuGen facility during the first quarter of fiscal year 2020. Inventories decreased by approximately $8.4 million, which was primarily a result of lower of cost or net realizable value writedowns, the timing of receipt of raw materials, plant shutdowns and the shipment of finished goods. An increase in the balance of other assets of approximately $3.8 million primarily relates to a net operating loss we intended to carry back for federal income tax purposes. A decrease in the balance of accounts payable used cash of approximately $11.9 million, which was primarily a result of the timing of inventory receipts, vendor payments and idling production at the NuGen facility during the first quarter of fiscal year 2020. A decrease in the balance of other liabilities used cash of approximately $2.0 million, which was primarily a result of payments of operating leases and incentive compensation.</w:t>
      </w:r>
    </w:p>
    <w:p>
      <w:pPr>
        <w:spacing w:after="0" w:line="181"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At April 30, 2021, working capital was approximately $240.2 million, compared to approximately $228.0 million at January 31, 2021. The ratio of current assets to current liabilities was 9.1 to 1 at April 30, 2021 and 8.4 to 1 at January 31, 2021.</w:t>
      </w:r>
    </w:p>
    <w:p>
      <w:pPr>
        <w:spacing w:after="0" w:line="105"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Cash of approximately $0.9 million was used in investing activities for the first quarter of fiscal year 2021, compared to approximately $11.4 million during the first quarter of fiscal year 2020. During the first quarter of fiscal year 2021, we had capital expenditures of approximately $1.3 million, primarily for improvements at the One Earth and NuGen facilities. We expect capital expenditures to be in the range of approximately $5.0 million to $8.0 million for the remainder of fiscal year 2021. During the first quarter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ind w:right="200"/>
        <w:spacing w:after="0" w:line="236" w:lineRule="auto"/>
        <w:rPr>
          <w:sz w:val="20"/>
          <w:szCs w:val="20"/>
          <w:color w:val="auto"/>
        </w:rPr>
      </w:pPr>
      <w:r>
        <w:rPr>
          <w:rFonts w:ascii="Arial" w:cs="Arial" w:eastAsia="Arial" w:hAnsi="Arial"/>
          <w:sz w:val="22"/>
          <w:szCs w:val="22"/>
          <w:color w:val="auto"/>
        </w:rPr>
        <w:t>of fiscal year 2021, we purchased certificates of deposit (classified as short-term investments) of approximately $25.9 million. During the first quarter of fiscal year 2021, certificates of deposit (classified as short-term investments) of approximately $26.3 million matured. The certificates of deposit, both matured and sold, had maturities of less than one year. Depending on investment options available, we may elect to retain the funds, or a portion thereof, in cash investments, short-term investments or long-term investments.</w:t>
      </w:r>
    </w:p>
    <w:p>
      <w:pPr>
        <w:spacing w:after="0" w:line="187" w:lineRule="exact"/>
        <w:rPr>
          <w:sz w:val="20"/>
          <w:szCs w:val="20"/>
          <w:color w:val="auto"/>
        </w:rPr>
      </w:pPr>
    </w:p>
    <w:p>
      <w:pPr>
        <w:ind w:right="140" w:firstLine="648"/>
        <w:spacing w:after="0" w:line="236" w:lineRule="auto"/>
        <w:rPr>
          <w:sz w:val="20"/>
          <w:szCs w:val="20"/>
          <w:color w:val="auto"/>
        </w:rPr>
      </w:pPr>
      <w:r>
        <w:rPr>
          <w:rFonts w:ascii="Arial" w:cs="Arial" w:eastAsia="Arial" w:hAnsi="Arial"/>
          <w:sz w:val="22"/>
          <w:szCs w:val="22"/>
          <w:color w:val="auto"/>
        </w:rPr>
        <w:t>Cash of approximately $11.4 million was used in investing activities for the first quarter of fiscal year 2020. During the first quarter of fiscal year 2020, we had capital expenditures of approximately $4.7 million, primarily for the purchase of land at One Earth Energy. During the first quarter of fiscal year 2020, we purchased certificates of deposit (classified as short-term investments) of approximately $19.2 million. During the first quarter of fiscal year 2020, certificates of deposit (classified as short-term investments) of approximately $12.8 million matured.</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Cash used in financing activities for the first quarter of fiscal year 2021 was insignificant compared to approximately $3.9 million for the first quarter of fiscal year 2020. During the first quarter of fiscal year 2020, we used cash of approximately $3.9 million to purchase approximately 78,000 shares of our common stock in open market transactions.</w:t>
      </w:r>
    </w:p>
    <w:p>
      <w:pPr>
        <w:spacing w:after="0" w:line="134"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We are investigating various uses for our excess cash and short-term investments. We have a stock buyback program, and given our current authorization level, can repurchase a total of approximately 34,000 shares at April 30, 2021. We also plan to seek and evaluate investment opportunities including ethanol and/or energy related, carbon dioxide related, agricultural or other ventures we believe fit our investment criteria in addition to investing in highly liquid short-term securities.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We are working with the University of Illinois to explore the development of a carbon sequestration project to be located near the One Earth ethanol plant. The University of Illinois has received a United States Department of Energy award through the CarbonSAFE program, and, will evaluate the greenhouse gas storage potential beneath the site by drilling a test well and performing seismic surveys. Further work and research is needed to determine if this will be a feasible project.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natural gas, logistical delays,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2021 (File No. 001-09097).</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06" w:lineRule="exact"/>
        <w:rPr>
          <w:sz w:val="20"/>
          <w:szCs w:val="20"/>
          <w:color w:val="auto"/>
        </w:rPr>
      </w:pPr>
    </w:p>
    <w:p>
      <w:pPr>
        <w:ind w:right="80" w:firstLine="495"/>
        <w:spacing w:after="0" w:line="238" w:lineRule="auto"/>
        <w:rPr>
          <w:sz w:val="20"/>
          <w:szCs w:val="20"/>
          <w:color w:val="auto"/>
        </w:rPr>
      </w:pPr>
      <w:r>
        <w:rPr>
          <w:rFonts w:ascii="Arial" w:cs="Arial" w:eastAsia="Arial" w:hAnsi="Arial"/>
          <w:sz w:val="22"/>
          <w:szCs w:val="22"/>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April 30, 2021 is as follows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spacing w:after="0"/>
              <w:rPr>
                <w:sz w:val="21"/>
                <w:szCs w:val="21"/>
                <w:color w:val="auto"/>
              </w:rPr>
            </w:pPr>
          </w:p>
        </w:tc>
        <w:tc>
          <w:tcPr>
            <w:tcW w:w="2700" w:type="dxa"/>
            <w:vAlign w:val="bottom"/>
            <w:gridSpan w:val="3"/>
          </w:tcPr>
          <w:p>
            <w:pPr>
              <w:ind w:left="340"/>
              <w:spacing w:after="0"/>
              <w:rPr>
                <w:sz w:val="20"/>
                <w:szCs w:val="20"/>
                <w:color w:val="auto"/>
              </w:rPr>
            </w:pPr>
            <w:r>
              <w:rPr>
                <w:rFonts w:ascii="Arial" w:cs="Arial" w:eastAsia="Arial" w:hAnsi="Arial"/>
                <w:sz w:val="22"/>
                <w:szCs w:val="22"/>
                <w:b w:val="1"/>
                <w:bCs w:val="1"/>
                <w:color w:val="auto"/>
              </w:rPr>
              <w:t>Estimated Total</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22"/>
                <w:szCs w:val="22"/>
                <w:b w:val="1"/>
                <w:bCs w:val="1"/>
                <w:color w:val="auto"/>
              </w:rPr>
              <w:t>Decrease in Pre-tax</w:t>
            </w:r>
          </w:p>
        </w:tc>
      </w:tr>
      <w:tr>
        <w:trPr>
          <w:trHeight w:val="243"/>
        </w:trPr>
        <w:tc>
          <w:tcPr>
            <w:tcW w:w="3280" w:type="dxa"/>
            <w:vAlign w:val="bottom"/>
          </w:tcPr>
          <w:p>
            <w:pPr>
              <w:spacing w:after="0"/>
              <w:rPr>
                <w:sz w:val="21"/>
                <w:szCs w:val="21"/>
                <w:color w:val="auto"/>
              </w:rPr>
            </w:pPr>
          </w:p>
        </w:tc>
        <w:tc>
          <w:tcPr>
            <w:tcW w:w="2700" w:type="dxa"/>
            <w:vAlign w:val="bottom"/>
            <w:gridSpan w:val="3"/>
          </w:tcPr>
          <w:p>
            <w:pPr>
              <w:ind w:left="340"/>
              <w:spacing w:after="0" w:line="243" w:lineRule="exact"/>
              <w:rPr>
                <w:sz w:val="20"/>
                <w:szCs w:val="20"/>
                <w:color w:val="auto"/>
              </w:rPr>
            </w:pPr>
            <w:r>
              <w:rPr>
                <w:rFonts w:ascii="Arial" w:cs="Arial" w:eastAsia="Arial" w:hAnsi="Arial"/>
                <w:sz w:val="22"/>
                <w:szCs w:val="22"/>
                <w:b w:val="1"/>
                <w:bCs w:val="1"/>
                <w:color w:val="auto"/>
              </w:rPr>
              <w:t>Volume for</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20" w:type="dxa"/>
            <w:vAlign w:val="bottom"/>
          </w:tcPr>
          <w:p>
            <w:pPr>
              <w:spacing w:after="0" w:line="243" w:lineRule="exact"/>
              <w:rPr>
                <w:sz w:val="20"/>
                <w:szCs w:val="20"/>
                <w:color w:val="auto"/>
              </w:rPr>
            </w:pPr>
            <w:r>
              <w:rPr>
                <w:rFonts w:ascii="Arial" w:cs="Arial" w:eastAsia="Arial" w:hAnsi="Arial"/>
                <w:sz w:val="22"/>
                <w:szCs w:val="22"/>
                <w:b w:val="1"/>
                <w:bCs w:val="1"/>
                <w:color w:val="auto"/>
              </w:rPr>
              <w:t>Income From a 10%</w:t>
            </w:r>
          </w:p>
        </w:tc>
      </w:tr>
      <w:tr>
        <w:trPr>
          <w:trHeight w:val="270"/>
        </w:trPr>
        <w:tc>
          <w:tcPr>
            <w:tcW w:w="3280" w:type="dxa"/>
            <w:vAlign w:val="bottom"/>
          </w:tcPr>
          <w:p>
            <w:pPr>
              <w:spacing w:after="0"/>
              <w:rPr>
                <w:sz w:val="20"/>
                <w:szCs w:val="20"/>
                <w:color w:val="auto"/>
              </w:rPr>
            </w:pPr>
            <w:r>
              <w:rPr>
                <w:rFonts w:ascii="Arial" w:cs="Arial" w:eastAsia="Arial" w:hAnsi="Arial"/>
                <w:sz w:val="22"/>
                <w:szCs w:val="22"/>
                <w:b w:val="1"/>
                <w:bCs w:val="1"/>
                <w:color w:val="auto"/>
              </w:rPr>
              <w:t>Commodity</w:t>
            </w:r>
          </w:p>
        </w:tc>
        <w:tc>
          <w:tcPr>
            <w:tcW w:w="2700" w:type="dxa"/>
            <w:vAlign w:val="bottom"/>
            <w:gridSpan w:val="3"/>
          </w:tcPr>
          <w:p>
            <w:pPr>
              <w:ind w:left="340"/>
              <w:spacing w:after="0"/>
              <w:rPr>
                <w:sz w:val="20"/>
                <w:szCs w:val="20"/>
                <w:color w:val="auto"/>
              </w:rPr>
            </w:pPr>
            <w:r>
              <w:rPr>
                <w:rFonts w:ascii="Arial" w:cs="Arial" w:eastAsia="Arial" w:hAnsi="Arial"/>
                <w:sz w:val="22"/>
                <w:szCs w:val="22"/>
                <w:b w:val="1"/>
                <w:bCs w:val="1"/>
                <w:color w:val="auto"/>
              </w:rPr>
              <w:t>12 Months</w:t>
            </w:r>
          </w:p>
        </w:tc>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Unit of Measure</w:t>
            </w:r>
          </w:p>
        </w:tc>
        <w:tc>
          <w:tcPr>
            <w:tcW w:w="2920" w:type="dxa"/>
            <w:vAlign w:val="bottom"/>
          </w:tcPr>
          <w:p>
            <w:pPr>
              <w:spacing w:after="0"/>
              <w:rPr>
                <w:sz w:val="20"/>
                <w:szCs w:val="20"/>
                <w:color w:val="auto"/>
              </w:rPr>
            </w:pPr>
            <w:r>
              <w:rPr>
                <w:rFonts w:ascii="Arial" w:cs="Arial" w:eastAsia="Arial" w:hAnsi="Arial"/>
                <w:sz w:val="22"/>
                <w:szCs w:val="22"/>
                <w:b w:val="1"/>
                <w:bCs w:val="1"/>
                <w:color w:val="auto"/>
              </w:rPr>
              <w:t>Adverse Change in Price</w:t>
            </w:r>
          </w:p>
        </w:tc>
      </w:tr>
      <w:tr>
        <w:trPr>
          <w:trHeight w:val="237"/>
        </w:trPr>
        <w:tc>
          <w:tcPr>
            <w:tcW w:w="32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p>
        </w:tc>
      </w:tr>
      <w:tr>
        <w:trPr>
          <w:trHeight w:val="243"/>
        </w:trPr>
        <w:tc>
          <w:tcPr>
            <w:tcW w:w="3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w:t>
            </w:r>
          </w:p>
        </w:tc>
        <w:tc>
          <w:tcPr>
            <w:tcW w:w="2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280,000</w:t>
            </w:r>
          </w:p>
        </w:tc>
        <w:tc>
          <w:tcPr>
            <w:tcW w:w="340" w:type="dxa"/>
            <w:vAlign w:val="bottom"/>
            <w:shd w:val="clear" w:color="auto" w:fill="E5FFFF"/>
          </w:tcPr>
          <w:p>
            <w:pPr>
              <w:spacing w:after="0"/>
              <w:rPr>
                <w:sz w:val="21"/>
                <w:szCs w:val="21"/>
                <w:color w:val="auto"/>
              </w:rPr>
            </w:pPr>
          </w:p>
        </w:tc>
        <w:tc>
          <w:tcPr>
            <w:tcW w:w="23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Gallons</w:t>
            </w:r>
          </w:p>
        </w:tc>
        <w:tc>
          <w:tcPr>
            <w:tcW w:w="292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87"/>
              </w:rPr>
              <w:t>$56,430</w:t>
            </w: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Corn</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100,000</w:t>
            </w:r>
          </w:p>
        </w:tc>
        <w:tc>
          <w:tcPr>
            <w:tcW w:w="340" w:type="dxa"/>
            <w:vAlign w:val="bottom"/>
          </w:tcPr>
          <w:p>
            <w:pPr>
              <w:spacing w:after="0"/>
              <w:rPr>
                <w:sz w:val="21"/>
                <w:szCs w:val="21"/>
                <w:color w:val="auto"/>
              </w:rPr>
            </w:pPr>
          </w:p>
        </w:tc>
        <w:tc>
          <w:tcPr>
            <w:tcW w:w="2340" w:type="dxa"/>
            <w:vAlign w:val="bottom"/>
            <w:gridSpan w:val="2"/>
          </w:tcPr>
          <w:p>
            <w:pPr>
              <w:spacing w:after="0" w:line="243" w:lineRule="exact"/>
              <w:rPr>
                <w:sz w:val="20"/>
                <w:szCs w:val="20"/>
                <w:color w:val="auto"/>
              </w:rPr>
            </w:pPr>
            <w:r>
              <w:rPr>
                <w:rFonts w:ascii="Arial" w:cs="Arial" w:eastAsia="Arial" w:hAnsi="Arial"/>
                <w:sz w:val="22"/>
                <w:szCs w:val="22"/>
                <w:color w:val="auto"/>
              </w:rPr>
              <w:t>Bushels</w:t>
            </w:r>
          </w:p>
        </w:tc>
        <w:tc>
          <w:tcPr>
            <w:tcW w:w="2920" w:type="dxa"/>
            <w:vAlign w:val="bottom"/>
          </w:tcPr>
          <w:p>
            <w:pPr>
              <w:jc w:val="center"/>
              <w:spacing w:after="0" w:line="243" w:lineRule="exact"/>
              <w:rPr>
                <w:sz w:val="20"/>
                <w:szCs w:val="20"/>
                <w:color w:val="auto"/>
              </w:rPr>
            </w:pPr>
            <w:r>
              <w:rPr>
                <w:rFonts w:ascii="Arial" w:cs="Arial" w:eastAsia="Arial" w:hAnsi="Arial"/>
                <w:sz w:val="22"/>
                <w:szCs w:val="22"/>
                <w:color w:val="auto"/>
                <w:w w:val="87"/>
              </w:rPr>
              <w:t>$58,823</w:t>
            </w:r>
          </w:p>
        </w:tc>
      </w:tr>
      <w:tr>
        <w:trPr>
          <w:trHeight w:val="243"/>
        </w:trPr>
        <w:tc>
          <w:tcPr>
            <w:tcW w:w="3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2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745</w:t>
            </w:r>
          </w:p>
        </w:tc>
        <w:tc>
          <w:tcPr>
            <w:tcW w:w="340" w:type="dxa"/>
            <w:vAlign w:val="bottom"/>
            <w:shd w:val="clear" w:color="auto" w:fill="E5FFFF"/>
          </w:tcPr>
          <w:p>
            <w:pPr>
              <w:spacing w:after="0"/>
              <w:rPr>
                <w:sz w:val="21"/>
                <w:szCs w:val="21"/>
                <w:color w:val="auto"/>
              </w:rPr>
            </w:pPr>
          </w:p>
        </w:tc>
        <w:tc>
          <w:tcPr>
            <w:tcW w:w="23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Tons</w:t>
            </w:r>
          </w:p>
        </w:tc>
        <w:tc>
          <w:tcPr>
            <w:tcW w:w="292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87"/>
              </w:rPr>
              <w:t>$13,670</w:t>
            </w: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Non-food grade Corn Oil</w:t>
            </w:r>
          </w:p>
        </w:tc>
        <w:tc>
          <w:tcPr>
            <w:tcW w:w="23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72,300</w:t>
            </w:r>
          </w:p>
        </w:tc>
        <w:tc>
          <w:tcPr>
            <w:tcW w:w="340" w:type="dxa"/>
            <w:vAlign w:val="bottom"/>
          </w:tcPr>
          <w:p>
            <w:pPr>
              <w:spacing w:after="0"/>
              <w:rPr>
                <w:sz w:val="21"/>
                <w:szCs w:val="21"/>
                <w:color w:val="auto"/>
              </w:rPr>
            </w:pPr>
          </w:p>
        </w:tc>
        <w:tc>
          <w:tcPr>
            <w:tcW w:w="2340" w:type="dxa"/>
            <w:vAlign w:val="bottom"/>
            <w:gridSpan w:val="2"/>
          </w:tcPr>
          <w:p>
            <w:pPr>
              <w:spacing w:after="0" w:line="243" w:lineRule="exact"/>
              <w:rPr>
                <w:sz w:val="20"/>
                <w:szCs w:val="20"/>
                <w:color w:val="auto"/>
              </w:rPr>
            </w:pPr>
            <w:r>
              <w:rPr>
                <w:rFonts w:ascii="Arial" w:cs="Arial" w:eastAsia="Arial" w:hAnsi="Arial"/>
                <w:sz w:val="22"/>
                <w:szCs w:val="22"/>
                <w:color w:val="auto"/>
              </w:rPr>
              <w:t>Pounds</w:t>
            </w:r>
          </w:p>
        </w:tc>
        <w:tc>
          <w:tcPr>
            <w:tcW w:w="2920" w:type="dxa"/>
            <w:vAlign w:val="bottom"/>
          </w:tcPr>
          <w:p>
            <w:pPr>
              <w:jc w:val="center"/>
              <w:spacing w:after="0" w:line="243" w:lineRule="exact"/>
              <w:rPr>
                <w:sz w:val="20"/>
                <w:szCs w:val="20"/>
                <w:color w:val="auto"/>
              </w:rPr>
            </w:pPr>
            <w:r>
              <w:rPr>
                <w:rFonts w:ascii="Arial" w:cs="Arial" w:eastAsia="Arial" w:hAnsi="Arial"/>
                <w:sz w:val="22"/>
                <w:szCs w:val="22"/>
                <w:color w:val="auto"/>
                <w:w w:val="87"/>
              </w:rPr>
              <w:t>$ 2,054</w:t>
            </w:r>
          </w:p>
        </w:tc>
      </w:tr>
      <w:tr>
        <w:trPr>
          <w:trHeight w:val="243"/>
        </w:trPr>
        <w:tc>
          <w:tcPr>
            <w:tcW w:w="32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23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7,400</w:t>
            </w:r>
          </w:p>
        </w:tc>
        <w:tc>
          <w:tcPr>
            <w:tcW w:w="340" w:type="dxa"/>
            <w:vAlign w:val="bottom"/>
            <w:shd w:val="clear" w:color="auto" w:fill="E5FFFF"/>
          </w:tcPr>
          <w:p>
            <w:pPr>
              <w:spacing w:after="0"/>
              <w:rPr>
                <w:sz w:val="21"/>
                <w:szCs w:val="21"/>
                <w:color w:val="auto"/>
              </w:rPr>
            </w:pPr>
          </w:p>
        </w:tc>
        <w:tc>
          <w:tcPr>
            <w:tcW w:w="23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MmBtu</w:t>
            </w:r>
          </w:p>
        </w:tc>
        <w:tc>
          <w:tcPr>
            <w:tcW w:w="2920" w:type="dxa"/>
            <w:vAlign w:val="bottom"/>
            <w:shd w:val="clear" w:color="auto" w:fill="E5FFFF"/>
          </w:tcPr>
          <w:p>
            <w:pPr>
              <w:jc w:val="center"/>
              <w:spacing w:after="0" w:line="243" w:lineRule="exact"/>
              <w:rPr>
                <w:sz w:val="20"/>
                <w:szCs w:val="20"/>
                <w:color w:val="auto"/>
              </w:rPr>
            </w:pPr>
            <w:r>
              <w:rPr>
                <w:rFonts w:ascii="Arial" w:cs="Arial" w:eastAsia="Arial" w:hAnsi="Arial"/>
                <w:sz w:val="22"/>
                <w:szCs w:val="22"/>
                <w:color w:val="auto"/>
                <w:w w:val="87"/>
              </w:rPr>
              <w:t>$ 1,727</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1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52"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12"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1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During the quarter ended April 30, 2021, there have been no material changes to the risk factors discussed in our Annual Report on Form 10-K for the year ended January 31, 2021.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06" w:lineRule="exact"/>
        <w:rPr>
          <w:sz w:val="20"/>
          <w:szCs w:val="20"/>
          <w:color w:val="auto"/>
        </w:rPr>
      </w:pPr>
    </w:p>
    <w:p>
      <w:pPr>
        <w:ind w:left="1480" w:hanging="554"/>
        <w:spacing w:after="0"/>
        <w:tabs>
          <w:tab w:leader="none" w:pos="1480" w:val="left"/>
        </w:tabs>
        <w:numPr>
          <w:ilvl w:val="0"/>
          <w:numId w:val="12"/>
        </w:numPr>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Rule 13a-14(a)/15d-14(a) Certifications</w:t>
        </w:r>
      </w:hyperlink>
    </w:p>
    <w:p>
      <w:pPr>
        <w:spacing w:after="0" w:line="206" w:lineRule="exact"/>
        <w:rPr>
          <w:rFonts w:ascii="Arial" w:cs="Arial" w:eastAsia="Arial" w:hAnsi="Arial"/>
          <w:sz w:val="22"/>
          <w:szCs w:val="22"/>
          <w:u w:val="single" w:color="auto"/>
          <w:color w:val="0000EE"/>
        </w:rPr>
      </w:pPr>
    </w:p>
    <w:p>
      <w:pPr>
        <w:ind w:left="1480" w:hanging="554"/>
        <w:spacing w:after="0"/>
        <w:tabs>
          <w:tab w:leader="none" w:pos="1480" w:val="left"/>
        </w:tabs>
        <w:numPr>
          <w:ilvl w:val="0"/>
          <w:numId w:val="12"/>
        </w:numPr>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Section 1350 Certifications</w:t>
        </w:r>
      </w:hyperlink>
    </w:p>
    <w:p>
      <w:pPr>
        <w:spacing w:after="0" w:line="206" w:lineRule="exact"/>
        <w:rPr>
          <w:rFonts w:ascii="Arial" w:cs="Arial" w:eastAsia="Arial" w:hAnsi="Arial"/>
          <w:sz w:val="22"/>
          <w:szCs w:val="22"/>
          <w:color w:val="auto"/>
        </w:rPr>
      </w:pPr>
    </w:p>
    <w:p>
      <w:pPr>
        <w:jc w:val="both"/>
        <w:ind w:left="1480" w:hanging="662"/>
        <w:spacing w:after="0" w:line="236" w:lineRule="auto"/>
        <w:tabs>
          <w:tab w:leader="none" w:pos="14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following information from REX American Resources Corporation Quarterly Report on Form 10-Q for the quarter ended April 30, 2021, formatted in iXBRL: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60" w:lineRule="exact"/>
        <w:rPr>
          <w:rFonts w:ascii="Arial" w:cs="Arial" w:eastAsia="Arial" w:hAnsi="Arial"/>
          <w:sz w:val="22"/>
          <w:szCs w:val="22"/>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960" w:type="dxa"/>
            <w:vAlign w:val="bottom"/>
            <w:gridSpan w:val="6"/>
          </w:tcPr>
          <w:p>
            <w:pPr>
              <w:ind w:left="2340"/>
              <w:spacing w:after="0"/>
              <w:rPr>
                <w:sz w:val="20"/>
                <w:szCs w:val="20"/>
                <w:color w:val="auto"/>
              </w:rPr>
            </w:pPr>
            <w:r>
              <w:rPr>
                <w:rFonts w:ascii="Arial" w:cs="Arial" w:eastAsia="Arial" w:hAnsi="Arial"/>
                <w:sz w:val="22"/>
                <w:szCs w:val="22"/>
                <w:color w:val="auto"/>
              </w:rPr>
              <w:t>REX American Resources Corporation</w:t>
            </w:r>
          </w:p>
        </w:tc>
      </w:tr>
      <w:tr>
        <w:trPr>
          <w:trHeight w:val="274"/>
        </w:trPr>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60" w:type="dxa"/>
            <w:vAlign w:val="bottom"/>
            <w:gridSpan w:val="3"/>
          </w:tcPr>
          <w:p>
            <w:pPr>
              <w:ind w:left="2340"/>
              <w:spacing w:after="0"/>
              <w:rPr>
                <w:sz w:val="20"/>
                <w:szCs w:val="20"/>
                <w:color w:val="auto"/>
              </w:rPr>
            </w:pPr>
            <w:r>
              <w:rPr>
                <w:rFonts w:ascii="Arial" w:cs="Arial" w:eastAsia="Arial" w:hAnsi="Arial"/>
                <w:sz w:val="22"/>
                <w:szCs w:val="22"/>
                <w:color w:val="auto"/>
              </w:rPr>
              <w:t>Registrant</w:t>
            </w:r>
          </w:p>
        </w:tc>
        <w:tc>
          <w:tcPr>
            <w:tcW w:w="1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08"/>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8"/>
              </w:rPr>
              <w:t>Signature</w:t>
            </w:r>
          </w:p>
        </w:tc>
        <w:tc>
          <w:tcPr>
            <w:tcW w:w="1020" w:type="dxa"/>
            <w:vAlign w:val="bottom"/>
            <w:gridSpan w:val="3"/>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2"/>
                <w:szCs w:val="22"/>
                <w:b w:val="1"/>
                <w:bCs w:val="1"/>
                <w:color w:val="auto"/>
                <w:w w:val="92"/>
              </w:rPr>
              <w:t>Title</w:t>
            </w:r>
          </w:p>
        </w:tc>
        <w:tc>
          <w:tcPr>
            <w:tcW w:w="1440" w:type="dxa"/>
            <w:vAlign w:val="bottom"/>
          </w:tcPr>
          <w:p>
            <w:pPr>
              <w:spacing w:after="0"/>
              <w:rPr>
                <w:sz w:val="24"/>
                <w:szCs w:val="24"/>
                <w:color w:val="auto"/>
              </w:rPr>
            </w:pPr>
          </w:p>
        </w:tc>
        <w:tc>
          <w:tcPr>
            <w:tcW w:w="3500" w:type="dxa"/>
            <w:vAlign w:val="bottom"/>
            <w:gridSpan w:val="3"/>
          </w:tcPr>
          <w:p>
            <w:pPr>
              <w:ind w:left="1720"/>
              <w:spacing w:after="0"/>
              <w:rPr>
                <w:sz w:val="20"/>
                <w:szCs w:val="20"/>
                <w:color w:val="auto"/>
              </w:rPr>
            </w:pPr>
            <w:r>
              <w:rPr>
                <w:rFonts w:ascii="Arial" w:cs="Arial" w:eastAsia="Arial" w:hAnsi="Arial"/>
                <w:sz w:val="22"/>
                <w:szCs w:val="22"/>
                <w:b w:val="1"/>
                <w:bCs w:val="1"/>
                <w:color w:val="auto"/>
              </w:rPr>
              <w:t>Date</w:t>
            </w: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66"/>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3"/>
              </w:rPr>
              <w:t>/s/ Zafar Rizvi</w:t>
            </w:r>
          </w:p>
        </w:tc>
        <w:tc>
          <w:tcPr>
            <w:tcW w:w="840" w:type="dxa"/>
            <w:vAlign w:val="bottom"/>
            <w:gridSpan w:val="2"/>
          </w:tcPr>
          <w:p>
            <w:pPr>
              <w:spacing w:after="0"/>
              <w:rPr>
                <w:sz w:val="24"/>
                <w:szCs w:val="24"/>
                <w:color w:val="auto"/>
              </w:rPr>
            </w:pPr>
          </w:p>
        </w:tc>
        <w:tc>
          <w:tcPr>
            <w:tcW w:w="4460" w:type="dxa"/>
            <w:vAlign w:val="bottom"/>
            <w:gridSpan w:val="3"/>
          </w:tcPr>
          <w:p>
            <w:pPr>
              <w:ind w:left="340"/>
              <w:spacing w:after="0"/>
              <w:rPr>
                <w:sz w:val="20"/>
                <w:szCs w:val="20"/>
                <w:color w:val="auto"/>
              </w:rPr>
            </w:pPr>
            <w:r>
              <w:rPr>
                <w:rFonts w:ascii="Arial" w:cs="Arial" w:eastAsia="Arial" w:hAnsi="Arial"/>
                <w:sz w:val="22"/>
                <w:szCs w:val="22"/>
                <w:color w:val="auto"/>
              </w:rPr>
              <w:t>Chief Executive Officer and President</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3"/>
        </w:trPr>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00" w:type="dxa"/>
            <w:vAlign w:val="bottom"/>
            <w:gridSpan w:val="5"/>
          </w:tcPr>
          <w:p>
            <w:pPr>
              <w:jc w:val="center"/>
              <w:ind w:right="840"/>
              <w:spacing w:after="0"/>
              <w:rPr>
                <w:sz w:val="20"/>
                <w:szCs w:val="20"/>
                <w:color w:val="auto"/>
              </w:rPr>
            </w:pPr>
            <w:r>
              <w:rPr>
                <w:rFonts w:ascii="Arial" w:cs="Arial" w:eastAsia="Arial" w:hAnsi="Arial"/>
                <w:sz w:val="22"/>
                <w:szCs w:val="22"/>
                <w:color w:val="auto"/>
                <w:w w:val="95"/>
              </w:rPr>
              <w:t>(Zafar Rizvi)</w:t>
            </w:r>
          </w:p>
        </w:tc>
        <w:tc>
          <w:tcPr>
            <w:tcW w:w="4460" w:type="dxa"/>
            <w:vAlign w:val="bottom"/>
            <w:gridSpan w:val="3"/>
          </w:tcPr>
          <w:p>
            <w:pPr>
              <w:ind w:left="340"/>
              <w:spacing w:after="0"/>
              <w:rPr>
                <w:sz w:val="20"/>
                <w:szCs w:val="20"/>
                <w:color w:val="auto"/>
              </w:rPr>
            </w:pPr>
            <w:r>
              <w:rPr>
                <w:rFonts w:ascii="Arial" w:cs="Arial" w:eastAsia="Arial" w:hAnsi="Arial"/>
                <w:sz w:val="22"/>
                <w:szCs w:val="22"/>
                <w:color w:val="auto"/>
              </w:rPr>
              <w:t>(Chief Executive Officer)</w:t>
            </w:r>
          </w:p>
        </w:tc>
        <w:tc>
          <w:tcPr>
            <w:tcW w:w="3500" w:type="dxa"/>
            <w:vAlign w:val="bottom"/>
            <w:gridSpan w:val="3"/>
          </w:tcPr>
          <w:p>
            <w:pPr>
              <w:ind w:left="820"/>
              <w:spacing w:after="0"/>
              <w:rPr>
                <w:sz w:val="20"/>
                <w:szCs w:val="20"/>
                <w:color w:val="auto"/>
              </w:rPr>
            </w:pPr>
            <w:r>
              <w:rPr>
                <w:rFonts w:ascii="Arial" w:cs="Arial" w:eastAsia="Arial" w:hAnsi="Arial"/>
                <w:sz w:val="22"/>
                <w:szCs w:val="22"/>
                <w:color w:val="auto"/>
              </w:rPr>
              <w:t>May 28, 2021</w:t>
            </w:r>
          </w:p>
        </w:tc>
      </w:tr>
      <w:tr>
        <w:trPr>
          <w:trHeight w:val="436"/>
        </w:trPr>
        <w:tc>
          <w:tcPr>
            <w:tcW w:w="680" w:type="dxa"/>
            <w:vAlign w:val="bottom"/>
          </w:tcPr>
          <w:p>
            <w:pPr>
              <w:spacing w:after="0"/>
              <w:rPr>
                <w:sz w:val="24"/>
                <w:szCs w:val="24"/>
                <w:color w:val="auto"/>
              </w:rPr>
            </w:pPr>
          </w:p>
        </w:tc>
        <w:tc>
          <w:tcPr>
            <w:tcW w:w="2600" w:type="dxa"/>
            <w:vAlign w:val="bottom"/>
            <w:gridSpan w:val="6"/>
          </w:tcPr>
          <w:p>
            <w:pPr>
              <w:jc w:val="center"/>
              <w:ind w:right="320"/>
              <w:spacing w:after="0"/>
              <w:rPr>
                <w:sz w:val="20"/>
                <w:szCs w:val="20"/>
                <w:color w:val="auto"/>
              </w:rPr>
            </w:pPr>
            <w:r>
              <w:rPr>
                <w:rFonts w:ascii="Arial" w:cs="Arial" w:eastAsia="Arial" w:hAnsi="Arial"/>
                <w:sz w:val="22"/>
                <w:szCs w:val="22"/>
                <w:color w:val="auto"/>
                <w:w w:val="89"/>
              </w:rPr>
              <w:t>/s/ Douglas L. Bruggeman</w:t>
            </w:r>
          </w:p>
        </w:tc>
        <w:tc>
          <w:tcPr>
            <w:tcW w:w="4460" w:type="dxa"/>
            <w:vAlign w:val="bottom"/>
            <w:gridSpan w:val="3"/>
          </w:tcPr>
          <w:p>
            <w:pPr>
              <w:ind w:left="340"/>
              <w:spacing w:after="0"/>
              <w:rPr>
                <w:sz w:val="20"/>
                <w:szCs w:val="20"/>
                <w:color w:val="auto"/>
              </w:rPr>
            </w:pPr>
            <w:r>
              <w:rPr>
                <w:rFonts w:ascii="Arial" w:cs="Arial" w:eastAsia="Arial" w:hAnsi="Arial"/>
                <w:sz w:val="22"/>
                <w:szCs w:val="22"/>
                <w:color w:val="auto"/>
              </w:rPr>
              <w:t>Vice President, Finance and Treasurer</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3"/>
        </w:trPr>
        <w:tc>
          <w:tcPr>
            <w:tcW w:w="680" w:type="dxa"/>
            <w:vAlign w:val="bottom"/>
          </w:tcPr>
          <w:p>
            <w:pPr>
              <w:spacing w:after="0"/>
              <w:rPr>
                <w:sz w:val="23"/>
                <w:szCs w:val="23"/>
                <w:color w:val="auto"/>
              </w:rPr>
            </w:pPr>
          </w:p>
        </w:tc>
        <w:tc>
          <w:tcPr>
            <w:tcW w:w="2260" w:type="dxa"/>
            <w:vAlign w:val="bottom"/>
            <w:tcBorders>
              <w:top w:val="single" w:sz="8" w:color="auto"/>
            </w:tcBorders>
            <w:gridSpan w:val="5"/>
          </w:tcPr>
          <w:p>
            <w:pPr>
              <w:jc w:val="center"/>
              <w:spacing w:after="0"/>
              <w:rPr>
                <w:sz w:val="20"/>
                <w:szCs w:val="20"/>
                <w:color w:val="auto"/>
              </w:rPr>
            </w:pPr>
            <w:r>
              <w:rPr>
                <w:rFonts w:ascii="Arial" w:cs="Arial" w:eastAsia="Arial" w:hAnsi="Arial"/>
                <w:sz w:val="22"/>
                <w:szCs w:val="22"/>
                <w:color w:val="auto"/>
                <w:w w:val="90"/>
              </w:rPr>
              <w:t>(Douglas L. Bruggeman)</w:t>
            </w:r>
          </w:p>
        </w:tc>
        <w:tc>
          <w:tcPr>
            <w:tcW w:w="340" w:type="dxa"/>
            <w:vAlign w:val="bottom"/>
          </w:tcPr>
          <w:p>
            <w:pPr>
              <w:spacing w:after="0"/>
              <w:rPr>
                <w:sz w:val="23"/>
                <w:szCs w:val="23"/>
                <w:color w:val="auto"/>
              </w:rPr>
            </w:pPr>
          </w:p>
        </w:tc>
        <w:tc>
          <w:tcPr>
            <w:tcW w:w="4460" w:type="dxa"/>
            <w:vAlign w:val="bottom"/>
            <w:gridSpan w:val="3"/>
          </w:tcPr>
          <w:p>
            <w:pPr>
              <w:ind w:left="340"/>
              <w:spacing w:after="0"/>
              <w:rPr>
                <w:sz w:val="20"/>
                <w:szCs w:val="20"/>
                <w:color w:val="auto"/>
              </w:rPr>
            </w:pPr>
            <w:r>
              <w:rPr>
                <w:rFonts w:ascii="Arial" w:cs="Arial" w:eastAsia="Arial" w:hAnsi="Arial"/>
                <w:sz w:val="22"/>
                <w:szCs w:val="22"/>
                <w:color w:val="auto"/>
              </w:rPr>
              <w:t>(Chief Financial Officer)</w:t>
            </w:r>
          </w:p>
        </w:tc>
        <w:tc>
          <w:tcPr>
            <w:tcW w:w="3500" w:type="dxa"/>
            <w:vAlign w:val="bottom"/>
            <w:gridSpan w:val="3"/>
          </w:tcPr>
          <w:p>
            <w:pPr>
              <w:ind w:left="820"/>
              <w:spacing w:after="0"/>
              <w:rPr>
                <w:sz w:val="20"/>
                <w:szCs w:val="20"/>
                <w:color w:val="auto"/>
              </w:rPr>
            </w:pPr>
            <w:r>
              <w:rPr>
                <w:rFonts w:ascii="Arial" w:cs="Arial" w:eastAsia="Arial" w:hAnsi="Arial"/>
                <w:sz w:val="22"/>
                <w:szCs w:val="22"/>
                <w:color w:val="auto"/>
              </w:rPr>
              <w:t>May 28, 2021</w:t>
            </w:r>
          </w:p>
        </w:tc>
      </w:tr>
      <w:tr>
        <w:trPr>
          <w:trHeight w:val="432"/>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ind w:left="2240"/>
              <w:spacing w:after="0"/>
              <w:rPr>
                <w:sz w:val="20"/>
                <w:szCs w:val="20"/>
                <w:color w:val="auto"/>
              </w:rPr>
            </w:pPr>
            <w:r>
              <w:rPr>
                <w:rFonts w:ascii="Arial" w:cs="Arial" w:eastAsia="Arial" w:hAnsi="Arial"/>
                <w:sz w:val="22"/>
                <w:szCs w:val="22"/>
                <w:color w:val="auto"/>
              </w:rPr>
              <w:t>33</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0"/>
        </w:trPr>
        <w:tc>
          <w:tcPr>
            <w:tcW w:w="6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5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Zafar Rizvi, certify that:</w:t>
      </w:r>
    </w:p>
    <w:p>
      <w:pPr>
        <w:spacing w:after="0" w:line="225" w:lineRule="exact"/>
        <w:rPr>
          <w:sz w:val="20"/>
          <w:szCs w:val="20"/>
          <w:color w:val="auto"/>
        </w:rPr>
      </w:pPr>
    </w:p>
    <w:p>
      <w:pPr>
        <w:ind w:left="1060" w:hanging="40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80" w:firstLine="656"/>
        <w:spacing w:after="0" w:line="263" w:lineRule="auto"/>
        <w:tabs>
          <w:tab w:leader="none" w:pos="10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60" w:firstLine="656"/>
        <w:spacing w:after="0" w:line="342" w:lineRule="auto"/>
        <w:tabs>
          <w:tab w:leader="none" w:pos="10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80" w:firstLine="656"/>
        <w:spacing w:after="0" w:line="263" w:lineRule="auto"/>
        <w:tabs>
          <w:tab w:leader="none" w:pos="10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3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60" w:firstLine="320"/>
        <w:spacing w:after="0" w:line="263" w:lineRule="auto"/>
        <w:tabs>
          <w:tab w:leader="none" w:pos="13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180" w:firstLine="320"/>
        <w:spacing w:after="0" w:line="342" w:lineRule="auto"/>
        <w:tabs>
          <w:tab w:leader="none" w:pos="13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40" w:firstLine="320"/>
        <w:spacing w:after="0" w:line="263" w:lineRule="auto"/>
        <w:tabs>
          <w:tab w:leader="none" w:pos="13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56" w:firstLine="656"/>
        <w:spacing w:after="0" w:line="308" w:lineRule="auto"/>
        <w:tabs>
          <w:tab w:leader="none" w:pos="39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360" w:firstLine="320"/>
        <w:spacing w:after="0" w:line="308" w:lineRule="auto"/>
        <w:tabs>
          <w:tab w:leader="none" w:pos="708"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40" w:firstLine="320"/>
        <w:spacing w:after="0" w:line="277" w:lineRule="auto"/>
        <w:tabs>
          <w:tab w:leader="none" w:pos="7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Date: May 28, 2021</w:t>
      </w:r>
    </w:p>
    <w:p>
      <w:pPr>
        <w:spacing w:after="0" w:line="225"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/s/ Zafar Rizvi</w:t>
      </w:r>
    </w:p>
    <w:p>
      <w:pPr>
        <w:spacing w:after="0" w:line="23"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ind w:left="5544"/>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9" w:right="37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L. Bruggeman, certify that:</w:t>
      </w:r>
    </w:p>
    <w:p>
      <w:pPr>
        <w:spacing w:after="0" w:line="225"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REX American Resources Corporation;</w:t>
      </w:r>
    </w:p>
    <w:p>
      <w:pPr>
        <w:spacing w:after="0" w:line="225" w:lineRule="exact"/>
        <w:rPr>
          <w:rFonts w:ascii="Arial" w:cs="Arial" w:eastAsia="Arial" w:hAnsi="Arial"/>
          <w:sz w:val="18"/>
          <w:szCs w:val="18"/>
          <w:color w:val="auto"/>
        </w:rPr>
      </w:pPr>
    </w:p>
    <w:p>
      <w:pPr>
        <w:ind w:right="20" w:firstLine="656"/>
        <w:spacing w:after="0" w:line="263" w:lineRule="auto"/>
        <w:tabs>
          <w:tab w:leader="none" w:pos="10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00" w:firstLine="656"/>
        <w:spacing w:after="0" w:line="342" w:lineRule="auto"/>
        <w:tabs>
          <w:tab w:leader="none" w:pos="1053"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20" w:firstLine="656"/>
        <w:spacing w:after="0" w:line="263" w:lineRule="auto"/>
        <w:tabs>
          <w:tab w:leader="none" w:pos="10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83" w:lineRule="exact"/>
        <w:rPr>
          <w:rFonts w:ascii="Arial" w:cs="Arial" w:eastAsia="Arial" w:hAnsi="Arial"/>
          <w:sz w:val="18"/>
          <w:szCs w:val="18"/>
          <w:color w:val="auto"/>
        </w:rPr>
      </w:pPr>
    </w:p>
    <w:p>
      <w:pPr>
        <w:ind w:left="660" w:right="220" w:firstLine="320"/>
        <w:spacing w:after="0" w:line="263" w:lineRule="auto"/>
        <w:tabs>
          <w:tab w:leader="none" w:pos="12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firstLine="320"/>
        <w:spacing w:after="0" w:line="263" w:lineRule="auto"/>
        <w:tabs>
          <w:tab w:leader="none" w:pos="12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60" w:firstLine="320"/>
        <w:spacing w:after="0" w:line="342" w:lineRule="auto"/>
        <w:tabs>
          <w:tab w:leader="none" w:pos="122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20" w:firstLine="320"/>
        <w:spacing w:after="0" w:line="263" w:lineRule="auto"/>
        <w:tabs>
          <w:tab w:leader="none" w:pos="12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5" w:right="399" w:bottom="1440" w:gutter="0" w:footer="0" w:header="0"/>
        </w:sectPr>
      </w:pPr>
    </w:p>
    <w:bookmarkStart w:id="38" w:name="page39"/>
    <w:bookmarkEnd w:id="38"/>
    <w:p>
      <w:pPr>
        <w:ind w:left="-656" w:firstLine="656"/>
        <w:spacing w:after="0" w:line="308" w:lineRule="auto"/>
        <w:tabs>
          <w:tab w:leader="none" w:pos="397"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 w:right="160" w:firstLine="644"/>
        <w:spacing w:after="0" w:line="308" w:lineRule="auto"/>
        <w:tabs>
          <w:tab w:leader="none" w:pos="897"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 w:right="440" w:firstLine="644"/>
        <w:spacing w:after="0" w:line="277" w:lineRule="auto"/>
        <w:tabs>
          <w:tab w:leader="none" w:pos="9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Date: May 28, 2021</w:t>
      </w:r>
    </w:p>
    <w:p>
      <w:pPr>
        <w:spacing w:after="0" w:line="225"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ind w:left="5544"/>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ind w:left="5544"/>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ind w:left="5544"/>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44"/>
          </w:cols>
          <w:pgMar w:left="976" w:top="409" w:right="3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REX American Resources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BY SECTION 906 OF THE SARBANES-OXLEY ACT OF 2002</w:t>
      </w:r>
    </w:p>
    <w:p>
      <w:pPr>
        <w:spacing w:after="0" w:line="22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undersigned officers of REX American Resources Corporation (the “Company”) hereby certify, to their knowledge, that the Company’s Quarterly Report on Form 10-Q for the period ended April 30, 2021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/s/Zafar Rizvi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Zafar Rizvi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Douglas L. Bruggeman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1"/>
      <w:numFmt w:val="decimal"/>
      <w:start w:val="3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5"/>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2021-05-28T08:05:48Z</dcterms:created>
  <dcterms:modified xsi:type="dcterms:W3CDTF">2021-05-28T08:05:48Z</dcterms:modified>
</cp:coreProperties>
</file>