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7" w:lineRule="exact"/>
        <w:rPr>
          <w:sz w:val="24"/>
          <w:szCs w:val="24"/>
          <w:color w:val="auto"/>
        </w:rPr>
      </w:pPr>
    </w:p>
    <w:p>
      <w:pPr>
        <w:ind w:left="580" w:right="1260" w:hanging="572"/>
        <w:spacing w:after="0" w:line="261"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2020</w:t>
      </w: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580" w:right="1240" w:hanging="572"/>
        <w:spacing w:after="0" w:line="49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jc w:val="center"/>
        <w:ind w:right="-279"/>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77470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980"/>
          </w:cols>
          <w:pgMar w:left="320" w:top="499" w:right="599" w:bottom="1440" w:gutter="0" w:footer="0" w:header="0"/>
        </w:sectPr>
      </w:pPr>
    </w:p>
    <w:p>
      <w:pPr>
        <w:spacing w:after="0" w:line="328"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5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940" w:space="720"/>
            <w:col w:w="4320"/>
          </w:cols>
          <w:pgMar w:left="320" w:top="499" w:right="599" w:bottom="1440" w:gutter="0" w:footer="0" w:header="0"/>
          <w:type w:val="continuous"/>
        </w:sectPr>
      </w:pPr>
    </w:p>
    <w:p>
      <w:pPr>
        <w:spacing w:after="0" w:line="30" w:lineRule="exact"/>
        <w:rPr>
          <w:sz w:val="24"/>
          <w:szCs w:val="24"/>
          <w:color w:val="auto"/>
        </w:rPr>
      </w:pPr>
    </w:p>
    <w:p>
      <w:pPr>
        <w:jc w:val="center"/>
        <w:ind w:left="256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256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020" w:space="720"/>
            <w:col w:w="3240"/>
          </w:cols>
          <w:pgMar w:left="320" w:top="499" w:right="599" w:bottom="1440" w:gutter="0" w:footer="0" w:header="0"/>
          <w:type w:val="continuous"/>
        </w:sectPr>
      </w:pPr>
    </w:p>
    <w:p>
      <w:pPr>
        <w:spacing w:after="0" w:line="3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0980"/>
          </w:cols>
          <w:pgMar w:left="320" w:top="499" w:right="59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7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840"/>
        <w:spacing w:after="0"/>
        <w:tabs>
          <w:tab w:leader="none" w:pos="364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380"/>
        <w:spacing w:after="0"/>
        <w:tabs>
          <w:tab w:leader="none" w:pos="434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66040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020" w:space="540"/>
            <w:col w:w="7420"/>
          </w:cols>
          <w:pgMar w:left="320" w:top="499" w:right="599" w:bottom="1440"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82"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499" w:right="599" w:bottom="1440" w:gutter="0" w:footer="0" w:header="0"/>
          <w:type w:val="continuous"/>
        </w:sectPr>
      </w:pP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3">
            <w:col w:w="1620" w:space="120"/>
            <w:col w:w="4300" w:space="720"/>
            <w:col w:w="4220"/>
          </w:cols>
          <w:pgMar w:left="320" w:top="499" w:right="599" w:bottom="1440" w:gutter="0" w:footer="0" w:header="0"/>
          <w:type w:val="continuous"/>
        </w:sectPr>
      </w:pPr>
    </w:p>
    <w:p>
      <w:pPr>
        <w:spacing w:after="0" w:line="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June 3, 2020 the registrant had 6,184,646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99"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8900" w:type="dxa"/>
            <w:vAlign w:val="bottom"/>
          </w:tcPr>
          <w:p>
            <w:pPr>
              <w:jc w:val="center"/>
              <w:ind w:left="332"/>
              <w:spacing w:after="0"/>
              <w:rPr>
                <w:sz w:val="20"/>
                <w:szCs w:val="20"/>
                <w:color w:val="auto"/>
              </w:rPr>
            </w:pPr>
            <w:r>
              <w:rPr>
                <w:rFonts w:ascii="Arial" w:cs="Arial" w:eastAsia="Arial" w:hAnsi="Arial"/>
                <w:sz w:val="22"/>
                <w:szCs w:val="22"/>
                <w:color w:val="auto"/>
                <w:w w:val="94"/>
              </w:rPr>
              <w:t>REX AMERICAN RESOURCES CORPORATION AND SUBSIDIARIES</w:t>
            </w:r>
          </w:p>
        </w:tc>
        <w:tc>
          <w:tcPr>
            <w:tcW w:w="1380" w:type="dxa"/>
            <w:vAlign w:val="bottom"/>
          </w:tcPr>
          <w:p>
            <w:pPr>
              <w:spacing w:after="0"/>
              <w:rPr>
                <w:sz w:val="23"/>
                <w:szCs w:val="23"/>
                <w:color w:val="auto"/>
              </w:rPr>
            </w:pPr>
          </w:p>
        </w:tc>
      </w:tr>
      <w:tr>
        <w:trPr>
          <w:trHeight w:val="486"/>
        </w:trPr>
        <w:tc>
          <w:tcPr>
            <w:tcW w:w="960" w:type="dxa"/>
            <w:vAlign w:val="bottom"/>
          </w:tcPr>
          <w:p>
            <w:pPr>
              <w:spacing w:after="0"/>
              <w:rPr>
                <w:sz w:val="24"/>
                <w:szCs w:val="24"/>
                <w:color w:val="auto"/>
              </w:rPr>
            </w:pPr>
          </w:p>
        </w:tc>
        <w:tc>
          <w:tcPr>
            <w:tcW w:w="8900" w:type="dxa"/>
            <w:vAlign w:val="bottom"/>
          </w:tcPr>
          <w:p>
            <w:pPr>
              <w:jc w:val="center"/>
              <w:ind w:left="312"/>
              <w:spacing w:after="0"/>
              <w:rPr>
                <w:sz w:val="20"/>
                <w:szCs w:val="20"/>
                <w:color w:val="auto"/>
              </w:rPr>
            </w:pPr>
            <w:r>
              <w:rPr>
                <w:rFonts w:ascii="Arial" w:cs="Arial" w:eastAsia="Arial" w:hAnsi="Arial"/>
                <w:sz w:val="22"/>
                <w:szCs w:val="22"/>
                <w:color w:val="auto"/>
              </w:rPr>
              <w:t>INDEX</w:t>
            </w:r>
          </w:p>
        </w:tc>
        <w:tc>
          <w:tcPr>
            <w:tcW w:w="1380" w:type="dxa"/>
            <w:vAlign w:val="bottom"/>
          </w:tcPr>
          <w:p>
            <w:pPr>
              <w:spacing w:after="0"/>
              <w:rPr>
                <w:sz w:val="24"/>
                <w:szCs w:val="24"/>
                <w:color w:val="auto"/>
              </w:rPr>
            </w:pPr>
          </w:p>
        </w:tc>
      </w:tr>
      <w:tr>
        <w:trPr>
          <w:trHeight w:val="392"/>
        </w:trPr>
        <w:tc>
          <w:tcPr>
            <w:tcW w:w="9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INFORMATION</w:t>
              </w:r>
            </w:hyperlink>
          </w:p>
        </w:tc>
        <w:tc>
          <w:tcPr>
            <w:tcW w:w="138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1.</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Statements</w:t>
              </w:r>
            </w:hyperlink>
          </w:p>
        </w:tc>
        <w:tc>
          <w:tcPr>
            <w:tcW w:w="1380" w:type="dxa"/>
            <w:vAlign w:val="bottom"/>
          </w:tcPr>
          <w:p>
            <w:pPr>
              <w:spacing w:after="0"/>
              <w:rPr>
                <w:sz w:val="24"/>
                <w:szCs w:val="24"/>
                <w:color w:val="auto"/>
              </w:rPr>
            </w:pPr>
          </w:p>
        </w:tc>
      </w:tr>
      <w:tr>
        <w:trPr>
          <w:trHeight w:val="455"/>
        </w:trPr>
        <w:tc>
          <w:tcPr>
            <w:tcW w:w="960" w:type="dxa"/>
            <w:vAlign w:val="bottom"/>
          </w:tcPr>
          <w:p>
            <w:pPr>
              <w:spacing w:after="0"/>
              <w:rPr>
                <w:sz w:val="24"/>
                <w:szCs w:val="24"/>
                <w:color w:val="auto"/>
              </w:rPr>
            </w:pPr>
          </w:p>
        </w:tc>
        <w:tc>
          <w:tcPr>
            <w:tcW w:w="890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Consolidated Condensed Balance Sheets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960" w:type="dxa"/>
            <w:vAlign w:val="bottom"/>
          </w:tcPr>
          <w:p>
            <w:pPr>
              <w:spacing w:after="0"/>
              <w:rPr>
                <w:sz w:val="21"/>
                <w:szCs w:val="21"/>
                <w:color w:val="auto"/>
              </w:rPr>
            </w:pPr>
          </w:p>
        </w:tc>
        <w:tc>
          <w:tcPr>
            <w:tcW w:w="8900" w:type="dxa"/>
            <w:vAlign w:val="bottom"/>
          </w:tcPr>
          <w:p>
            <w:pPr>
              <w:ind w:left="180"/>
              <w:spacing w:after="0" w:line="243" w:lineRule="exact"/>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Consolidated Condensed Statements of Operations</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60" w:type="dxa"/>
            <w:vAlign w:val="bottom"/>
          </w:tcPr>
          <w:p>
            <w:pPr>
              <w:spacing w:after="0"/>
              <w:rPr>
                <w:sz w:val="21"/>
                <w:szCs w:val="21"/>
                <w:color w:val="auto"/>
              </w:rPr>
            </w:pPr>
          </w:p>
        </w:tc>
        <w:tc>
          <w:tcPr>
            <w:tcW w:w="8900" w:type="dxa"/>
            <w:vAlign w:val="bottom"/>
          </w:tcPr>
          <w:p>
            <w:pPr>
              <w:ind w:left="180"/>
              <w:spacing w:after="0" w:line="243" w:lineRule="exact"/>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Consolidated Condensed Statements of Equity</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60" w:type="dxa"/>
            <w:vAlign w:val="bottom"/>
          </w:tcPr>
          <w:p>
            <w:pPr>
              <w:spacing w:after="0"/>
              <w:rPr>
                <w:sz w:val="21"/>
                <w:szCs w:val="21"/>
                <w:color w:val="auto"/>
              </w:rPr>
            </w:pPr>
          </w:p>
        </w:tc>
        <w:tc>
          <w:tcPr>
            <w:tcW w:w="8900" w:type="dxa"/>
            <w:vAlign w:val="bottom"/>
          </w:tcPr>
          <w:p>
            <w:pPr>
              <w:ind w:left="180"/>
              <w:spacing w:after="0" w:line="243" w:lineRule="exact"/>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Consolidated Condensed Statements of Cash Flows</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4"/>
        </w:trPr>
        <w:tc>
          <w:tcPr>
            <w:tcW w:w="960" w:type="dxa"/>
            <w:vAlign w:val="bottom"/>
          </w:tcPr>
          <w:p>
            <w:pPr>
              <w:spacing w:after="0"/>
              <w:rPr>
                <w:sz w:val="23"/>
                <w:szCs w:val="23"/>
                <w:color w:val="auto"/>
              </w:rPr>
            </w:pPr>
          </w:p>
        </w:tc>
        <w:tc>
          <w:tcPr>
            <w:tcW w:w="8900" w:type="dxa"/>
            <w:vAlign w:val="bottom"/>
          </w:tcPr>
          <w:p>
            <w:pPr>
              <w:ind w:left="180"/>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Notes to Consolidated Condensed Financial Statements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2.</w:t>
              </w:r>
            </w:hyperlink>
          </w:p>
        </w:tc>
        <w:tc>
          <w:tcPr>
            <w:tcW w:w="8900" w:type="dxa"/>
            <w:vAlign w:val="bottom"/>
          </w:tcPr>
          <w:p>
            <w:pPr>
              <w:ind w:left="180"/>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Management’s Discussion and Analysis of Financial Condition and Results of Operations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3.</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Quantitative and Qualitative Disclosures About Market Risk</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4.</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Controls and Procedures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9860" w:type="dxa"/>
            <w:vAlign w:val="bottom"/>
            <w:gridSpan w:val="2"/>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PART II. OTHER INFORMATION</w:t>
              </w:r>
            </w:hyperlink>
          </w:p>
        </w:tc>
        <w:tc>
          <w:tcPr>
            <w:tcW w:w="138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Legal Proceedings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1A.</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Risk Factors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2.</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Unregistered Sales of Equity Securities and Use of Proceeds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3.</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Defaults upon Senior Securities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4.</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Mine Safety Disclosures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5.</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Other Information</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Item 6.</w:t>
              </w:r>
            </w:hyperlink>
          </w:p>
        </w:tc>
        <w:tc>
          <w:tcPr>
            <w:tcW w:w="8900" w:type="dxa"/>
            <w:vAlign w:val="bottom"/>
          </w:tcPr>
          <w:p>
            <w:pPr>
              <w:ind w:left="180"/>
              <w:spacing w:after="0"/>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Exhibits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32"/>
        </w:trPr>
        <w:tc>
          <w:tcPr>
            <w:tcW w:w="960" w:type="dxa"/>
            <w:vAlign w:val="bottom"/>
          </w:tcPr>
          <w:p>
            <w:pPr>
              <w:spacing w:after="0"/>
              <w:rPr>
                <w:sz w:val="24"/>
                <w:szCs w:val="24"/>
                <w:color w:val="auto"/>
              </w:rPr>
            </w:pPr>
          </w:p>
        </w:tc>
        <w:tc>
          <w:tcPr>
            <w:tcW w:w="8900" w:type="dxa"/>
            <w:vAlign w:val="bottom"/>
          </w:tcPr>
          <w:p>
            <w:pPr>
              <w:jc w:val="center"/>
              <w:ind w:left="332"/>
              <w:spacing w:after="0"/>
              <w:rPr>
                <w:sz w:val="20"/>
                <w:szCs w:val="20"/>
                <w:color w:val="auto"/>
              </w:rPr>
            </w:pPr>
            <w:r>
              <w:rPr>
                <w:rFonts w:ascii="Arial" w:cs="Arial" w:eastAsia="Arial" w:hAnsi="Arial"/>
                <w:sz w:val="22"/>
                <w:szCs w:val="22"/>
                <w:color w:val="auto"/>
                <w:w w:val="81"/>
              </w:rPr>
              <w:t>2</w:t>
            </w:r>
          </w:p>
        </w:tc>
        <w:tc>
          <w:tcPr>
            <w:tcW w:w="1380" w:type="dxa"/>
            <w:vAlign w:val="bottom"/>
          </w:tcPr>
          <w:p>
            <w:pPr>
              <w:spacing w:after="0"/>
              <w:rPr>
                <w:sz w:val="24"/>
                <w:szCs w:val="24"/>
                <w:color w:val="auto"/>
              </w:rPr>
            </w:pPr>
          </w:p>
        </w:tc>
      </w:tr>
      <w:tr>
        <w:trPr>
          <w:trHeight w:val="240"/>
        </w:trPr>
        <w:tc>
          <w:tcPr>
            <w:tcW w:w="960" w:type="dxa"/>
            <w:vAlign w:val="bottom"/>
            <w:tcBorders>
              <w:bottom w:val="single" w:sz="8" w:color="C0C0C0"/>
            </w:tcBorders>
          </w:tcPr>
          <w:p>
            <w:pPr>
              <w:spacing w:after="0"/>
              <w:rPr>
                <w:sz w:val="20"/>
                <w:szCs w:val="20"/>
                <w:color w:val="auto"/>
              </w:rPr>
            </w:pPr>
          </w:p>
        </w:tc>
        <w:tc>
          <w:tcPr>
            <w:tcW w:w="890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0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300" w:type="dxa"/>
            <w:vAlign w:val="bottom"/>
          </w:tcPr>
          <w:p>
            <w:pPr>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8"/>
              </w:rPr>
              <w:t>April 30,</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8300" w:type="dxa"/>
            <w:vAlign w:val="bottom"/>
            <w:tcBorders>
              <w:bottom w:val="single" w:sz="8" w:color="E5FFFF"/>
            </w:tcBorders>
          </w:tcPr>
          <w:p>
            <w:pPr>
              <w:spacing w:after="0"/>
              <w:rPr>
                <w:sz w:val="20"/>
                <w:szCs w:val="20"/>
                <w:color w:val="auto"/>
              </w:rPr>
            </w:pPr>
          </w:p>
        </w:tc>
        <w:tc>
          <w:tcPr>
            <w:tcW w:w="36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163,771</w:t>
            </w:r>
          </w:p>
        </w:tc>
        <w:tc>
          <w:tcPr>
            <w:tcW w:w="180" w:type="dxa"/>
            <w:vAlign w:val="bottom"/>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179,658</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32,601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26,073</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2,772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12,969</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27,268</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35,634</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9,689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30"/>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9,627</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09"/>
        </w:trPr>
        <w:tc>
          <w:tcPr>
            <w:tcW w:w="83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247,138</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163,132</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163,327</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16,689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18,344</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w:t>
            </w:r>
          </w:p>
        </w:tc>
        <w:tc>
          <w:tcPr>
            <w:tcW w:w="3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29,982</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32,464</w:t>
            </w:r>
          </w:p>
        </w:tc>
        <w:tc>
          <w:tcPr>
            <w:tcW w:w="0" w:type="dxa"/>
            <w:vAlign w:val="bottom"/>
          </w:tcPr>
          <w:p>
            <w:pPr>
              <w:spacing w:after="0"/>
              <w:rPr>
                <w:sz w:val="1"/>
                <w:szCs w:val="1"/>
                <w:color w:val="auto"/>
              </w:rPr>
            </w:pP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476,038</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Liabilities and equity:</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8"/>
              </w:rPr>
              <w:t>Accounts payable, trade (includes $0.1 million and $0.7 million with related parties at April 30, 2020 and</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January 31, 2020, respectively)</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7,386</w:t>
            </w:r>
          </w:p>
        </w:tc>
        <w:tc>
          <w:tcPr>
            <w:tcW w:w="180" w:type="dxa"/>
            <w:vAlign w:val="bottom"/>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5,287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02"/>
        </w:trPr>
        <w:tc>
          <w:tcPr>
            <w:tcW w:w="83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6"/>
              </w:rPr>
              <w:t>Accrued expenses and other current liabilities (includes $0.2 million and $0.5 million with related parties at</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April 30, 2020 and January 31, 2020, respectively)</w:t>
            </w:r>
          </w:p>
        </w:tc>
        <w:tc>
          <w:tcPr>
            <w:tcW w:w="3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7,196</w:t>
            </w:r>
          </w:p>
        </w:tc>
        <w:tc>
          <w:tcPr>
            <w:tcW w:w="18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19,869</w:t>
            </w:r>
          </w:p>
        </w:tc>
        <w:tc>
          <w:tcPr>
            <w:tcW w:w="46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3,868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10,898</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29"/>
        </w:trPr>
        <w:tc>
          <w:tcPr>
            <w:tcW w:w="83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830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14,902</w:t>
            </w:r>
          </w:p>
        </w:tc>
        <w:tc>
          <w:tcPr>
            <w:tcW w:w="4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REX shareholders’ equity:</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ind w:left="500"/>
              <w:spacing w:after="0"/>
              <w:rPr>
                <w:sz w:val="20"/>
                <w:szCs w:val="20"/>
                <w:color w:val="auto"/>
              </w:rPr>
            </w:pPr>
            <w:r>
              <w:rPr>
                <w:rFonts w:ascii="Arial" w:cs="Arial" w:eastAsia="Arial" w:hAnsi="Arial"/>
                <w:sz w:val="18"/>
                <w:szCs w:val="18"/>
                <w:color w:val="auto"/>
              </w:rPr>
              <w:t>Paid-in capital</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148,821</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148,789</w:t>
            </w:r>
          </w:p>
        </w:tc>
        <w:tc>
          <w:tcPr>
            <w:tcW w:w="0" w:type="dxa"/>
            <w:vAlign w:val="bottom"/>
          </w:tcPr>
          <w:p>
            <w:pPr>
              <w:spacing w:after="0"/>
              <w:rPr>
                <w:sz w:val="1"/>
                <w:szCs w:val="1"/>
                <w:color w:val="auto"/>
              </w:rPr>
            </w:pP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579,350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586,985</w:t>
            </w:r>
          </w:p>
        </w:tc>
        <w:tc>
          <w:tcPr>
            <w:tcW w:w="0" w:type="dxa"/>
            <w:vAlign w:val="bottom"/>
          </w:tcPr>
          <w:p>
            <w:pPr>
              <w:spacing w:after="0"/>
              <w:rPr>
                <w:sz w:val="1"/>
                <w:szCs w:val="1"/>
                <w:color w:val="auto"/>
              </w:rPr>
            </w:pPr>
          </w:p>
        </w:tc>
      </w:tr>
      <w:tr>
        <w:trPr>
          <w:trHeight w:val="230"/>
        </w:trPr>
        <w:tc>
          <w:tcPr>
            <w:tcW w:w="8300" w:type="dxa"/>
            <w:vAlign w:val="bottom"/>
            <w:shd w:val="clear" w:color="auto" w:fill="E5FFFF"/>
          </w:tcPr>
          <w:p>
            <w:pPr>
              <w:ind w:left="500"/>
              <w:spacing w:after="0"/>
              <w:rPr>
                <w:sz w:val="20"/>
                <w:szCs w:val="20"/>
                <w:color w:val="auto"/>
              </w:rPr>
            </w:pPr>
            <w:r>
              <w:rPr>
                <w:rFonts w:ascii="Arial" w:cs="Arial" w:eastAsia="Arial" w:hAnsi="Arial"/>
                <w:sz w:val="18"/>
                <w:szCs w:val="18"/>
                <w:color w:val="auto"/>
              </w:rPr>
              <w:t>Treasury stock</w:t>
            </w:r>
          </w:p>
        </w:tc>
        <w:tc>
          <w:tcPr>
            <w:tcW w:w="3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(338,982)</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(335,066)</w:t>
            </w:r>
          </w:p>
        </w:tc>
        <w:tc>
          <w:tcPr>
            <w:tcW w:w="0" w:type="dxa"/>
            <w:vAlign w:val="bottom"/>
          </w:tcPr>
          <w:p>
            <w:pPr>
              <w:spacing w:after="0"/>
              <w:rPr>
                <w:sz w:val="1"/>
                <w:szCs w:val="1"/>
                <w:color w:val="auto"/>
              </w:rPr>
            </w:pPr>
          </w:p>
        </w:tc>
      </w:tr>
      <w:tr>
        <w:trPr>
          <w:trHeight w:val="210"/>
        </w:trPr>
        <w:tc>
          <w:tcPr>
            <w:tcW w:w="8300" w:type="dxa"/>
            <w:vAlign w:val="bottom"/>
          </w:tcPr>
          <w:p>
            <w:pPr>
              <w:ind w:left="740"/>
              <w:spacing w:after="0"/>
              <w:rPr>
                <w:sz w:val="20"/>
                <w:szCs w:val="20"/>
                <w:color w:val="auto"/>
              </w:rPr>
            </w:pPr>
            <w:r>
              <w:rPr>
                <w:rFonts w:ascii="Arial" w:cs="Arial" w:eastAsia="Arial" w:hAnsi="Arial"/>
                <w:sz w:val="18"/>
                <w:szCs w:val="18"/>
                <w:color w:val="auto"/>
              </w:rPr>
              <w:t>Total REX shareholders’ equity</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389,488</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51,779</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52,599</w:t>
            </w:r>
          </w:p>
        </w:tc>
        <w:tc>
          <w:tcPr>
            <w:tcW w:w="0" w:type="dxa"/>
            <w:vAlign w:val="bottom"/>
          </w:tcPr>
          <w:p>
            <w:pPr>
              <w:spacing w:after="0"/>
              <w:rPr>
                <w:sz w:val="1"/>
                <w:szCs w:val="1"/>
                <w:color w:val="auto"/>
              </w:rPr>
            </w:pPr>
          </w:p>
        </w:tc>
      </w:tr>
      <w:tr>
        <w:trPr>
          <w:trHeight w:val="209"/>
        </w:trPr>
        <w:tc>
          <w:tcPr>
            <w:tcW w:w="83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441,267</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liabilities and equity</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476,038</w:t>
            </w:r>
          </w:p>
        </w:tc>
        <w:tc>
          <w:tcPr>
            <w:tcW w:w="180" w:type="dxa"/>
            <w:vAlign w:val="bottom"/>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500,502</w:t>
            </w:r>
          </w:p>
        </w:tc>
        <w:tc>
          <w:tcPr>
            <w:tcW w:w="0" w:type="dxa"/>
            <w:vAlign w:val="bottom"/>
          </w:tcPr>
          <w:p>
            <w:pPr>
              <w:spacing w:after="0"/>
              <w:rPr>
                <w:sz w:val="1"/>
                <w:szCs w:val="1"/>
                <w:color w:val="auto"/>
              </w:rPr>
            </w:pPr>
          </w:p>
        </w:tc>
      </w:tr>
      <w:tr>
        <w:trPr>
          <w:trHeight w:val="20"/>
        </w:trPr>
        <w:tc>
          <w:tcPr>
            <w:tcW w:w="83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w w:val="94"/>
              </w:rPr>
              <w:t>The accompanying notes are an integral part of these unaudited consolidated condensed financial statements.</w:t>
            </w: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4399"/>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1"/>
              </w:rPr>
              <w:t>Three Months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9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5"/>
              </w:rPr>
              <w:t>April 30,</w:t>
            </w:r>
          </w:p>
        </w:tc>
        <w:tc>
          <w:tcPr>
            <w:tcW w:w="6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83,250</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89"/>
              </w:rPr>
              <w:t>104,575</w:t>
            </w:r>
          </w:p>
        </w:tc>
        <w:tc>
          <w:tcPr>
            <w:tcW w:w="0" w:type="dxa"/>
            <w:vAlign w:val="bottom"/>
          </w:tcPr>
          <w:p>
            <w:pPr>
              <w:spacing w:after="0"/>
              <w:rPr>
                <w:sz w:val="1"/>
                <w:szCs w:val="1"/>
                <w:color w:val="auto"/>
              </w:rPr>
            </w:pP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Cost of sales (includes $12.3 million and $46.7 million with related parties for the quarters ended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April 30, 2020 and 2019, respectively)</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92,580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100,929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Gross (loss) profit</w:t>
            </w: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(9,330)</w:t>
            </w: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w w:val="99"/>
              </w:rPr>
              <w:t>Selling, general and administrative expenses (includes $(0.3) million and $0.1 million with related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parties for the quarters ended April 30, 2020 and 2019, respectively)</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(4,605)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Equity in (loss) income of unconsolidated affiliates</w:t>
            </w: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(477)</w:t>
            </w: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w w:val="92"/>
              </w:rPr>
              <w:t>(13,743)</w:t>
            </w: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5,313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(8,430)</w:t>
            </w: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(loss) income attributable to REX common shareholders</w:t>
            </w: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(7,635)</w:t>
            </w:r>
          </w:p>
        </w:tc>
        <w:tc>
          <w:tcPr>
            <w:tcW w:w="40" w:type="dxa"/>
            <w:vAlign w:val="bottom"/>
            <w:tcBorders>
              <w:bottom w:val="single" w:sz="8" w:color="E5FFFF"/>
            </w:tcBorders>
            <w:shd w:val="clear" w:color="auto" w:fill="E5FFFF"/>
          </w:tcPr>
          <w:p>
            <w:pPr>
              <w:spacing w:after="0"/>
              <w:rPr>
                <w:sz w:val="21"/>
                <w:szCs w:val="21"/>
                <w:color w:val="auto"/>
              </w:rPr>
            </w:pPr>
          </w:p>
        </w:tc>
        <w:tc>
          <w:tcPr>
            <w:tcW w:w="84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2,821</w:t>
            </w:r>
          </w:p>
        </w:tc>
        <w:tc>
          <w:tcPr>
            <w:tcW w:w="8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6,304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Basic and diluted net (loss) income per share attributable to REX common shareholders</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(1.21)</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77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April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4"/>
              </w:rPr>
              <w:t>REX Shareholders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Shares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24"/>
                <w:szCs w:val="24"/>
                <w:color w:val="auto"/>
              </w:rPr>
            </w:pP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3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20" w:type="dxa"/>
            <w:vAlign w:val="bottom"/>
            <w:gridSpan w:val="3"/>
          </w:tcPr>
          <w:p>
            <w:pPr>
              <w:ind w:left="600"/>
              <w:spacing w:after="0"/>
              <w:rPr>
                <w:sz w:val="20"/>
                <w:szCs w:val="20"/>
                <w:color w:val="auto"/>
              </w:rPr>
            </w:pPr>
            <w:r>
              <w:rPr>
                <w:rFonts w:ascii="Arial" w:cs="Arial" w:eastAsia="Arial" w:hAnsi="Arial"/>
                <w:sz w:val="14"/>
                <w:szCs w:val="14"/>
                <w:b w:val="1"/>
                <w:bCs w:val="1"/>
                <w:color w:val="auto"/>
                <w:w w:val="90"/>
              </w:rPr>
              <w:t>Issued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02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3"/>
                <w:szCs w:val="13"/>
                <w:color w:val="auto"/>
              </w:rPr>
            </w:pPr>
          </w:p>
        </w:tc>
        <w:tc>
          <w:tcPr>
            <w:tcW w:w="9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0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Earnings</w:t>
            </w:r>
          </w:p>
        </w:tc>
        <w:tc>
          <w:tcPr>
            <w:tcW w:w="132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2020</w:t>
            </w:r>
          </w:p>
        </w:tc>
        <w:tc>
          <w:tcPr>
            <w:tcW w:w="96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29,853</w:t>
            </w:r>
          </w:p>
        </w:tc>
        <w:tc>
          <w:tcPr>
            <w:tcW w:w="60" w:type="dxa"/>
            <w:vAlign w:val="bottom"/>
            <w:shd w:val="clear" w:color="auto" w:fill="E5FFFF"/>
          </w:tcPr>
          <w:p>
            <w:pPr>
              <w:spacing w:after="0"/>
              <w:rPr>
                <w:sz w:val="12"/>
                <w:szCs w:val="12"/>
                <w:color w:val="auto"/>
              </w:rPr>
            </w:pPr>
          </w:p>
        </w:tc>
        <w:tc>
          <w:tcPr>
            <w:tcW w:w="92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$ 299</w:t>
            </w:r>
          </w:p>
        </w:tc>
        <w:tc>
          <w:tcPr>
            <w:tcW w:w="98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23,561</w:t>
            </w: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w w:val="92"/>
              </w:rPr>
              <w:t>$ (335,066)</w:t>
            </w:r>
          </w:p>
        </w:tc>
        <w:tc>
          <w:tcPr>
            <w:tcW w:w="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148,789</w:t>
            </w:r>
          </w:p>
        </w:tc>
        <w:tc>
          <w:tcPr>
            <w:tcW w:w="30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w w:val="98"/>
              </w:rPr>
              <w:t>586,985</w:t>
            </w:r>
          </w:p>
        </w:tc>
        <w:tc>
          <w:tcPr>
            <w:tcW w:w="132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$ 52,599</w:t>
            </w:r>
          </w:p>
        </w:tc>
        <w:tc>
          <w:tcPr>
            <w:tcW w:w="2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453,606</w:t>
            </w:r>
          </w:p>
        </w:tc>
        <w:tc>
          <w:tcPr>
            <w:tcW w:w="0" w:type="dxa"/>
            <w:vAlign w:val="bottom"/>
          </w:tcPr>
          <w:p>
            <w:pPr>
              <w:spacing w:after="0"/>
              <w:rPr>
                <w:sz w:val="1"/>
                <w:szCs w:val="1"/>
                <w:color w:val="auto"/>
              </w:rPr>
            </w:pPr>
          </w:p>
        </w:tc>
      </w:tr>
      <w:tr>
        <w:trPr>
          <w:trHeight w:val="353"/>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(7,635)</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(795)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FFFF"/>
          </w:tcPr>
          <w:p>
            <w:pPr>
              <w:spacing w:after="0"/>
              <w:rPr>
                <w:sz w:val="20"/>
                <w:szCs w:val="20"/>
                <w:color w:val="auto"/>
              </w:rPr>
            </w:pPr>
            <w:r>
              <w:rPr>
                <w:rFonts w:ascii="Arial" w:cs="Arial" w:eastAsia="Arial" w:hAnsi="Arial"/>
                <w:sz w:val="14"/>
                <w:szCs w:val="14"/>
                <w:color w:val="auto"/>
              </w:rPr>
              <w:t>Treasury stock acquired</w:t>
            </w:r>
          </w:p>
        </w:tc>
        <w:tc>
          <w:tcPr>
            <w:tcW w:w="6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78</w:t>
            </w: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(3,923)</w:t>
            </w:r>
          </w:p>
        </w:tc>
        <w:tc>
          <w:tcPr>
            <w:tcW w:w="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52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660" w:type="dxa"/>
            <w:vAlign w:val="bottom"/>
            <w:shd w:val="clear" w:color="auto" w:fill="E5FFFF"/>
          </w:tcPr>
          <w:p>
            <w:pPr>
              <w:spacing w:after="0"/>
              <w:rPr>
                <w:sz w:val="16"/>
                <w:szCs w:val="16"/>
                <w:color w:val="auto"/>
              </w:rPr>
            </w:pPr>
          </w:p>
        </w:tc>
        <w:tc>
          <w:tcPr>
            <w:tcW w:w="5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353"/>
        </w:trPr>
        <w:tc>
          <w:tcPr>
            <w:tcW w:w="308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FFFF"/>
          </w:tcPr>
          <w:p>
            <w:pPr>
              <w:spacing w:after="0"/>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6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52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32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0"/>
                <w:szCs w:val="20"/>
                <w:color w:val="auto"/>
              </w:rPr>
            </w:pPr>
            <w:r>
              <w:rPr>
                <w:rFonts w:ascii="Arial" w:cs="Arial" w:eastAsia="Arial" w:hAnsi="Arial"/>
                <w:sz w:val="14"/>
                <w:szCs w:val="14"/>
                <w:color w:val="auto"/>
              </w:rPr>
              <w:t>Issuance of equity awards and stock based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20"/>
                <w:szCs w:val="20"/>
                <w:color w:val="auto"/>
              </w:rPr>
            </w:pPr>
            <w:r>
              <w:rPr>
                <w:rFonts w:ascii="Arial" w:cs="Arial" w:eastAsia="Arial" w:hAnsi="Arial"/>
                <w:sz w:val="14"/>
                <w:szCs w:val="14"/>
                <w:color w:val="auto"/>
              </w:rPr>
              <w:t>compensation expense</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E5FFFF"/>
          </w:tcPr>
          <w:p>
            <w:pPr>
              <w:spacing w:after="0"/>
              <w:rPr>
                <w:sz w:val="20"/>
                <w:szCs w:val="20"/>
                <w:color w:val="auto"/>
              </w:rPr>
            </w:pPr>
            <w:r>
              <w:rPr>
                <w:rFonts w:ascii="Arial" w:cs="Arial" w:eastAsia="Arial" w:hAnsi="Arial"/>
                <w:sz w:val="14"/>
                <w:szCs w:val="14"/>
                <w:color w:val="auto"/>
              </w:rPr>
              <w:t>Balance at April 30, 2020</w:t>
            </w: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29,853</w:t>
            </w:r>
          </w:p>
        </w:tc>
        <w:tc>
          <w:tcPr>
            <w:tcW w:w="30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4"/>
                <w:szCs w:val="14"/>
                <w:color w:val="auto"/>
                <w:w w:val="91"/>
              </w:rPr>
              <w:t>$ 299</w:t>
            </w:r>
          </w:p>
        </w:tc>
        <w:tc>
          <w:tcPr>
            <w:tcW w:w="320" w:type="dxa"/>
            <w:vAlign w:val="bottom"/>
            <w:shd w:val="clear" w:color="auto" w:fill="E5FFFF"/>
          </w:tcPr>
          <w:p>
            <w:pPr>
              <w:spacing w:after="0"/>
              <w:rPr>
                <w:sz w:val="15"/>
                <w:szCs w:val="15"/>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23,639</w:t>
            </w:r>
          </w:p>
        </w:tc>
        <w:tc>
          <w:tcPr>
            <w:tcW w:w="320" w:type="dxa"/>
            <w:vAlign w:val="bottom"/>
            <w:shd w:val="clear" w:color="auto" w:fill="E5FFFF"/>
          </w:tcPr>
          <w:p>
            <w:pPr>
              <w:spacing w:after="0"/>
              <w:rPr>
                <w:sz w:val="15"/>
                <w:szCs w:val="15"/>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w w:val="92"/>
              </w:rPr>
              <w:t>$ (338,982)</w:t>
            </w:r>
          </w:p>
        </w:tc>
        <w:tc>
          <w:tcPr>
            <w:tcW w:w="320" w:type="dxa"/>
            <w:vAlign w:val="bottom"/>
            <w:shd w:val="clear" w:color="auto" w:fill="E5FFFF"/>
          </w:tcPr>
          <w:p>
            <w:pPr>
              <w:spacing w:after="0"/>
              <w:rPr>
                <w:sz w:val="15"/>
                <w:szCs w:val="15"/>
                <w:color w:val="auto"/>
              </w:rPr>
            </w:pPr>
          </w:p>
        </w:tc>
        <w:tc>
          <w:tcPr>
            <w:tcW w:w="8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148,821</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w w:val="98"/>
              </w:rPr>
              <w:t>579,350</w:t>
            </w:r>
          </w:p>
        </w:tc>
        <w:tc>
          <w:tcPr>
            <w:tcW w:w="132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$ 51,779</w:t>
            </w:r>
          </w:p>
        </w:tc>
        <w:tc>
          <w:tcPr>
            <w:tcW w:w="26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441,267</w:t>
            </w:r>
          </w:p>
        </w:tc>
        <w:tc>
          <w:tcPr>
            <w:tcW w:w="0" w:type="dxa"/>
            <w:vAlign w:val="bottom"/>
          </w:tcPr>
          <w:p>
            <w:pPr>
              <w:spacing w:after="0"/>
              <w:rPr>
                <w:sz w:val="1"/>
                <w:szCs w:val="1"/>
                <w:color w:val="auto"/>
              </w:rPr>
            </w:pPr>
          </w:p>
        </w:tc>
      </w:tr>
      <w:tr>
        <w:trPr>
          <w:trHeight w:val="20"/>
        </w:trPr>
        <w:tc>
          <w:tcPr>
            <w:tcW w:w="308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080" w:type="dxa"/>
            <w:vAlign w:val="bottom"/>
          </w:tcPr>
          <w:p>
            <w:pPr>
              <w:spacing w:after="0"/>
              <w:rPr>
                <w:sz w:val="20"/>
                <w:szCs w:val="20"/>
                <w:color w:val="auto"/>
              </w:rPr>
            </w:pPr>
            <w:r>
              <w:rPr>
                <w:rFonts w:ascii="Arial" w:cs="Arial" w:eastAsia="Arial" w:hAnsi="Arial"/>
                <w:sz w:val="14"/>
                <w:szCs w:val="14"/>
                <w:color w:val="auto"/>
              </w:rPr>
              <w:t>Balance at January 31, 2019</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29,853</w:t>
            </w:r>
          </w:p>
        </w:tc>
        <w:tc>
          <w:tcPr>
            <w:tcW w:w="60" w:type="dxa"/>
            <w:vAlign w:val="bottom"/>
          </w:tcPr>
          <w:p>
            <w:pPr>
              <w:spacing w:after="0"/>
              <w:rPr>
                <w:sz w:val="24"/>
                <w:szCs w:val="2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$ 299</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23,580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w w:val="92"/>
              </w:rPr>
              <w:t>$ (335,193)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148,273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579,558</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$ 52,334</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445,271</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2,821</w:t>
            </w:r>
          </w:p>
        </w:tc>
        <w:tc>
          <w:tcPr>
            <w:tcW w:w="132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894</w:t>
            </w: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312"/>
        </w:trPr>
        <w:tc>
          <w:tcPr>
            <w:tcW w:w="308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32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8"/>
        </w:trPr>
        <w:tc>
          <w:tcPr>
            <w:tcW w:w="3080" w:type="dxa"/>
            <w:vAlign w:val="bottom"/>
          </w:tcPr>
          <w:p>
            <w:pPr>
              <w:spacing w:after="0"/>
              <w:rPr>
                <w:sz w:val="20"/>
                <w:szCs w:val="20"/>
                <w:color w:val="auto"/>
              </w:rPr>
            </w:pPr>
            <w:r>
              <w:rPr>
                <w:rFonts w:ascii="Arial" w:cs="Arial" w:eastAsia="Arial" w:hAnsi="Arial"/>
                <w:sz w:val="14"/>
                <w:szCs w:val="14"/>
                <w:color w:val="auto"/>
              </w:rPr>
              <w:t>Issuance of equity awards and stock based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20"/>
                <w:szCs w:val="20"/>
                <w:color w:val="auto"/>
              </w:rPr>
            </w:pPr>
            <w:r>
              <w:rPr>
                <w:rFonts w:ascii="Arial" w:cs="Arial" w:eastAsia="Arial" w:hAnsi="Arial"/>
                <w:sz w:val="14"/>
                <w:szCs w:val="14"/>
                <w:color w:val="auto"/>
              </w:rPr>
              <w:t>compensation expense</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E5FFFF"/>
          </w:tcPr>
          <w:p>
            <w:pPr>
              <w:spacing w:after="0"/>
              <w:rPr>
                <w:sz w:val="20"/>
                <w:szCs w:val="20"/>
                <w:color w:val="auto"/>
              </w:rPr>
            </w:pPr>
            <w:r>
              <w:rPr>
                <w:rFonts w:ascii="Arial" w:cs="Arial" w:eastAsia="Arial" w:hAnsi="Arial"/>
                <w:sz w:val="14"/>
                <w:szCs w:val="14"/>
                <w:color w:val="auto"/>
              </w:rPr>
              <w:t>Balance at April 30, 2019</w:t>
            </w: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29,853</w:t>
            </w:r>
          </w:p>
        </w:tc>
        <w:tc>
          <w:tcPr>
            <w:tcW w:w="60" w:type="dxa"/>
            <w:vAlign w:val="bottom"/>
            <w:shd w:val="clear" w:color="auto" w:fill="E5FFFF"/>
          </w:tcPr>
          <w:p>
            <w:pPr>
              <w:spacing w:after="0"/>
              <w:rPr>
                <w:sz w:val="15"/>
                <w:szCs w:val="15"/>
                <w:color w:val="auto"/>
              </w:rPr>
            </w:pPr>
          </w:p>
        </w:tc>
        <w:tc>
          <w:tcPr>
            <w:tcW w:w="92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rPr>
              <w:t>$ 299</w:t>
            </w:r>
          </w:p>
        </w:tc>
        <w:tc>
          <w:tcPr>
            <w:tcW w:w="9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23,580</w:t>
            </w: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w w:val="92"/>
              </w:rPr>
              <w:t>$ (335,186)</w:t>
            </w:r>
          </w:p>
        </w:tc>
        <w:tc>
          <w:tcPr>
            <w:tcW w:w="8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148,303</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w w:val="98"/>
              </w:rPr>
              <w:t>582,379</w:t>
            </w:r>
          </w:p>
        </w:tc>
        <w:tc>
          <w:tcPr>
            <w:tcW w:w="132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$ 53,287</w:t>
            </w:r>
          </w:p>
        </w:tc>
        <w:tc>
          <w:tcPr>
            <w:tcW w:w="26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449,082</w:t>
            </w:r>
          </w:p>
        </w:tc>
        <w:tc>
          <w:tcPr>
            <w:tcW w:w="0" w:type="dxa"/>
            <w:vAlign w:val="bottom"/>
          </w:tcPr>
          <w:p>
            <w:pPr>
              <w:spacing w:after="0"/>
              <w:rPr>
                <w:sz w:val="1"/>
                <w:szCs w:val="1"/>
                <w:color w:val="auto"/>
              </w:rPr>
            </w:pPr>
          </w:p>
        </w:tc>
      </w:tr>
      <w:tr>
        <w:trPr>
          <w:trHeight w:val="20"/>
        </w:trPr>
        <w:tc>
          <w:tcPr>
            <w:tcW w:w="308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06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b w:val="1"/>
                <w:bCs w:val="1"/>
                <w:color w:val="auto"/>
              </w:rPr>
              <w:t>Consolidated Condensed Statements of Cash Flows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18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2"/>
        </w:trPr>
        <w:tc>
          <w:tcPr>
            <w:tcW w:w="9060" w:type="dxa"/>
            <w:vAlign w:val="bottom"/>
          </w:tcPr>
          <w:p>
            <w:pPr>
              <w:spacing w:after="0"/>
              <w:rPr>
                <w:sz w:val="20"/>
                <w:szCs w:val="20"/>
                <w:color w:val="auto"/>
              </w:rPr>
            </w:pPr>
            <w:r>
              <w:rPr>
                <w:rFonts w:ascii="Arial" w:cs="Arial" w:eastAsia="Arial" w:hAnsi="Arial"/>
                <w:sz w:val="18"/>
                <w:szCs w:val="18"/>
                <w:color w:val="auto"/>
              </w:rPr>
              <w:t>(In Thousands)</w:t>
            </w:r>
          </w:p>
        </w:tc>
        <w:tc>
          <w:tcPr>
            <w:tcW w:w="21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spacing w:after="0"/>
              <w:rPr>
                <w:sz w:val="19"/>
                <w:szCs w:val="19"/>
                <w:color w:val="auto"/>
              </w:rPr>
            </w:pPr>
          </w:p>
        </w:tc>
        <w:tc>
          <w:tcPr>
            <w:tcW w:w="15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5"/>
              </w:rPr>
              <w:t>April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9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Net (loss) income including noncontrolling interests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 (8,430)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7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5,315</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Loss (income) from equity method investments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(1,748)</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98"/>
              </w:rPr>
              <w:t>(3,619)</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10,197</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8,366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(1,673)</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assets</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(11,934)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liabilities</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E5FFFF"/>
          </w:tcPr>
          <w:p>
            <w:pPr>
              <w:spacing w:after="0"/>
              <w:rPr>
                <w:sz w:val="19"/>
                <w:szCs w:val="19"/>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98"/>
              </w:rPr>
              <w:t>(3,365)</w:t>
            </w:r>
          </w:p>
        </w:tc>
        <w:tc>
          <w:tcPr>
            <w:tcW w:w="0" w:type="dxa"/>
            <w:vAlign w:val="bottom"/>
          </w:tcPr>
          <w:p>
            <w:pPr>
              <w:spacing w:after="0"/>
              <w:rPr>
                <w:sz w:val="1"/>
                <w:szCs w:val="1"/>
                <w:color w:val="auto"/>
              </w:rPr>
            </w:pPr>
          </w:p>
        </w:tc>
      </w:tr>
      <w:tr>
        <w:trPr>
          <w:trHeight w:val="210"/>
        </w:trPr>
        <w:tc>
          <w:tcPr>
            <w:tcW w:w="9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4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Purchase of short-term investments</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(19,237)</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Sale of short-term investments</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12,834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E5FFFF"/>
          </w:tcPr>
          <w:p>
            <w:pPr>
              <w:spacing w:after="0"/>
              <w:rPr>
                <w:sz w:val="19"/>
                <w:szCs w:val="19"/>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9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64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Treasury stock acquired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(3,923)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3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Capital contributions from minority investor</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9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(3,948)</w:t>
            </w:r>
          </w:p>
        </w:tc>
        <w:tc>
          <w:tcPr>
            <w:tcW w:w="6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(15,590)</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180,771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462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$ 165,181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4629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15,974</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188,812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445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$ 204,786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4457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8340" w:space="720"/>
            <w:col w:w="720" w:space="660"/>
            <w:col w:w="800"/>
          </w:cols>
          <w:pgMar w:left="320" w:top="405" w:right="3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90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E5FFFF"/>
              <w:bottom w:val="single" w:sz="8" w:color="E5FF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6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06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Initial right-of-use assets and liabilities recorded upon adoption of ASC 842</w:t>
            </w: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20,918</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6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w:t>
            </w:r>
          </w:p>
        </w:tc>
        <w:tc>
          <w:tcPr>
            <w:tcW w:w="64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Reconciliation of total cash, cash equivalents and restricted cash:</w:t>
            </w:r>
          </w:p>
        </w:tc>
        <w:tc>
          <w:tcPr>
            <w:tcW w:w="1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163,771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204,704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E5FFFF"/>
          </w:tcPr>
          <w:p>
            <w:pPr>
              <w:spacing w:after="0"/>
              <w:rPr>
                <w:sz w:val="19"/>
                <w:szCs w:val="19"/>
                <w:color w:val="auto"/>
              </w:rPr>
            </w:pPr>
          </w:p>
        </w:tc>
        <w:tc>
          <w:tcPr>
            <w:tcW w:w="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165,181</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204,786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6" w:name="page7"/>
    <w:bookmarkEnd w:id="6"/>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April 30,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2020 included in these financial statements has been derived from the audited consolidated financial statements included in the Company’s Annual Report on Form 10-K for the year ended January 31, 2020 (fiscal year 2019). It is suggested that these unaudited consolidated condensed financial statements be read in conjunction with the consolidated financial statements and the notes thereto included in the Company’s Annual Report on Form 10-K for the year ended January 31, 2020.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21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The interim consolidated condensed financial statements have been prepared in accordance with the accounting policies described in the notes to the consolidated financial statements included in the Company’s fiscal year 2019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the provision for income taxes. Any adjustments pursuant to such estimates during the quarter were of a normal recurring nature.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SG&amp;A expenses.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74"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8" w:name="page9"/>
    <w:bookmarkEnd w:id="8"/>
    <w:p>
      <w:pPr>
        <w:ind w:right="180"/>
        <w:spacing w:after="0" w:line="274" w:lineRule="auto"/>
        <w:rPr>
          <w:sz w:val="20"/>
          <w:szCs w:val="20"/>
          <w:color w:val="auto"/>
        </w:rPr>
      </w:pPr>
      <w:r>
        <w:rPr>
          <w:rFonts w:ascii="Arial" w:cs="Arial" w:eastAsia="Arial" w:hAnsi="Arial"/>
          <w:sz w:val="21"/>
          <w:szCs w:val="21"/>
          <w:color w:val="auto"/>
        </w:rPr>
        <w:t>issue derivative financial instruments for trading or speculative purposes. The changes in fair value of these derivative financial instruments are recognized in current period earnings as the Company does not use hedge accounting.</w:t>
      </w:r>
    </w:p>
    <w:p>
      <w:pPr>
        <w:spacing w:after="0" w:line="178"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2020 and 2019.</w:t>
      </w:r>
    </w:p>
    <w:p>
      <w:pPr>
        <w:spacing w:after="0" w:line="21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income taxes of approximately $0.3 million and received refunds of income taxes of approximately $0.2 million during the three months ended April 30, 2020. The Company paid no income taxes nor received refunds of income taxes during the three months ended April 30, 2019.</w:t>
      </w:r>
    </w:p>
    <w:p>
      <w:pPr>
        <w:spacing w:after="0" w:line="21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As of April 30, 2020 and January 31, 2020, total unrecognized tax benefits were approximately $7,353,000. Accrued penalties and interest were approximately $18,000 and approximately $17,000 at April 30, 2020 and January 31, 2020, respectively. If the Company were to prevail on all unrecognized tax benefits recorded, the provision for income taxes would be reduced by approximately $7.3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and refined coal. Inventory is written down for instances when cost exceeds estimated net realizable value; such write-downs are based primarily upon commodity prices as the market value of inventory is often dependent upon changes in commodity prices. The Company recorded approximately $9.1 million and approximately $1.3 million of inventory write-downs in cost of sales at April 30, 2020 and January 31, 2020, respectively. Fluctuations in the write-down of inventory generally relate to the levels and composition of such inventory and changes in commodity prices at a given point in time. The components of inventory are as follows as of the dates presented (amounts in thousands):</w:t>
      </w:r>
    </w:p>
    <w:p>
      <w:pPr>
        <w:sectPr>
          <w:pgSz w:w="11900" w:h="16838" w:orient="portrait"/>
          <w:cols w:equalWidth="0" w:num="1">
            <w:col w:w="11220"/>
          </w:cols>
          <w:pgMar w:left="320" w:top="4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0"/>
        <w:spacing w:after="0" w:line="239" w:lineRule="auto"/>
        <w:rPr>
          <w:sz w:val="20"/>
          <w:szCs w:val="20"/>
          <w:color w:val="auto"/>
        </w:rPr>
      </w:pPr>
      <w:r>
        <w:rPr>
          <w:rFonts w:ascii="Arial" w:cs="Arial" w:eastAsia="Arial" w:hAnsi="Arial"/>
          <w:sz w:val="22"/>
          <w:szCs w:val="22"/>
          <w:color w:val="auto"/>
        </w:rPr>
        <w:t>Ethanol and other finished goods Work in process</w:t>
      </w:r>
    </w:p>
    <w:p>
      <w:pPr>
        <w:ind w:right="1680"/>
        <w:spacing w:after="0" w:line="246" w:lineRule="auto"/>
        <w:rPr>
          <w:sz w:val="20"/>
          <w:szCs w:val="20"/>
          <w:color w:val="auto"/>
        </w:rPr>
      </w:pPr>
      <w:r>
        <w:rPr>
          <w:rFonts w:ascii="Arial" w:cs="Arial" w:eastAsia="Arial" w:hAnsi="Arial"/>
          <w:sz w:val="22"/>
          <w:szCs w:val="22"/>
          <w:color w:val="auto"/>
        </w:rPr>
        <w:t>Grain and other raw materials 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April 30,</w:t>
            </w:r>
          </w:p>
        </w:tc>
        <w:tc>
          <w:tcPr>
            <w:tcW w:w="360" w:type="dxa"/>
            <w:vAlign w:val="bottom"/>
          </w:tcPr>
          <w:p>
            <w:pPr>
              <w:spacing w:after="0"/>
              <w:rPr>
                <w:sz w:val="21"/>
                <w:szCs w:val="21"/>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22"/>
                <w:szCs w:val="22"/>
                <w:b w:val="1"/>
                <w:bCs w:val="1"/>
                <w:color w:val="auto"/>
              </w:rPr>
              <w:t>January 31,</w:t>
            </w:r>
          </w:p>
        </w:tc>
      </w:tr>
      <w:tr>
        <w:trPr>
          <w:trHeight w:val="270"/>
        </w:trPr>
        <w:tc>
          <w:tcPr>
            <w:tcW w:w="10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22"/>
                <w:szCs w:val="22"/>
                <w:b w:val="1"/>
                <w:bCs w:val="1"/>
                <w:color w:val="auto"/>
              </w:rPr>
              <w:t>2020</w:t>
            </w:r>
          </w:p>
        </w:tc>
        <w:tc>
          <w:tcPr>
            <w:tcW w:w="3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22"/>
                <w:szCs w:val="22"/>
                <w:b w:val="1"/>
                <w:bCs w:val="1"/>
                <w:color w:val="auto"/>
              </w:rPr>
              <w:t>2020</w:t>
            </w:r>
          </w:p>
        </w:tc>
      </w:tr>
      <w:tr>
        <w:trPr>
          <w:trHeight w:val="458"/>
        </w:trPr>
        <w:tc>
          <w:tcPr>
            <w:tcW w:w="4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8,868</w:t>
            </w:r>
          </w:p>
        </w:tc>
        <w:tc>
          <w:tcPr>
            <w:tcW w:w="1760" w:type="dxa"/>
            <w:vAlign w:val="bottom"/>
            <w:gridSpan w:val="3"/>
          </w:tcPr>
          <w:p>
            <w:pPr>
              <w:jc w:val="right"/>
              <w:spacing w:after="0"/>
              <w:rPr>
                <w:sz w:val="20"/>
                <w:szCs w:val="20"/>
                <w:color w:val="auto"/>
              </w:rPr>
            </w:pPr>
            <w:r>
              <w:rPr>
                <w:rFonts w:ascii="Arial" w:cs="Arial" w:eastAsia="Arial" w:hAnsi="Arial"/>
                <w:sz w:val="22"/>
                <w:szCs w:val="22"/>
                <w:color w:val="auto"/>
              </w:rPr>
              <w:t>$10,864</w:t>
            </w:r>
          </w:p>
        </w:tc>
      </w:tr>
      <w:tr>
        <w:trPr>
          <w:trHeight w:val="257"/>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2,605</w:t>
            </w:r>
          </w:p>
        </w:tc>
        <w:tc>
          <w:tcPr>
            <w:tcW w:w="1760" w:type="dxa"/>
            <w:vAlign w:val="bottom"/>
            <w:gridSpan w:val="3"/>
          </w:tcPr>
          <w:p>
            <w:pPr>
              <w:jc w:val="right"/>
              <w:spacing w:after="0"/>
              <w:rPr>
                <w:sz w:val="20"/>
                <w:szCs w:val="20"/>
                <w:color w:val="auto"/>
              </w:rPr>
            </w:pPr>
            <w:r>
              <w:rPr>
                <w:rFonts w:ascii="Arial" w:cs="Arial" w:eastAsia="Arial" w:hAnsi="Arial"/>
                <w:sz w:val="22"/>
                <w:szCs w:val="22"/>
                <w:color w:val="auto"/>
              </w:rPr>
              <w:t>3,258</w:t>
            </w:r>
          </w:p>
        </w:tc>
      </w:tr>
      <w:tr>
        <w:trPr>
          <w:trHeight w:val="264"/>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15,795</w:t>
            </w:r>
          </w:p>
        </w:tc>
        <w:tc>
          <w:tcPr>
            <w:tcW w:w="1760" w:type="dxa"/>
            <w:vAlign w:val="bottom"/>
            <w:gridSpan w:val="3"/>
          </w:tcPr>
          <w:p>
            <w:pPr>
              <w:jc w:val="right"/>
              <w:spacing w:after="0"/>
              <w:rPr>
                <w:sz w:val="20"/>
                <w:szCs w:val="20"/>
                <w:color w:val="auto"/>
              </w:rPr>
            </w:pPr>
            <w:r>
              <w:rPr>
                <w:rFonts w:ascii="Arial" w:cs="Arial" w:eastAsia="Arial" w:hAnsi="Arial"/>
                <w:sz w:val="22"/>
                <w:szCs w:val="22"/>
                <w:color w:val="auto"/>
              </w:rPr>
              <w:t>21,512</w:t>
            </w:r>
          </w:p>
        </w:tc>
      </w:tr>
      <w:tr>
        <w:trPr>
          <w:trHeight w:val="250"/>
        </w:trPr>
        <w:tc>
          <w:tcPr>
            <w:tcW w:w="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6"/>
              </w:rPr>
              <w:t>27,268</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5"/>
              </w:rPr>
              <w:t>$</w:t>
            </w:r>
            <w:r>
              <w:rPr>
                <w:rFonts w:ascii="Arial" w:cs="Arial" w:eastAsia="Arial" w:hAnsi="Arial"/>
                <w:sz w:val="22"/>
                <w:szCs w:val="22"/>
                <w:color w:val="auto"/>
                <w:w w:val="85"/>
              </w:rPr>
              <w:t>35,634</w:t>
            </w:r>
          </w:p>
        </w:tc>
      </w:tr>
      <w:tr>
        <w:trPr>
          <w:trHeight w:val="20"/>
        </w:trPr>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3"/>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52"/>
              <w:spacing w:after="0"/>
              <w:rPr>
                <w:sz w:val="20"/>
                <w:szCs w:val="20"/>
                <w:color w:val="auto"/>
              </w:rPr>
            </w:pPr>
            <w:r>
              <w:rPr>
                <w:rFonts w:ascii="Arial" w:cs="Arial" w:eastAsia="Arial" w:hAnsi="Arial"/>
                <w:sz w:val="22"/>
                <w:szCs w:val="22"/>
                <w:color w:val="auto"/>
              </w:rPr>
              <w:t>9</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-948690</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-640080</wp:posOffset>
            </wp:positionV>
            <wp:extent cx="498919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130810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260" w:space="720"/>
            <w:col w:w="6240"/>
          </w:cols>
          <w:pgMar w:left="320" w:top="402"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1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9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 Company concluded that the impact of the COVID-19 pandemic and other factors are an indicator that impairment may exist related to certain of its long lived assets. As a result, the Company performed an impairment analysis and determined that there was no impairment. Although it is not possible to reliably estimate the duration of the pandemic and its financial impact, a prolonged significant downturn in the economy could negatively impact the Company’s results of operations and significantly reduce its expectation for future sales, profits and cash flows. Such a reduction in expected future performance could result in the impairment of long-lived assets. There were no impairment charges in the first three months of fiscal years 2020 or 2019.</w:t>
      </w:r>
    </w:p>
    <w:p>
      <w:pPr>
        <w:spacing w:after="0" w:line="21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8"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will be required to adopt this update effective February 1, 2021. The Company has not determined the effect of this update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15 for disaggregation of net sales and revenue by operating segment and by product.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At April 30, 2020,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expense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3"/>
          </w:tcPr>
          <w:p>
            <w:pPr>
              <w:jc w:val="center"/>
              <w:ind w:left="12"/>
              <w:spacing w:after="0"/>
              <w:rPr>
                <w:sz w:val="20"/>
                <w:szCs w:val="20"/>
                <w:color w:val="auto"/>
              </w:rPr>
            </w:pPr>
            <w:r>
              <w:rPr>
                <w:rFonts w:ascii="Arial" w:cs="Arial" w:eastAsia="Arial" w:hAnsi="Arial"/>
                <w:sz w:val="22"/>
                <w:szCs w:val="22"/>
                <w:b w:val="1"/>
                <w:bCs w:val="1"/>
                <w:color w:val="auto"/>
                <w:w w:val="90"/>
              </w:rPr>
              <w:t>Three Months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0"/>
              </w:rPr>
              <w:t>Three Months</w:t>
            </w:r>
          </w:p>
        </w:tc>
        <w:tc>
          <w:tcPr>
            <w:tcW w:w="0" w:type="dxa"/>
            <w:vAlign w:val="bottom"/>
          </w:tcPr>
          <w:p>
            <w:pPr>
              <w:spacing w:after="0"/>
              <w:rPr>
                <w:sz w:val="1"/>
                <w:szCs w:val="1"/>
                <w:color w:val="auto"/>
              </w:rPr>
            </w:pPr>
          </w:p>
        </w:tc>
      </w:tr>
      <w:tr>
        <w:trPr>
          <w:trHeight w:val="256"/>
        </w:trPr>
        <w:tc>
          <w:tcPr>
            <w:tcW w:w="1620" w:type="dxa"/>
            <w:vAlign w:val="bottom"/>
            <w:gridSpan w:val="3"/>
          </w:tcPr>
          <w:p>
            <w:pPr>
              <w:jc w:val="center"/>
              <w:ind w:left="32"/>
              <w:spacing w:after="0"/>
              <w:rPr>
                <w:sz w:val="20"/>
                <w:szCs w:val="20"/>
                <w:color w:val="auto"/>
              </w:rPr>
            </w:pPr>
            <w:r>
              <w:rPr>
                <w:rFonts w:ascii="Arial" w:cs="Arial" w:eastAsia="Arial" w:hAnsi="Arial"/>
                <w:sz w:val="22"/>
                <w:szCs w:val="22"/>
                <w:b w:val="1"/>
                <w:bCs w:val="1"/>
                <w:color w:val="auto"/>
                <w:w w:val="89"/>
              </w:rPr>
              <w:t>Ended</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Ended</w:t>
            </w:r>
          </w:p>
        </w:tc>
        <w:tc>
          <w:tcPr>
            <w:tcW w:w="0" w:type="dxa"/>
            <w:vAlign w:val="bottom"/>
          </w:tcPr>
          <w:p>
            <w:pPr>
              <w:spacing w:after="0"/>
              <w:rPr>
                <w:sz w:val="1"/>
                <w:szCs w:val="1"/>
                <w:color w:val="auto"/>
              </w:rPr>
            </w:pPr>
          </w:p>
        </w:tc>
      </w:tr>
      <w:tr>
        <w:trPr>
          <w:trHeight w:val="270"/>
        </w:trPr>
        <w:tc>
          <w:tcPr>
            <w:tcW w:w="162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22"/>
                <w:szCs w:val="22"/>
                <w:b w:val="1"/>
                <w:bCs w:val="1"/>
                <w:color w:val="auto"/>
                <w:w w:val="91"/>
              </w:rPr>
              <w:t>April 30, 2020</w:t>
            </w:r>
          </w:p>
        </w:tc>
        <w:tc>
          <w:tcPr>
            <w:tcW w:w="120" w:type="dxa"/>
            <w:vAlign w:val="bottom"/>
            <w:tcBorders>
              <w:bottom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1"/>
              </w:rPr>
              <w:t>April 30, 2019</w:t>
            </w:r>
          </w:p>
        </w:tc>
        <w:tc>
          <w:tcPr>
            <w:tcW w:w="0" w:type="dxa"/>
            <w:vAlign w:val="bottom"/>
          </w:tcPr>
          <w:p>
            <w:pPr>
              <w:spacing w:after="0"/>
              <w:rPr>
                <w:sz w:val="1"/>
                <w:szCs w:val="1"/>
                <w:color w:val="auto"/>
              </w:rPr>
            </w:pPr>
          </w:p>
        </w:tc>
      </w:tr>
      <w:tr>
        <w:trPr>
          <w:trHeight w:val="472"/>
        </w:trPr>
        <w:tc>
          <w:tcPr>
            <w:tcW w:w="1160" w:type="dxa"/>
            <w:vAlign w:val="bottom"/>
            <w:gridSpan w:val="2"/>
          </w:tcPr>
          <w:p>
            <w:pPr>
              <w:jc w:val="right"/>
              <w:spacing w:after="0"/>
              <w:rPr>
                <w:sz w:val="20"/>
                <w:szCs w:val="20"/>
                <w:color w:val="auto"/>
              </w:rPr>
            </w:pPr>
            <w:r>
              <w:rPr>
                <w:rFonts w:ascii="Arial" w:cs="Arial" w:eastAsia="Arial" w:hAnsi="Arial"/>
                <w:sz w:val="22"/>
                <w:szCs w:val="22"/>
                <w:color w:val="auto"/>
              </w:rPr>
              <w:t>$1,686</w:t>
            </w:r>
          </w:p>
        </w:tc>
        <w:tc>
          <w:tcPr>
            <w:tcW w:w="4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$1,609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gridSpan w:val="2"/>
          </w:tcPr>
          <w:p>
            <w:pPr>
              <w:jc w:val="right"/>
              <w:spacing w:after="0"/>
              <w:rPr>
                <w:sz w:val="20"/>
                <w:szCs w:val="20"/>
                <w:color w:val="auto"/>
              </w:rPr>
            </w:pPr>
            <w:r>
              <w:rPr>
                <w:rFonts w:ascii="Arial" w:cs="Arial" w:eastAsia="Arial" w:hAnsi="Arial"/>
                <w:sz w:val="22"/>
                <w:szCs w:val="22"/>
                <w:color w:val="auto"/>
              </w:rPr>
              <w:t>131</w:t>
            </w:r>
          </w:p>
        </w:tc>
        <w:tc>
          <w:tcPr>
            <w:tcW w:w="460" w:type="dxa"/>
            <w:vAlign w:val="bottom"/>
          </w:tcPr>
          <w:p>
            <w:pPr>
              <w:spacing w:after="0"/>
              <w:rPr>
                <w:sz w:val="22"/>
                <w:szCs w:val="22"/>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193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3"/>
              </w:rPr>
              <w:t>$</w:t>
            </w:r>
            <w:r>
              <w:rPr>
                <w:rFonts w:ascii="Arial" w:cs="Arial" w:eastAsia="Arial" w:hAnsi="Arial"/>
                <w:sz w:val="22"/>
                <w:szCs w:val="22"/>
                <w:color w:val="auto"/>
                <w:w w:val="83"/>
              </w:rPr>
              <w:t>1,817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3"/>
              </w:rPr>
              <w:t>$</w:t>
            </w:r>
            <w:r>
              <w:rPr>
                <w:rFonts w:ascii="Arial" w:cs="Arial" w:eastAsia="Arial" w:hAnsi="Arial"/>
                <w:sz w:val="22"/>
                <w:szCs w:val="22"/>
                <w:color w:val="auto"/>
                <w:w w:val="83"/>
              </w:rPr>
              <w:t>1,802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22"/>
                <w:szCs w:val="22"/>
                <w:color w:val="auto"/>
              </w:rPr>
              <w:t>11</w:t>
            </w: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-794385</wp:posOffset>
            </wp:positionV>
            <wp:extent cx="49891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-477520</wp:posOffset>
            </wp:positionV>
            <wp:extent cx="498919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130810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100" w:space="720"/>
            <w:col w:w="7400"/>
          </w:cols>
          <w:pgMar w:left="320" w:top="396" w:right="359" w:bottom="1440" w:gutter="0" w:footer="0" w:header="0"/>
          <w:type w:val="continuous"/>
        </w:sectPr>
      </w:pPr>
    </w:p>
    <w:bookmarkStart w:id="11" w:name="page12"/>
    <w:bookmarkEnd w:id="11"/>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April 30,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4"/>
          </w:tcPr>
          <w:p>
            <w:pPr>
              <w:ind w:left="280"/>
              <w:spacing w:after="0"/>
              <w:rPr>
                <w:sz w:val="20"/>
                <w:szCs w:val="20"/>
                <w:color w:val="auto"/>
              </w:rPr>
            </w:pPr>
            <w:r>
              <w:rPr>
                <w:rFonts w:ascii="Arial" w:cs="Arial" w:eastAsia="Arial" w:hAnsi="Arial"/>
                <w:sz w:val="22"/>
                <w:szCs w:val="22"/>
                <w:b w:val="1"/>
                <w:bCs w:val="1"/>
                <w:color w:val="auto"/>
              </w:rPr>
              <w:t>Minimum</w:t>
            </w:r>
          </w:p>
        </w:tc>
      </w:tr>
      <w:tr>
        <w:trPr>
          <w:trHeight w:val="270"/>
        </w:trPr>
        <w:tc>
          <w:tcPr>
            <w:tcW w:w="3180" w:type="dxa"/>
            <w:vAlign w:val="bottom"/>
            <w:gridSpan w:val="2"/>
          </w:tcPr>
          <w:p>
            <w:pPr>
              <w:spacing w:after="0"/>
              <w:rPr>
                <w:sz w:val="20"/>
                <w:szCs w:val="20"/>
                <w:color w:val="auto"/>
              </w:rPr>
            </w:pPr>
            <w:r>
              <w:rPr>
                <w:rFonts w:ascii="Arial" w:cs="Arial" w:eastAsia="Arial" w:hAnsi="Arial"/>
                <w:sz w:val="22"/>
                <w:szCs w:val="22"/>
                <w:b w:val="1"/>
                <w:bCs w:val="1"/>
                <w:color w:val="auto"/>
              </w:rPr>
              <w:t>Years Ended January 31,</w:t>
            </w:r>
          </w:p>
        </w:tc>
        <w:tc>
          <w:tcPr>
            <w:tcW w:w="560" w:type="dxa"/>
            <w:vAlign w:val="bottom"/>
          </w:tcPr>
          <w:p>
            <w:pPr>
              <w:spacing w:after="0"/>
              <w:rPr>
                <w:sz w:val="23"/>
                <w:szCs w:val="23"/>
                <w:color w:val="auto"/>
              </w:rPr>
            </w:pPr>
          </w:p>
        </w:tc>
        <w:tc>
          <w:tcPr>
            <w:tcW w:w="740" w:type="dxa"/>
            <w:vAlign w:val="bottom"/>
            <w:gridSpan w:val="3"/>
          </w:tcPr>
          <w:p>
            <w:pPr>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232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1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2021</w:t>
            </w:r>
          </w:p>
        </w:tc>
        <w:tc>
          <w:tcPr>
            <w:tcW w:w="660" w:type="dxa"/>
            <w:vAlign w:val="bottom"/>
            <w:gridSpan w:val="2"/>
            <w:shd w:val="clear" w:color="auto" w:fill="E5FFFF"/>
          </w:tcPr>
          <w:p>
            <w:pPr>
              <w:ind w:left="560"/>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4,500</w:t>
            </w: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5,376</w:t>
            </w: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8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3,669</w:t>
            </w: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2,503</w:t>
            </w: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8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1,646</w:t>
            </w:r>
          </w:p>
        </w:tc>
      </w:tr>
      <w:tr>
        <w:trPr>
          <w:trHeight w:val="256"/>
        </w:trPr>
        <w:tc>
          <w:tcPr>
            <w:tcW w:w="318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2"/>
                <w:szCs w:val="22"/>
                <w:color w:val="auto"/>
              </w:rPr>
              <w:t>49</w:t>
            </w:r>
          </w:p>
        </w:tc>
      </w:tr>
      <w:tr>
        <w:trPr>
          <w:trHeight w:val="237"/>
        </w:trPr>
        <w:tc>
          <w:tcPr>
            <w:tcW w:w="318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56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17,743</w:t>
            </w:r>
          </w:p>
        </w:tc>
        <w:tc>
          <w:tcPr>
            <w:tcW w:w="40" w:type="dxa"/>
            <w:vAlign w:val="bottom"/>
            <w:tcBorders>
              <w:top w:val="single" w:sz="8" w:color="E5FFFF"/>
            </w:tcBorders>
            <w:shd w:val="clear" w:color="auto" w:fill="E5FFFF"/>
          </w:tcPr>
          <w:p>
            <w:pPr>
              <w:spacing w:after="0"/>
              <w:rPr>
                <w:sz w:val="20"/>
                <w:szCs w:val="20"/>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22"/>
                <w:szCs w:val="22"/>
                <w:color w:val="auto"/>
              </w:rPr>
              <w:t>Less: present value discount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2"/>
                <w:szCs w:val="22"/>
                <w:color w:val="auto"/>
              </w:rPr>
              <w:t>1,558</w:t>
            </w:r>
          </w:p>
        </w:tc>
      </w:tr>
      <w:tr>
        <w:trPr>
          <w:trHeight w:val="250"/>
        </w:trPr>
        <w:tc>
          <w:tcPr>
            <w:tcW w:w="31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6"/>
              </w:rPr>
              <w:t>16,185</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At April 30, 2020, the weighted average remaining lease term is 3.5 years and the weighted average discount rate is 5.28% for the above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00" w:type="dxa"/>
            <w:vAlign w:val="bottom"/>
            <w:gridSpan w:val="4"/>
          </w:tcPr>
          <w:p>
            <w:pPr>
              <w:ind w:left="280"/>
              <w:spacing w:after="0"/>
              <w:rPr>
                <w:sz w:val="20"/>
                <w:szCs w:val="20"/>
                <w:color w:val="auto"/>
              </w:rPr>
            </w:pPr>
            <w:r>
              <w:rPr>
                <w:rFonts w:ascii="Arial" w:cs="Arial" w:eastAsia="Arial" w:hAnsi="Arial"/>
                <w:sz w:val="22"/>
                <w:szCs w:val="22"/>
                <w:b w:val="1"/>
                <w:bCs w:val="1"/>
                <w:color w:val="auto"/>
              </w:rPr>
              <w:t>Minimum</w:t>
            </w:r>
          </w:p>
        </w:tc>
      </w:tr>
      <w:tr>
        <w:trPr>
          <w:trHeight w:val="270"/>
        </w:trPr>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Years Ended January 31,</w:t>
            </w:r>
          </w:p>
        </w:tc>
        <w:tc>
          <w:tcPr>
            <w:tcW w:w="560" w:type="dxa"/>
            <w:vAlign w:val="bottom"/>
          </w:tcPr>
          <w:p>
            <w:pPr>
              <w:spacing w:after="0"/>
              <w:rPr>
                <w:sz w:val="23"/>
                <w:szCs w:val="23"/>
                <w:color w:val="auto"/>
              </w:rPr>
            </w:pPr>
          </w:p>
        </w:tc>
        <w:tc>
          <w:tcPr>
            <w:tcW w:w="740" w:type="dxa"/>
            <w:vAlign w:val="bottom"/>
            <w:gridSpan w:val="3"/>
          </w:tcPr>
          <w:p>
            <w:pPr>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238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2021</w:t>
            </w:r>
          </w:p>
        </w:tc>
        <w:tc>
          <w:tcPr>
            <w:tcW w:w="8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ind w:left="560"/>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5,668</w:t>
            </w:r>
          </w:p>
        </w:tc>
      </w:tr>
      <w:tr>
        <w:trPr>
          <w:trHeight w:val="243"/>
        </w:trPr>
        <w:tc>
          <w:tcPr>
            <w:tcW w:w="238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4,958</w:t>
            </w:r>
          </w:p>
        </w:tc>
      </w:tr>
      <w:tr>
        <w:trPr>
          <w:trHeight w:val="243"/>
        </w:trPr>
        <w:tc>
          <w:tcPr>
            <w:tcW w:w="2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8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3,251</w:t>
            </w:r>
          </w:p>
        </w:tc>
      </w:tr>
      <w:tr>
        <w:trPr>
          <w:trHeight w:val="243"/>
        </w:trPr>
        <w:tc>
          <w:tcPr>
            <w:tcW w:w="238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2,085</w:t>
            </w:r>
          </w:p>
        </w:tc>
      </w:tr>
      <w:tr>
        <w:trPr>
          <w:trHeight w:val="243"/>
        </w:trPr>
        <w:tc>
          <w:tcPr>
            <w:tcW w:w="2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8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1,228</w:t>
            </w:r>
          </w:p>
        </w:tc>
      </w:tr>
      <w:tr>
        <w:trPr>
          <w:trHeight w:val="257"/>
        </w:trPr>
        <w:tc>
          <w:tcPr>
            <w:tcW w:w="318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2"/>
                <w:szCs w:val="22"/>
                <w:color w:val="auto"/>
              </w:rPr>
              <w:t>29</w:t>
            </w:r>
          </w:p>
        </w:tc>
      </w:tr>
      <w:tr>
        <w:trPr>
          <w:trHeight w:val="237"/>
        </w:trPr>
        <w:tc>
          <w:tcPr>
            <w:tcW w:w="318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56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17,219</w:t>
            </w:r>
          </w:p>
        </w:tc>
        <w:tc>
          <w:tcPr>
            <w:tcW w:w="40" w:type="dxa"/>
            <w:vAlign w:val="bottom"/>
            <w:tcBorders>
              <w:top w:val="single" w:sz="8" w:color="E5FFFF"/>
            </w:tcBorders>
            <w:shd w:val="clear" w:color="auto" w:fill="E5FFFF"/>
          </w:tcPr>
          <w:p>
            <w:pPr>
              <w:spacing w:after="0"/>
              <w:rPr>
                <w:sz w:val="20"/>
                <w:szCs w:val="20"/>
                <w:color w:val="auto"/>
              </w:rPr>
            </w:pPr>
          </w:p>
        </w:tc>
      </w:tr>
      <w:tr>
        <w:trPr>
          <w:trHeight w:val="256"/>
        </w:trPr>
        <w:tc>
          <w:tcPr>
            <w:tcW w:w="3180" w:type="dxa"/>
            <w:vAlign w:val="bottom"/>
            <w:gridSpan w:val="2"/>
          </w:tcPr>
          <w:p>
            <w:pPr>
              <w:spacing w:after="0"/>
              <w:rPr>
                <w:sz w:val="20"/>
                <w:szCs w:val="20"/>
                <w:color w:val="auto"/>
              </w:rPr>
            </w:pPr>
            <w:r>
              <w:rPr>
                <w:rFonts w:ascii="Arial" w:cs="Arial" w:eastAsia="Arial" w:hAnsi="Arial"/>
                <w:sz w:val="22"/>
                <w:szCs w:val="22"/>
                <w:color w:val="auto"/>
              </w:rPr>
              <w:t>Less: present value discount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2"/>
                <w:szCs w:val="22"/>
                <w:color w:val="auto"/>
              </w:rPr>
              <w:t>1,596</w:t>
            </w:r>
          </w:p>
        </w:tc>
      </w:tr>
      <w:tr>
        <w:trPr>
          <w:trHeight w:val="250"/>
        </w:trPr>
        <w:tc>
          <w:tcPr>
            <w:tcW w:w="31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6"/>
              </w:rPr>
              <w:t>15,623</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At January 31, 2020, the weighted average remaining lease term was 3.5 years and the weighted average discount rate was 5.46%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2" w:name="page13"/>
    <w:bookmarkEnd w:id="12"/>
    <w:p>
      <w:pPr>
        <w:ind w:right="1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120" w:firstLine="8"/>
        <w:spacing w:after="0" w:line="28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2020 are summarized below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tcPr>
          <w:p>
            <w:pPr>
              <w:spacing w:after="0"/>
              <w:rPr>
                <w:sz w:val="23"/>
                <w:szCs w:val="23"/>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22"/>
                <w:szCs w:val="22"/>
                <w:b w:val="1"/>
                <w:bCs w:val="1"/>
                <w:color w:val="auto"/>
              </w:rPr>
              <w:t>Level 1</w:t>
            </w:r>
          </w:p>
        </w:tc>
        <w:tc>
          <w:tcPr>
            <w:tcW w:w="1180" w:type="dxa"/>
            <w:vAlign w:val="bottom"/>
            <w:gridSpan w:val="4"/>
          </w:tcPr>
          <w:p>
            <w:pPr>
              <w:ind w:left="120"/>
              <w:spacing w:after="0"/>
              <w:rPr>
                <w:sz w:val="20"/>
                <w:szCs w:val="20"/>
                <w:color w:val="auto"/>
              </w:rPr>
            </w:pPr>
            <w:r>
              <w:rPr>
                <w:rFonts w:ascii="Arial" w:cs="Arial" w:eastAsia="Arial" w:hAnsi="Arial"/>
                <w:sz w:val="22"/>
                <w:szCs w:val="22"/>
                <w:b w:val="1"/>
                <w:bCs w:val="1"/>
                <w:color w:val="auto"/>
              </w:rPr>
              <w:t>Level 2</w:t>
            </w:r>
          </w:p>
        </w:tc>
        <w:tc>
          <w:tcPr>
            <w:tcW w:w="1200" w:type="dxa"/>
            <w:vAlign w:val="bottom"/>
            <w:gridSpan w:val="4"/>
          </w:tcPr>
          <w:p>
            <w:pPr>
              <w:jc w:val="right"/>
              <w:ind w:right="400"/>
              <w:spacing w:after="0"/>
              <w:rPr>
                <w:sz w:val="20"/>
                <w:szCs w:val="20"/>
                <w:color w:val="auto"/>
              </w:rPr>
            </w:pPr>
            <w:r>
              <w:rPr>
                <w:rFonts w:ascii="Arial" w:cs="Arial" w:eastAsia="Arial" w:hAnsi="Arial"/>
                <w:sz w:val="22"/>
                <w:szCs w:val="22"/>
                <w:b w:val="1"/>
                <w:bCs w:val="1"/>
                <w:color w:val="auto"/>
              </w:rPr>
              <w:t>Level 3</w:t>
            </w:r>
          </w:p>
        </w:tc>
        <w:tc>
          <w:tcPr>
            <w:tcW w:w="108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Fair Value</w:t>
            </w:r>
          </w:p>
        </w:tc>
        <w:tc>
          <w:tcPr>
            <w:tcW w:w="1140" w:type="dxa"/>
            <w:vAlign w:val="bottom"/>
          </w:tcPr>
          <w:p>
            <w:pPr>
              <w:spacing w:after="0"/>
              <w:rPr>
                <w:sz w:val="23"/>
                <w:szCs w:val="23"/>
                <w:color w:val="auto"/>
              </w:rPr>
            </w:pPr>
          </w:p>
        </w:tc>
      </w:tr>
      <w:tr>
        <w:trPr>
          <w:trHeight w:val="237"/>
        </w:trPr>
        <w:tc>
          <w:tcPr>
            <w:tcW w:w="544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Investment in cooperative (1)</w:t>
            </w:r>
          </w:p>
        </w:tc>
        <w:tc>
          <w:tcPr>
            <w:tcW w:w="520" w:type="dxa"/>
            <w:vAlign w:val="bottom"/>
            <w:tcBorders>
              <w:top w:val="single" w:sz="8" w:color="auto"/>
            </w:tcBorders>
            <w:gridSpan w:val="2"/>
            <w:shd w:val="clear" w:color="auto" w:fill="E5FFFF"/>
          </w:tcPr>
          <w:p>
            <w:pPr>
              <w:jc w:val="right"/>
              <w:ind w:right="123"/>
              <w:spacing w:after="0" w:line="237" w:lineRule="exact"/>
              <w:rPr>
                <w:sz w:val="20"/>
                <w:szCs w:val="20"/>
                <w:color w:val="auto"/>
              </w:rPr>
            </w:pPr>
            <w:r>
              <w:rPr>
                <w:rFonts w:ascii="Arial" w:cs="Arial" w:eastAsia="Arial" w:hAnsi="Arial"/>
                <w:sz w:val="22"/>
                <w:szCs w:val="22"/>
                <w:color w:val="auto"/>
              </w:rPr>
              <w:t>$</w:t>
            </w:r>
          </w:p>
        </w:tc>
        <w:tc>
          <w:tcPr>
            <w:tcW w:w="2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5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tcBorders>
            <w:shd w:val="clear" w:color="auto" w:fill="E5FFFF"/>
          </w:tcPr>
          <w:p>
            <w:pPr>
              <w:spacing w:after="0"/>
              <w:rPr>
                <w:sz w:val="20"/>
                <w:szCs w:val="20"/>
                <w:color w:val="auto"/>
              </w:rPr>
            </w:pPr>
          </w:p>
        </w:tc>
        <w:tc>
          <w:tcPr>
            <w:tcW w:w="38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341</w:t>
            </w:r>
          </w:p>
        </w:tc>
        <w:tc>
          <w:tcPr>
            <w:tcW w:w="400" w:type="dxa"/>
            <w:vAlign w:val="bottom"/>
            <w:tcBorders>
              <w:top w:val="single" w:sz="8" w:color="E5FFFF"/>
            </w:tcBorders>
            <w:shd w:val="clear" w:color="auto" w:fill="E5FFFF"/>
          </w:tcPr>
          <w:p>
            <w:pPr>
              <w:spacing w:after="0"/>
              <w:rPr>
                <w:sz w:val="20"/>
                <w:szCs w:val="20"/>
                <w:color w:val="auto"/>
              </w:rPr>
            </w:pPr>
          </w:p>
        </w:tc>
        <w:tc>
          <w:tcPr>
            <w:tcW w:w="44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341</w:t>
            </w:r>
          </w:p>
        </w:tc>
        <w:tc>
          <w:tcPr>
            <w:tcW w:w="80" w:type="dxa"/>
            <w:vAlign w:val="bottom"/>
            <w:tcBorders>
              <w:top w:val="single" w:sz="8" w:color="E5FFFF"/>
            </w:tcBorders>
            <w:shd w:val="clear" w:color="auto" w:fill="E5FFFF"/>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rPr>
              <w:t>Commodity futures (2)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22"/>
                <w:szCs w:val="22"/>
                <w:color w:val="auto"/>
              </w:rPr>
              <w:t>293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293</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54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23"/>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5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293</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341</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5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634</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22"/>
                <w:szCs w:val="22"/>
                <w:color w:val="auto"/>
              </w:rPr>
              <w:t>Forward purchase contracts (3)</w:t>
            </w:r>
          </w:p>
        </w:tc>
        <w:tc>
          <w:tcPr>
            <w:tcW w:w="520" w:type="dxa"/>
            <w:vAlign w:val="bottom"/>
            <w:gridSpan w:val="2"/>
          </w:tcPr>
          <w:p>
            <w:pPr>
              <w:jc w:val="right"/>
              <w:ind w:right="123"/>
              <w:spacing w:after="0"/>
              <w:rPr>
                <w:sz w:val="20"/>
                <w:szCs w:val="20"/>
                <w:color w:val="auto"/>
              </w:rPr>
            </w:pPr>
            <w:r>
              <w:rPr>
                <w:rFonts w:ascii="Arial" w:cs="Arial" w:eastAsia="Arial" w:hAnsi="Arial"/>
                <w:sz w:val="22"/>
                <w:szCs w:val="22"/>
                <w:color w:val="auto"/>
              </w:rPr>
              <w:t>$</w:t>
            </w:r>
          </w:p>
        </w:tc>
        <w:tc>
          <w:tcPr>
            <w:tcW w:w="68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3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22"/>
                <w:szCs w:val="22"/>
                <w:color w:val="auto"/>
              </w:rPr>
              <w:t>242</w:t>
            </w:r>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60" w:type="dxa"/>
            <w:vAlign w:val="bottom"/>
          </w:tcPr>
          <w:p>
            <w:pPr>
              <w:jc w:val="right"/>
              <w:spacing w:after="0"/>
              <w:rPr>
                <w:sz w:val="20"/>
                <w:szCs w:val="20"/>
                <w:color w:val="auto"/>
              </w:rPr>
            </w:pPr>
            <w:r>
              <w:rPr>
                <w:rFonts w:ascii="Arial" w:cs="Arial" w:eastAsia="Arial" w:hAnsi="Arial"/>
                <w:sz w:val="22"/>
                <w:szCs w:val="22"/>
                <w:color w:val="auto"/>
              </w:rPr>
              <w:t>242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440" w:type="dxa"/>
            <w:vAlign w:val="bottom"/>
            <w:shd w:val="clear" w:color="auto" w:fill="E5FFFF"/>
          </w:tcPr>
          <w:p>
            <w:pPr>
              <w:spacing w:after="0"/>
              <w:rPr>
                <w:sz w:val="20"/>
                <w:szCs w:val="20"/>
                <w:color w:val="auto"/>
              </w:rPr>
            </w:pPr>
            <w:r>
              <w:rPr>
                <w:rFonts w:ascii="Arial" w:cs="Arial" w:eastAsia="Arial" w:hAnsi="Arial"/>
                <w:sz w:val="22"/>
                <w:szCs w:val="22"/>
                <w:color w:val="auto"/>
              </w:rPr>
              <w:t>Commodity futures (3)</w:t>
            </w:r>
          </w:p>
        </w:tc>
        <w:tc>
          <w:tcPr>
            <w:tcW w:w="2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68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880" w:type="dxa"/>
            <w:vAlign w:val="bottom"/>
            <w:gridSpan w:val="2"/>
            <w:shd w:val="clear" w:color="auto" w:fill="E5FFFF"/>
          </w:tcPr>
          <w:p>
            <w:pPr>
              <w:jc w:val="right"/>
              <w:ind w:right="380"/>
              <w:spacing w:after="0"/>
              <w:rPr>
                <w:sz w:val="20"/>
                <w:szCs w:val="20"/>
                <w:color w:val="auto"/>
              </w:rPr>
            </w:pPr>
            <w:r>
              <w:rPr>
                <w:rFonts w:ascii="Arial" w:cs="Arial" w:eastAsia="Arial" w:hAnsi="Arial"/>
                <w:sz w:val="22"/>
                <w:szCs w:val="22"/>
                <w:color w:val="auto"/>
              </w:rPr>
              <w:t>773</w:t>
            </w:r>
          </w:p>
        </w:tc>
        <w:tc>
          <w:tcPr>
            <w:tcW w:w="2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773</w:t>
            </w:r>
          </w:p>
        </w:tc>
        <w:tc>
          <w:tcPr>
            <w:tcW w:w="80" w:type="dxa"/>
            <w:vAlign w:val="bottom"/>
            <w:shd w:val="clear" w:color="auto" w:fill="E5FFFF"/>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5440" w:type="dxa"/>
            <w:vAlign w:val="bottom"/>
          </w:tcPr>
          <w:p>
            <w:pPr>
              <w:spacing w:after="0" w:line="250" w:lineRule="exact"/>
              <w:rPr>
                <w:sz w:val="20"/>
                <w:szCs w:val="20"/>
                <w:color w:val="auto"/>
              </w:rPr>
            </w:pPr>
            <w:r>
              <w:rPr>
                <w:rFonts w:ascii="Arial" w:cs="Arial" w:eastAsia="Arial" w:hAnsi="Arial"/>
                <w:sz w:val="22"/>
                <w:szCs w:val="22"/>
                <w:color w:val="auto"/>
              </w:rPr>
              <w:t>Total liabilities</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1"/>
              </w:rPr>
              <w:t>$</w:t>
            </w:r>
          </w:p>
        </w:tc>
        <w:tc>
          <w:tcPr>
            <w:tcW w:w="5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1,015</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5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1,015</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3"/>
        </w:trPr>
        <w:tc>
          <w:tcPr>
            <w:tcW w:w="5440" w:type="dxa"/>
            <w:vAlign w:val="bottom"/>
          </w:tcPr>
          <w:p>
            <w:pPr>
              <w:spacing w:after="0"/>
              <w:rPr>
                <w:sz w:val="24"/>
                <w:szCs w:val="24"/>
                <w:color w:val="auto"/>
              </w:rPr>
            </w:pPr>
          </w:p>
        </w:tc>
        <w:tc>
          <w:tcPr>
            <w:tcW w:w="520" w:type="dxa"/>
            <w:vAlign w:val="bottom"/>
            <w:gridSpan w:val="2"/>
          </w:tcPr>
          <w:p>
            <w:pPr>
              <w:jc w:val="right"/>
              <w:ind w:right="123"/>
              <w:spacing w:after="0"/>
              <w:rPr>
                <w:sz w:val="20"/>
                <w:szCs w:val="20"/>
                <w:color w:val="auto"/>
              </w:rPr>
            </w:pPr>
            <w:r>
              <w:rPr>
                <w:rFonts w:ascii="Arial" w:cs="Arial" w:eastAsia="Arial" w:hAnsi="Arial"/>
                <w:sz w:val="22"/>
                <w:szCs w:val="22"/>
                <w:color w:val="auto"/>
              </w:rPr>
              <w:t>13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0"/>
        </w:trPr>
        <w:tc>
          <w:tcPr>
            <w:tcW w:w="5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3" w:name="page14"/>
    <w:bookmarkEnd w:id="13"/>
    <w:p>
      <w:pPr>
        <w:ind w:right="5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2020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tcPr>
          <w:p>
            <w:pPr>
              <w:spacing w:after="0"/>
              <w:rPr>
                <w:sz w:val="23"/>
                <w:szCs w:val="23"/>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22"/>
                <w:szCs w:val="22"/>
                <w:b w:val="1"/>
                <w:bCs w:val="1"/>
                <w:color w:val="auto"/>
              </w:rPr>
              <w:t>Level 1</w:t>
            </w:r>
          </w:p>
        </w:tc>
        <w:tc>
          <w:tcPr>
            <w:tcW w:w="1200" w:type="dxa"/>
            <w:vAlign w:val="bottom"/>
            <w:gridSpan w:val="4"/>
          </w:tcPr>
          <w:p>
            <w:pPr>
              <w:jc w:val="right"/>
              <w:ind w:right="400"/>
              <w:spacing w:after="0"/>
              <w:rPr>
                <w:sz w:val="20"/>
                <w:szCs w:val="20"/>
                <w:color w:val="auto"/>
              </w:rPr>
            </w:pPr>
            <w:r>
              <w:rPr>
                <w:rFonts w:ascii="Arial" w:cs="Arial" w:eastAsia="Arial" w:hAnsi="Arial"/>
                <w:sz w:val="22"/>
                <w:szCs w:val="22"/>
                <w:b w:val="1"/>
                <w:bCs w:val="1"/>
                <w:color w:val="auto"/>
              </w:rPr>
              <w:t>Level 2</w:t>
            </w:r>
          </w:p>
        </w:tc>
        <w:tc>
          <w:tcPr>
            <w:tcW w:w="1180" w:type="dxa"/>
            <w:vAlign w:val="bottom"/>
            <w:gridSpan w:val="4"/>
          </w:tcPr>
          <w:p>
            <w:pPr>
              <w:jc w:val="right"/>
              <w:ind w:right="400"/>
              <w:spacing w:after="0"/>
              <w:rPr>
                <w:sz w:val="20"/>
                <w:szCs w:val="20"/>
                <w:color w:val="auto"/>
              </w:rPr>
            </w:pPr>
            <w:r>
              <w:rPr>
                <w:rFonts w:ascii="Arial" w:cs="Arial" w:eastAsia="Arial" w:hAnsi="Arial"/>
                <w:sz w:val="22"/>
                <w:szCs w:val="22"/>
                <w:b w:val="1"/>
                <w:bCs w:val="1"/>
                <w:color w:val="auto"/>
              </w:rPr>
              <w:t>Level 3</w:t>
            </w:r>
          </w:p>
        </w:tc>
        <w:tc>
          <w:tcPr>
            <w:tcW w:w="1060" w:type="dxa"/>
            <w:vAlign w:val="bottom"/>
            <w:gridSpan w:val="5"/>
          </w:tcPr>
          <w:p>
            <w:pPr>
              <w:jc w:val="right"/>
              <w:ind w:right="80"/>
              <w:spacing w:after="0"/>
              <w:rPr>
                <w:sz w:val="20"/>
                <w:szCs w:val="20"/>
                <w:color w:val="auto"/>
              </w:rPr>
            </w:pPr>
            <w:r>
              <w:rPr>
                <w:rFonts w:ascii="Arial" w:cs="Arial" w:eastAsia="Arial" w:hAnsi="Arial"/>
                <w:sz w:val="22"/>
                <w:szCs w:val="22"/>
                <w:b w:val="1"/>
                <w:bCs w:val="1"/>
                <w:color w:val="auto"/>
                <w:w w:val="91"/>
              </w:rPr>
              <w:t>Fair Value</w:t>
            </w:r>
          </w:p>
        </w:tc>
        <w:tc>
          <w:tcPr>
            <w:tcW w:w="0" w:type="dxa"/>
            <w:vAlign w:val="bottom"/>
          </w:tcPr>
          <w:p>
            <w:pPr>
              <w:spacing w:after="0"/>
              <w:rPr>
                <w:sz w:val="1"/>
                <w:szCs w:val="1"/>
                <w:color w:val="auto"/>
              </w:rPr>
            </w:pPr>
          </w:p>
        </w:tc>
      </w:tr>
      <w:tr>
        <w:trPr>
          <w:trHeight w:val="237"/>
        </w:trPr>
        <w:tc>
          <w:tcPr>
            <w:tcW w:w="54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Investment in cooperative (1)</w:t>
            </w:r>
          </w:p>
        </w:tc>
        <w:tc>
          <w:tcPr>
            <w:tcW w:w="500" w:type="dxa"/>
            <w:vAlign w:val="bottom"/>
            <w:tcBorders>
              <w:top w:val="single" w:sz="8" w:color="auto"/>
            </w:tcBorders>
            <w:gridSpan w:val="2"/>
            <w:shd w:val="clear" w:color="auto" w:fill="E5FFFF"/>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3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tcBorders>
            <w:shd w:val="clear" w:color="auto" w:fill="E5FFFF"/>
          </w:tcPr>
          <w:p>
            <w:pPr>
              <w:spacing w:after="0"/>
              <w:rPr>
                <w:sz w:val="20"/>
                <w:szCs w:val="20"/>
                <w:color w:val="auto"/>
              </w:rPr>
            </w:pPr>
          </w:p>
        </w:tc>
        <w:tc>
          <w:tcPr>
            <w:tcW w:w="38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tcBorders>
            <w:shd w:val="clear" w:color="auto" w:fill="E5FFFF"/>
          </w:tcPr>
          <w:p>
            <w:pPr>
              <w:spacing w:after="0"/>
              <w:rPr>
                <w:sz w:val="20"/>
                <w:szCs w:val="20"/>
                <w:color w:val="auto"/>
              </w:rPr>
            </w:pPr>
          </w:p>
        </w:tc>
        <w:tc>
          <w:tcPr>
            <w:tcW w:w="380" w:type="dxa"/>
            <w:vAlign w:val="bottom"/>
            <w:tcBorders>
              <w:top w:val="single" w:sz="8" w:color="auto"/>
            </w:tcBorders>
            <w:gridSpan w:val="2"/>
            <w:shd w:val="clear" w:color="auto" w:fill="E5FFFF"/>
          </w:tcPr>
          <w:p>
            <w:pPr>
              <w:jc w:val="right"/>
              <w:ind w:right="3"/>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341</w:t>
            </w:r>
          </w:p>
        </w:tc>
        <w:tc>
          <w:tcPr>
            <w:tcW w:w="400" w:type="dxa"/>
            <w:vAlign w:val="bottom"/>
            <w:tcBorders>
              <w:top w:val="single" w:sz="8" w:color="E5FFFF"/>
            </w:tcBorders>
            <w:shd w:val="clear" w:color="auto" w:fill="E5FFFF"/>
          </w:tcPr>
          <w:p>
            <w:pPr>
              <w:spacing w:after="0"/>
              <w:rPr>
                <w:sz w:val="20"/>
                <w:szCs w:val="20"/>
                <w:color w:val="auto"/>
              </w:rPr>
            </w:pPr>
          </w:p>
        </w:tc>
        <w:tc>
          <w:tcPr>
            <w:tcW w:w="500" w:type="dxa"/>
            <w:vAlign w:val="bottom"/>
            <w:tcBorders>
              <w:top w:val="single" w:sz="8" w:color="auto"/>
            </w:tcBorders>
            <w:gridSpan w:val="3"/>
            <w:shd w:val="clear" w:color="auto" w:fill="E5FFFF"/>
          </w:tcPr>
          <w:p>
            <w:pPr>
              <w:jc w:val="right"/>
              <w:ind w:right="43"/>
              <w:spacing w:after="0" w:line="237" w:lineRule="exact"/>
              <w:rPr>
                <w:sz w:val="20"/>
                <w:szCs w:val="20"/>
                <w:color w:val="auto"/>
              </w:rPr>
            </w:pPr>
            <w:r>
              <w:rPr>
                <w:rFonts w:ascii="Arial" w:cs="Arial" w:eastAsia="Arial" w:hAnsi="Arial"/>
                <w:sz w:val="22"/>
                <w:szCs w:val="22"/>
                <w:color w:val="auto"/>
              </w:rPr>
              <w:t>$</w:t>
            </w:r>
          </w:p>
        </w:tc>
        <w:tc>
          <w:tcPr>
            <w:tcW w:w="4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341</w:t>
            </w: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Commodity futures (2)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22"/>
                <w:szCs w:val="22"/>
                <w:color w:val="auto"/>
              </w:rPr>
              <w:t>352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352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3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352</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341</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E5FFFF"/>
              <w:bottom w:val="single" w:sz="8" w:color="E5FFFF"/>
            </w:tcBorders>
            <w:gridSpan w:val="2"/>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w w:val="75"/>
              </w:rPr>
              <w:t>$</w:t>
            </w:r>
          </w:p>
        </w:tc>
        <w:tc>
          <w:tcPr>
            <w:tcW w:w="4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693</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22"/>
                <w:szCs w:val="22"/>
                <w:color w:val="auto"/>
              </w:rPr>
              <w:t>Forward purchase contract liability (3)</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480" w:type="dxa"/>
            <w:vAlign w:val="bottom"/>
            <w:vMerge w:val="continue"/>
          </w:tcPr>
          <w:p>
            <w:pPr>
              <w:spacing w:after="0"/>
              <w:rPr>
                <w:sz w:val="24"/>
                <w:szCs w:val="24"/>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22"/>
                <w:szCs w:val="22"/>
                <w:color w:val="auto"/>
              </w:rPr>
              <w:t>230</w:t>
            </w:r>
          </w:p>
        </w:tc>
        <w:tc>
          <w:tcPr>
            <w:tcW w:w="38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500" w:type="dxa"/>
            <w:vAlign w:val="bottom"/>
            <w:gridSpan w:val="3"/>
          </w:tcPr>
          <w:p>
            <w:pPr>
              <w:jc w:val="right"/>
              <w:ind w:right="43"/>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22"/>
                <w:szCs w:val="22"/>
                <w:color w:val="auto"/>
              </w:rPr>
              <w:t>230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82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commodity futures asset is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380" w:firstLine="656"/>
        <w:spacing w:after="0" w:line="236"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 liability and the commodity futures liability are included in “Accrued expenses and other current liabilities” on the accompanying Consolidated Condensed Balance Sheets.</w:t>
      </w:r>
    </w:p>
    <w:p>
      <w:pPr>
        <w:spacing w:after="0" w:line="21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April 30, 2020 or January 31, 2020.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1440" w:type="dxa"/>
            <w:vAlign w:val="bottom"/>
            <w:gridSpan w:val="3"/>
          </w:tcPr>
          <w:p>
            <w:pPr>
              <w:jc w:val="right"/>
              <w:ind w:right="232"/>
              <w:spacing w:after="0"/>
              <w:rPr>
                <w:sz w:val="20"/>
                <w:szCs w:val="20"/>
                <w:color w:val="auto"/>
              </w:rPr>
            </w:pPr>
            <w:r>
              <w:rPr>
                <w:rFonts w:ascii="Arial" w:cs="Arial" w:eastAsia="Arial" w:hAnsi="Arial"/>
                <w:sz w:val="22"/>
                <w:szCs w:val="22"/>
                <w:b w:val="1"/>
                <w:bCs w:val="1"/>
                <w:color w:val="auto"/>
              </w:rPr>
              <w:t>April 30,</w:t>
            </w:r>
          </w:p>
        </w:tc>
        <w:tc>
          <w:tcPr>
            <w:tcW w:w="380" w:type="dxa"/>
            <w:vAlign w:val="bottom"/>
          </w:tcPr>
          <w:p>
            <w:pPr>
              <w:spacing w:after="0"/>
              <w:rPr>
                <w:sz w:val="21"/>
                <w:szCs w:val="21"/>
                <w:color w:val="auto"/>
              </w:rPr>
            </w:pPr>
          </w:p>
        </w:tc>
        <w:tc>
          <w:tcPr>
            <w:tcW w:w="1580" w:type="dxa"/>
            <w:vAlign w:val="bottom"/>
            <w:gridSpan w:val="3"/>
          </w:tcPr>
          <w:p>
            <w:pPr>
              <w:jc w:val="right"/>
              <w:ind w:right="172"/>
              <w:spacing w:after="0"/>
              <w:rPr>
                <w:sz w:val="20"/>
                <w:szCs w:val="20"/>
                <w:color w:val="auto"/>
              </w:rPr>
            </w:pPr>
            <w:r>
              <w:rPr>
                <w:rFonts w:ascii="Arial" w:cs="Arial" w:eastAsia="Arial" w:hAnsi="Arial"/>
                <w:sz w:val="22"/>
                <w:szCs w:val="22"/>
                <w:b w:val="1"/>
                <w:bCs w:val="1"/>
                <w:color w:val="auto"/>
              </w:rPr>
              <w:t>January 31,</w:t>
            </w:r>
          </w:p>
        </w:tc>
        <w:tc>
          <w:tcPr>
            <w:tcW w:w="3380" w:type="dxa"/>
            <w:vAlign w:val="bottom"/>
          </w:tcPr>
          <w:p>
            <w:pPr>
              <w:spacing w:after="0"/>
              <w:rPr>
                <w:sz w:val="21"/>
                <w:szCs w:val="21"/>
                <w:color w:val="auto"/>
              </w:rPr>
            </w:pPr>
          </w:p>
        </w:tc>
      </w:tr>
      <w:tr>
        <w:trPr>
          <w:trHeight w:val="270"/>
        </w:trPr>
        <w:tc>
          <w:tcPr>
            <w:tcW w:w="4460" w:type="dxa"/>
            <w:vAlign w:val="bottom"/>
          </w:tcPr>
          <w:p>
            <w:pPr>
              <w:spacing w:after="0"/>
              <w:rPr>
                <w:sz w:val="23"/>
                <w:szCs w:val="23"/>
                <w:color w:val="auto"/>
              </w:rPr>
            </w:pPr>
          </w:p>
        </w:tc>
        <w:tc>
          <w:tcPr>
            <w:tcW w:w="1440" w:type="dxa"/>
            <w:vAlign w:val="bottom"/>
            <w:gridSpan w:val="3"/>
          </w:tcPr>
          <w:p>
            <w:pPr>
              <w:ind w:left="500"/>
              <w:spacing w:after="0"/>
              <w:rPr>
                <w:sz w:val="20"/>
                <w:szCs w:val="20"/>
                <w:color w:val="auto"/>
              </w:rPr>
            </w:pPr>
            <w:r>
              <w:rPr>
                <w:rFonts w:ascii="Arial" w:cs="Arial" w:eastAsia="Arial" w:hAnsi="Arial"/>
                <w:sz w:val="22"/>
                <w:szCs w:val="22"/>
                <w:b w:val="1"/>
                <w:bCs w:val="1"/>
                <w:color w:val="auto"/>
              </w:rPr>
              <w:t>2020</w:t>
            </w:r>
          </w:p>
        </w:tc>
        <w:tc>
          <w:tcPr>
            <w:tcW w:w="1960" w:type="dxa"/>
            <w:vAlign w:val="bottom"/>
            <w:gridSpan w:val="4"/>
          </w:tcPr>
          <w:p>
            <w:pPr>
              <w:ind w:left="920"/>
              <w:spacing w:after="0"/>
              <w:rPr>
                <w:sz w:val="20"/>
                <w:szCs w:val="20"/>
                <w:color w:val="auto"/>
              </w:rPr>
            </w:pPr>
            <w:r>
              <w:rPr>
                <w:rFonts w:ascii="Arial" w:cs="Arial" w:eastAsia="Arial" w:hAnsi="Arial"/>
                <w:sz w:val="22"/>
                <w:szCs w:val="22"/>
                <w:b w:val="1"/>
                <w:bCs w:val="1"/>
                <w:color w:val="auto"/>
              </w:rPr>
              <w:t>2020</w:t>
            </w:r>
          </w:p>
        </w:tc>
        <w:tc>
          <w:tcPr>
            <w:tcW w:w="3380" w:type="dxa"/>
            <w:vAlign w:val="bottom"/>
          </w:tcPr>
          <w:p>
            <w:pPr>
              <w:spacing w:after="0"/>
              <w:rPr>
                <w:sz w:val="23"/>
                <w:szCs w:val="23"/>
                <w:color w:val="auto"/>
              </w:rPr>
            </w:pPr>
          </w:p>
        </w:tc>
      </w:tr>
      <w:tr>
        <w:trPr>
          <w:trHeight w:val="237"/>
        </w:trPr>
        <w:tc>
          <w:tcPr>
            <w:tcW w:w="44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44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600" w:type="dxa"/>
            <w:vAlign w:val="bottom"/>
            <w:gridSpan w:val="2"/>
            <w:shd w:val="clear" w:color="auto" w:fill="E5FFFF"/>
          </w:tcPr>
          <w:p>
            <w:pPr>
              <w:ind w:left="480"/>
              <w:spacing w:after="0" w:line="243"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26,244</w:t>
            </w:r>
          </w:p>
        </w:tc>
        <w:tc>
          <w:tcPr>
            <w:tcW w:w="1040" w:type="dxa"/>
            <w:vAlign w:val="bottom"/>
            <w:gridSpan w:val="3"/>
            <w:shd w:val="clear" w:color="auto" w:fill="E5FFFF"/>
          </w:tcPr>
          <w:p>
            <w:pPr>
              <w:ind w:left="940"/>
              <w:spacing w:after="0"/>
              <w:rPr>
                <w:sz w:val="20"/>
                <w:szCs w:val="20"/>
                <w:color w:val="auto"/>
              </w:rPr>
            </w:pPr>
            <w:r>
              <w:rPr>
                <w:rFonts w:ascii="Arial" w:cs="Arial" w:eastAsia="Arial" w:hAnsi="Arial"/>
                <w:sz w:val="19"/>
                <w:szCs w:val="19"/>
                <w:color w:val="auto"/>
                <w:w w:val="75"/>
              </w:rPr>
              <w:t>$</w:t>
            </w:r>
          </w:p>
        </w:tc>
        <w:tc>
          <w:tcPr>
            <w:tcW w:w="9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21,957</w:t>
            </w:r>
          </w:p>
        </w:tc>
        <w:tc>
          <w:tcPr>
            <w:tcW w:w="3380" w:type="dxa"/>
            <w:vAlign w:val="bottom"/>
          </w:tcPr>
          <w:p>
            <w:pPr>
              <w:spacing w:after="0"/>
              <w:rPr>
                <w:sz w:val="21"/>
                <w:szCs w:val="21"/>
                <w:color w:val="auto"/>
              </w:rPr>
            </w:pP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23,643</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23,643</w:t>
            </w:r>
          </w:p>
        </w:tc>
        <w:tc>
          <w:tcPr>
            <w:tcW w:w="3380" w:type="dxa"/>
            <w:vAlign w:val="bottom"/>
          </w:tcPr>
          <w:p>
            <w:pPr>
              <w:spacing w:after="0"/>
              <w:rPr>
                <w:sz w:val="21"/>
                <w:szCs w:val="21"/>
                <w:color w:val="auto"/>
              </w:rPr>
            </w:pPr>
          </w:p>
        </w:tc>
      </w:tr>
      <w:tr>
        <w:trPr>
          <w:trHeight w:val="243"/>
        </w:trPr>
        <w:tc>
          <w:tcPr>
            <w:tcW w:w="44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4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301,049</w:t>
            </w:r>
          </w:p>
        </w:tc>
        <w:tc>
          <w:tcPr>
            <w:tcW w:w="3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300,972</w:t>
            </w:r>
          </w:p>
        </w:tc>
        <w:tc>
          <w:tcPr>
            <w:tcW w:w="3380" w:type="dxa"/>
            <w:vAlign w:val="bottom"/>
          </w:tcPr>
          <w:p>
            <w:pPr>
              <w:spacing w:after="0"/>
              <w:rPr>
                <w:sz w:val="21"/>
                <w:szCs w:val="21"/>
                <w:color w:val="auto"/>
              </w:rPr>
            </w:pPr>
          </w:p>
        </w:tc>
      </w:tr>
      <w:tr>
        <w:trPr>
          <w:trHeight w:val="257"/>
        </w:trPr>
        <w:tc>
          <w:tcPr>
            <w:tcW w:w="446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Construction in progress</w:t>
            </w:r>
          </w:p>
        </w:tc>
        <w:tc>
          <w:tcPr>
            <w:tcW w:w="48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950</w:t>
            </w:r>
          </w:p>
        </w:tc>
        <w:tc>
          <w:tcPr>
            <w:tcW w:w="380" w:type="dxa"/>
            <w:vAlign w:val="bottom"/>
            <w:tcBorders>
              <w:bottom w:val="single" w:sz="8" w:color="E5FFFF"/>
            </w:tcBorders>
          </w:tcPr>
          <w:p>
            <w:pPr>
              <w:spacing w:after="0"/>
              <w:rPr>
                <w:sz w:val="22"/>
                <w:szCs w:val="22"/>
                <w:color w:val="auto"/>
              </w:rPr>
            </w:pPr>
          </w:p>
        </w:tc>
        <w:tc>
          <w:tcPr>
            <w:tcW w:w="56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w:t>
            </w:r>
          </w:p>
        </w:tc>
        <w:tc>
          <w:tcPr>
            <w:tcW w:w="3380" w:type="dxa"/>
            <w:vAlign w:val="bottom"/>
          </w:tcPr>
          <w:p>
            <w:pPr>
              <w:spacing w:after="0"/>
              <w:rPr>
                <w:sz w:val="22"/>
                <w:szCs w:val="22"/>
                <w:color w:val="auto"/>
              </w:rPr>
            </w:pPr>
          </w:p>
        </w:tc>
      </w:tr>
      <w:tr>
        <w:trPr>
          <w:trHeight w:val="236"/>
        </w:trPr>
        <w:tc>
          <w:tcPr>
            <w:tcW w:w="4460" w:type="dxa"/>
            <w:vAlign w:val="bottom"/>
            <w:shd w:val="clear" w:color="auto" w:fill="E5FFFF"/>
          </w:tcPr>
          <w:p>
            <w:pPr>
              <w:spacing w:after="0"/>
              <w:rPr>
                <w:sz w:val="20"/>
                <w:szCs w:val="20"/>
                <w:color w:val="auto"/>
              </w:rPr>
            </w:pPr>
          </w:p>
        </w:tc>
        <w:tc>
          <w:tcPr>
            <w:tcW w:w="4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351,886</w:t>
            </w:r>
          </w:p>
        </w:tc>
        <w:tc>
          <w:tcPr>
            <w:tcW w:w="38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920" w:type="dxa"/>
            <w:vAlign w:val="bottom"/>
            <w:tcBorders>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346,765</w:t>
            </w:r>
          </w:p>
        </w:tc>
        <w:tc>
          <w:tcPr>
            <w:tcW w:w="3380" w:type="dxa"/>
            <w:vAlign w:val="bottom"/>
          </w:tcPr>
          <w:p>
            <w:pPr>
              <w:spacing w:after="0"/>
              <w:rPr>
                <w:sz w:val="20"/>
                <w:szCs w:val="20"/>
                <w:color w:val="auto"/>
              </w:rPr>
            </w:pPr>
          </w:p>
        </w:tc>
      </w:tr>
      <w:tr>
        <w:trPr>
          <w:trHeight w:val="257"/>
        </w:trPr>
        <w:tc>
          <w:tcPr>
            <w:tcW w:w="446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Less: accumulated depreciation</w:t>
            </w:r>
          </w:p>
        </w:tc>
        <w:tc>
          <w:tcPr>
            <w:tcW w:w="48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(188,754)</w:t>
            </w:r>
          </w:p>
        </w:tc>
        <w:tc>
          <w:tcPr>
            <w:tcW w:w="380" w:type="dxa"/>
            <w:vAlign w:val="bottom"/>
            <w:tcBorders>
              <w:bottom w:val="single" w:sz="8" w:color="E5FFFF"/>
            </w:tcBorders>
          </w:tcPr>
          <w:p>
            <w:pPr>
              <w:spacing w:after="0"/>
              <w:rPr>
                <w:sz w:val="22"/>
                <w:szCs w:val="22"/>
                <w:color w:val="auto"/>
              </w:rPr>
            </w:pPr>
          </w:p>
        </w:tc>
        <w:tc>
          <w:tcPr>
            <w:tcW w:w="56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9"/>
              </w:rPr>
              <w:t>(183,438)</w:t>
            </w:r>
          </w:p>
        </w:tc>
        <w:tc>
          <w:tcPr>
            <w:tcW w:w="3380" w:type="dxa"/>
            <w:vAlign w:val="bottom"/>
          </w:tcPr>
          <w:p>
            <w:pPr>
              <w:spacing w:after="0"/>
              <w:rPr>
                <w:sz w:val="22"/>
                <w:szCs w:val="22"/>
                <w:color w:val="auto"/>
              </w:rPr>
            </w:pPr>
          </w:p>
        </w:tc>
      </w:tr>
      <w:tr>
        <w:trPr>
          <w:trHeight w:val="250"/>
        </w:trPr>
        <w:tc>
          <w:tcPr>
            <w:tcW w:w="446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48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163,132</w:t>
            </w:r>
          </w:p>
        </w:tc>
        <w:tc>
          <w:tcPr>
            <w:tcW w:w="380" w:type="dxa"/>
            <w:vAlign w:val="bottom"/>
            <w:tcBorders>
              <w:bottom w:val="single" w:sz="8" w:color="E5FFFF"/>
            </w:tcBorders>
            <w:shd w:val="clear" w:color="auto" w:fill="E5FFFF"/>
          </w:tcPr>
          <w:p>
            <w:pPr>
              <w:spacing w:after="0"/>
              <w:rPr>
                <w:sz w:val="21"/>
                <w:szCs w:val="21"/>
                <w:color w:val="auto"/>
              </w:rPr>
            </w:pPr>
          </w:p>
        </w:tc>
        <w:tc>
          <w:tcPr>
            <w:tcW w:w="56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163,327</w:t>
            </w:r>
          </w:p>
        </w:tc>
        <w:tc>
          <w:tcPr>
            <w:tcW w:w="338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3"/>
        </w:trPr>
        <w:tc>
          <w:tcPr>
            <w:tcW w:w="4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14</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40"/>
        </w:trPr>
        <w:tc>
          <w:tcPr>
            <w:tcW w:w="446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22"/>
                <w:szCs w:val="22"/>
                <w:b w:val="1"/>
                <w:bCs w:val="1"/>
                <w:color w:val="auto"/>
                <w:w w:val="96"/>
              </w:rPr>
              <w:t>April 30,</w:t>
            </w:r>
          </w:p>
        </w:tc>
        <w:tc>
          <w:tcPr>
            <w:tcW w:w="62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January 31,</w:t>
            </w:r>
          </w:p>
        </w:tc>
      </w:tr>
      <w:tr>
        <w:trPr>
          <w:trHeight w:val="270"/>
        </w:trPr>
        <w:tc>
          <w:tcPr>
            <w:tcW w:w="5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22"/>
                <w:szCs w:val="22"/>
                <w:b w:val="1"/>
                <w:bCs w:val="1"/>
                <w:color w:val="auto"/>
              </w:rPr>
              <w:t>2020</w:t>
            </w:r>
          </w:p>
        </w:tc>
        <w:tc>
          <w:tcPr>
            <w:tcW w:w="170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rPr>
              <w:t>2020</w:t>
            </w:r>
          </w:p>
        </w:tc>
      </w:tr>
      <w:tr>
        <w:trPr>
          <w:trHeight w:val="236"/>
        </w:trPr>
        <w:tc>
          <w:tcPr>
            <w:tcW w:w="5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r>
      <w:tr>
        <w:trPr>
          <w:trHeight w:val="243"/>
        </w:trPr>
        <w:tc>
          <w:tcPr>
            <w:tcW w:w="5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604</w:t>
            </w:r>
          </w:p>
        </w:tc>
        <w:tc>
          <w:tcPr>
            <w:tcW w:w="1700" w:type="dxa"/>
            <w:vAlign w:val="bottom"/>
            <w:gridSpan w:val="3"/>
            <w:shd w:val="clear" w:color="auto" w:fill="E5FFFF"/>
          </w:tcPr>
          <w:p>
            <w:pPr>
              <w:jc w:val="right"/>
              <w:ind w:right="480"/>
              <w:spacing w:after="0" w:line="243" w:lineRule="exact"/>
              <w:rPr>
                <w:sz w:val="20"/>
                <w:szCs w:val="20"/>
                <w:color w:val="auto"/>
              </w:rPr>
            </w:pPr>
            <w:r>
              <w:rPr>
                <w:rFonts w:ascii="Arial" w:cs="Arial" w:eastAsia="Arial" w:hAnsi="Arial"/>
                <w:sz w:val="22"/>
                <w:szCs w:val="22"/>
                <w:color w:val="auto"/>
              </w:rPr>
              <w:t>$1,152</w:t>
            </w:r>
          </w:p>
        </w:tc>
      </w:tr>
      <w:tr>
        <w:trPr>
          <w:trHeight w:val="243"/>
        </w:trPr>
        <w:tc>
          <w:tcPr>
            <w:tcW w:w="520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00" w:type="dxa"/>
            <w:vAlign w:val="bottom"/>
          </w:tcPr>
          <w:p>
            <w:pPr>
              <w:spacing w:after="0"/>
              <w:rPr>
                <w:sz w:val="21"/>
                <w:szCs w:val="21"/>
                <w:color w:val="auto"/>
              </w:rPr>
            </w:pPr>
          </w:p>
        </w:tc>
        <w:tc>
          <w:tcPr>
            <w:tcW w:w="86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w w:val="83"/>
              </w:rPr>
              <w:t>1,318</w:t>
            </w:r>
          </w:p>
        </w:tc>
        <w:tc>
          <w:tcPr>
            <w:tcW w:w="1700" w:type="dxa"/>
            <w:vAlign w:val="bottom"/>
            <w:gridSpan w:val="3"/>
          </w:tcPr>
          <w:p>
            <w:pPr>
              <w:jc w:val="right"/>
              <w:ind w:right="480"/>
              <w:spacing w:after="0" w:line="243" w:lineRule="exact"/>
              <w:rPr>
                <w:sz w:val="20"/>
                <w:szCs w:val="20"/>
                <w:color w:val="auto"/>
              </w:rPr>
            </w:pPr>
            <w:r>
              <w:rPr>
                <w:rFonts w:ascii="Arial" w:cs="Arial" w:eastAsia="Arial" w:hAnsi="Arial"/>
                <w:sz w:val="22"/>
                <w:szCs w:val="22"/>
                <w:color w:val="auto"/>
              </w:rPr>
              <w:t>2,398</w:t>
            </w:r>
          </w:p>
        </w:tc>
      </w:tr>
      <w:tr>
        <w:trPr>
          <w:trHeight w:val="243"/>
        </w:trPr>
        <w:tc>
          <w:tcPr>
            <w:tcW w:w="5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w w:val="83"/>
              </w:rPr>
              <w:t>1,500</w:t>
            </w:r>
          </w:p>
        </w:tc>
        <w:tc>
          <w:tcPr>
            <w:tcW w:w="1700" w:type="dxa"/>
            <w:vAlign w:val="bottom"/>
            <w:gridSpan w:val="3"/>
            <w:shd w:val="clear" w:color="auto" w:fill="E5FFFF"/>
          </w:tcPr>
          <w:p>
            <w:pPr>
              <w:jc w:val="right"/>
              <w:ind w:right="480"/>
              <w:spacing w:after="0" w:line="243" w:lineRule="exact"/>
              <w:rPr>
                <w:sz w:val="20"/>
                <w:szCs w:val="20"/>
                <w:color w:val="auto"/>
              </w:rPr>
            </w:pPr>
            <w:r>
              <w:rPr>
                <w:rFonts w:ascii="Arial" w:cs="Arial" w:eastAsia="Arial" w:hAnsi="Arial"/>
                <w:sz w:val="22"/>
                <w:szCs w:val="22"/>
                <w:color w:val="auto"/>
              </w:rPr>
              <w:t>1,500</w:t>
            </w:r>
          </w:p>
        </w:tc>
      </w:tr>
      <w:tr>
        <w:trPr>
          <w:trHeight w:val="243"/>
        </w:trPr>
        <w:tc>
          <w:tcPr>
            <w:tcW w:w="520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00" w:type="dxa"/>
            <w:vAlign w:val="bottom"/>
          </w:tcPr>
          <w:p>
            <w:pPr>
              <w:spacing w:after="0"/>
              <w:rPr>
                <w:sz w:val="21"/>
                <w:szCs w:val="21"/>
                <w:color w:val="auto"/>
              </w:rPr>
            </w:pPr>
          </w:p>
        </w:tc>
        <w:tc>
          <w:tcPr>
            <w:tcW w:w="86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w w:val="83"/>
              </w:rPr>
              <w:t>1,962</w:t>
            </w:r>
          </w:p>
        </w:tc>
        <w:tc>
          <w:tcPr>
            <w:tcW w:w="1700" w:type="dxa"/>
            <w:vAlign w:val="bottom"/>
            <w:gridSpan w:val="3"/>
          </w:tcPr>
          <w:p>
            <w:pPr>
              <w:jc w:val="right"/>
              <w:ind w:right="480"/>
              <w:spacing w:after="0" w:line="243" w:lineRule="exact"/>
              <w:rPr>
                <w:sz w:val="20"/>
                <w:szCs w:val="20"/>
                <w:color w:val="auto"/>
              </w:rPr>
            </w:pPr>
            <w:r>
              <w:rPr>
                <w:rFonts w:ascii="Arial" w:cs="Arial" w:eastAsia="Arial" w:hAnsi="Arial"/>
                <w:sz w:val="22"/>
                <w:szCs w:val="22"/>
                <w:color w:val="auto"/>
              </w:rPr>
              <w:t>1,755</w:t>
            </w:r>
          </w:p>
        </w:tc>
      </w:tr>
      <w:tr>
        <w:trPr>
          <w:trHeight w:val="243"/>
        </w:trPr>
        <w:tc>
          <w:tcPr>
            <w:tcW w:w="5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1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773</w:t>
            </w:r>
          </w:p>
        </w:tc>
        <w:tc>
          <w:tcPr>
            <w:tcW w:w="1700" w:type="dxa"/>
            <w:vAlign w:val="bottom"/>
            <w:gridSpan w:val="3"/>
            <w:shd w:val="clear" w:color="auto" w:fill="E5FFFF"/>
          </w:tcPr>
          <w:p>
            <w:pPr>
              <w:jc w:val="right"/>
              <w:ind w:right="480"/>
              <w:spacing w:after="0" w:line="243" w:lineRule="exact"/>
              <w:rPr>
                <w:sz w:val="20"/>
                <w:szCs w:val="20"/>
                <w:color w:val="auto"/>
              </w:rPr>
            </w:pPr>
            <w:r>
              <w:rPr>
                <w:rFonts w:ascii="Arial" w:cs="Arial" w:eastAsia="Arial" w:hAnsi="Arial"/>
                <w:sz w:val="22"/>
                <w:szCs w:val="22"/>
                <w:color w:val="auto"/>
              </w:rPr>
              <w:t>-</w:t>
            </w:r>
          </w:p>
        </w:tc>
      </w:tr>
      <w:tr>
        <w:trPr>
          <w:trHeight w:val="243"/>
        </w:trPr>
        <w:tc>
          <w:tcPr>
            <w:tcW w:w="5200" w:type="dxa"/>
            <w:vAlign w:val="bottom"/>
          </w:tcPr>
          <w:p>
            <w:pPr>
              <w:spacing w:after="0" w:line="243" w:lineRule="exact"/>
              <w:rPr>
                <w:sz w:val="20"/>
                <w:szCs w:val="20"/>
                <w:color w:val="auto"/>
              </w:rPr>
            </w:pPr>
            <w:r>
              <w:rPr>
                <w:rFonts w:ascii="Arial" w:cs="Arial" w:eastAsia="Arial" w:hAnsi="Arial"/>
                <w:sz w:val="22"/>
                <w:szCs w:val="22"/>
                <w:color w:val="auto"/>
              </w:rPr>
              <w:t>Forward purchase contracts</w:t>
            </w:r>
          </w:p>
        </w:tc>
        <w:tc>
          <w:tcPr>
            <w:tcW w:w="100" w:type="dxa"/>
            <w:vAlign w:val="bottom"/>
          </w:tcPr>
          <w:p>
            <w:pPr>
              <w:spacing w:after="0"/>
              <w:rPr>
                <w:sz w:val="21"/>
                <w:szCs w:val="21"/>
                <w:color w:val="auto"/>
              </w:rPr>
            </w:pPr>
          </w:p>
        </w:tc>
        <w:tc>
          <w:tcPr>
            <w:tcW w:w="86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242</w:t>
            </w:r>
          </w:p>
        </w:tc>
        <w:tc>
          <w:tcPr>
            <w:tcW w:w="1700" w:type="dxa"/>
            <w:vAlign w:val="bottom"/>
            <w:gridSpan w:val="3"/>
          </w:tcPr>
          <w:p>
            <w:pPr>
              <w:jc w:val="right"/>
              <w:ind w:right="480"/>
              <w:spacing w:after="0" w:line="243" w:lineRule="exact"/>
              <w:rPr>
                <w:sz w:val="20"/>
                <w:szCs w:val="20"/>
                <w:color w:val="auto"/>
              </w:rPr>
            </w:pPr>
            <w:r>
              <w:rPr>
                <w:rFonts w:ascii="Arial" w:cs="Arial" w:eastAsia="Arial" w:hAnsi="Arial"/>
                <w:sz w:val="22"/>
                <w:szCs w:val="22"/>
                <w:color w:val="auto"/>
              </w:rPr>
              <w:t>230</w:t>
            </w:r>
          </w:p>
        </w:tc>
      </w:tr>
      <w:tr>
        <w:trPr>
          <w:trHeight w:val="243"/>
        </w:trPr>
        <w:tc>
          <w:tcPr>
            <w:tcW w:w="5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1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29</w:t>
            </w:r>
          </w:p>
        </w:tc>
        <w:tc>
          <w:tcPr>
            <w:tcW w:w="1700" w:type="dxa"/>
            <w:vAlign w:val="bottom"/>
            <w:gridSpan w:val="3"/>
            <w:shd w:val="clear" w:color="auto" w:fill="E5FFFF"/>
          </w:tcPr>
          <w:p>
            <w:pPr>
              <w:jc w:val="right"/>
              <w:ind w:right="480"/>
              <w:spacing w:after="0" w:line="243" w:lineRule="exact"/>
              <w:rPr>
                <w:sz w:val="20"/>
                <w:szCs w:val="20"/>
                <w:color w:val="auto"/>
              </w:rPr>
            </w:pPr>
            <w:r>
              <w:rPr>
                <w:rFonts w:ascii="Arial" w:cs="Arial" w:eastAsia="Arial" w:hAnsi="Arial"/>
                <w:sz w:val="22"/>
                <w:szCs w:val="22"/>
                <w:color w:val="auto"/>
              </w:rPr>
              <w:t>68</w:t>
            </w:r>
          </w:p>
        </w:tc>
      </w:tr>
      <w:tr>
        <w:trPr>
          <w:trHeight w:val="256"/>
        </w:trPr>
        <w:tc>
          <w:tcPr>
            <w:tcW w:w="5200" w:type="dxa"/>
            <w:vAlign w:val="bottom"/>
          </w:tcPr>
          <w:p>
            <w:pPr>
              <w:spacing w:after="0"/>
              <w:rPr>
                <w:sz w:val="20"/>
                <w:szCs w:val="20"/>
                <w:color w:val="auto"/>
              </w:rPr>
            </w:pPr>
            <w:r>
              <w:rPr>
                <w:rFonts w:ascii="Arial" w:cs="Arial" w:eastAsia="Arial" w:hAnsi="Arial"/>
                <w:sz w:val="22"/>
                <w:szCs w:val="22"/>
                <w:color w:val="auto"/>
              </w:rPr>
              <w:t>Other</w:t>
            </w:r>
          </w:p>
        </w:tc>
        <w:tc>
          <w:tcPr>
            <w:tcW w:w="100" w:type="dxa"/>
            <w:vAlign w:val="bottom"/>
          </w:tcPr>
          <w:p>
            <w:pPr>
              <w:spacing w:after="0"/>
              <w:rPr>
                <w:sz w:val="22"/>
                <w:szCs w:val="2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22"/>
                <w:szCs w:val="22"/>
                <w:color w:val="auto"/>
              </w:rPr>
              <w:t>768</w:t>
            </w:r>
          </w:p>
        </w:tc>
        <w:tc>
          <w:tcPr>
            <w:tcW w:w="1700" w:type="dxa"/>
            <w:vAlign w:val="bottom"/>
            <w:gridSpan w:val="3"/>
          </w:tcPr>
          <w:p>
            <w:pPr>
              <w:jc w:val="right"/>
              <w:ind w:right="480"/>
              <w:spacing w:after="0"/>
              <w:rPr>
                <w:sz w:val="20"/>
                <w:szCs w:val="20"/>
                <w:color w:val="auto"/>
              </w:rPr>
            </w:pPr>
            <w:r>
              <w:rPr>
                <w:rFonts w:ascii="Arial" w:cs="Arial" w:eastAsia="Arial" w:hAnsi="Arial"/>
                <w:sz w:val="22"/>
                <w:szCs w:val="22"/>
                <w:color w:val="auto"/>
              </w:rPr>
              <w:t>661</w:t>
            </w:r>
          </w:p>
        </w:tc>
      </w:tr>
      <w:tr>
        <w:trPr>
          <w:trHeight w:val="250"/>
        </w:trPr>
        <w:tc>
          <w:tcPr>
            <w:tcW w:w="5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u w:val="single" w:color="auto"/>
                <w:color w:val="auto"/>
                <w:w w:val="75"/>
              </w:rPr>
              <w:t>$</w:t>
            </w:r>
          </w:p>
        </w:tc>
        <w:tc>
          <w:tcPr>
            <w:tcW w:w="4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3"/>
              </w:rPr>
              <w:t>7,196</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620" w:type="dxa"/>
            <w:vAlign w:val="bottom"/>
            <w:tcBorders>
              <w:top w:val="single" w:sz="8" w:color="E5FFFF"/>
              <w:bottom w:val="single" w:sz="8" w:color="E5FFFF"/>
            </w:tcBorders>
            <w:shd w:val="clear" w:color="auto" w:fill="E5FFFF"/>
          </w:tcPr>
          <w:p>
            <w:pPr>
              <w:spacing w:after="0"/>
              <w:rPr>
                <w:sz w:val="21"/>
                <w:szCs w:val="21"/>
                <w:color w:val="auto"/>
              </w:rPr>
            </w:pPr>
          </w:p>
        </w:tc>
        <w:tc>
          <w:tcPr>
            <w:tcW w:w="6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7,764</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0" w:type="dxa"/>
            <w:vAlign w:val="bottom"/>
            <w:gridSpan w:val="7"/>
          </w:tcPr>
          <w:p>
            <w:pPr>
              <w:jc w:val="center"/>
              <w:ind w:right="520"/>
              <w:spacing w:after="0"/>
              <w:rPr>
                <w:sz w:val="20"/>
                <w:szCs w:val="20"/>
                <w:color w:val="auto"/>
              </w:rPr>
            </w:pPr>
            <w:r>
              <w:rPr>
                <w:rFonts w:ascii="Arial" w:cs="Arial" w:eastAsia="Arial" w:hAnsi="Arial"/>
                <w:sz w:val="22"/>
                <w:szCs w:val="22"/>
                <w:b w:val="1"/>
                <w:bCs w:val="1"/>
                <w:color w:val="auto"/>
                <w:w w:val="87"/>
              </w:rPr>
              <w:t>Asset Derivatives</w:t>
            </w:r>
          </w:p>
        </w:tc>
        <w:tc>
          <w:tcPr>
            <w:tcW w:w="180" w:type="dxa"/>
            <w:vAlign w:val="bottom"/>
          </w:tcPr>
          <w:p>
            <w:pPr>
              <w:spacing w:after="0"/>
              <w:rPr>
                <w:sz w:val="21"/>
                <w:szCs w:val="21"/>
                <w:color w:val="auto"/>
              </w:rPr>
            </w:pPr>
          </w:p>
        </w:tc>
        <w:tc>
          <w:tcPr>
            <w:tcW w:w="2820" w:type="dxa"/>
            <w:vAlign w:val="bottom"/>
            <w:gridSpan w:val="6"/>
          </w:tcPr>
          <w:p>
            <w:pPr>
              <w:jc w:val="center"/>
              <w:ind w:right="180"/>
              <w:spacing w:after="0"/>
              <w:rPr>
                <w:sz w:val="20"/>
                <w:szCs w:val="20"/>
                <w:color w:val="auto"/>
              </w:rPr>
            </w:pPr>
            <w:r>
              <w:rPr>
                <w:rFonts w:ascii="Arial" w:cs="Arial" w:eastAsia="Arial" w:hAnsi="Arial"/>
                <w:sz w:val="22"/>
                <w:szCs w:val="22"/>
                <w:b w:val="1"/>
                <w:bCs w:val="1"/>
                <w:color w:val="auto"/>
                <w:w w:val="90"/>
              </w:rPr>
              <w:t>Liability Derivatives</w:t>
            </w:r>
          </w:p>
        </w:tc>
      </w:tr>
      <w:tr>
        <w:trPr>
          <w:trHeight w:val="243"/>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0" w:type="dxa"/>
            <w:vAlign w:val="bottom"/>
            <w:gridSpan w:val="7"/>
          </w:tcPr>
          <w:p>
            <w:pPr>
              <w:jc w:val="center"/>
              <w:ind w:right="520"/>
              <w:spacing w:after="0" w:line="243" w:lineRule="exact"/>
              <w:rPr>
                <w:sz w:val="20"/>
                <w:szCs w:val="20"/>
                <w:color w:val="auto"/>
              </w:rPr>
            </w:pPr>
            <w:r>
              <w:rPr>
                <w:rFonts w:ascii="Arial" w:cs="Arial" w:eastAsia="Arial" w:hAnsi="Arial"/>
                <w:sz w:val="22"/>
                <w:szCs w:val="22"/>
                <w:b w:val="1"/>
                <w:bCs w:val="1"/>
                <w:color w:val="auto"/>
                <w:w w:val="91"/>
              </w:rPr>
              <w:t>Fair Value</w:t>
            </w:r>
          </w:p>
        </w:tc>
        <w:tc>
          <w:tcPr>
            <w:tcW w:w="180" w:type="dxa"/>
            <w:vAlign w:val="bottom"/>
          </w:tcPr>
          <w:p>
            <w:pPr>
              <w:spacing w:after="0"/>
              <w:rPr>
                <w:sz w:val="21"/>
                <w:szCs w:val="21"/>
                <w:color w:val="auto"/>
              </w:rPr>
            </w:pPr>
          </w:p>
        </w:tc>
        <w:tc>
          <w:tcPr>
            <w:tcW w:w="2820" w:type="dxa"/>
            <w:vAlign w:val="bottom"/>
            <w:gridSpan w:val="6"/>
          </w:tcPr>
          <w:p>
            <w:pPr>
              <w:jc w:val="center"/>
              <w:ind w:right="180"/>
              <w:spacing w:after="0" w:line="243" w:lineRule="exact"/>
              <w:rPr>
                <w:sz w:val="20"/>
                <w:szCs w:val="20"/>
                <w:color w:val="auto"/>
              </w:rPr>
            </w:pPr>
            <w:r>
              <w:rPr>
                <w:rFonts w:ascii="Arial" w:cs="Arial" w:eastAsia="Arial" w:hAnsi="Arial"/>
                <w:sz w:val="22"/>
                <w:szCs w:val="22"/>
                <w:b w:val="1"/>
                <w:bCs w:val="1"/>
                <w:color w:val="auto"/>
                <w:w w:val="91"/>
              </w:rPr>
              <w:t>Fair Value</w:t>
            </w:r>
          </w:p>
        </w:tc>
      </w:tr>
      <w:tr>
        <w:trPr>
          <w:trHeight w:val="243"/>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2"/>
              <w:spacing w:after="0" w:line="243" w:lineRule="exact"/>
              <w:rPr>
                <w:sz w:val="20"/>
                <w:szCs w:val="20"/>
                <w:color w:val="auto"/>
              </w:rPr>
            </w:pPr>
            <w:r>
              <w:rPr>
                <w:rFonts w:ascii="Arial" w:cs="Arial" w:eastAsia="Arial" w:hAnsi="Arial"/>
                <w:sz w:val="22"/>
                <w:szCs w:val="22"/>
                <w:b w:val="1"/>
                <w:bCs w:val="1"/>
                <w:color w:val="auto"/>
              </w:rPr>
              <w:t>April 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3"/>
          </w:tcPr>
          <w:p>
            <w:pPr>
              <w:ind w:left="20"/>
              <w:spacing w:after="0" w:line="243" w:lineRule="exact"/>
              <w:rPr>
                <w:sz w:val="20"/>
                <w:szCs w:val="20"/>
                <w:color w:val="auto"/>
              </w:rPr>
            </w:pPr>
            <w:r>
              <w:rPr>
                <w:rFonts w:ascii="Arial" w:cs="Arial" w:eastAsia="Arial" w:hAnsi="Arial"/>
                <w:sz w:val="22"/>
                <w:szCs w:val="22"/>
                <w:b w:val="1"/>
                <w:bCs w:val="1"/>
                <w:color w:val="auto"/>
              </w:rPr>
              <w:t>January 31,</w:t>
            </w:r>
          </w:p>
        </w:tc>
        <w:tc>
          <w:tcPr>
            <w:tcW w:w="180" w:type="dxa"/>
            <w:vAlign w:val="bottom"/>
          </w:tcPr>
          <w:p>
            <w:pPr>
              <w:spacing w:after="0"/>
              <w:rPr>
                <w:sz w:val="21"/>
                <w:szCs w:val="21"/>
                <w:color w:val="auto"/>
              </w:rPr>
            </w:pPr>
          </w:p>
        </w:tc>
        <w:tc>
          <w:tcPr>
            <w:tcW w:w="1060" w:type="dxa"/>
            <w:vAlign w:val="bottom"/>
          </w:tcPr>
          <w:p>
            <w:pPr>
              <w:jc w:val="right"/>
              <w:ind w:right="52"/>
              <w:spacing w:after="0" w:line="243" w:lineRule="exact"/>
              <w:rPr>
                <w:sz w:val="20"/>
                <w:szCs w:val="20"/>
                <w:color w:val="auto"/>
              </w:rPr>
            </w:pPr>
            <w:r>
              <w:rPr>
                <w:rFonts w:ascii="Arial" w:cs="Arial" w:eastAsia="Arial" w:hAnsi="Arial"/>
                <w:sz w:val="22"/>
                <w:szCs w:val="22"/>
                <w:b w:val="1"/>
                <w:bCs w:val="1"/>
                <w:color w:val="auto"/>
              </w:rPr>
              <w:t>April 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9"/>
              </w:rPr>
              <w:t>January 31,</w:t>
            </w:r>
          </w:p>
        </w:tc>
      </w:tr>
      <w:tr>
        <w:trPr>
          <w:trHeight w:val="270"/>
        </w:trPr>
        <w:tc>
          <w:tcPr>
            <w:tcW w:w="48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auto"/>
            </w:tcBorders>
          </w:tcPr>
          <w:p>
            <w:pPr>
              <w:spacing w:after="0"/>
              <w:rPr>
                <w:sz w:val="23"/>
                <w:szCs w:val="23"/>
                <w:color w:val="auto"/>
              </w:rPr>
            </w:pPr>
          </w:p>
        </w:tc>
      </w:tr>
      <w:tr>
        <w:trPr>
          <w:trHeight w:val="236"/>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Commodity futures (1)</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293</w:t>
            </w:r>
          </w:p>
        </w:tc>
        <w:tc>
          <w:tcPr>
            <w:tcW w:w="5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352</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773</w:t>
            </w:r>
          </w:p>
        </w:tc>
        <w:tc>
          <w:tcPr>
            <w:tcW w:w="5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57"/>
        </w:trPr>
        <w:tc>
          <w:tcPr>
            <w:tcW w:w="4840" w:type="dxa"/>
            <w:vAlign w:val="bottom"/>
          </w:tcPr>
          <w:p>
            <w:pPr>
              <w:ind w:left="100"/>
              <w:spacing w:after="0"/>
              <w:rPr>
                <w:sz w:val="20"/>
                <w:szCs w:val="20"/>
                <w:color w:val="auto"/>
              </w:rPr>
            </w:pPr>
            <w:r>
              <w:rPr>
                <w:rFonts w:ascii="Arial" w:cs="Arial" w:eastAsia="Arial" w:hAnsi="Arial"/>
                <w:sz w:val="22"/>
                <w:szCs w:val="22"/>
                <w:color w:val="auto"/>
              </w:rPr>
              <w:t>Forward purchase contracts (2)</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2"/>
                <w:szCs w:val="22"/>
                <w:color w:val="auto"/>
              </w:rPr>
              <w:t>230</w:t>
            </w:r>
          </w:p>
        </w:tc>
      </w:tr>
      <w:tr>
        <w:trPr>
          <w:trHeight w:val="250"/>
        </w:trPr>
        <w:tc>
          <w:tcPr>
            <w:tcW w:w="484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Arial" w:cs="Arial" w:eastAsia="Arial" w:hAnsi="Arial"/>
                <w:sz w:val="22"/>
                <w:szCs w:val="22"/>
                <w:color w:val="auto"/>
              </w:rPr>
              <w:t>Total</w:t>
            </w: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293</w:t>
            </w: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1,015</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230</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440" w:hanging="5"/>
        <w:spacing w:after="0" w:line="238" w:lineRule="auto"/>
        <w:tabs>
          <w:tab w:leader="none" w:pos="787"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futures assets are included in prepaid expenses and other current assets. These contracts are short/sell positions for approximately 3.2 million bushels of corn at April 30, 2020. These contracts are short/sell positions for approximately 3.7 million bushels of corn and long/buy positions for approximately 2.2 million bushels of corn at January 31, 2020. Commodity futures liabilities 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 w:name="page16"/>
    <w:bookmarkEnd w:id="15"/>
    <w:p>
      <w:pPr>
        <w:jc w:val="both"/>
        <w:ind w:left="440"/>
        <w:spacing w:after="0"/>
        <w:rPr>
          <w:sz w:val="20"/>
          <w:szCs w:val="20"/>
          <w:color w:val="auto"/>
        </w:rPr>
      </w:pPr>
      <w:r>
        <w:rPr>
          <w:rFonts w:ascii="Arial" w:cs="Arial" w:eastAsia="Arial" w:hAnsi="Arial"/>
          <w:sz w:val="22"/>
          <w:szCs w:val="22"/>
          <w:color w:val="auto"/>
        </w:rPr>
        <w:t>included in accrued expenses and other current liabilities. These contracts are short/sell positions for approximately 0.3 million bushels of corn, long/buy positions for approximately 3.8 million bushels of corn and long/buy positions for approximately 0.4 million gallons of ethanol at April 30, 2020.</w:t>
      </w:r>
    </w:p>
    <w:p>
      <w:pPr>
        <w:spacing w:after="0" w:line="213" w:lineRule="exact"/>
        <w:rPr>
          <w:sz w:val="20"/>
          <w:szCs w:val="20"/>
          <w:color w:val="auto"/>
        </w:rPr>
      </w:pPr>
    </w:p>
    <w:p>
      <w:pPr>
        <w:jc w:val="both"/>
        <w:ind w:left="440" w:hanging="5"/>
        <w:spacing w:after="0"/>
        <w:tabs>
          <w:tab w:leader="none" w:pos="758"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Forward purchase contracts liabilities are included in accrued expenses and other current liabilities. These contracts are for purchases of approximately 0.2 million bushels of corn at April 30, 2020 and 1.6 million bushels of corn at January 31, 2020.</w:t>
      </w:r>
    </w:p>
    <w:p>
      <w:pPr>
        <w:spacing w:after="0" w:line="21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As of April 30, 2020, and January 31, 2020, all of the derivative financial instruments held by the Company were subject to enforceable master netting arrangements. The Company’s accounting policy is to offset positions and amounts owed or owing with the same counterparty. As of April 30, 2020, and January 31, 2020,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$1,410,000 and approximately $1,113,000 to secure the Company’s derivative position at April 30, 2020 and January 31, 2020,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Gains on the Company’s derivative financial instruments of approximately $3,144,000 and approximately $369,000 for the first quarter of fiscal years 2020 and 2019, respectively, were included in cost of sales on the Consolidated Condensed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April 30, 2020 and January 31, 2020 (dollars in thousands):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5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20" w:type="dxa"/>
            <w:vAlign w:val="bottom"/>
            <w:gridSpan w:val="3"/>
          </w:tcPr>
          <w:p>
            <w:pPr>
              <w:jc w:val="right"/>
              <w:ind w:right="712"/>
              <w:spacing w:after="0"/>
              <w:rPr>
                <w:sz w:val="20"/>
                <w:szCs w:val="20"/>
                <w:color w:val="auto"/>
              </w:rPr>
            </w:pPr>
            <w:r>
              <w:rPr>
                <w:rFonts w:ascii="Arial" w:cs="Arial" w:eastAsia="Arial" w:hAnsi="Arial"/>
                <w:sz w:val="22"/>
                <w:szCs w:val="22"/>
                <w:b w:val="1"/>
                <w:bCs w:val="1"/>
                <w:color w:val="auto"/>
              </w:rPr>
              <w:t>Carrying Amount</w:t>
            </w:r>
          </w:p>
        </w:tc>
      </w:tr>
      <w:tr>
        <w:trPr>
          <w:trHeight w:val="257"/>
        </w:trPr>
        <w:tc>
          <w:tcPr>
            <w:tcW w:w="2980" w:type="dxa"/>
            <w:vAlign w:val="bottom"/>
            <w:gridSpan w:val="2"/>
          </w:tcPr>
          <w:p>
            <w:pPr>
              <w:spacing w:after="0"/>
              <w:rPr>
                <w:sz w:val="20"/>
                <w:szCs w:val="20"/>
                <w:color w:val="auto"/>
              </w:rPr>
            </w:pPr>
            <w:r>
              <w:rPr>
                <w:rFonts w:ascii="Arial" w:cs="Arial" w:eastAsia="Arial" w:hAnsi="Arial"/>
                <w:sz w:val="22"/>
                <w:szCs w:val="22"/>
                <w:b w:val="1"/>
                <w:bCs w:val="1"/>
                <w:color w:val="auto"/>
              </w:rPr>
              <w:t>Entity</w:t>
            </w:r>
          </w:p>
        </w:tc>
        <w:tc>
          <w:tcPr>
            <w:tcW w:w="250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8"/>
              </w:rPr>
              <w:t>Ownership Percentage</w:t>
            </w:r>
          </w:p>
        </w:tc>
        <w:tc>
          <w:tcPr>
            <w:tcW w:w="1740" w:type="dxa"/>
            <w:vAlign w:val="bottom"/>
            <w:gridSpan w:val="2"/>
          </w:tcPr>
          <w:p>
            <w:pPr>
              <w:jc w:val="right"/>
              <w:ind w:right="400"/>
              <w:spacing w:after="0"/>
              <w:rPr>
                <w:sz w:val="20"/>
                <w:szCs w:val="20"/>
                <w:color w:val="auto"/>
              </w:rPr>
            </w:pPr>
            <w:r>
              <w:rPr>
                <w:rFonts w:ascii="Arial" w:cs="Arial" w:eastAsia="Arial" w:hAnsi="Arial"/>
                <w:sz w:val="22"/>
                <w:szCs w:val="22"/>
                <w:b w:val="1"/>
                <w:bCs w:val="1"/>
                <w:color w:val="auto"/>
                <w:w w:val="93"/>
              </w:rPr>
              <w:t>April 30, 2020</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w w:val="88"/>
              </w:rPr>
              <w:t>January 31, 2020</w:t>
            </w:r>
          </w:p>
        </w:tc>
      </w:tr>
      <w:tr>
        <w:trPr>
          <w:trHeight w:val="27"/>
        </w:trPr>
        <w:tc>
          <w:tcPr>
            <w:tcW w:w="58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r>
      <w:tr>
        <w:trPr>
          <w:trHeight w:val="496"/>
        </w:trPr>
        <w:tc>
          <w:tcPr>
            <w:tcW w:w="298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100" w:type="dxa"/>
            <w:vAlign w:val="bottom"/>
          </w:tcPr>
          <w:p>
            <w:pPr>
              <w:jc w:val="right"/>
              <w:ind w:right="652"/>
              <w:spacing w:after="0"/>
              <w:rPr>
                <w:sz w:val="20"/>
                <w:szCs w:val="20"/>
                <w:color w:val="auto"/>
              </w:rPr>
            </w:pPr>
            <w:r>
              <w:rPr>
                <w:rFonts w:ascii="Arial" w:cs="Arial" w:eastAsia="Arial" w:hAnsi="Arial"/>
                <w:sz w:val="22"/>
                <w:szCs w:val="22"/>
                <w:color w:val="auto"/>
              </w:rPr>
              <w:t>10.3%</w:t>
            </w:r>
          </w:p>
        </w:tc>
        <w:tc>
          <w:tcPr>
            <w:tcW w:w="400" w:type="dxa"/>
            <w:vAlign w:val="bottom"/>
          </w:tcPr>
          <w:p>
            <w:pPr>
              <w:spacing w:after="0"/>
              <w:rPr>
                <w:sz w:val="24"/>
                <w:szCs w:val="2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22"/>
                <w:szCs w:val="22"/>
                <w:color w:val="auto"/>
              </w:rPr>
              <w:t>$29,982</w:t>
            </w:r>
          </w:p>
        </w:tc>
        <w:tc>
          <w:tcPr>
            <w:tcW w:w="1580" w:type="dxa"/>
            <w:vAlign w:val="bottom"/>
          </w:tcPr>
          <w:p>
            <w:pPr>
              <w:jc w:val="right"/>
              <w:spacing w:after="0"/>
              <w:rPr>
                <w:sz w:val="20"/>
                <w:szCs w:val="20"/>
                <w:color w:val="auto"/>
              </w:rPr>
            </w:pPr>
            <w:r>
              <w:rPr>
                <w:rFonts w:ascii="Arial" w:cs="Arial" w:eastAsia="Arial" w:hAnsi="Arial"/>
                <w:sz w:val="22"/>
                <w:szCs w:val="22"/>
                <w:color w:val="auto"/>
              </w:rPr>
              <w:t>$32,464</w:t>
            </w:r>
          </w:p>
        </w:tc>
      </w:tr>
    </w:tbl>
    <w:p>
      <w:pPr>
        <w:spacing w:after="0" w:line="212"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$10.0 million and approximately $12.4 million at April 30, 2020 and January 31, 2020, respectively. The Company received dividends from its equity method investee of approximately $2.0 million in the first quarter of fiscal year 2020. The company received no dividends from its equity method investee in the first quarter of fiscal year 2019.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6" w:name="page17"/>
    <w:bookmarkEnd w:id="16"/>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spacing w:after="0"/>
              <w:rPr>
                <w:sz w:val="21"/>
                <w:szCs w:val="21"/>
                <w:color w:val="auto"/>
              </w:rPr>
            </w:pPr>
          </w:p>
        </w:tc>
        <w:tc>
          <w:tcPr>
            <w:tcW w:w="2820" w:type="dxa"/>
            <w:vAlign w:val="bottom"/>
            <w:gridSpan w:val="5"/>
          </w:tcPr>
          <w:p>
            <w:pPr>
              <w:jc w:val="right"/>
              <w:ind w:right="312"/>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5040" w:type="dxa"/>
            <w:vAlign w:val="bottom"/>
          </w:tcPr>
          <w:p>
            <w:pPr>
              <w:spacing w:after="0"/>
              <w:rPr>
                <w:sz w:val="24"/>
                <w:szCs w:val="24"/>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2020</w:t>
            </w:r>
          </w:p>
        </w:tc>
        <w:tc>
          <w:tcPr>
            <w:tcW w:w="940" w:type="dxa"/>
            <w:vAlign w:val="bottom"/>
            <w:gridSpan w:val="3"/>
          </w:tcPr>
          <w:p>
            <w:pPr>
              <w:jc w:val="right"/>
              <w:ind w:right="80"/>
              <w:spacing w:after="0"/>
              <w:rPr>
                <w:sz w:val="20"/>
                <w:szCs w:val="20"/>
                <w:color w:val="auto"/>
              </w:rPr>
            </w:pPr>
            <w:r>
              <w:rPr>
                <w:rFonts w:ascii="Arial" w:cs="Arial" w:eastAsia="Arial" w:hAnsi="Arial"/>
                <w:sz w:val="22"/>
                <w:szCs w:val="22"/>
                <w:b w:val="1"/>
                <w:bCs w:val="1"/>
                <w:color w:val="auto"/>
                <w:w w:val="96"/>
              </w:rPr>
              <w:t>April 30,</w:t>
            </w:r>
          </w:p>
        </w:tc>
        <w:tc>
          <w:tcPr>
            <w:tcW w:w="920" w:type="dxa"/>
            <w:vAlign w:val="bottom"/>
            <w:vMerge w:val="restart"/>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46"/>
        </w:trPr>
        <w:tc>
          <w:tcPr>
            <w:tcW w:w="5040" w:type="dxa"/>
            <w:vAlign w:val="bottom"/>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Net sales and revenue</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$197,632</w:t>
            </w: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w w:val="85"/>
              </w:rPr>
              <w:t>184,069</w:t>
            </w:r>
          </w:p>
        </w:tc>
        <w:tc>
          <w:tcPr>
            <w:tcW w:w="0" w:type="dxa"/>
            <w:vAlign w:val="bottom"/>
          </w:tcPr>
          <w:p>
            <w:pPr>
              <w:spacing w:after="0"/>
              <w:rPr>
                <w:sz w:val="1"/>
                <w:szCs w:val="1"/>
                <w:color w:val="auto"/>
              </w:rPr>
            </w:pPr>
          </w:p>
        </w:tc>
      </w:tr>
      <w:tr>
        <w:trPr>
          <w:trHeight w:val="243"/>
        </w:trPr>
        <w:tc>
          <w:tcPr>
            <w:tcW w:w="5040" w:type="dxa"/>
            <w:vAlign w:val="bottom"/>
          </w:tcPr>
          <w:p>
            <w:pPr>
              <w:ind w:left="120"/>
              <w:spacing w:after="0" w:line="243" w:lineRule="exact"/>
              <w:rPr>
                <w:sz w:val="20"/>
                <w:szCs w:val="20"/>
                <w:color w:val="auto"/>
              </w:rPr>
            </w:pPr>
            <w:r>
              <w:rPr>
                <w:rFonts w:ascii="Arial" w:cs="Arial" w:eastAsia="Arial" w:hAnsi="Arial"/>
                <w:sz w:val="22"/>
                <w:szCs w:val="22"/>
                <w:color w:val="auto"/>
              </w:rPr>
              <w:t>Gross (loss) profit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 (5,943)</w:t>
            </w:r>
          </w:p>
        </w:tc>
        <w:tc>
          <w:tcPr>
            <w:tcW w:w="9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1,569</w:t>
            </w: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(Loss) income from continuing operations</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 (4,626)</w:t>
            </w: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1,227</w:t>
            </w:r>
          </w:p>
        </w:tc>
        <w:tc>
          <w:tcPr>
            <w:tcW w:w="0" w:type="dxa"/>
            <w:vAlign w:val="bottom"/>
          </w:tcPr>
          <w:p>
            <w:pPr>
              <w:spacing w:after="0"/>
              <w:rPr>
                <w:sz w:val="1"/>
                <w:szCs w:val="1"/>
                <w:color w:val="auto"/>
              </w:rPr>
            </w:pPr>
          </w:p>
        </w:tc>
      </w:tr>
      <w:tr>
        <w:trPr>
          <w:trHeight w:val="274"/>
        </w:trPr>
        <w:tc>
          <w:tcPr>
            <w:tcW w:w="5040" w:type="dxa"/>
            <w:vAlign w:val="bottom"/>
          </w:tcPr>
          <w:p>
            <w:pPr>
              <w:ind w:left="120"/>
              <w:spacing w:after="0"/>
              <w:rPr>
                <w:sz w:val="20"/>
                <w:szCs w:val="20"/>
                <w:color w:val="auto"/>
              </w:rPr>
            </w:pPr>
            <w:r>
              <w:rPr>
                <w:rFonts w:ascii="Arial" w:cs="Arial" w:eastAsia="Arial" w:hAnsi="Arial"/>
                <w:sz w:val="22"/>
                <w:szCs w:val="22"/>
                <w:color w:val="auto"/>
              </w:rPr>
              <w:t>Net (loss) income</w:t>
            </w:r>
          </w:p>
        </w:tc>
        <w:tc>
          <w:tcPr>
            <w:tcW w:w="960" w:type="dxa"/>
            <w:vAlign w:val="bottom"/>
          </w:tcPr>
          <w:p>
            <w:pPr>
              <w:jc w:val="right"/>
              <w:spacing w:after="0"/>
              <w:rPr>
                <w:sz w:val="20"/>
                <w:szCs w:val="20"/>
                <w:color w:val="auto"/>
              </w:rPr>
            </w:pPr>
            <w:r>
              <w:rPr>
                <w:rFonts w:ascii="Arial" w:cs="Arial" w:eastAsia="Arial" w:hAnsi="Arial"/>
                <w:sz w:val="22"/>
                <w:szCs w:val="22"/>
                <w:color w:val="auto"/>
              </w:rPr>
              <w:t>$ (4,626)</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1,227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April 30, 2020, the Company owned certificates of deposit that had an amortized cost, or carrying value, of approximately $32,601,000. The contractual maturity of these investments was less than one year. The yield to maturity rate was approximately 1.3%. Unrealized gains or losses were insignificant.</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2020, the Company owned certificates of deposit that had an amortized cost, or carrying value, of approximately $26,073,000. The contractual maturity of these investments was less than one year. The yield to maturity rate was approximately 1.8%.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2020, 479,988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 w:name="page18"/>
    <w:bookmarkEnd w:id="17"/>
    <w:p>
      <w:pPr>
        <w:ind w:right="200" w:firstLine="648"/>
        <w:spacing w:after="0"/>
        <w:rPr>
          <w:sz w:val="20"/>
          <w:szCs w:val="20"/>
          <w:color w:val="auto"/>
        </w:rPr>
      </w:pPr>
      <w:r>
        <w:rPr>
          <w:rFonts w:ascii="Arial" w:cs="Arial" w:eastAsia="Arial" w:hAnsi="Arial"/>
          <w:sz w:val="22"/>
          <w:szCs w:val="22"/>
          <w:color w:val="auto"/>
        </w:rPr>
        <w:t>At April 30, 2020 and January 31, 2020, unrecognized compensation cost related to nonvested restricted stock was approximately $180,000 and $220,000, respectively. The following tables summarize non-vested restricted stock award activity for the periods presented:</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5220" w:type="dxa"/>
            <w:vAlign w:val="bottom"/>
          </w:tcPr>
          <w:p>
            <w:pPr>
              <w:spacing w:after="0"/>
              <w:rPr>
                <w:sz w:val="24"/>
                <w:szCs w:val="24"/>
                <w:color w:val="auto"/>
              </w:rPr>
            </w:pPr>
          </w:p>
        </w:tc>
        <w:tc>
          <w:tcPr>
            <w:tcW w:w="5360" w:type="dxa"/>
            <w:vAlign w:val="bottom"/>
            <w:gridSpan w:val="9"/>
          </w:tcPr>
          <w:p>
            <w:pPr>
              <w:ind w:left="1000"/>
              <w:spacing w:after="0"/>
              <w:rPr>
                <w:sz w:val="20"/>
                <w:szCs w:val="20"/>
                <w:color w:val="auto"/>
              </w:rPr>
            </w:pPr>
            <w:r>
              <w:rPr>
                <w:rFonts w:ascii="Arial" w:cs="Arial" w:eastAsia="Arial" w:hAnsi="Arial"/>
                <w:sz w:val="22"/>
                <w:szCs w:val="22"/>
                <w:b w:val="1"/>
                <w:bCs w:val="1"/>
                <w:color w:val="auto"/>
              </w:rPr>
              <w:t>Three Months Ended April 30, 2020</w:t>
            </w:r>
          </w:p>
        </w:tc>
      </w:tr>
      <w:tr>
        <w:trPr>
          <w:trHeight w:val="449"/>
        </w:trPr>
        <w:tc>
          <w:tcPr>
            <w:tcW w:w="5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6"/>
              </w:rPr>
              <w:t>Weighted</w:t>
            </w:r>
          </w:p>
        </w:tc>
        <w:tc>
          <w:tcPr>
            <w:tcW w:w="320" w:type="dxa"/>
            <w:vAlign w:val="bottom"/>
          </w:tcPr>
          <w:p>
            <w:pPr>
              <w:spacing w:after="0"/>
              <w:rPr>
                <w:sz w:val="24"/>
                <w:szCs w:val="2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5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140" w:type="dxa"/>
            <w:vAlign w:val="bottom"/>
            <w:gridSpan w:val="3"/>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57"/>
        </w:trPr>
        <w:tc>
          <w:tcPr>
            <w:tcW w:w="5220" w:type="dxa"/>
            <w:vAlign w:val="bottom"/>
          </w:tcPr>
          <w:p>
            <w:pPr>
              <w:spacing w:after="0"/>
              <w:rPr>
                <w:sz w:val="22"/>
                <w:szCs w:val="22"/>
                <w:color w:val="auto"/>
              </w:rPr>
            </w:pP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Non-Vested</w:t>
            </w:r>
          </w:p>
        </w:tc>
        <w:tc>
          <w:tcPr>
            <w:tcW w:w="320" w:type="dxa"/>
            <w:vAlign w:val="bottom"/>
          </w:tcPr>
          <w:p>
            <w:pPr>
              <w:spacing w:after="0"/>
              <w:rPr>
                <w:sz w:val="22"/>
                <w:szCs w:val="22"/>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Date Fair Value</w:t>
            </w:r>
          </w:p>
        </w:tc>
        <w:tc>
          <w:tcPr>
            <w:tcW w:w="320" w:type="dxa"/>
            <w:vAlign w:val="bottom"/>
          </w:tcPr>
          <w:p>
            <w:pPr>
              <w:spacing w:after="0"/>
              <w:rPr>
                <w:sz w:val="22"/>
                <w:szCs w:val="22"/>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7"/>
              </w:rPr>
              <w:t>Vesting Term</w:t>
            </w:r>
          </w:p>
        </w:tc>
      </w:tr>
      <w:tr>
        <w:trPr>
          <w:trHeight w:val="270"/>
        </w:trPr>
        <w:tc>
          <w:tcPr>
            <w:tcW w:w="5220" w:type="dxa"/>
            <w:vAlign w:val="bottom"/>
          </w:tcPr>
          <w:p>
            <w:pPr>
              <w:spacing w:after="0"/>
              <w:rPr>
                <w:sz w:val="23"/>
                <w:szCs w:val="23"/>
                <w:color w:val="auto"/>
              </w:rPr>
            </w:pP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Shares</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8"/>
              </w:rPr>
              <w:t>(000’s)</w:t>
            </w:r>
          </w:p>
        </w:tc>
        <w:tc>
          <w:tcPr>
            <w:tcW w:w="320" w:type="dxa"/>
            <w:vAlign w:val="bottom"/>
          </w:tcPr>
          <w:p>
            <w:pPr>
              <w:spacing w:after="0"/>
              <w:rPr>
                <w:sz w:val="23"/>
                <w:szCs w:val="23"/>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22"/>
                <w:szCs w:val="22"/>
                <w:b w:val="1"/>
                <w:bCs w:val="1"/>
                <w:color w:val="auto"/>
                <w:w w:val="89"/>
              </w:rPr>
              <w:t>(in years)</w:t>
            </w:r>
          </w:p>
        </w:tc>
      </w:tr>
      <w:tr>
        <w:trPr>
          <w:trHeight w:val="237"/>
        </w:trPr>
        <w:tc>
          <w:tcPr>
            <w:tcW w:w="5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30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300" w:type="dxa"/>
            <w:vAlign w:val="bottom"/>
            <w:shd w:val="clear" w:color="auto" w:fill="E5FFFF"/>
          </w:tcPr>
          <w:p>
            <w:pPr>
              <w:spacing w:after="0"/>
              <w:rPr>
                <w:sz w:val="21"/>
                <w:szCs w:val="21"/>
                <w:color w:val="auto"/>
              </w:rPr>
            </w:pPr>
          </w:p>
        </w:tc>
        <w:tc>
          <w:tcPr>
            <w:tcW w:w="2120" w:type="dxa"/>
            <w:vAlign w:val="bottom"/>
            <w:gridSpan w:val="2"/>
            <w:shd w:val="clear" w:color="auto" w:fill="E5FFFF"/>
          </w:tcPr>
          <w:p>
            <w:pPr>
              <w:jc w:val="right"/>
              <w:ind w:right="272"/>
              <w:spacing w:after="0" w:line="243" w:lineRule="exact"/>
              <w:rPr>
                <w:sz w:val="20"/>
                <w:szCs w:val="20"/>
                <w:color w:val="auto"/>
              </w:rPr>
            </w:pPr>
            <w:r>
              <w:rPr>
                <w:rFonts w:ascii="Arial" w:cs="Arial" w:eastAsia="Arial" w:hAnsi="Arial"/>
                <w:sz w:val="22"/>
                <w:szCs w:val="22"/>
                <w:color w:val="auto"/>
              </w:rPr>
              <w:t>2</w:t>
            </w:r>
          </w:p>
        </w:tc>
        <w:tc>
          <w:tcPr>
            <w:tcW w:w="20" w:type="dxa"/>
            <w:vAlign w:val="bottom"/>
          </w:tcPr>
          <w:p>
            <w:pPr>
              <w:spacing w:after="0"/>
              <w:rPr>
                <w:sz w:val="21"/>
                <w:szCs w:val="21"/>
                <w:color w:val="auto"/>
              </w:rPr>
            </w:pPr>
          </w:p>
        </w:tc>
      </w:tr>
      <w:tr>
        <w:trPr>
          <w:trHeight w:val="243"/>
        </w:trPr>
        <w:tc>
          <w:tcPr>
            <w:tcW w:w="522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5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522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2020</w:t>
            </w:r>
          </w:p>
        </w:tc>
        <w:tc>
          <w:tcPr>
            <w:tcW w:w="11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28,576</w:t>
            </w:r>
          </w:p>
        </w:tc>
        <w:tc>
          <w:tcPr>
            <w:tcW w:w="300" w:type="dxa"/>
            <w:vAlign w:val="bottom"/>
            <w:shd w:val="clear" w:color="auto" w:fill="E5FFFF"/>
          </w:tcPr>
          <w:p>
            <w:pPr>
              <w:spacing w:after="0"/>
              <w:rPr>
                <w:sz w:val="23"/>
                <w:szCs w:val="23"/>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2,193</w:t>
            </w:r>
          </w:p>
        </w:tc>
        <w:tc>
          <w:tcPr>
            <w:tcW w:w="300" w:type="dxa"/>
            <w:vAlign w:val="bottom"/>
            <w:shd w:val="clear" w:color="auto" w:fill="E5FFFF"/>
          </w:tcPr>
          <w:p>
            <w:pPr>
              <w:spacing w:after="0"/>
              <w:rPr>
                <w:sz w:val="23"/>
                <w:szCs w:val="23"/>
                <w:color w:val="auto"/>
              </w:rPr>
            </w:pPr>
          </w:p>
        </w:tc>
        <w:tc>
          <w:tcPr>
            <w:tcW w:w="2120" w:type="dxa"/>
            <w:vAlign w:val="bottom"/>
            <w:gridSpan w:val="2"/>
            <w:shd w:val="clear" w:color="auto" w:fill="E5FFFF"/>
          </w:tcPr>
          <w:p>
            <w:pPr>
              <w:jc w:val="right"/>
              <w:ind w:right="272"/>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3"/>
                <w:szCs w:val="23"/>
                <w:color w:val="auto"/>
              </w:rPr>
            </w:pPr>
          </w:p>
        </w:tc>
      </w:tr>
      <w:tr>
        <w:trPr>
          <w:trHeight w:val="20"/>
        </w:trPr>
        <w:tc>
          <w:tcPr>
            <w:tcW w:w="5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E5FF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E5FFFF"/>
            </w:tcBorders>
            <w:gridSpan w:val="2"/>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7"/>
        </w:trPr>
        <w:tc>
          <w:tcPr>
            <w:tcW w:w="5220" w:type="dxa"/>
            <w:vAlign w:val="bottom"/>
          </w:tcPr>
          <w:p>
            <w:pPr>
              <w:spacing w:after="0"/>
              <w:rPr>
                <w:sz w:val="24"/>
                <w:szCs w:val="24"/>
                <w:color w:val="auto"/>
              </w:rPr>
            </w:pPr>
          </w:p>
        </w:tc>
        <w:tc>
          <w:tcPr>
            <w:tcW w:w="5360" w:type="dxa"/>
            <w:vAlign w:val="bottom"/>
            <w:gridSpan w:val="9"/>
          </w:tcPr>
          <w:p>
            <w:pPr>
              <w:ind w:left="1000"/>
              <w:spacing w:after="0"/>
              <w:rPr>
                <w:sz w:val="20"/>
                <w:szCs w:val="20"/>
                <w:color w:val="auto"/>
              </w:rPr>
            </w:pPr>
            <w:r>
              <w:rPr>
                <w:rFonts w:ascii="Arial" w:cs="Arial" w:eastAsia="Arial" w:hAnsi="Arial"/>
                <w:sz w:val="22"/>
                <w:szCs w:val="22"/>
                <w:b w:val="1"/>
                <w:bCs w:val="1"/>
                <w:color w:val="auto"/>
              </w:rPr>
              <w:t>Three Months Ended April 30, 2019</w:t>
            </w:r>
          </w:p>
        </w:tc>
      </w:tr>
      <w:tr>
        <w:trPr>
          <w:trHeight w:val="449"/>
        </w:trPr>
        <w:tc>
          <w:tcPr>
            <w:tcW w:w="5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6"/>
              </w:rPr>
              <w:t>Weighted</w:t>
            </w:r>
          </w:p>
        </w:tc>
        <w:tc>
          <w:tcPr>
            <w:tcW w:w="320" w:type="dxa"/>
            <w:vAlign w:val="bottom"/>
          </w:tcPr>
          <w:p>
            <w:pPr>
              <w:spacing w:after="0"/>
              <w:rPr>
                <w:sz w:val="24"/>
                <w:szCs w:val="2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5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140" w:type="dxa"/>
            <w:vAlign w:val="bottom"/>
            <w:gridSpan w:val="3"/>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57"/>
        </w:trPr>
        <w:tc>
          <w:tcPr>
            <w:tcW w:w="5220" w:type="dxa"/>
            <w:vAlign w:val="bottom"/>
          </w:tcPr>
          <w:p>
            <w:pPr>
              <w:spacing w:after="0"/>
              <w:rPr>
                <w:sz w:val="22"/>
                <w:szCs w:val="22"/>
                <w:color w:val="auto"/>
              </w:rPr>
            </w:pP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Non-Vested</w:t>
            </w:r>
          </w:p>
        </w:tc>
        <w:tc>
          <w:tcPr>
            <w:tcW w:w="320" w:type="dxa"/>
            <w:vAlign w:val="bottom"/>
          </w:tcPr>
          <w:p>
            <w:pPr>
              <w:spacing w:after="0"/>
              <w:rPr>
                <w:sz w:val="22"/>
                <w:szCs w:val="22"/>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Date Fair Value</w:t>
            </w:r>
          </w:p>
        </w:tc>
        <w:tc>
          <w:tcPr>
            <w:tcW w:w="320" w:type="dxa"/>
            <w:vAlign w:val="bottom"/>
          </w:tcPr>
          <w:p>
            <w:pPr>
              <w:spacing w:after="0"/>
              <w:rPr>
                <w:sz w:val="22"/>
                <w:szCs w:val="22"/>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7"/>
              </w:rPr>
              <w:t>Vesting Term</w:t>
            </w:r>
          </w:p>
        </w:tc>
      </w:tr>
      <w:tr>
        <w:trPr>
          <w:trHeight w:val="270"/>
        </w:trPr>
        <w:tc>
          <w:tcPr>
            <w:tcW w:w="5220" w:type="dxa"/>
            <w:vAlign w:val="bottom"/>
          </w:tcPr>
          <w:p>
            <w:pPr>
              <w:spacing w:after="0"/>
              <w:rPr>
                <w:sz w:val="23"/>
                <w:szCs w:val="23"/>
                <w:color w:val="auto"/>
              </w:rPr>
            </w:pP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Shares</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8"/>
              </w:rPr>
              <w:t>(000’s)</w:t>
            </w:r>
          </w:p>
        </w:tc>
        <w:tc>
          <w:tcPr>
            <w:tcW w:w="320" w:type="dxa"/>
            <w:vAlign w:val="bottom"/>
          </w:tcPr>
          <w:p>
            <w:pPr>
              <w:spacing w:after="0"/>
              <w:rPr>
                <w:sz w:val="23"/>
                <w:szCs w:val="23"/>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22"/>
                <w:szCs w:val="22"/>
                <w:b w:val="1"/>
                <w:bCs w:val="1"/>
                <w:color w:val="auto"/>
                <w:w w:val="89"/>
              </w:rPr>
              <w:t>(in years)</w:t>
            </w:r>
          </w:p>
        </w:tc>
      </w:tr>
      <w:tr>
        <w:trPr>
          <w:trHeight w:val="236"/>
        </w:trPr>
        <w:tc>
          <w:tcPr>
            <w:tcW w:w="5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2019</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38,036</w:t>
            </w:r>
          </w:p>
        </w:tc>
        <w:tc>
          <w:tcPr>
            <w:tcW w:w="30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2,935</w:t>
            </w:r>
          </w:p>
        </w:tc>
        <w:tc>
          <w:tcPr>
            <w:tcW w:w="300" w:type="dxa"/>
            <w:vAlign w:val="bottom"/>
            <w:shd w:val="clear" w:color="auto" w:fill="E5FFFF"/>
          </w:tcPr>
          <w:p>
            <w:pPr>
              <w:spacing w:after="0"/>
              <w:rPr>
                <w:sz w:val="21"/>
                <w:szCs w:val="21"/>
                <w:color w:val="auto"/>
              </w:rPr>
            </w:pPr>
          </w:p>
        </w:tc>
        <w:tc>
          <w:tcPr>
            <w:tcW w:w="2120" w:type="dxa"/>
            <w:vAlign w:val="bottom"/>
            <w:gridSpan w:val="2"/>
            <w:shd w:val="clear" w:color="auto" w:fill="E5FFFF"/>
          </w:tcPr>
          <w:p>
            <w:pPr>
              <w:jc w:val="right"/>
              <w:ind w:right="272"/>
              <w:spacing w:after="0" w:line="243" w:lineRule="exact"/>
              <w:rPr>
                <w:sz w:val="20"/>
                <w:szCs w:val="20"/>
                <w:color w:val="auto"/>
              </w:rPr>
            </w:pPr>
            <w:r>
              <w:rPr>
                <w:rFonts w:ascii="Arial" w:cs="Arial" w:eastAsia="Arial" w:hAnsi="Arial"/>
                <w:sz w:val="22"/>
                <w:szCs w:val="22"/>
                <w:color w:val="auto"/>
              </w:rPr>
              <w:t>2</w:t>
            </w:r>
          </w:p>
        </w:tc>
        <w:tc>
          <w:tcPr>
            <w:tcW w:w="20" w:type="dxa"/>
            <w:vAlign w:val="bottom"/>
          </w:tcPr>
          <w:p>
            <w:pPr>
              <w:spacing w:after="0"/>
              <w:rPr>
                <w:sz w:val="21"/>
                <w:szCs w:val="21"/>
                <w:color w:val="auto"/>
              </w:rPr>
            </w:pPr>
          </w:p>
        </w:tc>
      </w:tr>
      <w:tr>
        <w:trPr>
          <w:trHeight w:val="243"/>
        </w:trPr>
        <w:tc>
          <w:tcPr>
            <w:tcW w:w="522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5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522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2019</w:t>
            </w:r>
          </w:p>
        </w:tc>
        <w:tc>
          <w:tcPr>
            <w:tcW w:w="11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38,036</w:t>
            </w:r>
          </w:p>
        </w:tc>
        <w:tc>
          <w:tcPr>
            <w:tcW w:w="300" w:type="dxa"/>
            <w:vAlign w:val="bottom"/>
            <w:shd w:val="clear" w:color="auto" w:fill="E5FFFF"/>
          </w:tcPr>
          <w:p>
            <w:pPr>
              <w:spacing w:after="0"/>
              <w:rPr>
                <w:sz w:val="23"/>
                <w:szCs w:val="23"/>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2,935</w:t>
            </w:r>
          </w:p>
        </w:tc>
        <w:tc>
          <w:tcPr>
            <w:tcW w:w="300" w:type="dxa"/>
            <w:vAlign w:val="bottom"/>
            <w:shd w:val="clear" w:color="auto" w:fill="E5FFFF"/>
          </w:tcPr>
          <w:p>
            <w:pPr>
              <w:spacing w:after="0"/>
              <w:rPr>
                <w:sz w:val="23"/>
                <w:szCs w:val="23"/>
                <w:color w:val="auto"/>
              </w:rPr>
            </w:pPr>
          </w:p>
        </w:tc>
        <w:tc>
          <w:tcPr>
            <w:tcW w:w="2120" w:type="dxa"/>
            <w:vAlign w:val="bottom"/>
            <w:gridSpan w:val="2"/>
            <w:shd w:val="clear" w:color="auto" w:fill="E5FFFF"/>
          </w:tcPr>
          <w:p>
            <w:pPr>
              <w:jc w:val="right"/>
              <w:ind w:right="272"/>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3"/>
                <w:szCs w:val="23"/>
                <w:color w:val="auto"/>
              </w:rPr>
            </w:pPr>
          </w:p>
        </w:tc>
      </w:tr>
      <w:tr>
        <w:trPr>
          <w:trHeight w:val="20"/>
        </w:trPr>
        <w:tc>
          <w:tcPr>
            <w:tcW w:w="5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24,219 and 34,148 non-vested shares at April 30, 2020 and 2019,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2020 and 2019.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ind w:right="180" w:firstLine="648"/>
        <w:spacing w:after="0" w:line="234" w:lineRule="auto"/>
        <w:rPr>
          <w:sz w:val="20"/>
          <w:szCs w:val="20"/>
          <w:color w:val="auto"/>
        </w:rPr>
      </w:pPr>
      <w:r>
        <w:rPr>
          <w:rFonts w:ascii="Arial" w:cs="Arial" w:eastAsia="Arial" w:hAnsi="Arial"/>
          <w:sz w:val="22"/>
          <w:szCs w:val="22"/>
          <w:color w:val="auto"/>
        </w:rPr>
        <w:t>The Company’s income tax benefit was approximately 38.7% and approximately 2,124.6% for the three months ended April 30, 2020 and 2019, respectively. The fluctuation in the rate results primarily from the production tax credits the Company expects to receive associated with its refined coal segment relative to consolidated pre-tax income or loss. Through its refined coal operation, the Company earns production tax credits pursuant to IRC Section 45. The credits can be used to reduce future income tax liabilities for up to 20 years. The Company’s income tax benefit for the first quarter of fiscal year 2020 includes approximately $1.4 million related to the lengthening of a net operating loss carryback allowed by the recently passed CARES Act.</w:t>
      </w:r>
    </w:p>
    <w:p>
      <w:pPr>
        <w:spacing w:after="0" w:line="218"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 amount of unrecognized tax benefits, including interest and penalties, is as follows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6"/>
          </w:tcPr>
          <w:p>
            <w:pPr>
              <w:ind w:left="10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1020" w:type="dxa"/>
            <w:vAlign w:val="bottom"/>
            <w:gridSpan w:val="3"/>
          </w:tcPr>
          <w:p>
            <w:pPr>
              <w:jc w:val="right"/>
              <w:spacing w:after="0"/>
              <w:rPr>
                <w:sz w:val="20"/>
                <w:szCs w:val="20"/>
                <w:color w:val="auto"/>
              </w:rPr>
            </w:pPr>
            <w:r>
              <w:rPr>
                <w:rFonts w:ascii="Arial" w:cs="Arial" w:eastAsia="Arial" w:hAnsi="Arial"/>
                <w:sz w:val="22"/>
                <w:szCs w:val="22"/>
                <w:b w:val="1"/>
                <w:bCs w:val="1"/>
                <w:color w:val="auto"/>
              </w:rPr>
              <w:t>April 30,</w:t>
            </w:r>
          </w:p>
        </w:tc>
        <w:tc>
          <w:tcPr>
            <w:tcW w:w="5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7,370</w:t>
            </w:r>
          </w:p>
        </w:tc>
        <w:tc>
          <w:tcPr>
            <w:tcW w:w="10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9,232</w:t>
            </w: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20"/>
              <w:spacing w:after="0" w:line="243" w:lineRule="exact"/>
              <w:rPr>
                <w:sz w:val="20"/>
                <w:szCs w:val="20"/>
                <w:color w:val="auto"/>
              </w:rPr>
            </w:pPr>
            <w:r>
              <w:rPr>
                <w:rFonts w:ascii="Arial" w:cs="Arial" w:eastAsia="Arial" w:hAnsi="Arial"/>
                <w:sz w:val="22"/>
                <w:szCs w:val="22"/>
                <w:color w:val="auto"/>
              </w:rPr>
              <w:t>Changes for prior years’ tax positions</w:t>
            </w:r>
          </w:p>
        </w:tc>
        <w:tc>
          <w:tcPr>
            <w:tcW w:w="16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E5FFFF"/>
          </w:tcPr>
          <w:p>
            <w:pPr>
              <w:ind w:left="120"/>
              <w:spacing w:after="0"/>
              <w:rPr>
                <w:sz w:val="20"/>
                <w:szCs w:val="20"/>
                <w:color w:val="auto"/>
              </w:rPr>
            </w:pPr>
            <w:r>
              <w:rPr>
                <w:rFonts w:ascii="Arial" w:cs="Arial" w:eastAsia="Arial" w:hAnsi="Arial"/>
                <w:sz w:val="22"/>
                <w:szCs w:val="22"/>
                <w:color w:val="auto"/>
              </w:rPr>
              <w:t>Changes for current year tax positions</w:t>
            </w:r>
          </w:p>
        </w:tc>
        <w:tc>
          <w:tcPr>
            <w:tcW w:w="160" w:type="dxa"/>
            <w:vAlign w:val="bottom"/>
            <w:tcBorders>
              <w:bottom w:val="single" w:sz="8" w:color="auto"/>
            </w:tcBorders>
            <w:shd w:val="clear" w:color="auto" w:fill="E5FFFF"/>
          </w:tcPr>
          <w:p>
            <w:pPr>
              <w:spacing w:after="0"/>
              <w:rPr>
                <w:sz w:val="22"/>
                <w:szCs w:val="22"/>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160" w:type="dxa"/>
            <w:vAlign w:val="bottom"/>
            <w:tcBorders>
              <w:bottom w:val="single" w:sz="8" w:color="auto"/>
            </w:tcBorders>
            <w:shd w:val="clear" w:color="auto" w:fill="E5FFFF"/>
          </w:tcPr>
          <w:p>
            <w:pPr>
              <w:spacing w:after="0"/>
              <w:rPr>
                <w:sz w:val="22"/>
                <w:szCs w:val="22"/>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138</w:t>
            </w:r>
          </w:p>
        </w:tc>
        <w:tc>
          <w:tcPr>
            <w:tcW w:w="2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120"/>
              <w:spacing w:after="0" w:line="250" w:lineRule="exact"/>
              <w:rPr>
                <w:sz w:val="20"/>
                <w:szCs w:val="20"/>
                <w:color w:val="auto"/>
              </w:rPr>
            </w:pPr>
            <w:r>
              <w:rPr>
                <w:rFonts w:ascii="Arial" w:cs="Arial" w:eastAsia="Arial" w:hAnsi="Arial"/>
                <w:sz w:val="22"/>
                <w:szCs w:val="22"/>
                <w:color w:val="auto"/>
              </w:rPr>
              <w:t>Unrecognized tax benefits,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4"/>
              </w:rPr>
              <w:t>7,371</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9,436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21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One Earth and NuGen have combined forward purchase contracts for approximately 6.7 million bushels of corn, the principal raw material for their ethanol plants, and they have combined forward purchase contracts for approximately 2,872,000 MmBtu (million british thermal units) of natural gas.</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One Earth and NuGen have combined sales commitments for approximately 5.5 million gallons of ethanol, approximately 26,000 tons of distillers grains and approximately 4.2 million pounds of non-food grade corn oil.</w:t>
      </w:r>
    </w:p>
    <w:p>
      <w:pPr>
        <w:spacing w:after="0" w:line="202"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$0.3 million and approximately $1.5 million in the first quarter of fiscal years 2020 and 2019,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first quarters of fiscal years 2020 and 2019, One Earth and NuGen purchased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21"/>
          <w:szCs w:val="21"/>
          <w:color w:val="auto"/>
        </w:rPr>
        <w:t>approximately $12.3 million and approximately $46.7 million, respectively, of corn (and other supplies) from minority equity investors and board members of those subsidiaries. The Company had amounts payable to related parties of approximately $0.1 million and approximately $0.7 million at April 30, 2020 and January 31, 2020, respectively.</w:t>
      </w:r>
    </w:p>
    <w:p>
      <w:pPr>
        <w:spacing w:after="0" w:line="19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During the first quarters of fiscal years 2020 and 2019, the Company recognized commission income of approximately $0.3 million and expense of approximately $0.1 million, respectively, payable to the minority investor in the refined coal entity. The commission income or expense is associated with the refined coal acquisition. The Company had accrued liabilities and accounts payable related to the commission income or expense of approximately $0.2 million and approximately $0.5 million at April 30, 2020 and January 31,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Segment Reporting</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Company has two reportable segments: i) ethanol and by-products; and ii) refined coal. The Company evaluates the performance of each reportable segment based on segment profit. The following tables summarize segment and other results and assets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6"/>
          </w:tcPr>
          <w:p>
            <w:pPr>
              <w:ind w:left="26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1040" w:type="dxa"/>
            <w:vAlign w:val="bottom"/>
            <w:gridSpan w:val="3"/>
          </w:tcPr>
          <w:p>
            <w:pPr>
              <w:jc w:val="right"/>
              <w:spacing w:after="0"/>
              <w:rPr>
                <w:sz w:val="20"/>
                <w:szCs w:val="20"/>
                <w:color w:val="auto"/>
              </w:rPr>
            </w:pPr>
            <w:r>
              <w:rPr>
                <w:rFonts w:ascii="Arial" w:cs="Arial" w:eastAsia="Arial" w:hAnsi="Arial"/>
                <w:sz w:val="22"/>
                <w:szCs w:val="22"/>
                <w:b w:val="1"/>
                <w:bCs w:val="1"/>
                <w:color w:val="auto"/>
              </w:rPr>
              <w:t>April 30,</w:t>
            </w:r>
          </w:p>
        </w:tc>
        <w:tc>
          <w:tcPr>
            <w:tcW w:w="740" w:type="dxa"/>
            <w:vAlign w:val="bottom"/>
            <w:vMerge w:val="restart"/>
          </w:tcPr>
          <w:p>
            <w:pPr>
              <w:jc w:val="right"/>
              <w:ind w:right="3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2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E5FF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Net sales and revenue:</w:t>
            </w: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line="243" w:lineRule="exact"/>
              <w:rPr>
                <w:sz w:val="20"/>
                <w:szCs w:val="20"/>
                <w:color w:val="auto"/>
              </w:rPr>
            </w:pPr>
            <w:r>
              <w:rPr>
                <w:rFonts w:ascii="Arial" w:cs="Arial" w:eastAsia="Arial" w:hAnsi="Arial"/>
                <w:sz w:val="22"/>
                <w:szCs w:val="22"/>
                <w:color w:val="auto"/>
              </w:rPr>
              <w:t>Ethanol and by-products</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83,235</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w w:val="90"/>
              </w:rPr>
              <w:t>104,453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020" w:type="dxa"/>
            <w:vAlign w:val="bottom"/>
            <w:shd w:val="clear" w:color="auto" w:fill="E5FFFF"/>
          </w:tcPr>
          <w:p>
            <w:pPr>
              <w:ind w:left="100"/>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80" w:type="dxa"/>
            <w:vAlign w:val="bottom"/>
            <w:tcBorders>
              <w:bottom w:val="single" w:sz="8" w:color="auto"/>
            </w:tcBorders>
            <w:shd w:val="clear" w:color="auto" w:fill="E5FFFF"/>
          </w:tcPr>
          <w:p>
            <w:pPr>
              <w:spacing w:after="0"/>
              <w:rPr>
                <w:sz w:val="24"/>
                <w:szCs w:val="24"/>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15</w:t>
            </w:r>
          </w:p>
        </w:tc>
        <w:tc>
          <w:tcPr>
            <w:tcW w:w="220" w:type="dxa"/>
            <w:vAlign w:val="bottom"/>
            <w:shd w:val="clear" w:color="auto" w:fill="E5FFFF"/>
          </w:tcPr>
          <w:p>
            <w:pPr>
              <w:spacing w:after="0"/>
              <w:rPr>
                <w:sz w:val="24"/>
                <w:szCs w:val="24"/>
                <w:color w:val="auto"/>
              </w:rPr>
            </w:pPr>
          </w:p>
        </w:tc>
        <w:tc>
          <w:tcPr>
            <w:tcW w:w="62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spacing w:after="0"/>
              <w:rPr>
                <w:sz w:val="24"/>
                <w:szCs w:val="24"/>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122</w:t>
            </w:r>
          </w:p>
        </w:tc>
        <w:tc>
          <w:tcPr>
            <w:tcW w:w="2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00"/>
              <w:spacing w:after="0" w:line="250" w:lineRule="exact"/>
              <w:rPr>
                <w:sz w:val="20"/>
                <w:szCs w:val="20"/>
                <w:color w:val="auto"/>
              </w:rPr>
            </w:pPr>
            <w:r>
              <w:rPr>
                <w:rFonts w:ascii="Arial" w:cs="Arial" w:eastAsia="Arial" w:hAnsi="Arial"/>
                <w:sz w:val="22"/>
                <w:szCs w:val="22"/>
                <w:color w:val="auto"/>
              </w:rPr>
              <w:t>Total net sales and revenue</w:t>
            </w:r>
          </w:p>
        </w:tc>
        <w:tc>
          <w:tcPr>
            <w:tcW w:w="1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83,250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0"/>
              </w:rPr>
              <w:t>104,575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500" w:firstLine="656"/>
        <w:spacing w:after="0" w:line="196" w:lineRule="auto"/>
        <w:tabs>
          <w:tab w:leader="none" w:pos="783" w:val="left"/>
        </w:tabs>
        <w:numPr>
          <w:ilvl w:val="0"/>
          <w:numId w:val="7"/>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402" w:right="49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Segment gross (loss)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-154940</wp:posOffset>
            </wp:positionV>
            <wp:extent cx="49891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Ethanol and by-products</w:t>
      </w:r>
    </w:p>
    <w:p>
      <w:pPr>
        <w:spacing w:after="0"/>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-158115</wp:posOffset>
            </wp:positionV>
            <wp:extent cx="49891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Total gross (loss) profit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(Loss)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-146685</wp:posOffset>
            </wp:positionV>
            <wp:extent cx="49891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49891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Corporate and other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Total (loss)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-157480</wp:posOffset>
            </wp:positionV>
            <wp:extent cx="498919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Benefit (provision) for income taxes:</w:t>
      </w:r>
    </w:p>
    <w:p>
      <w:pPr>
        <w:spacing w:after="0" w:line="238" w:lineRule="auto"/>
        <w:rPr>
          <w:sz w:val="20"/>
          <w:szCs w:val="20"/>
          <w:color w:val="auto"/>
        </w:rPr>
      </w:pPr>
      <w:r>
        <w:rPr>
          <w:rFonts w:ascii="Arial" w:cs="Arial" w:eastAsia="Arial" w:hAnsi="Arial"/>
          <w:sz w:val="22"/>
          <w:szCs w:val="22"/>
          <w:color w:val="auto"/>
        </w:rPr>
        <w:t>Ethanol and by-products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498919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22"/>
          <w:szCs w:val="22"/>
          <w:color w:val="auto"/>
        </w:rPr>
        <w:t>Refined coal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-158115</wp:posOffset>
            </wp:positionV>
            <wp:extent cx="498919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Total benefit for income taxes</w:t>
      </w:r>
    </w:p>
    <w:p>
      <w:pPr>
        <w:spacing w:after="0" w:line="283"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Segment (loss) profit (net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4989195"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9195" cy="30861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22"/>
          <w:szCs w:val="22"/>
          <w:color w:val="auto"/>
        </w:rPr>
        <w:t>Ethanol and by-products</w:t>
      </w:r>
    </w:p>
    <w:p>
      <w:pPr>
        <w:spacing w:after="0" w:line="231" w:lineRule="auto"/>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498919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Corporate and other</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Net (loss) income attributable to REX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-313055</wp:posOffset>
            </wp:positionV>
            <wp:extent cx="4989195" cy="334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91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-154940</wp:posOffset>
            </wp:positionV>
            <wp:extent cx="498919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498919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Corporate and other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-157480</wp:posOffset>
            </wp:positionV>
            <wp:extent cx="498919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53"/>
        </w:trPr>
        <w:tc>
          <w:tcPr>
            <w:tcW w:w="180" w:type="dxa"/>
            <w:vAlign w:val="bottom"/>
          </w:tcPr>
          <w:p>
            <w:pPr>
              <w:spacing w:after="0"/>
              <w:rPr>
                <w:sz w:val="21"/>
                <w:szCs w:val="21"/>
                <w:color w:val="auto"/>
              </w:rPr>
            </w:pPr>
          </w:p>
        </w:tc>
        <w:tc>
          <w:tcPr>
            <w:tcW w:w="2520" w:type="dxa"/>
            <w:vAlign w:val="bottom"/>
            <w:gridSpan w:val="7"/>
          </w:tcPr>
          <w:p>
            <w:pPr>
              <w:jc w:val="right"/>
              <w:ind w:right="152"/>
              <w:spacing w:after="0"/>
              <w:rPr>
                <w:sz w:val="20"/>
                <w:szCs w:val="20"/>
                <w:color w:val="auto"/>
              </w:rPr>
            </w:pPr>
            <w:r>
              <w:rPr>
                <w:rFonts w:ascii="Arial" w:cs="Arial" w:eastAsia="Arial" w:hAnsi="Arial"/>
                <w:sz w:val="22"/>
                <w:szCs w:val="22"/>
                <w:b w:val="1"/>
                <w:bCs w:val="1"/>
                <w:color w:val="auto"/>
              </w:rPr>
              <w:t>Three Months Ended</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80" w:type="dxa"/>
            <w:vAlign w:val="bottom"/>
          </w:tcPr>
          <w:p>
            <w:pPr>
              <w:spacing w:after="0"/>
              <w:rPr>
                <w:sz w:val="24"/>
                <w:szCs w:val="2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4"/>
                <w:szCs w:val="24"/>
                <w:color w:val="auto"/>
              </w:rPr>
            </w:pPr>
          </w:p>
        </w:tc>
        <w:tc>
          <w:tcPr>
            <w:tcW w:w="980" w:type="dxa"/>
            <w:vAlign w:val="bottom"/>
            <w:gridSpan w:val="4"/>
          </w:tcPr>
          <w:p>
            <w:pPr>
              <w:jc w:val="right"/>
              <w:ind w:right="44"/>
              <w:spacing w:after="0"/>
              <w:rPr>
                <w:sz w:val="20"/>
                <w:szCs w:val="20"/>
                <w:color w:val="auto"/>
              </w:rPr>
            </w:pPr>
            <w:r>
              <w:rPr>
                <w:rFonts w:ascii="Arial" w:cs="Arial" w:eastAsia="Arial" w:hAnsi="Arial"/>
                <w:sz w:val="22"/>
                <w:szCs w:val="22"/>
                <w:b w:val="1"/>
                <w:bCs w:val="1"/>
                <w:color w:val="auto"/>
                <w:w w:val="96"/>
              </w:rPr>
              <w:t>April 30,</w:t>
            </w:r>
          </w:p>
        </w:tc>
        <w:tc>
          <w:tcPr>
            <w:tcW w:w="70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(8,223)</w:t>
            </w:r>
          </w:p>
        </w:tc>
        <w:tc>
          <w:tcPr>
            <w:tcW w:w="98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6,115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(1,107)</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97"/>
              </w:rPr>
              <w:t>(2,469)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(9,330)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w w:val="95"/>
              </w:rPr>
              <w:t>(12,351)</w:t>
            </w:r>
          </w:p>
        </w:tc>
        <w:tc>
          <w:tcPr>
            <w:tcW w:w="98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3,205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140" w:hanging="1547"/>
        <w:spacing w:after="0"/>
        <w:tabs>
          <w:tab w:leader="none" w:pos="2140" w:val="left"/>
        </w:tabs>
        <w:numPr>
          <w:ilvl w:val="0"/>
          <w:numId w:val="8"/>
        </w:numPr>
        <w:rPr>
          <w:rFonts w:ascii="Arial" w:cs="Arial" w:eastAsia="Arial" w:hAnsi="Arial"/>
          <w:sz w:val="22"/>
          <w:szCs w:val="22"/>
          <w:color w:val="auto"/>
        </w:rPr>
      </w:pPr>
      <w:r>
        <w:rPr>
          <w:rFonts w:ascii="Arial" w:cs="Arial" w:eastAsia="Arial" w:hAnsi="Arial"/>
          <w:sz w:val="22"/>
          <w:szCs w:val="22"/>
          <w:color w:val="auto"/>
        </w:rPr>
        <w:t>(2,676)</w:t>
      </w:r>
    </w:p>
    <w:p>
      <w:pPr>
        <w:ind w:left="2300" w:hanging="1707"/>
        <w:spacing w:after="0" w:line="237" w:lineRule="auto"/>
        <w:tabs>
          <w:tab w:leader="none" w:pos="2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(362)</w:t>
      </w: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30"/>
        </w:trPr>
        <w:tc>
          <w:tcPr>
            <w:tcW w:w="180" w:type="dxa"/>
            <w:vAlign w:val="bottom"/>
          </w:tcPr>
          <w:p>
            <w:pPr>
              <w:jc w:val="right"/>
              <w:spacing w:after="0" w:line="230" w:lineRule="exact"/>
              <w:rPr>
                <w:sz w:val="20"/>
                <w:szCs w:val="20"/>
                <w:color w:val="auto"/>
              </w:rPr>
            </w:pPr>
            <w:r>
              <w:rPr>
                <w:rFonts w:ascii="Arial" w:cs="Arial" w:eastAsia="Arial" w:hAnsi="Arial"/>
                <w:sz w:val="22"/>
                <w:szCs w:val="22"/>
                <w:color w:val="auto"/>
                <w:w w:val="81"/>
              </w:rPr>
              <w:t>$</w:t>
            </w:r>
          </w:p>
        </w:tc>
        <w:tc>
          <w:tcPr>
            <w:tcW w:w="1680" w:type="dxa"/>
            <w:vAlign w:val="bottom"/>
            <w:gridSpan w:val="2"/>
          </w:tcPr>
          <w:p>
            <w:pPr>
              <w:jc w:val="right"/>
              <w:ind w:right="880"/>
              <w:spacing w:after="0" w:line="230" w:lineRule="exact"/>
              <w:rPr>
                <w:sz w:val="20"/>
                <w:szCs w:val="20"/>
                <w:color w:val="auto"/>
              </w:rPr>
            </w:pPr>
            <w:r>
              <w:rPr>
                <w:rFonts w:ascii="Arial" w:cs="Arial" w:eastAsia="Arial" w:hAnsi="Arial"/>
                <w:sz w:val="22"/>
                <w:szCs w:val="22"/>
                <w:color w:val="auto"/>
                <w:w w:val="95"/>
              </w:rPr>
              <w:t>(13,743)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30" w:lineRule="exact"/>
              <w:rPr>
                <w:sz w:val="20"/>
                <w:szCs w:val="20"/>
                <w:color w:val="auto"/>
              </w:rPr>
            </w:pPr>
            <w:r>
              <w:rPr>
                <w:rFonts w:ascii="Arial" w:cs="Arial" w:eastAsia="Arial" w:hAnsi="Arial"/>
                <w:sz w:val="22"/>
                <w:szCs w:val="22"/>
                <w:color w:val="auto"/>
              </w:rPr>
              <w:t>167</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688"/>
        </w:trPr>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80" w:type="dxa"/>
            <w:vAlign w:val="bottom"/>
            <w:gridSpan w:val="2"/>
          </w:tcPr>
          <w:p>
            <w:pPr>
              <w:jc w:val="right"/>
              <w:ind w:right="880"/>
              <w:spacing w:after="0"/>
              <w:rPr>
                <w:sz w:val="20"/>
                <w:szCs w:val="20"/>
                <w:color w:val="auto"/>
              </w:rPr>
            </w:pPr>
            <w:r>
              <w:rPr>
                <w:rFonts w:ascii="Arial" w:cs="Arial" w:eastAsia="Arial" w:hAnsi="Arial"/>
                <w:sz w:val="22"/>
                <w:szCs w:val="22"/>
                <w:color w:val="auto"/>
              </w:rPr>
              <w:t>4,161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(486)</w:t>
            </w:r>
          </w:p>
        </w:tc>
      </w:tr>
      <w:tr>
        <w:trPr>
          <w:trHeight w:val="257"/>
        </w:trPr>
        <w:tc>
          <w:tcPr>
            <w:tcW w:w="180" w:type="dxa"/>
            <w:vAlign w:val="bottom"/>
          </w:tcPr>
          <w:p>
            <w:pPr>
              <w:spacing w:after="0"/>
              <w:rPr>
                <w:sz w:val="22"/>
                <w:szCs w:val="22"/>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22"/>
                <w:szCs w:val="22"/>
                <w:color w:val="auto"/>
              </w:rPr>
              <w:t>959</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3,946</w:t>
            </w:r>
          </w:p>
        </w:tc>
      </w:tr>
      <w:tr>
        <w:trPr>
          <w:trHeight w:val="264"/>
        </w:trPr>
        <w:tc>
          <w:tcPr>
            <w:tcW w:w="180" w:type="dxa"/>
            <w:vAlign w:val="bottom"/>
          </w:tcPr>
          <w:p>
            <w:pPr>
              <w:spacing w:after="0"/>
              <w:rPr>
                <w:sz w:val="22"/>
                <w:szCs w:val="22"/>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22"/>
                <w:szCs w:val="22"/>
                <w:color w:val="auto"/>
              </w:rPr>
              <w:t>193</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50"/>
        </w:trPr>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5,313</w:t>
            </w:r>
          </w:p>
        </w:tc>
        <w:tc>
          <w:tcPr>
            <w:tcW w:w="8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400" w:type="dxa"/>
            <w:vAlign w:val="bottom"/>
          </w:tcPr>
          <w:p>
            <w:pPr>
              <w:jc w:val="right"/>
              <w:ind w:right="312"/>
              <w:spacing w:after="0"/>
              <w:rPr>
                <w:sz w:val="20"/>
                <w:szCs w:val="20"/>
                <w:color w:val="auto"/>
              </w:rPr>
            </w:pPr>
            <w:r>
              <w:rPr>
                <w:rFonts w:ascii="Arial" w:cs="Arial" w:eastAsia="Arial" w:hAnsi="Arial"/>
                <w:sz w:val="22"/>
                <w:szCs w:val="22"/>
                <w:color w:val="auto"/>
              </w:rPr>
              <w:t>$  (7,433)</w:t>
            </w:r>
          </w:p>
        </w:tc>
        <w:tc>
          <w:tcPr>
            <w:tcW w:w="1300" w:type="dxa"/>
            <w:vAlign w:val="bottom"/>
          </w:tcPr>
          <w:p>
            <w:pPr>
              <w:jc w:val="right"/>
              <w:spacing w:after="0"/>
              <w:rPr>
                <w:sz w:val="20"/>
                <w:szCs w:val="20"/>
                <w:color w:val="auto"/>
              </w:rPr>
            </w:pPr>
            <w:r>
              <w:rPr>
                <w:rFonts w:ascii="Arial" w:cs="Arial" w:eastAsia="Arial" w:hAnsi="Arial"/>
                <w:sz w:val="22"/>
                <w:szCs w:val="22"/>
                <w:color w:val="auto"/>
              </w:rPr>
              <w:t>$   1,709</w:t>
            </w:r>
          </w:p>
        </w:tc>
      </w:tr>
      <w:tr>
        <w:trPr>
          <w:trHeight w:val="274"/>
        </w:trPr>
        <w:tc>
          <w:tcPr>
            <w:tcW w:w="1400" w:type="dxa"/>
            <w:vAlign w:val="bottom"/>
          </w:tcPr>
          <w:p>
            <w:pPr>
              <w:jc w:val="right"/>
              <w:ind w:right="312"/>
              <w:spacing w:after="0"/>
              <w:rPr>
                <w:sz w:val="20"/>
                <w:szCs w:val="20"/>
                <w:color w:val="auto"/>
              </w:rPr>
            </w:pPr>
            <w:r>
              <w:rPr>
                <w:rFonts w:ascii="Arial" w:cs="Arial" w:eastAsia="Arial" w:hAnsi="Arial"/>
                <w:sz w:val="22"/>
                <w:szCs w:val="22"/>
                <w:color w:val="auto"/>
              </w:rPr>
              <w:t>150</w:t>
            </w:r>
          </w:p>
        </w:tc>
        <w:tc>
          <w:tcPr>
            <w:tcW w:w="1300" w:type="dxa"/>
            <w:vAlign w:val="bottom"/>
          </w:tcPr>
          <w:p>
            <w:pPr>
              <w:jc w:val="right"/>
              <w:spacing w:after="0"/>
              <w:rPr>
                <w:sz w:val="20"/>
                <w:szCs w:val="20"/>
                <w:color w:val="auto"/>
              </w:rPr>
            </w:pPr>
            <w:r>
              <w:rPr>
                <w:rFonts w:ascii="Arial" w:cs="Arial" w:eastAsia="Arial" w:hAnsi="Arial"/>
                <w:sz w:val="22"/>
                <w:szCs w:val="22"/>
                <w:color w:val="auto"/>
              </w:rPr>
              <w:t>1,386</w:t>
            </w:r>
          </w:p>
        </w:tc>
      </w:tr>
    </w:tbl>
    <w:p>
      <w:pPr>
        <w:ind w:left="2300" w:hanging="1707"/>
        <w:spacing w:after="0"/>
        <w:tabs>
          <w:tab w:leader="none" w:pos="2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(274)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Pr>
          <w:p>
            <w:pPr>
              <w:spacing w:after="0"/>
              <w:rPr>
                <w:sz w:val="22"/>
                <w:szCs w:val="22"/>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22"/>
                <w:szCs w:val="22"/>
                <w:color w:val="auto"/>
              </w:rPr>
              <w:t>$  (7,635)</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4"/>
          </w:tcPr>
          <w:p>
            <w:pPr>
              <w:jc w:val="center"/>
              <w:ind w:left="32"/>
              <w:spacing w:after="0"/>
              <w:rPr>
                <w:sz w:val="20"/>
                <w:szCs w:val="20"/>
                <w:color w:val="auto"/>
              </w:rPr>
            </w:pPr>
            <w:r>
              <w:rPr>
                <w:rFonts w:ascii="Arial" w:cs="Arial" w:eastAsia="Arial" w:hAnsi="Arial"/>
                <w:sz w:val="22"/>
                <w:szCs w:val="22"/>
                <w:color w:val="auto"/>
              </w:rPr>
              <w:t>$   2,821</w:t>
            </w:r>
          </w:p>
        </w:tc>
        <w:tc>
          <w:tcPr>
            <w:tcW w:w="22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1580" w:type="dxa"/>
            <w:vAlign w:val="bottom"/>
            <w:gridSpan w:val="4"/>
          </w:tcPr>
          <w:p>
            <w:pPr>
              <w:jc w:val="center"/>
              <w:ind w:right="600"/>
              <w:spacing w:after="0"/>
              <w:rPr>
                <w:sz w:val="20"/>
                <w:szCs w:val="20"/>
                <w:color w:val="auto"/>
              </w:rPr>
            </w:pPr>
            <w:r>
              <w:rPr>
                <w:rFonts w:ascii="Arial" w:cs="Arial" w:eastAsia="Arial" w:hAnsi="Arial"/>
                <w:sz w:val="22"/>
                <w:szCs w:val="22"/>
                <w:b w:val="1"/>
                <w:bCs w:val="1"/>
                <w:color w:val="auto"/>
                <w:w w:val="94"/>
              </w:rPr>
              <w:t>April 30,</w:t>
            </w:r>
          </w:p>
        </w:tc>
        <w:tc>
          <w:tcPr>
            <w:tcW w:w="120" w:type="dxa"/>
            <w:vAlign w:val="bottom"/>
          </w:tcPr>
          <w:p>
            <w:pPr>
              <w:spacing w:after="0"/>
              <w:rPr>
                <w:sz w:val="24"/>
                <w:szCs w:val="2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22"/>
                <w:szCs w:val="22"/>
                <w:b w:val="1"/>
                <w:bCs w:val="1"/>
                <w:color w:val="auto"/>
                <w:w w:val="90"/>
              </w:rPr>
              <w:t>January 31,</w:t>
            </w:r>
          </w:p>
        </w:tc>
      </w:tr>
      <w:tr>
        <w:trPr>
          <w:trHeight w:val="270"/>
        </w:trPr>
        <w:tc>
          <w:tcPr>
            <w:tcW w:w="92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b w:val="1"/>
                <w:bCs w:val="1"/>
                <w:color w:val="auto"/>
                <w:w w:val="85"/>
              </w:rPr>
              <w:t>2020</w:t>
            </w: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3"/>
          </w:tcPr>
          <w:p>
            <w:pPr>
              <w:jc w:val="center"/>
              <w:ind w:left="92"/>
              <w:spacing w:after="0"/>
              <w:rPr>
                <w:sz w:val="20"/>
                <w:szCs w:val="20"/>
                <w:color w:val="auto"/>
              </w:rPr>
            </w:pPr>
            <w:r>
              <w:rPr>
                <w:rFonts w:ascii="Arial" w:cs="Arial" w:eastAsia="Arial" w:hAnsi="Arial"/>
                <w:sz w:val="22"/>
                <w:szCs w:val="22"/>
                <w:b w:val="1"/>
                <w:bCs w:val="1"/>
                <w:color w:val="auto"/>
                <w:w w:val="85"/>
              </w:rPr>
              <w:t>2020</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r>
      <w:tr>
        <w:trPr>
          <w:trHeight w:val="458"/>
        </w:trPr>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w w:val="91"/>
              </w:rPr>
              <w:t>$ 383,516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3"/>
          </w:tcPr>
          <w:p>
            <w:pPr>
              <w:jc w:val="right"/>
              <w:spacing w:after="0"/>
              <w:rPr>
                <w:sz w:val="20"/>
                <w:szCs w:val="20"/>
                <w:color w:val="auto"/>
              </w:rPr>
            </w:pPr>
            <w:r>
              <w:rPr>
                <w:rFonts w:ascii="Arial" w:cs="Arial" w:eastAsia="Arial" w:hAnsi="Arial"/>
                <w:sz w:val="22"/>
                <w:szCs w:val="22"/>
                <w:color w:val="auto"/>
              </w:rPr>
              <w:t>408,746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5,076</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22"/>
                <w:szCs w:val="22"/>
                <w:color w:val="auto"/>
              </w:rPr>
              <w:t>6,101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87,446</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22"/>
                <w:szCs w:val="22"/>
                <w:color w:val="auto"/>
              </w:rPr>
              <w:t>85,655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9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91"/>
              </w:rPr>
              <w:t>$ 476,038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500,502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3"/>
        </w:trPr>
        <w:tc>
          <w:tcPr>
            <w:tcW w:w="920" w:type="dxa"/>
            <w:vAlign w:val="bottom"/>
            <w:gridSpan w:val="2"/>
          </w:tcPr>
          <w:p>
            <w:pPr>
              <w:jc w:val="right"/>
              <w:spacing w:after="0"/>
              <w:rPr>
                <w:sz w:val="20"/>
                <w:szCs w:val="20"/>
                <w:color w:val="auto"/>
              </w:rPr>
            </w:pPr>
            <w:r>
              <w:rPr>
                <w:rFonts w:ascii="Arial" w:cs="Arial" w:eastAsia="Arial" w:hAnsi="Arial"/>
                <w:sz w:val="22"/>
                <w:szCs w:val="22"/>
                <w:color w:val="auto"/>
              </w:rPr>
              <w:t>21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130810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100" w:space="660"/>
            <w:col w:w="5279"/>
          </w:cols>
          <w:pgMar w:left="420" w:top="386"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Sales of products, ethanol and by-products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98919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Ethanol</w:t>
      </w:r>
    </w:p>
    <w:p>
      <w:pPr>
        <w:ind w:left="100"/>
        <w:spacing w:after="0" w:line="230" w:lineRule="auto"/>
        <w:rPr>
          <w:sz w:val="20"/>
          <w:szCs w:val="20"/>
          <w:color w:val="auto"/>
        </w:rPr>
      </w:pPr>
      <w:r>
        <w:rPr>
          <w:rFonts w:ascii="Arial" w:cs="Arial" w:eastAsia="Arial" w:hAnsi="Arial"/>
          <w:sz w:val="22"/>
          <w:szCs w:val="22"/>
          <w:color w:val="auto"/>
        </w:rPr>
        <w:t>Dried distillers grains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98919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ind w:left="100"/>
        <w:spacing w:after="0" w:line="231" w:lineRule="auto"/>
        <w:rPr>
          <w:sz w:val="20"/>
          <w:szCs w:val="20"/>
          <w:color w:val="auto"/>
        </w:rPr>
      </w:pPr>
      <w:r>
        <w:rPr>
          <w:rFonts w:ascii="Arial" w:cs="Arial" w:eastAsia="Arial" w:hAnsi="Arial"/>
          <w:sz w:val="22"/>
          <w:szCs w:val="22"/>
          <w:color w:val="auto"/>
        </w:rPr>
        <w:t>Non-food grade corn oil</w:t>
      </w:r>
    </w:p>
    <w:p>
      <w:pPr>
        <w:ind w:left="100"/>
        <w:spacing w:after="0" w:line="230" w:lineRule="auto"/>
        <w:rPr>
          <w:sz w:val="20"/>
          <w:szCs w:val="20"/>
          <w:color w:val="auto"/>
        </w:rPr>
      </w:pPr>
      <w:r>
        <w:rPr>
          <w:rFonts w:ascii="Arial" w:cs="Arial" w:eastAsia="Arial" w:hAnsi="Arial"/>
          <w:sz w:val="22"/>
          <w:szCs w:val="22"/>
          <w:color w:val="auto"/>
        </w:rPr>
        <w:t>Modified distillers grains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98919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Other</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98919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6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Sales of products, refined coal segment: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498919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Subsequent Event</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right="3380"/>
        <w:spacing w:after="0"/>
        <w:rPr>
          <w:sz w:val="20"/>
          <w:szCs w:val="20"/>
          <w:color w:val="auto"/>
        </w:rPr>
      </w:pPr>
      <w:r>
        <w:rPr>
          <w:rFonts w:ascii="Arial" w:cs="Arial" w:eastAsia="Arial" w:hAnsi="Arial"/>
          <w:sz w:val="22"/>
          <w:szCs w:val="22"/>
          <w:b w:val="1"/>
          <w:bCs w:val="1"/>
          <w:color w:val="auto"/>
        </w:rPr>
        <w:t>April 30,</w:t>
      </w:r>
    </w:p>
    <w:p>
      <w:pPr>
        <w:spacing w:after="0" w:line="3" w:lineRule="exact"/>
        <w:rPr>
          <w:sz w:val="20"/>
          <w:szCs w:val="20"/>
          <w:color w:val="auto"/>
        </w:rPr>
      </w:pPr>
    </w:p>
    <w:p>
      <w:pPr>
        <w:ind w:left="300"/>
        <w:spacing w:after="0"/>
        <w:tabs>
          <w:tab w:leader="none" w:pos="1940" w:val="left"/>
        </w:tabs>
        <w:rPr>
          <w:sz w:val="20"/>
          <w:szCs w:val="20"/>
          <w:color w:val="auto"/>
        </w:rPr>
      </w:pPr>
      <w:r>
        <w:rPr>
          <w:rFonts w:ascii="Arial" w:cs="Arial" w:eastAsia="Arial" w:hAnsi="Arial"/>
          <w:sz w:val="22"/>
          <w:szCs w:val="22"/>
          <w:b w:val="1"/>
          <w:bCs w:val="1"/>
          <w:color w:val="auto"/>
        </w:rPr>
        <w:t>2020</w:t>
      </w:r>
      <w:r>
        <w:rPr>
          <w:sz w:val="20"/>
          <w:szCs w:val="20"/>
          <w:color w:val="auto"/>
        </w:rPr>
        <w:tab/>
      </w:r>
      <w:r>
        <w:rPr>
          <w:rFonts w:ascii="Arial" w:cs="Arial" w:eastAsia="Arial" w:hAnsi="Arial"/>
          <w:sz w:val="22"/>
          <w:szCs w:val="22"/>
          <w:b w:val="1"/>
          <w:bCs w:val="1"/>
          <w:color w:val="auto"/>
        </w:rPr>
        <w:t>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rPr>
                <w:sz w:val="20"/>
                <w:szCs w:val="20"/>
                <w:color w:val="auto"/>
              </w:rPr>
            </w:pPr>
            <w:r>
              <w:rPr>
                <w:rFonts w:ascii="Arial" w:cs="Arial" w:eastAsia="Arial" w:hAnsi="Arial"/>
                <w:sz w:val="22"/>
                <w:szCs w:val="22"/>
                <w:color w:val="auto"/>
                <w:w w:val="95"/>
              </w:rPr>
              <w:t>60,597</w:t>
            </w:r>
          </w:p>
        </w:tc>
        <w:tc>
          <w:tcPr>
            <w:tcW w:w="7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77,618</w:t>
            </w: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18,918</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18,674</w:t>
            </w: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3,188</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4,983</w:t>
            </w:r>
          </w:p>
        </w:tc>
      </w:tr>
      <w:tr>
        <w:trPr>
          <w:trHeight w:val="257"/>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457</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3,140</w:t>
            </w:r>
          </w:p>
        </w:tc>
      </w:tr>
      <w:tr>
        <w:trPr>
          <w:trHeight w:val="264"/>
        </w:trPr>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w:t>
            </w:r>
          </w:p>
        </w:tc>
      </w:tr>
      <w:tr>
        <w:trPr>
          <w:trHeight w:val="250"/>
        </w:trPr>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83,235</w:t>
            </w:r>
          </w:p>
        </w:tc>
        <w:tc>
          <w:tcPr>
            <w:tcW w:w="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3"/>
              </w:rPr>
              <w:t>104,453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36"/>
        </w:trPr>
        <w:tc>
          <w:tcPr>
            <w:tcW w:w="16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rPr>
                <w:sz w:val="20"/>
                <w:szCs w:val="20"/>
                <w:color w:val="auto"/>
              </w:rPr>
            </w:pPr>
            <w:r>
              <w:rPr>
                <w:rFonts w:ascii="Arial" w:cs="Arial" w:eastAsia="Arial" w:hAnsi="Arial"/>
                <w:sz w:val="22"/>
                <w:szCs w:val="22"/>
                <w:color w:val="auto"/>
              </w:rPr>
              <w:t>15</w:t>
            </w:r>
          </w:p>
        </w:tc>
        <w:tc>
          <w:tcPr>
            <w:tcW w:w="7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668" w:lineRule="exact"/>
        <w:rPr>
          <w:sz w:val="20"/>
          <w:szCs w:val="20"/>
          <w:color w:val="auto"/>
        </w:rPr>
      </w:pPr>
    </w:p>
    <w:p>
      <w:pPr>
        <w:sectPr>
          <w:pgSz w:w="11900" w:h="16838" w:orient="portrait"/>
          <w:cols w:equalWidth="0" w:num="2">
            <w:col w:w="4620" w:space="500"/>
            <w:col w:w="6120"/>
          </w:cols>
          <w:pgMar w:left="320" w:top="396" w:right="339" w:bottom="1440" w:gutter="0" w:footer="0" w:header="0"/>
        </w:sectPr>
      </w:pPr>
    </w:p>
    <w:p>
      <w:pPr>
        <w:spacing w:after="0" w:line="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On May 27, 2020, the Company resumed production operations at its One Earth ethanol plant, which had been idled since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April 30, 2020, investments in our ethanol business include equity investments in three ethanol limited liability companies, two of which we have a majority ownership interest in. The following table is a summary of ethanol gallons shipped at our plants: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00" w:type="dxa"/>
            <w:vAlign w:val="bottom"/>
            <w:tcBorders>
              <w:top w:val="single" w:sz="8" w:color="auto"/>
              <w:left w:val="single" w:sz="8" w:color="auto"/>
              <w:right w:val="single" w:sz="8" w:color="auto"/>
            </w:tcBorders>
          </w:tcPr>
          <w:p>
            <w:pPr>
              <w:spacing w:after="0"/>
              <w:rPr>
                <w:sz w:val="19"/>
                <w:szCs w:val="19"/>
                <w:color w:val="auto"/>
              </w:rPr>
            </w:pPr>
          </w:p>
        </w:tc>
        <w:tc>
          <w:tcPr>
            <w:tcW w:w="1580" w:type="dxa"/>
            <w:vAlign w:val="bottom"/>
            <w:tcBorders>
              <w:top w:val="single" w:sz="8" w:color="auto"/>
            </w:tcBorders>
          </w:tcPr>
          <w:p>
            <w:pPr>
              <w:jc w:val="center"/>
              <w:ind w:left="21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2120" w:type="dxa"/>
            <w:vAlign w:val="bottom"/>
            <w:tcBorders>
              <w:top w:val="single" w:sz="8" w:color="auto"/>
            </w:tcBorders>
          </w:tcPr>
          <w:p>
            <w:pPr>
              <w:jc w:val="center"/>
              <w:ind w:left="232"/>
              <w:spacing w:after="0" w:line="229" w:lineRule="exact"/>
              <w:rPr>
                <w:sz w:val="20"/>
                <w:szCs w:val="20"/>
                <w:color w:val="auto"/>
              </w:rPr>
            </w:pPr>
            <w:r>
              <w:rPr>
                <w:rFonts w:ascii="Arial" w:cs="Arial" w:eastAsia="Arial" w:hAnsi="Arial"/>
                <w:sz w:val="22"/>
                <w:szCs w:val="22"/>
                <w:b w:val="1"/>
                <w:bCs w:val="1"/>
                <w:color w:val="auto"/>
                <w:w w:val="91"/>
              </w:rPr>
              <w:t>Current Effective</w:t>
            </w:r>
          </w:p>
        </w:tc>
        <w:tc>
          <w:tcPr>
            <w:tcW w:w="340" w:type="dxa"/>
            <w:vAlign w:val="bottom"/>
            <w:tcBorders>
              <w:top w:val="single" w:sz="8" w:color="auto"/>
              <w:right w:val="single" w:sz="8" w:color="auto"/>
            </w:tcBorders>
          </w:tcPr>
          <w:p>
            <w:pPr>
              <w:spacing w:after="0"/>
              <w:rPr>
                <w:sz w:val="19"/>
                <w:szCs w:val="19"/>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9"/>
              </w:rPr>
              <w:t>Months</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4"/>
              </w:rPr>
              <w:t>REX’s</w:t>
            </w:r>
          </w:p>
        </w:tc>
        <w:tc>
          <w:tcPr>
            <w:tcW w:w="212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89"/>
              </w:rPr>
              <w:t>Ownership of</w:t>
            </w: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1"/>
              </w:rPr>
              <w:t>Ethanol</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3"/>
              </w:rPr>
              <w:t>Current</w:t>
            </w:r>
          </w:p>
        </w:tc>
        <w:tc>
          <w:tcPr>
            <w:tcW w:w="212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6"/>
              </w:rPr>
              <w:t>Gallons</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212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90"/>
              </w:rPr>
              <w:t>Months Ethanol</w:t>
            </w: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ind w:left="2360"/>
              <w:spacing w:after="0" w:line="243" w:lineRule="exact"/>
              <w:rPr>
                <w:sz w:val="20"/>
                <w:szCs w:val="20"/>
                <w:color w:val="auto"/>
              </w:rPr>
            </w:pPr>
            <w:r>
              <w:rPr>
                <w:rFonts w:ascii="Arial" w:cs="Arial" w:eastAsia="Arial" w:hAnsi="Arial"/>
                <w:sz w:val="22"/>
                <w:szCs w:val="22"/>
                <w:b w:val="1"/>
                <w:bCs w:val="1"/>
                <w:color w:val="auto"/>
              </w:rPr>
              <w:t>Entity</w:t>
            </w:r>
          </w:p>
        </w:tc>
        <w:tc>
          <w:tcPr>
            <w:tcW w:w="158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87"/>
              </w:rPr>
              <w:t>Shipped</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21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7"/>
              </w:rPr>
              <w:t>Gallons Shipped</w:t>
            </w:r>
          </w:p>
        </w:tc>
        <w:tc>
          <w:tcPr>
            <w:tcW w:w="340" w:type="dxa"/>
            <w:vAlign w:val="bottom"/>
            <w:tcBorders>
              <w:right w:val="single" w:sz="8" w:color="auto"/>
            </w:tcBorders>
          </w:tcPr>
          <w:p>
            <w:pPr>
              <w:spacing w:after="0"/>
              <w:rPr>
                <w:sz w:val="21"/>
                <w:szCs w:val="21"/>
                <w:color w:val="auto"/>
              </w:rPr>
            </w:pPr>
          </w:p>
        </w:tc>
      </w:tr>
      <w:tr>
        <w:trPr>
          <w:trHeight w:val="282"/>
        </w:trPr>
        <w:tc>
          <w:tcPr>
            <w:tcW w:w="53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2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r>
      <w:tr>
        <w:trPr>
          <w:trHeight w:val="252"/>
        </w:trPr>
        <w:tc>
          <w:tcPr>
            <w:tcW w:w="530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One Earth Energy, LLC</w:t>
            </w:r>
          </w:p>
        </w:tc>
        <w:tc>
          <w:tcPr>
            <w:tcW w:w="1920" w:type="dxa"/>
            <w:vAlign w:val="bottom"/>
            <w:tcBorders>
              <w:bottom w:val="single" w:sz="8" w:color="auto"/>
              <w:right w:val="single" w:sz="8" w:color="auto"/>
            </w:tcBorders>
            <w:gridSpan w:val="2"/>
          </w:tcPr>
          <w:p>
            <w:pPr>
              <w:jc w:val="right"/>
              <w:ind w:right="12"/>
              <w:spacing w:after="0" w:line="251" w:lineRule="exact"/>
              <w:rPr>
                <w:sz w:val="20"/>
                <w:szCs w:val="20"/>
                <w:color w:val="auto"/>
              </w:rPr>
            </w:pPr>
            <w:r>
              <w:rPr>
                <w:rFonts w:ascii="Arial" w:cs="Arial" w:eastAsia="Arial" w:hAnsi="Arial"/>
                <w:sz w:val="22"/>
                <w:szCs w:val="22"/>
                <w:color w:val="auto"/>
              </w:rPr>
              <w:t>138.3 M</w:t>
            </w:r>
          </w:p>
        </w:tc>
        <w:tc>
          <w:tcPr>
            <w:tcW w:w="1560" w:type="dxa"/>
            <w:vAlign w:val="bottom"/>
            <w:tcBorders>
              <w:bottom w:val="single" w:sz="8" w:color="auto"/>
              <w:right w:val="single" w:sz="8" w:color="auto"/>
            </w:tcBorders>
          </w:tcPr>
          <w:p>
            <w:pPr>
              <w:jc w:val="right"/>
              <w:ind w:right="12"/>
              <w:spacing w:after="0" w:line="251" w:lineRule="exact"/>
              <w:rPr>
                <w:sz w:val="20"/>
                <w:szCs w:val="20"/>
                <w:color w:val="auto"/>
              </w:rPr>
            </w:pPr>
            <w:r>
              <w:rPr>
                <w:rFonts w:ascii="Arial" w:cs="Arial" w:eastAsia="Arial" w:hAnsi="Arial"/>
                <w:sz w:val="22"/>
                <w:szCs w:val="22"/>
                <w:color w:val="auto"/>
              </w:rPr>
              <w:t>75.2%</w:t>
            </w:r>
          </w:p>
        </w:tc>
        <w:tc>
          <w:tcPr>
            <w:tcW w:w="2460" w:type="dxa"/>
            <w:vAlign w:val="bottom"/>
            <w:tcBorders>
              <w:bottom w:val="single" w:sz="8" w:color="auto"/>
              <w:right w:val="single" w:sz="8" w:color="auto"/>
            </w:tcBorders>
            <w:gridSpan w:val="2"/>
          </w:tcPr>
          <w:p>
            <w:pPr>
              <w:jc w:val="right"/>
              <w:ind w:right="12"/>
              <w:spacing w:after="0" w:line="251" w:lineRule="exact"/>
              <w:rPr>
                <w:sz w:val="20"/>
                <w:szCs w:val="20"/>
                <w:color w:val="auto"/>
              </w:rPr>
            </w:pPr>
            <w:r>
              <w:rPr>
                <w:rFonts w:ascii="Arial" w:cs="Arial" w:eastAsia="Arial" w:hAnsi="Arial"/>
                <w:sz w:val="22"/>
                <w:szCs w:val="22"/>
                <w:color w:val="auto"/>
              </w:rPr>
              <w:t>104.0 M</w:t>
            </w:r>
          </w:p>
        </w:tc>
      </w:tr>
      <w:tr>
        <w:trPr>
          <w:trHeight w:val="250"/>
        </w:trPr>
        <w:tc>
          <w:tcPr>
            <w:tcW w:w="53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NuGen Energy, LLC</w:t>
            </w:r>
          </w:p>
        </w:tc>
        <w:tc>
          <w:tcPr>
            <w:tcW w:w="1920" w:type="dxa"/>
            <w:vAlign w:val="bottom"/>
            <w:tcBorders>
              <w:bottom w:val="single" w:sz="8" w:color="auto"/>
              <w:right w:val="single" w:sz="8" w:color="auto"/>
            </w:tcBorders>
            <w:gridSpan w:val="2"/>
          </w:tcPr>
          <w:p>
            <w:pPr>
              <w:jc w:val="right"/>
              <w:ind w:right="12"/>
              <w:spacing w:after="0" w:line="250" w:lineRule="exact"/>
              <w:rPr>
                <w:sz w:val="20"/>
                <w:szCs w:val="20"/>
                <w:color w:val="auto"/>
              </w:rPr>
            </w:pPr>
            <w:r>
              <w:rPr>
                <w:rFonts w:ascii="Arial" w:cs="Arial" w:eastAsia="Arial" w:hAnsi="Arial"/>
                <w:sz w:val="22"/>
                <w:szCs w:val="22"/>
                <w:color w:val="auto"/>
              </w:rPr>
              <w:t>84.0 M</w:t>
            </w:r>
          </w:p>
        </w:tc>
        <w:tc>
          <w:tcPr>
            <w:tcW w:w="1560" w:type="dxa"/>
            <w:vAlign w:val="bottom"/>
            <w:tcBorders>
              <w:bottom w:val="single" w:sz="8" w:color="auto"/>
              <w:right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99.5%</w:t>
            </w:r>
          </w:p>
        </w:tc>
        <w:tc>
          <w:tcPr>
            <w:tcW w:w="2460" w:type="dxa"/>
            <w:vAlign w:val="bottom"/>
            <w:tcBorders>
              <w:bottom w:val="single" w:sz="8" w:color="auto"/>
              <w:right w:val="single" w:sz="8" w:color="auto"/>
            </w:tcBorders>
            <w:gridSpan w:val="2"/>
          </w:tcPr>
          <w:p>
            <w:pPr>
              <w:jc w:val="right"/>
              <w:ind w:right="12"/>
              <w:spacing w:after="0" w:line="250" w:lineRule="exact"/>
              <w:rPr>
                <w:sz w:val="20"/>
                <w:szCs w:val="20"/>
                <w:color w:val="auto"/>
              </w:rPr>
            </w:pPr>
            <w:r>
              <w:rPr>
                <w:rFonts w:ascii="Arial" w:cs="Arial" w:eastAsia="Arial" w:hAnsi="Arial"/>
                <w:sz w:val="22"/>
                <w:szCs w:val="22"/>
                <w:color w:val="auto"/>
              </w:rPr>
              <w:t>83.6 M</w:t>
            </w:r>
          </w:p>
        </w:tc>
      </w:tr>
      <w:tr>
        <w:trPr>
          <w:trHeight w:val="229"/>
        </w:trPr>
        <w:tc>
          <w:tcPr>
            <w:tcW w:w="530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Big River Resources, LLC:</w:t>
            </w:r>
          </w:p>
        </w:tc>
        <w:tc>
          <w:tcPr>
            <w:tcW w:w="15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57"/>
        </w:trPr>
        <w:tc>
          <w:tcPr>
            <w:tcW w:w="53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Big River Resources W Burlington, LLC</w:t>
            </w:r>
          </w:p>
        </w:tc>
        <w:tc>
          <w:tcPr>
            <w:tcW w:w="1580" w:type="dxa"/>
            <w:vAlign w:val="bottom"/>
          </w:tcPr>
          <w:p>
            <w:pPr>
              <w:jc w:val="right"/>
              <w:spacing w:after="0"/>
              <w:rPr>
                <w:sz w:val="20"/>
                <w:szCs w:val="20"/>
                <w:color w:val="auto"/>
              </w:rPr>
            </w:pPr>
            <w:r>
              <w:rPr>
                <w:rFonts w:ascii="Arial" w:cs="Arial" w:eastAsia="Arial" w:hAnsi="Arial"/>
                <w:sz w:val="22"/>
                <w:szCs w:val="22"/>
                <w:color w:val="auto"/>
              </w:rPr>
              <w:t>113.7</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20" w:type="dxa"/>
            <w:vAlign w:val="bottom"/>
          </w:tcPr>
          <w:p>
            <w:pPr>
              <w:jc w:val="right"/>
              <w:spacing w:after="0"/>
              <w:rPr>
                <w:sz w:val="20"/>
                <w:szCs w:val="20"/>
                <w:color w:val="auto"/>
              </w:rPr>
            </w:pPr>
            <w:r>
              <w:rPr>
                <w:rFonts w:ascii="Arial" w:cs="Arial" w:eastAsia="Arial" w:hAnsi="Arial"/>
                <w:sz w:val="22"/>
                <w:szCs w:val="22"/>
                <w:color w:val="auto"/>
              </w:rPr>
              <w:t>11.7</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57"/>
        </w:trPr>
        <w:tc>
          <w:tcPr>
            <w:tcW w:w="53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Big River Resources Galva, LLC</w:t>
            </w:r>
          </w:p>
        </w:tc>
        <w:tc>
          <w:tcPr>
            <w:tcW w:w="1580" w:type="dxa"/>
            <w:vAlign w:val="bottom"/>
          </w:tcPr>
          <w:p>
            <w:pPr>
              <w:jc w:val="right"/>
              <w:spacing w:after="0"/>
              <w:rPr>
                <w:sz w:val="20"/>
                <w:szCs w:val="20"/>
                <w:color w:val="auto"/>
              </w:rPr>
            </w:pPr>
            <w:r>
              <w:rPr>
                <w:rFonts w:ascii="Arial" w:cs="Arial" w:eastAsia="Arial" w:hAnsi="Arial"/>
                <w:sz w:val="22"/>
                <w:szCs w:val="22"/>
                <w:color w:val="auto"/>
              </w:rPr>
              <w:t>121.8</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20" w:type="dxa"/>
            <w:vAlign w:val="bottom"/>
          </w:tcPr>
          <w:p>
            <w:pPr>
              <w:jc w:val="right"/>
              <w:spacing w:after="0"/>
              <w:rPr>
                <w:sz w:val="20"/>
                <w:szCs w:val="20"/>
                <w:color w:val="auto"/>
              </w:rPr>
            </w:pPr>
            <w:r>
              <w:rPr>
                <w:rFonts w:ascii="Arial" w:cs="Arial" w:eastAsia="Arial" w:hAnsi="Arial"/>
                <w:sz w:val="22"/>
                <w:szCs w:val="22"/>
                <w:color w:val="auto"/>
              </w:rPr>
              <w:t>12.5</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56"/>
        </w:trPr>
        <w:tc>
          <w:tcPr>
            <w:tcW w:w="53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Big River United Energy, LLC</w:t>
            </w:r>
          </w:p>
        </w:tc>
        <w:tc>
          <w:tcPr>
            <w:tcW w:w="1580" w:type="dxa"/>
            <w:vAlign w:val="bottom"/>
          </w:tcPr>
          <w:p>
            <w:pPr>
              <w:jc w:val="right"/>
              <w:spacing w:after="0"/>
              <w:rPr>
                <w:sz w:val="20"/>
                <w:szCs w:val="20"/>
                <w:color w:val="auto"/>
              </w:rPr>
            </w:pPr>
            <w:r>
              <w:rPr>
                <w:rFonts w:ascii="Arial" w:cs="Arial" w:eastAsia="Arial" w:hAnsi="Arial"/>
                <w:sz w:val="22"/>
                <w:szCs w:val="22"/>
                <w:color w:val="auto"/>
              </w:rPr>
              <w:t>131.6</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5.7%</w:t>
            </w:r>
          </w:p>
        </w:tc>
        <w:tc>
          <w:tcPr>
            <w:tcW w:w="2120" w:type="dxa"/>
            <w:vAlign w:val="bottom"/>
          </w:tcPr>
          <w:p>
            <w:pPr>
              <w:jc w:val="right"/>
              <w:spacing w:after="0"/>
              <w:rPr>
                <w:sz w:val="20"/>
                <w:szCs w:val="20"/>
                <w:color w:val="auto"/>
              </w:rPr>
            </w:pPr>
            <w:r>
              <w:rPr>
                <w:rFonts w:ascii="Arial" w:cs="Arial" w:eastAsia="Arial" w:hAnsi="Arial"/>
                <w:sz w:val="22"/>
                <w:szCs w:val="22"/>
                <w:color w:val="auto"/>
              </w:rPr>
              <w:t>7.5</w:t>
            </w: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76"/>
        </w:trPr>
        <w:tc>
          <w:tcPr>
            <w:tcW w:w="53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Big River Resources Boyceville, LLC</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60.6</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52"/>
        </w:trPr>
        <w:tc>
          <w:tcPr>
            <w:tcW w:w="530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Total</w:t>
            </w:r>
          </w:p>
        </w:tc>
        <w:tc>
          <w:tcPr>
            <w:tcW w:w="158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650.0</w:t>
            </w:r>
          </w:p>
        </w:tc>
        <w:tc>
          <w:tcPr>
            <w:tcW w:w="340" w:type="dxa"/>
            <w:vAlign w:val="bottom"/>
            <w:tcBorders>
              <w:bottom w:val="single" w:sz="8" w:color="auto"/>
              <w:right w:val="single" w:sz="8" w:color="auto"/>
            </w:tcBorders>
          </w:tcPr>
          <w:p>
            <w:pPr>
              <w:jc w:val="right"/>
              <w:ind w:right="12"/>
              <w:spacing w:after="0" w:line="251" w:lineRule="exact"/>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225.5</w:t>
            </w:r>
          </w:p>
        </w:tc>
        <w:tc>
          <w:tcPr>
            <w:tcW w:w="340" w:type="dxa"/>
            <w:vAlign w:val="bottom"/>
            <w:tcBorders>
              <w:bottom w:val="single" w:sz="8" w:color="auto"/>
              <w:right w:val="single" w:sz="8" w:color="auto"/>
            </w:tcBorders>
          </w:tcPr>
          <w:p>
            <w:pPr>
              <w:jc w:val="right"/>
              <w:ind w:right="12"/>
              <w:spacing w:after="0" w:line="251" w:lineRule="exact"/>
              <w:rPr>
                <w:sz w:val="20"/>
                <w:szCs w:val="20"/>
                <w:color w:val="auto"/>
              </w:rPr>
            </w:pPr>
            <w:r>
              <w:rPr>
                <w:rFonts w:ascii="Arial" w:cs="Arial" w:eastAsia="Arial" w:hAnsi="Arial"/>
                <w:sz w:val="22"/>
                <w:szCs w:val="22"/>
                <w:color w:val="auto"/>
              </w:rPr>
              <w:t>M</w:t>
            </w:r>
          </w:p>
        </w:tc>
      </w:tr>
    </w:tbl>
    <w:p>
      <w:pPr>
        <w:spacing w:after="0" w:line="222"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2" w:name="page23"/>
    <w:bookmarkEnd w:id="22"/>
    <w:p>
      <w:pPr>
        <w:spacing w:after="0" w:line="234" w:lineRule="auto"/>
        <w:rPr>
          <w:sz w:val="20"/>
          <w:szCs w:val="20"/>
          <w:color w:val="auto"/>
        </w:rPr>
      </w:pPr>
      <w:r>
        <w:rPr>
          <w:rFonts w:ascii="Arial" w:cs="Arial" w:eastAsia="Arial" w:hAnsi="Arial"/>
          <w:sz w:val="22"/>
          <w:szCs w:val="22"/>
          <w:color w:val="auto"/>
        </w:rPr>
        <w:t>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 export market demand for ethanol and distillers grains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$7.30 per ton of refined coal produced and sold during calendar year 2020. The tax credits can be earned for refined coal produced and sold by our facility through November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3" w:name="page24"/>
    <w:bookmarkEnd w:id="23"/>
    <w:p>
      <w:pPr>
        <w:ind w:right="20" w:firstLine="648"/>
        <w:spacing w:after="0" w:line="248" w:lineRule="auto"/>
        <w:rPr>
          <w:sz w:val="20"/>
          <w:szCs w:val="20"/>
          <w:color w:val="auto"/>
        </w:rPr>
      </w:pPr>
      <w:r>
        <w:rPr>
          <w:rFonts w:ascii="Arial" w:cs="Arial" w:eastAsia="Arial" w:hAnsi="Arial"/>
          <w:sz w:val="21"/>
          <w:szCs w:val="21"/>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 the geographic markets the utility serves and competing energy prices and supplies and the state of the economy.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214"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and expensed approximately $2.4 million cumulatively primarily for patents, purchases of certain equipment and other expenses. We have not yet tested or proven the commercial feasibility of the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During the three months ended April 30, 2020, we did not change any of our critical accounting policies as disclosed in our 2019 Annual Report on Form 10-K as filed with the Securities and Exchange Commission on April 1, 2020.</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2020” means the period February 1, 2020 to January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For a detailed analysis of period to period changes, see the segment discussion that follows this section as that discussion reflects how management views and monitors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During fiscal years 2020 and 2019, operating results in our ethanol and by-products segment have been adversely affected by a weak margin environment highlighted by higher costs for corn, lower availability of local corn, lower oil prices resulting from an oversupply of oil, the EPA granting small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refiner waivers, and in the first quarter of fiscal year 2020, the outbreak of a new strain of the coronavirus “COVID-19”.</w:t>
      </w:r>
    </w:p>
    <w:p>
      <w:pPr>
        <w:spacing w:after="0" w:line="245"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Weather conditions delayed, and in some cases prevented the planting of corn in much of the United States, and there continues to be uncertainty regarding the availability of corn on a regional basis. Weather also contributed to intermittent logistical delays during fiscal year 2019. Throughout the first three months of fiscal year 2020 and throughout most of fiscal year 2019, we struggled to obtain adequate supplies of corn at our NuGen facility, on a consistent basis, at acceptable price levels. Consequently, we were not able to operate our NuGen ethanol plant at production levels near our historical averages. We cannot reasonably predict the likelihood of future period production levels compared to historical averages.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During the early months of 2020,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This has led to reduced demand for gasoline and ethanol. The duration of the resulting downturn in economic activity is unknown both on a macro and a micro level and has led to historically low ethanol pricing. Consequently, we idled our NuGen and One Earth ethanol plants in March of 2020. In May of 2020, businesses and other activities slowly began to reopen, which led to an increase in demand for gasoline and ethanol, and in related prices. As a result, we resumed production operations at the One Earth ethanol plant on May 27, 2020. In addition, recent actions by the Federal Reserve, related to the COVID-19 outbreak, have reduced interest rates. Given the amount of cash and short-term investments we have, this will significantly reduce our interest income in future periods, depending on the length of time interest rates remain at these levels. The impacts of the COVID-19 outbreak on our business operations, including the duration and impact on ethanol demand, cannot be reasonably estimated at this time, although a prolonged production stoppage at our plants would have a material adverse impact on our results of operations, financial condition and cash flows in fiscal year 2020.</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Under the Renewable Fuel Standard “RFS”, the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Until recent years, the EPA approved relatively few such waivers. The EPA has approved 31 small refiner waivers related to their 2018 Renewable Fuel Standard compliance obligations, which is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There continues to be uncertainty regarding how the EPA will administer the small refiner waivers for 2019 and future years. We believe the waivers have resulted in reduced domestic ethanol demand. There are 27 small refiner waivers pending for the 2019 compliance year.</w:t>
      </w:r>
    </w:p>
    <w:p>
      <w:pPr>
        <w:spacing w:after="0" w:line="188" w:lineRule="exact"/>
        <w:rPr>
          <w:sz w:val="20"/>
          <w:szCs w:val="20"/>
          <w:color w:val="auto"/>
        </w:rPr>
      </w:pPr>
    </w:p>
    <w:p>
      <w:pPr>
        <w:jc w:val="both"/>
        <w:ind w:right="420" w:firstLine="648"/>
        <w:spacing w:after="0" w:line="238" w:lineRule="auto"/>
        <w:rPr>
          <w:sz w:val="20"/>
          <w:szCs w:val="20"/>
          <w:color w:val="auto"/>
        </w:rPr>
      </w:pPr>
      <w:r>
        <w:rPr>
          <w:rFonts w:ascii="Arial" w:cs="Arial" w:eastAsia="Arial" w:hAnsi="Arial"/>
          <w:sz w:val="22"/>
          <w:szCs w:val="22"/>
          <w:color w:val="auto"/>
        </w:rPr>
        <w:t>During the first three months of fiscal year 2020 and throughout fiscal year 2019, operating results in our refined coal segment have been adversely affected by lower utility plant demand (our only customer). Projections, provided by the utility plant, for the next twelve months indicate this trend may continue and may be further impacted by the COVID-19 pandemic. While this leads to lower pre-tax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ind w:right="220"/>
        <w:spacing w:after="0" w:line="250" w:lineRule="auto"/>
        <w:rPr>
          <w:sz w:val="20"/>
          <w:szCs w:val="20"/>
          <w:color w:val="auto"/>
        </w:rPr>
      </w:pPr>
      <w:r>
        <w:rPr>
          <w:rFonts w:ascii="Arial" w:cs="Arial" w:eastAsia="Arial" w:hAnsi="Arial"/>
          <w:sz w:val="22"/>
          <w:szCs w:val="22"/>
          <w:color w:val="auto"/>
        </w:rPr>
        <w:t>losses from this segment, it also leads to lower tax benefits from Section 45 credits being recognized. Ultimately, this results in lower amounts of segment profit.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Should these trends and uncertainties continue, our future operating results are likely to be negatively impacted.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Months Ended April 30, 2020 and 2019</w:t>
      </w:r>
    </w:p>
    <w:p>
      <w:pPr>
        <w:spacing w:after="0" w:line="239"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Net sales and revenue in the quarter ended April 30, 2020 were approximately $83.3 million compared to approximately $104.6 million in the prior year’s first quarter, representing a decrease of approximately $21.3 million, which was primarily caused by lower sales in our ethanol and by-products segment of approximately $21.2 million. The decline in ethanol and by-products segment net sales and revenue reflects significantly lower production volumes during fiscal year 2020. This relates primarily to operations at NuGen as diminished local availability of corn, the effects of the COVID-19 outbreak and lower ethanol pricing resulted in the idling of the NuGen ethanol plant in March of 2020.</w:t>
      </w:r>
    </w:p>
    <w:p>
      <w:pPr>
        <w:spacing w:after="0" w:line="204"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Gross loss for the first quarter of fiscal year 2020 was approximately $9.3 million, which was compared to gross profit of approximately $3.6 million for the first quarter of fiscal year 2019. Gross profit for the first quarter of fiscal year 2020 decreased by approximately $14.3 million compared to the prior year first quarter as a result of operations in the ethanol and by-products segment. Gross loss in the refined coal segment was $1.1 million in the first quarter of fiscal year 2020 compared to $2.5 million in the first quarter of fiscal year 2019.</w:t>
      </w:r>
    </w:p>
    <w:p>
      <w:pPr>
        <w:spacing w:after="0" w:line="21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SG&amp;A expenses were approximately $4.6 million for the first quarter of fiscal year 2020, which was consistent with the approximately $4.7 million of expenses for the first quarter of fiscal year 2019.</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During the first quarter of fiscal year 2020, we recognized a loss of approximately $0.5 million compared to income of approximately $0.1 million for the first quarter of fiscal year 2019, from our equity investment in Big River, which is included in our ethanol and by-products segment results. Big River has interests in four ethanol production plants that shipped approximately 428 million gallons in the trailing twelve months ended April 30, 2020 and has an effective ownership of ethanol gallons shipped for the same period of approximately 369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211"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9"/>
          <w:szCs w:val="19"/>
          <w:color w:val="auto"/>
        </w:rPr>
        <w:t>Interest and other income was approximately $0.7 million for the first quarter of fiscal year 2020 versus approximately $1.1 million for the first quarter of fiscal year 2019. Income has decreased as yields on our excess cash decreased compared to fiscal year 2019 and excess cash investment balances decreased compared to fiscal year 2019.</w:t>
      </w:r>
    </w:p>
    <w:p>
      <w:pPr>
        <w:spacing w:after="0" w:line="16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As a result of the foregoing, loss before income taxes was approximately $13.7 million for the first quarter of fiscal year 2020 versus income of approximately $0.2 million for the first quarter of fiscal year 2019.</w:t>
      </w:r>
    </w:p>
    <w:p>
      <w:pPr>
        <w:spacing w:after="0" w:line="20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We determined that small changes in estimated “ordinary” income would result in significant changes in the estimated annual effective tax rate. Thus, the Company used a discrete effective tax rate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6" w:name="page27"/>
    <w:bookmarkEnd w:id="26"/>
    <w:p>
      <w:pPr>
        <w:ind w:right="20"/>
        <w:spacing w:after="0" w:line="282" w:lineRule="auto"/>
        <w:rPr>
          <w:sz w:val="20"/>
          <w:szCs w:val="20"/>
          <w:color w:val="auto"/>
        </w:rPr>
      </w:pPr>
      <w:r>
        <w:rPr>
          <w:rFonts w:ascii="Arial" w:cs="Arial" w:eastAsia="Arial" w:hAnsi="Arial"/>
          <w:sz w:val="19"/>
          <w:szCs w:val="19"/>
          <w:color w:val="auto"/>
        </w:rPr>
        <w:t>method to calculate the provision or benefit for income taxes for the three months ended April 30, 2020 and 2019. Our tax benefit was approximately 38.7% and approximately 2,124.6% for the three months ended April 30, 2020 and 2019, respectively. The fluctuation in the rate results primarily from the production tax credits we expect to receive associated with our refined coal segment relative to pre-tax income or loss. Our income tax benefit for the first quarter of fiscal year 2020 includes approximately $1.4 million related to the lengthening of a net operating loss carryback allowed by the recently passed CARES Act.</w:t>
      </w:r>
    </w:p>
    <w:p>
      <w:pPr>
        <w:spacing w:after="0" w:line="17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As a result of the foregoing, net loss was approximately $8.4 million for the first quarter of fiscal year 2020 compared to net income of approximately $3.7 million for the first quarter of fiscal year 2019.</w:t>
      </w:r>
    </w:p>
    <w:p>
      <w:pPr>
        <w:spacing w:after="0" w:line="20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Loss (income) related to noncontrolling interests was approximately $0.8 million and approximately $(0.9) million during the first quarters of fiscal years 2020 and 2019, respectively. These amounts represent the other owners’ share of the income or loss of NuGen, One Earth and the refined coal entity.</w:t>
      </w:r>
    </w:p>
    <w:p>
      <w:pPr>
        <w:spacing w:after="0" w:line="21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As a result of the foregoing, net loss attributable to REX common shareholders for the first quarter of fiscal year 2020 was approximately $7.6 million, a decrease of approximately $10.5 million from net income attributable to REX common shareholders of approximately $2.8 million for the first quarter of fiscal year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39"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We have two reportable segments: i) ethanol and by-products; and ii) refined coal. We evaluate the performance of each reportable segment based on segment profit. Segment profit excludes indirect interest income and certain other items that are included in net income determined in accordance with accounting principles generally accepted in the United States of America. Segment profit includes realized and unrealized gains and losses on derivative financial instruments and the provision/benefit for income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ind w:right="420" w:firstLine="648"/>
        <w:spacing w:after="0" w:line="257" w:lineRule="auto"/>
        <w:rPr>
          <w:sz w:val="20"/>
          <w:szCs w:val="20"/>
          <w:color w:val="auto"/>
        </w:rPr>
      </w:pPr>
      <w:r>
        <w:rPr>
          <w:rFonts w:ascii="Arial" w:cs="Arial" w:eastAsia="Arial" w:hAnsi="Arial"/>
          <w:sz w:val="21"/>
          <w:szCs w:val="21"/>
          <w:color w:val="auto"/>
        </w:rPr>
        <w:t>The following sections discuss the results of operations for each of our business segments and corporate and other. Amounts in the corporate and other category include activities that are not separately reportable or related to a segment. The following tables summarizes segment and other results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8"/>
          </w:tcPr>
          <w:p>
            <w:pPr>
              <w:ind w:left="2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980" w:type="dxa"/>
            <w:vAlign w:val="bottom"/>
            <w:gridSpan w:val="4"/>
          </w:tcPr>
          <w:p>
            <w:pPr>
              <w:jc w:val="right"/>
              <w:spacing w:after="0"/>
              <w:rPr>
                <w:sz w:val="20"/>
                <w:szCs w:val="20"/>
                <w:color w:val="auto"/>
              </w:rPr>
            </w:pPr>
            <w:r>
              <w:rPr>
                <w:rFonts w:ascii="Arial" w:cs="Arial" w:eastAsia="Arial" w:hAnsi="Arial"/>
                <w:sz w:val="22"/>
                <w:szCs w:val="22"/>
                <w:b w:val="1"/>
                <w:bCs w:val="1"/>
                <w:color w:val="auto"/>
              </w:rPr>
              <w:t>April 30,</w:t>
            </w:r>
          </w:p>
        </w:tc>
        <w:tc>
          <w:tcPr>
            <w:tcW w:w="720" w:type="dxa"/>
            <w:vAlign w:val="bottom"/>
            <w:vMerge w:val="restart"/>
          </w:tcPr>
          <w:p>
            <w:pPr>
              <w:jc w:val="right"/>
              <w:ind w:right="32"/>
              <w:spacing w:after="0"/>
              <w:rPr>
                <w:sz w:val="20"/>
                <w:szCs w:val="20"/>
                <w:color w:val="auto"/>
              </w:rPr>
            </w:pPr>
            <w:r>
              <w:rPr>
                <w:rFonts w:ascii="Arial" w:cs="Arial" w:eastAsia="Arial" w:hAnsi="Arial"/>
                <w:sz w:val="22"/>
                <w:szCs w:val="22"/>
                <w:b w:val="1"/>
                <w:bCs w:val="1"/>
                <w:color w:val="auto"/>
              </w:rPr>
              <w:t>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2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E5FFFF"/>
            </w:tcBorders>
          </w:tcPr>
          <w:p>
            <w:pPr>
              <w:spacing w:after="0"/>
              <w:rPr>
                <w:sz w:val="21"/>
                <w:szCs w:val="21"/>
                <w:color w:val="auto"/>
              </w:rPr>
            </w:pPr>
          </w:p>
        </w:tc>
        <w:tc>
          <w:tcPr>
            <w:tcW w:w="2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83,235</w:t>
            </w:r>
          </w:p>
        </w:tc>
        <w:tc>
          <w:tcPr>
            <w:tcW w:w="980" w:type="dxa"/>
            <w:vAlign w:val="bottom"/>
            <w:gridSpan w:val="4"/>
          </w:tcPr>
          <w:p>
            <w:pPr>
              <w:jc w:val="right"/>
              <w:ind w:right="24"/>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7"/>
              </w:rPr>
              <w:t>104,453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12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6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15</w:t>
            </w:r>
          </w:p>
        </w:tc>
        <w:tc>
          <w:tcPr>
            <w:tcW w:w="220" w:type="dxa"/>
            <w:vAlign w:val="bottom"/>
            <w:shd w:val="clear" w:color="auto" w:fill="E5FFFF"/>
          </w:tcPr>
          <w:p>
            <w:pPr>
              <w:spacing w:after="0"/>
              <w:rPr>
                <w:sz w:val="24"/>
                <w:szCs w:val="24"/>
                <w:color w:val="auto"/>
              </w:rPr>
            </w:pPr>
          </w:p>
        </w:tc>
        <w:tc>
          <w:tcPr>
            <w:tcW w:w="5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122</w:t>
            </w:r>
          </w:p>
        </w:tc>
        <w:tc>
          <w:tcPr>
            <w:tcW w:w="20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83,250</w:t>
            </w:r>
          </w:p>
        </w:tc>
        <w:tc>
          <w:tcPr>
            <w:tcW w:w="2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104,575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shd w:val="clear" w:color="auto" w:fill="E5FFFF"/>
          </w:tcPr>
          <w:p>
            <w:pPr>
              <w:spacing w:after="0"/>
              <w:rPr>
                <w:sz w:val="20"/>
                <w:szCs w:val="20"/>
                <w:color w:val="auto"/>
              </w:rPr>
            </w:pPr>
            <w:r>
              <w:rPr>
                <w:rFonts w:ascii="Arial" w:cs="Arial" w:eastAsia="Arial" w:hAnsi="Arial"/>
                <w:sz w:val="22"/>
                <w:szCs w:val="22"/>
                <w:color w:val="auto"/>
              </w:rPr>
              <w:t>Segment gross (loss) profit:</w:t>
            </w: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(8,223)</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6,115</w:t>
            </w:r>
          </w:p>
        </w:tc>
        <w:tc>
          <w:tcPr>
            <w:tcW w:w="0" w:type="dxa"/>
            <w:vAlign w:val="bottom"/>
          </w:tcPr>
          <w:p>
            <w:pPr>
              <w:spacing w:after="0"/>
              <w:rPr>
                <w:sz w:val="1"/>
                <w:szCs w:val="1"/>
                <w:color w:val="auto"/>
              </w:rPr>
            </w:pPr>
          </w:p>
        </w:tc>
      </w:tr>
      <w:tr>
        <w:trPr>
          <w:trHeight w:val="257"/>
        </w:trPr>
        <w:tc>
          <w:tcPr>
            <w:tcW w:w="488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2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(1,107)</w:t>
            </w:r>
          </w:p>
        </w:tc>
        <w:tc>
          <w:tcPr>
            <w:tcW w:w="3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220"/>
              <w:spacing w:after="0"/>
              <w:rPr>
                <w:sz w:val="20"/>
                <w:szCs w:val="20"/>
                <w:color w:val="auto"/>
              </w:rPr>
            </w:pPr>
            <w:r>
              <w:rPr>
                <w:rFonts w:ascii="Arial" w:cs="Arial" w:eastAsia="Arial" w:hAnsi="Arial"/>
                <w:sz w:val="22"/>
                <w:szCs w:val="22"/>
                <w:color w:val="auto"/>
                <w:w w:val="94"/>
              </w:rPr>
              <w:t>(2,469)</w:t>
            </w:r>
          </w:p>
        </w:tc>
        <w:tc>
          <w:tcPr>
            <w:tcW w:w="0" w:type="dxa"/>
            <w:vAlign w:val="bottom"/>
          </w:tcPr>
          <w:p>
            <w:pPr>
              <w:spacing w:after="0"/>
              <w:rPr>
                <w:sz w:val="1"/>
                <w:szCs w:val="1"/>
                <w:color w:val="auto"/>
              </w:rPr>
            </w:pPr>
          </w:p>
        </w:tc>
      </w:tr>
      <w:tr>
        <w:trPr>
          <w:trHeight w:val="250"/>
        </w:trPr>
        <w:tc>
          <w:tcPr>
            <w:tcW w:w="4880" w:type="dxa"/>
            <w:vAlign w:val="bottom"/>
          </w:tcPr>
          <w:p>
            <w:pPr>
              <w:spacing w:after="0" w:line="250" w:lineRule="exact"/>
              <w:rPr>
                <w:sz w:val="20"/>
                <w:szCs w:val="20"/>
                <w:color w:val="auto"/>
              </w:rPr>
            </w:pPr>
            <w:r>
              <w:rPr>
                <w:rFonts w:ascii="Arial" w:cs="Arial" w:eastAsia="Arial" w:hAnsi="Arial"/>
                <w:sz w:val="22"/>
                <w:szCs w:val="22"/>
                <w:color w:val="auto"/>
              </w:rPr>
              <w:t>Total gross (loss) profit</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(9,330)</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before income taxes:</w:t>
            </w: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w w:val="92"/>
              </w:rPr>
              <w:t>(12,351)</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3,205</w:t>
            </w:r>
          </w:p>
        </w:tc>
        <w:tc>
          <w:tcPr>
            <w:tcW w:w="0" w:type="dxa"/>
            <w:vAlign w:val="bottom"/>
          </w:tcPr>
          <w:p>
            <w:pPr>
              <w:spacing w:after="0"/>
              <w:rPr>
                <w:sz w:val="1"/>
                <w:szCs w:val="1"/>
                <w:color w:val="auto"/>
              </w:rPr>
            </w:pPr>
          </w:p>
        </w:tc>
      </w:tr>
      <w:tr>
        <w:trPr>
          <w:trHeight w:val="243"/>
        </w:trPr>
        <w:tc>
          <w:tcPr>
            <w:tcW w:w="4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(847)</w:t>
            </w:r>
          </w:p>
        </w:tc>
        <w:tc>
          <w:tcPr>
            <w:tcW w:w="3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94"/>
              </w:rPr>
              <w:t>(2,676)</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22"/>
                <w:szCs w:val="22"/>
                <w:color w:val="auto"/>
              </w:rPr>
              <w:t>Corporate and other</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2"/>
                <w:szCs w:val="22"/>
                <w:color w:val="auto"/>
              </w:rPr>
              <w:t>(545)</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(362)</w:t>
            </w:r>
          </w:p>
        </w:tc>
        <w:tc>
          <w:tcPr>
            <w:tcW w:w="0" w:type="dxa"/>
            <w:vAlign w:val="bottom"/>
          </w:tcPr>
          <w:p>
            <w:pPr>
              <w:spacing w:after="0"/>
              <w:rPr>
                <w:sz w:val="1"/>
                <w:szCs w:val="1"/>
                <w:color w:val="auto"/>
              </w:rPr>
            </w:pPr>
          </w:p>
        </w:tc>
      </w:tr>
      <w:tr>
        <w:trPr>
          <w:trHeight w:val="250"/>
        </w:trPr>
        <w:tc>
          <w:tcPr>
            <w:tcW w:w="48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(loss) income before income taxes</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2"/>
              </w:rPr>
              <w:t>(13,743)</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167</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4,161</w:t>
            </w: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(486)</w:t>
            </w: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959</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3,946</w:t>
            </w:r>
          </w:p>
        </w:tc>
        <w:tc>
          <w:tcPr>
            <w:tcW w:w="0" w:type="dxa"/>
            <w:vAlign w:val="bottom"/>
          </w:tcPr>
          <w:p>
            <w:pPr>
              <w:spacing w:after="0"/>
              <w:rPr>
                <w:sz w:val="1"/>
                <w:szCs w:val="1"/>
                <w:color w:val="auto"/>
              </w:rPr>
            </w:pPr>
          </w:p>
        </w:tc>
      </w:tr>
      <w:tr>
        <w:trPr>
          <w:trHeight w:val="257"/>
        </w:trPr>
        <w:tc>
          <w:tcPr>
            <w:tcW w:w="488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2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193</w:t>
            </w:r>
          </w:p>
        </w:tc>
        <w:tc>
          <w:tcPr>
            <w:tcW w:w="3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50"/>
        </w:trPr>
        <w:tc>
          <w:tcPr>
            <w:tcW w:w="488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5,313</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3"/>
              </w:rPr>
              <w:t>Segment (loss) profit (net of noncontrolling interests):</w:t>
            </w: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(7,433)</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1,709</w:t>
            </w:r>
          </w:p>
        </w:tc>
        <w:tc>
          <w:tcPr>
            <w:tcW w:w="0" w:type="dxa"/>
            <w:vAlign w:val="bottom"/>
          </w:tcPr>
          <w:p>
            <w:pPr>
              <w:spacing w:after="0"/>
              <w:rPr>
                <w:sz w:val="1"/>
                <w:szCs w:val="1"/>
                <w:color w:val="auto"/>
              </w:rPr>
            </w:pPr>
          </w:p>
        </w:tc>
      </w:tr>
      <w:tr>
        <w:trPr>
          <w:trHeight w:val="243"/>
        </w:trPr>
        <w:tc>
          <w:tcPr>
            <w:tcW w:w="4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150</w:t>
            </w:r>
          </w:p>
        </w:tc>
        <w:tc>
          <w:tcPr>
            <w:tcW w:w="3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1,386</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22"/>
                <w:szCs w:val="22"/>
                <w:color w:val="auto"/>
              </w:rPr>
              <w:t>Corporate and other</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2"/>
                <w:szCs w:val="22"/>
                <w:color w:val="auto"/>
              </w:rPr>
              <w:t>(352)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202"/>
        </w:trPr>
        <w:tc>
          <w:tcPr>
            <w:tcW w:w="488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22"/>
                <w:szCs w:val="22"/>
                <w:color w:val="auto"/>
              </w:rPr>
              <w:t>Net (loss) income attributable to REX common</w:t>
            </w:r>
          </w:p>
        </w:tc>
        <w:tc>
          <w:tcPr>
            <w:tcW w:w="2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880" w:type="dxa"/>
            <w:vAlign w:val="bottom"/>
            <w:shd w:val="clear" w:color="auto" w:fill="E5FFFF"/>
          </w:tcPr>
          <w:p>
            <w:pPr>
              <w:spacing w:after="0"/>
              <w:rPr>
                <w:sz w:val="20"/>
                <w:szCs w:val="20"/>
                <w:color w:val="auto"/>
              </w:rPr>
            </w:pPr>
            <w:r>
              <w:rPr>
                <w:rFonts w:ascii="Arial" w:cs="Arial" w:eastAsia="Arial" w:hAnsi="Arial"/>
                <w:sz w:val="22"/>
                <w:szCs w:val="22"/>
                <w:color w:val="auto"/>
              </w:rPr>
              <w:t>shareholders</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(7,635)</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2,821</w:t>
            </w:r>
          </w:p>
        </w:tc>
        <w:tc>
          <w:tcPr>
            <w:tcW w:w="0" w:type="dxa"/>
            <w:vAlign w:val="bottom"/>
          </w:tcPr>
          <w:p>
            <w:pPr>
              <w:spacing w:after="0"/>
              <w:rPr>
                <w:sz w:val="1"/>
                <w:szCs w:val="1"/>
                <w:color w:val="auto"/>
              </w:rPr>
            </w:pPr>
          </w:p>
        </w:tc>
      </w:tr>
      <w:tr>
        <w:trPr>
          <w:trHeight w:val="20"/>
        </w:trPr>
        <w:tc>
          <w:tcPr>
            <w:tcW w:w="48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The ethanol and by-products segment includes the consolidated financial results of One Earth and NuGen, our equity investment in Big River and certain administrative expenses.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28" w:name="page29"/>
    <w:bookmarkEnd w:id="28"/>
    <w:p>
      <w:pPr>
        <w:ind w:right="800" w:firstLine="648"/>
        <w:spacing w:after="0" w:line="250" w:lineRule="auto"/>
        <w:rPr>
          <w:sz w:val="20"/>
          <w:szCs w:val="20"/>
          <w:color w:val="auto"/>
        </w:rPr>
      </w:pPr>
      <w:r>
        <w:rPr>
          <w:rFonts w:ascii="Arial" w:cs="Arial" w:eastAsia="Arial" w:hAnsi="Arial"/>
          <w:sz w:val="22"/>
          <w:szCs w:val="22"/>
          <w:color w:val="auto"/>
        </w:rPr>
        <w:t>The following table summarizes net sales and revenue from One Earth and NuGen by product group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980" w:type="dxa"/>
            <w:vAlign w:val="bottom"/>
            <w:gridSpan w:val="3"/>
          </w:tcPr>
          <w:p>
            <w:pPr>
              <w:jc w:val="right"/>
              <w:spacing w:after="0"/>
              <w:rPr>
                <w:sz w:val="20"/>
                <w:szCs w:val="20"/>
                <w:color w:val="auto"/>
              </w:rPr>
            </w:pPr>
            <w:r>
              <w:rPr>
                <w:rFonts w:ascii="Arial" w:cs="Arial" w:eastAsia="Arial" w:hAnsi="Arial"/>
                <w:sz w:val="22"/>
                <w:szCs w:val="22"/>
                <w:b w:val="1"/>
                <w:bCs w:val="1"/>
                <w:color w:val="auto"/>
              </w:rPr>
              <w:t>April 30,</w:t>
            </w:r>
          </w:p>
        </w:tc>
        <w:tc>
          <w:tcPr>
            <w:tcW w:w="720" w:type="dxa"/>
            <w:vAlign w:val="bottom"/>
            <w:vMerge w:val="restart"/>
          </w:tcPr>
          <w:p>
            <w:pPr>
              <w:jc w:val="right"/>
              <w:ind w:right="3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2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E5FF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w w:val="99"/>
              </w:rPr>
              <w:t>Sales of products, ethanol and by-products segment:</w:t>
            </w: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Arial" w:cs="Arial" w:eastAsia="Arial" w:hAnsi="Arial"/>
                <w:sz w:val="22"/>
                <w:szCs w:val="22"/>
                <w:color w:val="auto"/>
              </w:rPr>
              <w:t>Ethanol</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60,597</w:t>
            </w:r>
          </w:p>
        </w:tc>
        <w:tc>
          <w:tcPr>
            <w:tcW w:w="980" w:type="dxa"/>
            <w:vAlign w:val="bottom"/>
            <w:gridSpan w:val="3"/>
          </w:tcPr>
          <w:p>
            <w:pPr>
              <w:jc w:val="right"/>
              <w:ind w:right="3"/>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77,618</w:t>
            </w: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Dried distillers grains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5"/>
              </w:rPr>
              <w:t>18,918</w:t>
            </w:r>
          </w:p>
        </w:tc>
        <w:tc>
          <w:tcPr>
            <w:tcW w:w="2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18,674</w:t>
            </w: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Arial" w:cs="Arial" w:eastAsia="Arial" w:hAnsi="Arial"/>
                <w:sz w:val="22"/>
                <w:szCs w:val="22"/>
                <w:color w:val="auto"/>
              </w:rPr>
              <w:t>Non-food grade corn oil</w:t>
            </w:r>
          </w:p>
        </w:tc>
        <w:tc>
          <w:tcPr>
            <w:tcW w:w="1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3,188</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4,983</w:t>
            </w: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Modified distillers grains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457</w:t>
            </w:r>
          </w:p>
        </w:tc>
        <w:tc>
          <w:tcPr>
            <w:tcW w:w="2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3,140</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Arial" w:cs="Arial" w:eastAsia="Arial" w:hAnsi="Arial"/>
                <w:sz w:val="22"/>
                <w:szCs w:val="22"/>
                <w:color w:val="auto"/>
              </w:rPr>
              <w:t>Other</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75</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50"/>
        </w:trPr>
        <w:tc>
          <w:tcPr>
            <w:tcW w:w="5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83,235</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104,453</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selected operating data from One Earth and NuGen: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jc w:val="right"/>
              <w:ind w:right="312"/>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0"/>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2020</w:t>
            </w:r>
          </w:p>
        </w:tc>
        <w:tc>
          <w:tcPr>
            <w:tcW w:w="900" w:type="dxa"/>
            <w:vAlign w:val="bottom"/>
            <w:gridSpan w:val="3"/>
          </w:tcPr>
          <w:p>
            <w:pPr>
              <w:jc w:val="right"/>
              <w:spacing w:after="0"/>
              <w:rPr>
                <w:sz w:val="20"/>
                <w:szCs w:val="20"/>
                <w:color w:val="auto"/>
              </w:rPr>
            </w:pPr>
            <w:r>
              <w:rPr>
                <w:rFonts w:ascii="Arial" w:cs="Arial" w:eastAsia="Arial" w:hAnsi="Arial"/>
                <w:sz w:val="22"/>
                <w:szCs w:val="22"/>
                <w:b w:val="1"/>
                <w:bCs w:val="1"/>
                <w:color w:val="auto"/>
                <w:w w:val="96"/>
              </w:rPr>
              <w:t>April 30,</w:t>
            </w:r>
          </w:p>
        </w:tc>
        <w:tc>
          <w:tcPr>
            <w:tcW w:w="960" w:type="dxa"/>
            <w:vAlign w:val="bottom"/>
            <w:vMerge w:val="restart"/>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47"/>
        </w:trPr>
        <w:tc>
          <w:tcPr>
            <w:tcW w:w="4920" w:type="dxa"/>
            <w:vAlign w:val="bottom"/>
            <w:tcBorders>
              <w:bottom w:val="single" w:sz="8" w:color="E5FFFF"/>
            </w:tcBorders>
          </w:tcPr>
          <w:p>
            <w:pPr>
              <w:spacing w:after="0"/>
              <w:rPr>
                <w:sz w:val="21"/>
                <w:szCs w:val="21"/>
                <w:color w:val="auto"/>
              </w:rPr>
            </w:pPr>
          </w:p>
        </w:tc>
        <w:tc>
          <w:tcPr>
            <w:tcW w:w="12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Average selling price per gallon of ethanol</w:t>
            </w:r>
          </w:p>
        </w:tc>
        <w:tc>
          <w:tcPr>
            <w:tcW w:w="12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1.25</w:t>
            </w:r>
          </w:p>
        </w:tc>
        <w:tc>
          <w:tcPr>
            <w:tcW w:w="18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E5FFFF"/>
          </w:tcPr>
          <w:p>
            <w:pPr>
              <w:jc w:val="right"/>
              <w:ind w:right="112"/>
              <w:spacing w:after="0" w:line="237"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48.3</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61.3</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6"/>
              </w:rPr>
              <w:t>Average selling price per ton of dried distillers grains</w:t>
            </w:r>
          </w:p>
        </w:tc>
        <w:tc>
          <w:tcPr>
            <w:tcW w:w="2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145.64</w:t>
            </w: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142.02</w:t>
            </w:r>
          </w:p>
        </w:tc>
        <w:tc>
          <w:tcPr>
            <w:tcW w:w="0" w:type="dxa"/>
            <w:vAlign w:val="bottom"/>
          </w:tcPr>
          <w:p>
            <w:pPr>
              <w:spacing w:after="0"/>
              <w:rPr>
                <w:sz w:val="1"/>
                <w:szCs w:val="1"/>
                <w:color w:val="auto"/>
              </w:rPr>
            </w:pP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w w:val="93"/>
              </w:rPr>
              <w:t>129,895</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90"/>
              </w:rPr>
              <w:t>131,490</w:t>
            </w:r>
          </w:p>
        </w:tc>
        <w:tc>
          <w:tcPr>
            <w:tcW w:w="0" w:type="dxa"/>
            <w:vAlign w:val="bottom"/>
          </w:tcPr>
          <w:p>
            <w:pPr>
              <w:spacing w:after="0"/>
              <w:rPr>
                <w:sz w:val="1"/>
                <w:szCs w:val="1"/>
                <w:color w:val="auto"/>
              </w:rPr>
            </w:pPr>
          </w:p>
        </w:tc>
      </w:tr>
      <w:tr>
        <w:trPr>
          <w:trHeight w:val="222"/>
        </w:trPr>
        <w:tc>
          <w:tcPr>
            <w:tcW w:w="492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w w:val="91"/>
              </w:rPr>
              <w:t>Average selling price per pound of non-food grade corn</w:t>
            </w: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920" w:type="dxa"/>
            <w:vAlign w:val="bottom"/>
            <w:shd w:val="clear" w:color="auto" w:fill="E5FFFF"/>
          </w:tcPr>
          <w:p>
            <w:pPr>
              <w:spacing w:after="0"/>
              <w:rPr>
                <w:sz w:val="20"/>
                <w:szCs w:val="20"/>
                <w:color w:val="auto"/>
              </w:rPr>
            </w:pPr>
            <w:r>
              <w:rPr>
                <w:rFonts w:ascii="Arial" w:cs="Arial" w:eastAsia="Arial" w:hAnsi="Arial"/>
                <w:sz w:val="22"/>
                <w:szCs w:val="22"/>
                <w:color w:val="auto"/>
              </w:rPr>
              <w:t>oil</w:t>
            </w: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0.25</w:t>
            </w:r>
          </w:p>
        </w:tc>
        <w:tc>
          <w:tcPr>
            <w:tcW w:w="90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ind w:right="112"/>
              <w:spacing w:after="0"/>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w w:val="98"/>
              </w:rPr>
              <w:t>Pounds of non-food grade corn oil sold (in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19.8</w:t>
            </w:r>
          </w:p>
        </w:tc>
        <w:tc>
          <w:tcPr>
            <w:tcW w:w="0" w:type="dxa"/>
            <w:vAlign w:val="bottom"/>
          </w:tcPr>
          <w:p>
            <w:pPr>
              <w:spacing w:after="0"/>
              <w:rPr>
                <w:sz w:val="1"/>
                <w:szCs w:val="1"/>
                <w:color w:val="auto"/>
              </w:rPr>
            </w:pPr>
          </w:p>
        </w:tc>
      </w:tr>
      <w:tr>
        <w:trPr>
          <w:trHeight w:val="222"/>
        </w:trPr>
        <w:tc>
          <w:tcPr>
            <w:tcW w:w="492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Average selling price per ton of modified distillers</w:t>
            </w: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920" w:type="dxa"/>
            <w:vAlign w:val="bottom"/>
            <w:shd w:val="clear" w:color="auto" w:fill="E5FFFF"/>
          </w:tcPr>
          <w:p>
            <w:pPr>
              <w:spacing w:after="0"/>
              <w:rPr>
                <w:sz w:val="20"/>
                <w:szCs w:val="20"/>
                <w:color w:val="auto"/>
              </w:rPr>
            </w:pPr>
            <w:r>
              <w:rPr>
                <w:rFonts w:ascii="Arial" w:cs="Arial" w:eastAsia="Arial" w:hAnsi="Arial"/>
                <w:sz w:val="22"/>
                <w:szCs w:val="22"/>
                <w:color w:val="auto"/>
              </w:rPr>
              <w:t>grains</w:t>
            </w: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65.82</w:t>
            </w:r>
          </w:p>
        </w:tc>
        <w:tc>
          <w:tcPr>
            <w:tcW w:w="90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ind w:right="112"/>
              <w:spacing w:after="0"/>
              <w:rPr>
                <w:sz w:val="20"/>
                <w:szCs w:val="20"/>
                <w:color w:val="auto"/>
              </w:rPr>
            </w:pPr>
            <w:r>
              <w:rPr>
                <w:rFonts w:ascii="Arial" w:cs="Arial" w:eastAsia="Arial" w:hAnsi="Arial"/>
                <w:sz w:val="22"/>
                <w:szCs w:val="22"/>
                <w:color w:val="auto"/>
              </w:rPr>
              <w:t>65.75</w:t>
            </w:r>
          </w:p>
        </w:tc>
        <w:tc>
          <w:tcPr>
            <w:tcW w:w="0" w:type="dxa"/>
            <w:vAlign w:val="bottom"/>
          </w:tcPr>
          <w:p>
            <w:pPr>
              <w:spacing w:after="0"/>
              <w:rPr>
                <w:sz w:val="1"/>
                <w:szCs w:val="1"/>
                <w:color w:val="auto"/>
              </w:rPr>
            </w:pP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6,941</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47,760</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2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3.93</w:t>
            </w: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3.53</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3.93</w:t>
            </w:r>
          </w:p>
        </w:tc>
        <w:tc>
          <w:tcPr>
            <w:tcW w:w="9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3.66</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Ethanol sales decreased from approximately $77.6 million in the first quarter of fiscal year 2019 to approximately $60.6 million in the first quarter of fiscal year 2020, primarily as a result of a 21% decrease in gallons sold compared to the first quarter of fiscal year 2019. Dried distillers grains sales increased from approximately $18.7 million in the first quarter of fiscal year 2019 to approximately $18.9 million in the first quarter of fiscal year 2020, primarily a result of a $3.62 increase in the price per ton sold compared to the first quarter of fiscal year 2019. Modified distillers grains sales were approximately $0.5 million in in the first quarter of fiscal year 2020 compared to approximately $3.1 million in the first quarter of fiscal year 2019. The decrease was primarily a result of a 85% decrease in tons sold compared to the first quarter of fiscal year 2019 as NuGen shifted production to more dried distillers grains instead of modified distillers grains. Non-food grade corn oil sales were approximately $3.2 million in the first quarter of fiscal year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9" w:name="page30"/>
    <w:bookmarkEnd w:id="29"/>
    <w:p>
      <w:pPr>
        <w:ind w:right="20"/>
        <w:spacing w:after="0" w:line="274" w:lineRule="auto"/>
        <w:rPr>
          <w:sz w:val="20"/>
          <w:szCs w:val="20"/>
          <w:color w:val="auto"/>
        </w:rPr>
      </w:pPr>
      <w:r>
        <w:rPr>
          <w:rFonts w:ascii="Arial" w:cs="Arial" w:eastAsia="Arial" w:hAnsi="Arial"/>
          <w:sz w:val="19"/>
          <w:szCs w:val="19"/>
          <w:color w:val="auto"/>
        </w:rPr>
        <w:t>2020 compared to approximately $5.0 million in the first quarter of fiscal year 2019. The decrease was primarily a result of a 35% decrease in pounds sold compared to the first quarter of fiscal year 2019. The volume decreases were primarily a result of diminished local supplies of corn along with the impact of the COVID-19 outbreak and lower ethanol pricing which prevented us from operating our NuGen ethanol plant at or near historical production levels. In March of 2020, we idled both of our consolidated ethanol plants as reduced demand resulted in historically low ethanol pricing due to the impact of the COVID-19 outbreak. Because of the uncertainty regarding the economic impact of the COVID-19 outbreak, ethanol pricing and the availability of corn, we do not have an estimate of future periods’ sales volume. In May of 2020, businesses and other activities slowly began to reopen, which led to an increase in demand for gasoline and ethanol, and in related prices. As a result, we resumed production operations at the One Earth ethanol plant on May 27, 2020.</w:t>
      </w:r>
    </w:p>
    <w:p>
      <w:pPr>
        <w:spacing w:after="0" w:line="185"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Gross (loss) profit for the first quarter of fiscal year 2020 was approximately $(8.2) million compared to approximately $6.1 million of gross profit for the first quarter of fiscal year 2019. The crush spread for the first quarter of fiscal year 2020 was approximately $(0.08) per gallon of ethanol sold compared to $0.02 per gallon of ethanol sold during the first quarter of fiscal year 2019. We recognized inventory writedowns of approximately $9.1 million and approximately $0.2 million during the first quarter of fiscal years 2020 and 2019, respectively. These inventory writedowns were related to lower of cost or net realizable value calculations. The inventory writedowns were partially offset by hedging gains on our derivative financial instruments of approximately $3.1 million and approximately $0.4 million during the first quarters of fiscal years 2020 and 2019, respectively. During the first quarter of fiscal year 2020 the impact from the COVID-19 outbreak and lower oil pricing resulted in lower ethanol and corn pricing which severely impacted the inventory writedowns. The decrease of approximately $4.5 million in sales of non-food grade corn oil and modified distillers grains compared to the first quarter of fiscal year 2019 negatively affected gross profit.</w:t>
      </w:r>
    </w:p>
    <w:p>
      <w:pPr>
        <w:spacing w:after="0" w:line="215" w:lineRule="exact"/>
        <w:rPr>
          <w:sz w:val="20"/>
          <w:szCs w:val="20"/>
          <w:color w:val="auto"/>
        </w:rPr>
      </w:pPr>
    </w:p>
    <w:p>
      <w:pPr>
        <w:ind w:right="240" w:firstLine="648"/>
        <w:spacing w:after="0" w:line="235" w:lineRule="auto"/>
        <w:rPr>
          <w:sz w:val="20"/>
          <w:szCs w:val="20"/>
          <w:color w:val="auto"/>
        </w:rPr>
      </w:pPr>
      <w:r>
        <w:rPr>
          <w:rFonts w:ascii="Arial" w:cs="Arial" w:eastAsia="Arial" w:hAnsi="Arial"/>
          <w:sz w:val="22"/>
          <w:szCs w:val="22"/>
          <w:color w:val="auto"/>
        </w:rPr>
        <w:t>Grain accounted for approximately 75% ($68.5 million) of our cost of sales during the first quarter of fiscal year 2020 compared to approximately 77% ($75.6 million) during the first quarter of fiscal year 2019. Natural gas accounted for approximately 6% ($5.4 million) of our cost of sales during the first quarter of fiscal year 2020 compared to approximately 6% ($6.2 million) during the first quarter of fiscal year 2019. Both the grain and natural gas dollar decreases were primarily attributable to the lower production levels incurred in the first quarter of fiscal year 2020 compared to the first quarter of fiscal year 2019 levels.</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SG&amp;A expenses for the first quarter of fiscal year 2020 were approximately $4.1 million, consistent with the first quarter of fiscal year 2019 amount of approximately $3.9 million.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0" w:name="page31"/>
    <w:bookmarkEnd w:id="30"/>
    <w:p>
      <w:pPr>
        <w:ind w:right="200" w:firstLine="648"/>
        <w:spacing w:after="0" w:line="279" w:lineRule="auto"/>
        <w:rPr>
          <w:sz w:val="20"/>
          <w:szCs w:val="20"/>
          <w:color w:val="auto"/>
        </w:rPr>
      </w:pPr>
      <w:r>
        <w:rPr>
          <w:rFonts w:ascii="Arial" w:cs="Arial" w:eastAsia="Arial" w:hAnsi="Arial"/>
          <w:sz w:val="19"/>
          <w:szCs w:val="19"/>
          <w:color w:val="auto"/>
        </w:rPr>
        <w:t>During the first quarter of fiscal year 2020 we recognized a loss of approximately $0.5 million compared to income of approximately $0.1 million for the first quarter of fiscal year 2019, from our equity investment in Big River. Big River has interests in four ethanol production plants that shipped approximately 428 million gallons in the trailing twelve months ended April 30, 2020 and has an effective ownership of ethanol gallons shipped for the same period of approximately 329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7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Interest and other income was approximately $0.5 million for the first quarter of fiscal year 2020 compared to approximately $0.8 million for the first quarter of fiscal year 2019. Income has decreased as yields on our excess cash decreased compared to fiscal year 2019 and excess cash investment balances decreased compared to fiscal year 2019.</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The benefit for income taxes was approximately $4.2 million in the first quarter of fiscal year 2020 compared to a provision of approximately $0.5 million in the first quarter of fiscal year 2019. The fluctuation in segment income tax benefit or provision is primarily related to the large pre tax loss incurred in fiscal year 2020.</w:t>
      </w:r>
    </w:p>
    <w:p>
      <w:pPr>
        <w:spacing w:after="0" w:line="21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Loss (income) related to noncontrolling interests was approximately $0.8 million and approximately $(1.0) million during the first quarters of fiscal years 2020 and 2019, respectively. These amounts represent the other owners’ share of the income of NuGen and One Earth.</w:t>
      </w:r>
    </w:p>
    <w:p>
      <w:pPr>
        <w:spacing w:after="0" w:line="213"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Segment loss for the first quarter of fiscal year 2020 was approximately $7.4 million, which was a decrease of approximately $9.1 million compared to the prior year first quarter segment profit of approximately $1.7 million. The decrease from fiscal year 2019 results is primarily related to lower gross profit levels in fiscal year 2020 compared to fiscal year 2019.</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207" w:lineRule="exact"/>
        <w:rPr>
          <w:sz w:val="20"/>
          <w:szCs w:val="20"/>
          <w:color w:val="auto"/>
        </w:rPr>
      </w:pPr>
    </w:p>
    <w:p>
      <w:pPr>
        <w:jc w:val="center"/>
        <w:ind w:left="22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2280"/>
        <w:spacing w:after="0"/>
        <w:rPr>
          <w:sz w:val="20"/>
          <w:szCs w:val="20"/>
          <w:color w:val="auto"/>
        </w:rPr>
      </w:pPr>
      <w:r>
        <w:rPr>
          <w:rFonts w:ascii="Arial" w:cs="Arial" w:eastAsia="Arial" w:hAnsi="Arial"/>
          <w:sz w:val="22"/>
          <w:szCs w:val="22"/>
          <w:b w:val="1"/>
          <w:bCs w:val="1"/>
          <w:color w:val="auto"/>
        </w:rPr>
        <w:t>April 30,</w:t>
      </w:r>
    </w:p>
    <w:tbl>
      <w:tblPr>
        <w:tblLayout w:type="fixed"/>
        <w:tblInd w:w="0" w:type="dxa"/>
        <w:tblCellMar>
          <w:top w:w="0" w:type="dxa"/>
          <w:left w:w="0" w:type="dxa"/>
          <w:bottom w:w="0" w:type="dxa"/>
          <w:right w:w="0" w:type="dxa"/>
        </w:tblCellMar>
      </w:tblPr>
      <w:tr>
        <w:trPr>
          <w:trHeight w:val="250"/>
        </w:trPr>
        <w:tc>
          <w:tcPr>
            <w:tcW w:w="568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780" w:type="dxa"/>
            <w:vAlign w:val="bottom"/>
            <w:tcBorders>
              <w:bottom w:val="single" w:sz="8" w:color="auto"/>
            </w:tcBorders>
            <w:gridSpan w:val="2"/>
          </w:tcPr>
          <w:p>
            <w:pPr>
              <w:jc w:val="right"/>
              <w:ind w:right="180"/>
              <w:spacing w:after="0" w:line="250" w:lineRule="exact"/>
              <w:rPr>
                <w:sz w:val="20"/>
                <w:szCs w:val="20"/>
                <w:color w:val="auto"/>
              </w:rPr>
            </w:pPr>
            <w:r>
              <w:rPr>
                <w:rFonts w:ascii="Arial" w:cs="Arial" w:eastAsia="Arial" w:hAnsi="Arial"/>
                <w:sz w:val="22"/>
                <w:szCs w:val="22"/>
                <w:b w:val="1"/>
                <w:bCs w:val="1"/>
                <w:color w:val="auto"/>
              </w:rPr>
              <w:t>2020</w:t>
            </w:r>
          </w:p>
        </w:tc>
        <w:tc>
          <w:tcPr>
            <w:tcW w:w="620" w:type="dxa"/>
            <w:vAlign w:val="bottom"/>
          </w:tcPr>
          <w:p>
            <w:pPr>
              <w:spacing w:after="0"/>
              <w:rPr>
                <w:sz w:val="21"/>
                <w:szCs w:val="21"/>
                <w:color w:val="auto"/>
              </w:rPr>
            </w:pPr>
          </w:p>
        </w:tc>
        <w:tc>
          <w:tcPr>
            <w:tcW w:w="780" w:type="dxa"/>
            <w:vAlign w:val="bottom"/>
            <w:tcBorders>
              <w:bottom w:val="single" w:sz="8" w:color="auto"/>
            </w:tcBorders>
            <w:gridSpan w:val="2"/>
          </w:tcPr>
          <w:p>
            <w:pPr>
              <w:jc w:val="right"/>
              <w:ind w:right="180"/>
              <w:spacing w:after="0" w:line="250" w:lineRule="exact"/>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680" w:type="dxa"/>
            <w:vAlign w:val="bottom"/>
          </w:tcPr>
          <w:p>
            <w:pPr>
              <w:spacing w:after="0" w:line="338"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15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$ 122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firstLine="656"/>
        <w:spacing w:after="0" w:line="196" w:lineRule="auto"/>
        <w:tabs>
          <w:tab w:leader="none" w:pos="783" w:val="left"/>
        </w:tabs>
        <w:numPr>
          <w:ilvl w:val="0"/>
          <w:numId w:val="12"/>
        </w:numPr>
        <w:rPr>
          <w:rFonts w:ascii="Arial" w:cs="Arial" w:eastAsia="Arial" w:hAnsi="Arial"/>
          <w:sz w:val="34"/>
          <w:szCs w:val="34"/>
          <w:color w:val="auto"/>
          <w:vertAlign w:val="superscript"/>
        </w:rPr>
      </w:pPr>
      <w:r>
        <w:rPr>
          <w:rFonts w:ascii="Arial" w:cs="Arial" w:eastAsia="Arial" w:hAnsi="Arial"/>
          <w:sz w:val="21"/>
          <w:szCs w:val="21"/>
          <w:color w:val="auto"/>
        </w:rPr>
        <w:t>We record sales in the refined coal segment net of the cost of coal as we purchase the coal feedstock from the customer to which refined coal is sold.</w:t>
      </w:r>
    </w:p>
    <w:p>
      <w:pPr>
        <w:spacing w:after="0" w:line="213"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Refined coal sales were approximately $15,000 and approximately $122,000 in the first quarters of fiscal years 2020 and 2019, respectively. During fiscal year 2020, operating results have been adversely affected by lower utility plant demand (our only customer). Refined coal sales vary depending 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 w:name="page32"/>
    <w:bookmarkEnd w:id="31"/>
    <w:p>
      <w:pPr>
        <w:jc w:val="both"/>
        <w:ind w:right="560"/>
        <w:spacing w:after="0" w:line="238" w:lineRule="auto"/>
        <w:rPr>
          <w:sz w:val="20"/>
          <w:szCs w:val="20"/>
          <w:color w:val="auto"/>
        </w:rPr>
      </w:pPr>
      <w:r>
        <w:rPr>
          <w:rFonts w:ascii="Arial" w:cs="Arial" w:eastAsia="Arial" w:hAnsi="Arial"/>
          <w:sz w:val="22"/>
          <w:szCs w:val="22"/>
          <w:color w:val="auto"/>
        </w:rPr>
        <w:t>fluctuations in demand from the site host utility, which generally change based upon weather conditions in the geographic markets the utility serves and competing energy prices and supplies and the state of the economy. Based upon current year operations and projections from the site host utility, we expect lower demand for refined coal in future periods compared to historical results.</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Gross loss was approximately $1.1 million and approximately $2.5 million in the first quarters of fiscal years 2020 and 2019, respectively. We expect future period gross losses to vary like the sales fluctuations described above. Based upon the agreements in place that 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214" w:lineRule="exact"/>
        <w:rPr>
          <w:sz w:val="20"/>
          <w:szCs w:val="20"/>
          <w:color w:val="auto"/>
        </w:rPr>
      </w:pPr>
    </w:p>
    <w:p>
      <w:pPr>
        <w:ind w:right="360" w:firstLine="648"/>
        <w:spacing w:after="0" w:line="238" w:lineRule="auto"/>
        <w:rPr>
          <w:sz w:val="20"/>
          <w:szCs w:val="20"/>
          <w:color w:val="auto"/>
        </w:rPr>
      </w:pPr>
      <w:r>
        <w:rPr>
          <w:rFonts w:ascii="Arial" w:cs="Arial" w:eastAsia="Arial" w:hAnsi="Arial"/>
          <w:sz w:val="22"/>
          <w:szCs w:val="22"/>
          <w:color w:val="auto"/>
        </w:rPr>
        <w:t>SG&amp;A expenses were approximately $(0.3) million and approximately $0.2 million in the first quarters of fiscal years 2020 and 2019, respectively. We expect future period expenses to be less than $1.0 million per quarter. The fiscal year 2020 expenses were lower as estimates of future refined coal production and the resulting commissions we would pay have been reduced.</w:t>
      </w:r>
    </w:p>
    <w:p>
      <w:pPr>
        <w:spacing w:after="0" w:line="212"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Loss related to noncontrolling interests was approximately $38,000 and approximately $116,000 in the first quarters of fiscal years 2020 and 2019, respectively. This amount represents the other owner’s share of the pre-tax loss of refined coal operations.</w:t>
      </w:r>
    </w:p>
    <w:p>
      <w:pPr>
        <w:spacing w:after="0" w:line="21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benefit for income taxes was approximately $1.0 million and approximately $3.9 million in the first quarters of fiscal years 2020 and 2019,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As a result of the foregoing, including the benefit of federal production tax credits associated with refined coal production and sales, segment profit was approximately $0.2 million and approximately $1.4 million for the first quarters of fiscal years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SG&amp;A expenses were approximately $0.7 million for each of the first quarters of fiscal years 2020 and 2019.</w:t>
      </w:r>
    </w:p>
    <w:p>
      <w:pPr>
        <w:spacing w:after="0" w:line="233"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Interest and other income was approximately $0.2 million and approximately $0.3 million for the first quarters of fiscal years 2020 and 2019,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Net cash used in operating activities was approximately $0.3 million for the first quarter of fiscal year 2020, compared to cash provided of approximately $1.5 million for the first quarter of fiscal year 2019. For the first quarter of fiscal year 2020, cash was used by a net loss of approximately $8.4 million, adjusted for non-cash items of approximately $5.3 million, which consisted of depreciation, amortization of operating lease right-of-use assets, loss from equity method investments, interest income from short-term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2" w:name="page33"/>
    <w:bookmarkEnd w:id="32"/>
    <w:p>
      <w:pPr>
        <w:ind w:right="80"/>
        <w:spacing w:after="0" w:line="273" w:lineRule="auto"/>
        <w:rPr>
          <w:sz w:val="20"/>
          <w:szCs w:val="20"/>
          <w:color w:val="auto"/>
        </w:rPr>
      </w:pPr>
      <w:r>
        <w:rPr>
          <w:rFonts w:ascii="Arial" w:cs="Arial" w:eastAsia="Arial" w:hAnsi="Arial"/>
          <w:sz w:val="19"/>
          <w:szCs w:val="19"/>
          <w:color w:val="auto"/>
        </w:rPr>
        <w:t>investments, the deferred income tax provision and stock based compensation expense. We received dividends from Big River of approximately $2.0 million during the first quarter of fiscal year 2020. A decrease in the balance of accounts receivable provided cash of approximately $10.2 million, which was primarily a result of idling production at the NuGen facility during the first quarter of fiscal year 2020. Inventories decreased by approximately $8.4 million, which was primarily a result lower of cost or net realizable value writedowns, the timing of receipt of raw materials, plant shutdowns and the shipment of finished goods. An increase in the balance of other assets of approximately $3.8 million primarily relates to a net operating loss we intend to carry back for federal income tax purposes. A decrease in the balance of accounts payable used cash of approximately $11.9 million, which was primarily a result of the timing of inventory receipts, vendor payments and idling production at the NuGen facility during the first quarter of fiscal year 2020. A decrease in the balance of other liabilities used cash of approximately $2.0 million, which was primarily a result of payments of operating leases and incentive compensation.</w:t>
      </w:r>
    </w:p>
    <w:p>
      <w:pPr>
        <w:spacing w:after="0" w:line="188"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Net cash provided by operating activities was approximately $1.5 million for the first quarter of fiscal year 2019. For the first quarter of fiscal year 2019, cash was provided by net income of approximately $3.7 million, adjusted for non-cash items of approximately $4.0 million, which consisted of depreciation, amortization of operating lease right-of-use assets, income from equity method investments, interest income from short-term investments, the deferred income tax provision and stock based compensation expense. An increase in the balance of inventories used cash of approximately $1.7 million, which was primarily a result of the timing of receipt of raw materials. A decrease in the balance of accounts payable used cash of approximately $0.8 million, which was primarily a result of the timing of inventory receipts and vendor payments. A decrease in the balance of other liabilities used cash of approximately $3.4 million, which was primarily a result of payments of operating leases and incentive compensation as well as lower accruals for utilities.</w:t>
      </w:r>
    </w:p>
    <w:p>
      <w:pPr>
        <w:spacing w:after="0" w:line="185"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At April 30, 2020, working capital was approximately $227.3 million, compared to approximately $239.5 million at January 31, 2020. The ratio of current assets to current liabilities was 12.4 to 1 at April 30, 2020 and 8.6 to 1 at January 31, 2020.</w:t>
      </w:r>
    </w:p>
    <w:p>
      <w:pPr>
        <w:spacing w:after="0" w:line="13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Cash of approximately $11.4 million was used in investing activities for the first quarter of fiscal year 2020, compared to cash provided of approximately $14.4 million during the first quarter of fiscal year 2019. During the first quarter of fiscal year 2020, we had capital expenditures of approximately $4.7 million, primarily for the purchase of land at One Earth Energy. Because of the uncertainty related to the COVID-19 outbreak, we do not have an estimate of our capital expenditures for the remainder of fiscal year 2020. During the first quarter of fiscal year 2020, we purchased certificates of deposit (classified as short-term investments) of approximately $19.2 million. During the first quarter of fiscal year 2020, we sold certificates of deposit (classified as short-term investments) of approximately $12.8 million. The certificates of deposit both purchased and sold, had maturities of less than one year. Depending on investment options available, we may elect to retain the funds, or a portion thereof, in cash investments, short-term investments or long-term investments.</w:t>
      </w:r>
    </w:p>
    <w:p>
      <w:pPr>
        <w:spacing w:after="0" w:line="18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Cash of approximately $14.4 million was provided by investing activities for the first quarter of fiscal year 2019 as we sold United States treasury bills (classified as short-term investments) of approximately $15.0 million. During the first quarter of fiscal year 2019, we had capital expenditures of approximately $0.6 million.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3" w:name="page34"/>
    <w:bookmarkEnd w:id="33"/>
    <w:p>
      <w:pPr>
        <w:ind w:right="60" w:firstLine="648"/>
        <w:spacing w:after="0" w:line="238" w:lineRule="auto"/>
        <w:rPr>
          <w:sz w:val="20"/>
          <w:szCs w:val="20"/>
          <w:color w:val="auto"/>
        </w:rPr>
      </w:pPr>
      <w:r>
        <w:rPr>
          <w:rFonts w:ascii="Arial" w:cs="Arial" w:eastAsia="Arial" w:hAnsi="Arial"/>
          <w:sz w:val="22"/>
          <w:szCs w:val="22"/>
          <w:color w:val="auto"/>
        </w:rPr>
        <w:t>Cash of approximately $3.9 million was used in financing activities for the first quarter of fiscal year 2020, compared to cash provided of approximately $0.1 million during the first quarter of fiscal year 2019. During the first quarter of fiscal year 2020, we used cash of approximately $3.9 million to purchase approximately 78,000 shares of our common stock in open market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Cash provided by financing activities was insignificant for the first quarter of fiscal year 2019.</w:t>
      </w:r>
    </w:p>
    <w:p>
      <w:pPr>
        <w:spacing w:after="0" w:line="23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We are investigating various uses for our excess cash and short-term investments. We have a stock buyback program, and given our current authorization level, can repurchase a total of approximately 272,000 shares at April 30, 2020. We also plan to seek and evaluate investment opportunities including carbon sequestration, energy related, agricultural or other ventures we believe fit our investment criteria in addition to investing in highly liquid short-term securities.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beneath the site by drilling a test well and performing seismic surveys. Further work and research is needed to determine if this will be a feasible project.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2020 (File No. 001-09097).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April 30, 2020 is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2"/>
          </w:tcPr>
          <w:p>
            <w:pPr>
              <w:ind w:left="180"/>
              <w:spacing w:after="0"/>
              <w:rPr>
                <w:sz w:val="20"/>
                <w:szCs w:val="20"/>
                <w:color w:val="auto"/>
              </w:rPr>
            </w:pPr>
            <w:r>
              <w:rPr>
                <w:rFonts w:ascii="Arial" w:cs="Arial" w:eastAsia="Arial" w:hAnsi="Arial"/>
                <w:sz w:val="22"/>
                <w:szCs w:val="22"/>
                <w:b w:val="1"/>
                <w:bCs w:val="1"/>
                <w:color w:val="auto"/>
                <w:w w:val="98"/>
              </w:rPr>
              <w:t>Estimated Total</w:t>
            </w: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320" w:type="dxa"/>
            <w:vAlign w:val="bottom"/>
            <w:gridSpan w:val="3"/>
          </w:tcPr>
          <w:p>
            <w:pPr>
              <w:ind w:left="660"/>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Volume for</w:t>
            </w: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320" w:type="dxa"/>
            <w:vAlign w:val="bottom"/>
            <w:gridSpan w:val="3"/>
          </w:tcPr>
          <w:p>
            <w:pPr>
              <w:ind w:left="660"/>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Commodity</w:t>
            </w:r>
          </w:p>
        </w:tc>
        <w:tc>
          <w:tcPr>
            <w:tcW w:w="820" w:type="dxa"/>
            <w:vAlign w:val="bottom"/>
          </w:tcPr>
          <w:p>
            <w:pPr>
              <w:spacing w:after="0"/>
              <w:rPr>
                <w:sz w:val="23"/>
                <w:szCs w:val="23"/>
                <w:color w:val="auto"/>
              </w:rPr>
            </w:pPr>
          </w:p>
        </w:tc>
        <w:tc>
          <w:tcPr>
            <w:tcW w:w="1820" w:type="dxa"/>
            <w:vAlign w:val="bottom"/>
            <w:gridSpan w:val="2"/>
          </w:tcPr>
          <w:p>
            <w:pPr>
              <w:ind w:left="180"/>
              <w:spacing w:after="0" w:line="269" w:lineRule="exact"/>
              <w:rPr>
                <w:sz w:val="20"/>
                <w:szCs w:val="20"/>
                <w:color w:val="auto"/>
              </w:rPr>
            </w:pPr>
            <w:r>
              <w:rPr>
                <w:rFonts w:ascii="Arial" w:cs="Arial" w:eastAsia="Arial" w:hAnsi="Arial"/>
                <w:sz w:val="20"/>
                <w:szCs w:val="20"/>
                <w:b w:val="1"/>
                <w:bCs w:val="1"/>
                <w:color w:val="auto"/>
              </w:rPr>
              <w:t xml:space="preserve">12 Months </w:t>
            </w:r>
            <w:r>
              <w:rPr>
                <w:rFonts w:ascii="Arial" w:cs="Arial" w:eastAsia="Arial" w:hAnsi="Arial"/>
                <w:sz w:val="31"/>
                <w:szCs w:val="31"/>
                <w:b w:val="1"/>
                <w:bCs w:val="1"/>
                <w:color w:val="auto"/>
                <w:vertAlign w:val="superscript"/>
              </w:rPr>
              <w:t>(1)</w:t>
            </w:r>
          </w:p>
        </w:tc>
        <w:tc>
          <w:tcPr>
            <w:tcW w:w="420" w:type="dxa"/>
            <w:vAlign w:val="bottom"/>
          </w:tcPr>
          <w:p>
            <w:pPr>
              <w:spacing w:after="0"/>
              <w:rPr>
                <w:sz w:val="23"/>
                <w:szCs w:val="23"/>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Unit of Measure</w:t>
            </w:r>
          </w:p>
        </w:tc>
        <w:tc>
          <w:tcPr>
            <w:tcW w:w="3320" w:type="dxa"/>
            <w:vAlign w:val="bottom"/>
            <w:gridSpan w:val="3"/>
          </w:tcPr>
          <w:p>
            <w:pPr>
              <w:jc w:val="center"/>
              <w:ind w:left="172"/>
              <w:spacing w:after="0"/>
              <w:rPr>
                <w:sz w:val="20"/>
                <w:szCs w:val="20"/>
                <w:color w:val="auto"/>
              </w:rPr>
            </w:pPr>
            <w:r>
              <w:rPr>
                <w:rFonts w:ascii="Arial" w:cs="Arial" w:eastAsia="Arial" w:hAnsi="Arial"/>
                <w:sz w:val="22"/>
                <w:szCs w:val="22"/>
                <w:b w:val="1"/>
                <w:bCs w:val="1"/>
                <w:color w:val="auto"/>
                <w:w w:val="87"/>
              </w:rPr>
              <w:t>Adverse Change in Price</w:t>
            </w:r>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1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820" w:type="dxa"/>
            <w:vAlign w:val="bottom"/>
            <w:shd w:val="clear" w:color="auto" w:fill="E5FFFF"/>
          </w:tcPr>
          <w:p>
            <w:pPr>
              <w:spacing w:after="0"/>
              <w:rPr>
                <w:sz w:val="21"/>
                <w:szCs w:val="21"/>
                <w:color w:val="auto"/>
              </w:rPr>
            </w:pPr>
          </w:p>
        </w:tc>
        <w:tc>
          <w:tcPr>
            <w:tcW w:w="18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222,000</w:t>
            </w:r>
          </w:p>
        </w:tc>
        <w:tc>
          <w:tcPr>
            <w:tcW w:w="420" w:type="dxa"/>
            <w:vAlign w:val="bottom"/>
            <w:shd w:val="clear" w:color="auto" w:fill="E5FFFF"/>
          </w:tcPr>
          <w:p>
            <w:pPr>
              <w:spacing w:after="0"/>
              <w:rPr>
                <w:sz w:val="21"/>
                <w:szCs w:val="21"/>
                <w:color w:val="auto"/>
              </w:rPr>
            </w:pPr>
          </w:p>
        </w:tc>
        <w:tc>
          <w:tcPr>
            <w:tcW w:w="1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1840" w:type="dxa"/>
            <w:vAlign w:val="bottom"/>
            <w:gridSpan w:val="2"/>
            <w:shd w:val="clear" w:color="auto" w:fill="E5FFFF"/>
          </w:tcPr>
          <w:p>
            <w:pPr>
              <w:jc w:val="center"/>
              <w:ind w:left="1632"/>
              <w:spacing w:after="0" w:line="243" w:lineRule="exact"/>
              <w:rPr>
                <w:sz w:val="20"/>
                <w:szCs w:val="20"/>
                <w:color w:val="auto"/>
              </w:rPr>
            </w:pPr>
            <w:r>
              <w:rPr>
                <w:rFonts w:ascii="Arial" w:cs="Arial" w:eastAsia="Arial" w:hAnsi="Arial"/>
                <w:sz w:val="22"/>
                <w:szCs w:val="22"/>
                <w:color w:val="auto"/>
                <w:w w:val="81"/>
              </w:rPr>
              <w:t>$</w:t>
            </w:r>
          </w:p>
        </w:tc>
        <w:tc>
          <w:tcPr>
            <w:tcW w:w="1480" w:type="dxa"/>
            <w:vAlign w:val="bottom"/>
            <w:shd w:val="clear" w:color="auto" w:fill="E5FFFF"/>
          </w:tcPr>
          <w:p>
            <w:pPr>
              <w:jc w:val="right"/>
              <w:ind w:right="772"/>
              <w:spacing w:after="0" w:line="243" w:lineRule="exact"/>
              <w:rPr>
                <w:sz w:val="20"/>
                <w:szCs w:val="20"/>
                <w:color w:val="auto"/>
              </w:rPr>
            </w:pPr>
            <w:r>
              <w:rPr>
                <w:rFonts w:ascii="Arial" w:cs="Arial" w:eastAsia="Arial" w:hAnsi="Arial"/>
                <w:sz w:val="22"/>
                <w:szCs w:val="22"/>
                <w:color w:val="auto"/>
                <w:w w:val="86"/>
              </w:rPr>
              <w:t>19,034</w:t>
            </w:r>
          </w:p>
        </w:tc>
      </w:tr>
      <w:tr>
        <w:trPr>
          <w:trHeight w:val="243"/>
        </w:trPr>
        <w:tc>
          <w:tcPr>
            <w:tcW w:w="1100" w:type="dxa"/>
            <w:vAlign w:val="bottom"/>
          </w:tcPr>
          <w:p>
            <w:pPr>
              <w:spacing w:after="0" w:line="243" w:lineRule="exact"/>
              <w:rPr>
                <w:sz w:val="20"/>
                <w:szCs w:val="20"/>
                <w:color w:val="auto"/>
              </w:rPr>
            </w:pPr>
            <w:r>
              <w:rPr>
                <w:rFonts w:ascii="Arial" w:cs="Arial" w:eastAsia="Arial" w:hAnsi="Arial"/>
                <w:sz w:val="22"/>
                <w:szCs w:val="22"/>
                <w:color w:val="auto"/>
              </w:rPr>
              <w:t>Corn</w:t>
            </w:r>
          </w:p>
        </w:tc>
        <w:tc>
          <w:tcPr>
            <w:tcW w:w="820" w:type="dxa"/>
            <w:vAlign w:val="bottom"/>
          </w:tcPr>
          <w:p>
            <w:pPr>
              <w:spacing w:after="0"/>
              <w:rPr>
                <w:sz w:val="21"/>
                <w:szCs w:val="21"/>
                <w:color w:val="auto"/>
              </w:rPr>
            </w:pPr>
          </w:p>
        </w:tc>
        <w:tc>
          <w:tcPr>
            <w:tcW w:w="18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79,000</w:t>
            </w:r>
          </w:p>
        </w:tc>
        <w:tc>
          <w:tcPr>
            <w:tcW w:w="420" w:type="dxa"/>
            <w:vAlign w:val="bottom"/>
          </w:tcPr>
          <w:p>
            <w:pPr>
              <w:spacing w:after="0"/>
              <w:rPr>
                <w:sz w:val="21"/>
                <w:szCs w:val="21"/>
                <w:color w:val="auto"/>
              </w:rPr>
            </w:pPr>
          </w:p>
        </w:tc>
        <w:tc>
          <w:tcPr>
            <w:tcW w:w="1500" w:type="dxa"/>
            <w:vAlign w:val="bottom"/>
          </w:tcPr>
          <w:p>
            <w:pPr>
              <w:spacing w:after="0" w:line="243" w:lineRule="exact"/>
              <w:rPr>
                <w:sz w:val="20"/>
                <w:szCs w:val="20"/>
                <w:color w:val="auto"/>
              </w:rPr>
            </w:pPr>
            <w:r>
              <w:rPr>
                <w:rFonts w:ascii="Arial" w:cs="Arial" w:eastAsia="Arial" w:hAnsi="Arial"/>
                <w:sz w:val="22"/>
                <w:szCs w:val="22"/>
                <w:color w:val="auto"/>
              </w:rPr>
              <w:t>Bushels</w:t>
            </w:r>
          </w:p>
        </w:tc>
        <w:tc>
          <w:tcPr>
            <w:tcW w:w="1840" w:type="dxa"/>
            <w:vAlign w:val="bottom"/>
            <w:gridSpan w:val="2"/>
          </w:tcPr>
          <w:p>
            <w:pPr>
              <w:jc w:val="center"/>
              <w:ind w:left="1632"/>
              <w:spacing w:after="0" w:line="243" w:lineRule="exact"/>
              <w:rPr>
                <w:sz w:val="20"/>
                <w:szCs w:val="20"/>
                <w:color w:val="auto"/>
              </w:rPr>
            </w:pPr>
            <w:r>
              <w:rPr>
                <w:rFonts w:ascii="Arial" w:cs="Arial" w:eastAsia="Arial" w:hAnsi="Arial"/>
                <w:sz w:val="22"/>
                <w:szCs w:val="22"/>
                <w:color w:val="auto"/>
                <w:w w:val="81"/>
              </w:rPr>
              <w:t>$</w:t>
            </w:r>
          </w:p>
        </w:tc>
        <w:tc>
          <w:tcPr>
            <w:tcW w:w="1480" w:type="dxa"/>
            <w:vAlign w:val="bottom"/>
          </w:tcPr>
          <w:p>
            <w:pPr>
              <w:jc w:val="right"/>
              <w:ind w:right="772"/>
              <w:spacing w:after="0" w:line="243" w:lineRule="exact"/>
              <w:rPr>
                <w:sz w:val="20"/>
                <w:szCs w:val="20"/>
                <w:color w:val="auto"/>
              </w:rPr>
            </w:pPr>
            <w:r>
              <w:rPr>
                <w:rFonts w:ascii="Arial" w:cs="Arial" w:eastAsia="Arial" w:hAnsi="Arial"/>
                <w:sz w:val="22"/>
                <w:szCs w:val="22"/>
                <w:color w:val="auto"/>
                <w:w w:val="86"/>
              </w:rPr>
              <w:t>24,480</w:t>
            </w:r>
          </w:p>
        </w:tc>
      </w:tr>
      <w:tr>
        <w:trPr>
          <w:trHeight w:val="243"/>
        </w:trPr>
        <w:tc>
          <w:tcPr>
            <w:tcW w:w="192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18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520</w:t>
            </w:r>
          </w:p>
        </w:tc>
        <w:tc>
          <w:tcPr>
            <w:tcW w:w="420" w:type="dxa"/>
            <w:vAlign w:val="bottom"/>
            <w:shd w:val="clear" w:color="auto" w:fill="E5FFFF"/>
          </w:tcPr>
          <w:p>
            <w:pPr>
              <w:spacing w:after="0"/>
              <w:rPr>
                <w:sz w:val="21"/>
                <w:szCs w:val="21"/>
                <w:color w:val="auto"/>
              </w:rPr>
            </w:pPr>
          </w:p>
        </w:tc>
        <w:tc>
          <w:tcPr>
            <w:tcW w:w="1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1840" w:type="dxa"/>
            <w:vAlign w:val="bottom"/>
            <w:gridSpan w:val="2"/>
            <w:shd w:val="clear" w:color="auto" w:fill="E5FFFF"/>
          </w:tcPr>
          <w:p>
            <w:pPr>
              <w:jc w:val="center"/>
              <w:ind w:left="1632"/>
              <w:spacing w:after="0" w:line="243" w:lineRule="exact"/>
              <w:rPr>
                <w:sz w:val="20"/>
                <w:szCs w:val="20"/>
                <w:color w:val="auto"/>
              </w:rPr>
            </w:pPr>
            <w:r>
              <w:rPr>
                <w:rFonts w:ascii="Arial" w:cs="Arial" w:eastAsia="Arial" w:hAnsi="Arial"/>
                <w:sz w:val="22"/>
                <w:szCs w:val="22"/>
                <w:color w:val="auto"/>
                <w:w w:val="81"/>
              </w:rPr>
              <w:t>$</w:t>
            </w:r>
          </w:p>
        </w:tc>
        <w:tc>
          <w:tcPr>
            <w:tcW w:w="1480" w:type="dxa"/>
            <w:vAlign w:val="bottom"/>
            <w:shd w:val="clear" w:color="auto" w:fill="E5FFFF"/>
          </w:tcPr>
          <w:p>
            <w:pPr>
              <w:jc w:val="right"/>
              <w:ind w:right="772"/>
              <w:spacing w:after="0" w:line="243" w:lineRule="exact"/>
              <w:rPr>
                <w:sz w:val="20"/>
                <w:szCs w:val="20"/>
                <w:color w:val="auto"/>
              </w:rPr>
            </w:pPr>
            <w:r>
              <w:rPr>
                <w:rFonts w:ascii="Arial" w:cs="Arial" w:eastAsia="Arial" w:hAnsi="Arial"/>
                <w:sz w:val="22"/>
                <w:szCs w:val="22"/>
                <w:color w:val="auto"/>
              </w:rPr>
              <w:t>7,875</w:t>
            </w:r>
          </w:p>
        </w:tc>
      </w:tr>
      <w:tr>
        <w:trPr>
          <w:trHeight w:val="222"/>
        </w:trPr>
        <w:tc>
          <w:tcPr>
            <w:tcW w:w="1100" w:type="dxa"/>
            <w:vAlign w:val="bottom"/>
          </w:tcPr>
          <w:p>
            <w:pPr>
              <w:spacing w:after="0" w:line="222" w:lineRule="exact"/>
              <w:rPr>
                <w:sz w:val="20"/>
                <w:szCs w:val="20"/>
                <w:color w:val="auto"/>
              </w:rPr>
            </w:pPr>
            <w:r>
              <w:rPr>
                <w:rFonts w:ascii="Arial" w:cs="Arial" w:eastAsia="Arial" w:hAnsi="Arial"/>
                <w:sz w:val="22"/>
                <w:szCs w:val="22"/>
                <w:color w:val="auto"/>
              </w:rPr>
              <w:t>Non-food</w:t>
            </w:r>
          </w:p>
        </w:tc>
        <w:tc>
          <w:tcPr>
            <w:tcW w:w="820" w:type="dxa"/>
            <w:vAlign w:val="bottom"/>
          </w:tcPr>
          <w:p>
            <w:pPr>
              <w:ind w:left="160"/>
              <w:spacing w:after="0" w:line="222" w:lineRule="exact"/>
              <w:rPr>
                <w:sz w:val="20"/>
                <w:szCs w:val="20"/>
                <w:color w:val="auto"/>
              </w:rPr>
            </w:pPr>
            <w:r>
              <w:rPr>
                <w:rFonts w:ascii="Arial" w:cs="Arial" w:eastAsia="Arial" w:hAnsi="Arial"/>
                <w:sz w:val="22"/>
                <w:szCs w:val="22"/>
                <w:color w:val="auto"/>
              </w:rPr>
              <w:t>grade</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Corn Oil</w:t>
            </w:r>
          </w:p>
        </w:tc>
        <w:tc>
          <w:tcPr>
            <w:tcW w:w="820" w:type="dxa"/>
            <w:vAlign w:val="bottom"/>
          </w:tcPr>
          <w:p>
            <w:pPr>
              <w:spacing w:after="0"/>
              <w:rPr>
                <w:sz w:val="22"/>
                <w:szCs w:val="22"/>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22"/>
                <w:szCs w:val="22"/>
                <w:color w:val="auto"/>
              </w:rPr>
              <w:t>61,000</w:t>
            </w:r>
          </w:p>
        </w:tc>
        <w:tc>
          <w:tcPr>
            <w:tcW w:w="420" w:type="dxa"/>
            <w:vAlign w:val="bottom"/>
          </w:tcPr>
          <w:p>
            <w:pPr>
              <w:spacing w:after="0"/>
              <w:rPr>
                <w:sz w:val="22"/>
                <w:szCs w:val="22"/>
                <w:color w:val="auto"/>
              </w:rPr>
            </w:pPr>
          </w:p>
        </w:tc>
        <w:tc>
          <w:tcPr>
            <w:tcW w:w="1500" w:type="dxa"/>
            <w:vAlign w:val="bottom"/>
          </w:tcPr>
          <w:p>
            <w:pPr>
              <w:spacing w:after="0"/>
              <w:rPr>
                <w:sz w:val="20"/>
                <w:szCs w:val="20"/>
                <w:color w:val="auto"/>
              </w:rPr>
            </w:pPr>
            <w:r>
              <w:rPr>
                <w:rFonts w:ascii="Arial" w:cs="Arial" w:eastAsia="Arial" w:hAnsi="Arial"/>
                <w:sz w:val="22"/>
                <w:szCs w:val="22"/>
                <w:color w:val="auto"/>
              </w:rPr>
              <w:t>Pounds</w:t>
            </w:r>
          </w:p>
        </w:tc>
        <w:tc>
          <w:tcPr>
            <w:tcW w:w="1840" w:type="dxa"/>
            <w:vAlign w:val="bottom"/>
            <w:gridSpan w:val="2"/>
          </w:tcPr>
          <w:p>
            <w:pPr>
              <w:jc w:val="center"/>
              <w:ind w:left="1632"/>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ind w:right="772"/>
              <w:spacing w:after="0"/>
              <w:rPr>
                <w:sz w:val="20"/>
                <w:szCs w:val="20"/>
                <w:color w:val="auto"/>
              </w:rPr>
            </w:pPr>
            <w:r>
              <w:rPr>
                <w:rFonts w:ascii="Arial" w:cs="Arial" w:eastAsia="Arial" w:hAnsi="Arial"/>
                <w:sz w:val="22"/>
                <w:szCs w:val="22"/>
                <w:color w:val="auto"/>
              </w:rPr>
              <w:t>1,448</w:t>
            </w:r>
          </w:p>
        </w:tc>
      </w:tr>
      <w:tr>
        <w:trPr>
          <w:trHeight w:val="243"/>
        </w:trPr>
        <w:tc>
          <w:tcPr>
            <w:tcW w:w="1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1"/>
              </w:rPr>
              <w:t>Natural Gas</w:t>
            </w:r>
          </w:p>
        </w:tc>
        <w:tc>
          <w:tcPr>
            <w:tcW w:w="820" w:type="dxa"/>
            <w:vAlign w:val="bottom"/>
            <w:shd w:val="clear" w:color="auto" w:fill="E5FFFF"/>
          </w:tcPr>
          <w:p>
            <w:pPr>
              <w:spacing w:after="0"/>
              <w:rPr>
                <w:sz w:val="21"/>
                <w:szCs w:val="21"/>
                <w:color w:val="auto"/>
              </w:rPr>
            </w:pPr>
          </w:p>
        </w:tc>
        <w:tc>
          <w:tcPr>
            <w:tcW w:w="18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6,135</w:t>
            </w:r>
          </w:p>
        </w:tc>
        <w:tc>
          <w:tcPr>
            <w:tcW w:w="420" w:type="dxa"/>
            <w:vAlign w:val="bottom"/>
            <w:shd w:val="clear" w:color="auto" w:fill="E5FFFF"/>
          </w:tcPr>
          <w:p>
            <w:pPr>
              <w:spacing w:after="0"/>
              <w:rPr>
                <w:sz w:val="21"/>
                <w:szCs w:val="21"/>
                <w:color w:val="auto"/>
              </w:rPr>
            </w:pPr>
          </w:p>
        </w:tc>
        <w:tc>
          <w:tcPr>
            <w:tcW w:w="1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1840" w:type="dxa"/>
            <w:vAlign w:val="bottom"/>
            <w:gridSpan w:val="2"/>
            <w:shd w:val="clear" w:color="auto" w:fill="E5FFFF"/>
          </w:tcPr>
          <w:p>
            <w:pPr>
              <w:jc w:val="center"/>
              <w:ind w:left="1632"/>
              <w:spacing w:after="0" w:line="243" w:lineRule="exact"/>
              <w:rPr>
                <w:sz w:val="20"/>
                <w:szCs w:val="20"/>
                <w:color w:val="auto"/>
              </w:rPr>
            </w:pPr>
            <w:r>
              <w:rPr>
                <w:rFonts w:ascii="Arial" w:cs="Arial" w:eastAsia="Arial" w:hAnsi="Arial"/>
                <w:sz w:val="22"/>
                <w:szCs w:val="22"/>
                <w:color w:val="auto"/>
                <w:w w:val="81"/>
              </w:rPr>
              <w:t>$</w:t>
            </w:r>
          </w:p>
        </w:tc>
        <w:tc>
          <w:tcPr>
            <w:tcW w:w="1480" w:type="dxa"/>
            <w:vAlign w:val="bottom"/>
            <w:shd w:val="clear" w:color="auto" w:fill="E5FFFF"/>
          </w:tcPr>
          <w:p>
            <w:pPr>
              <w:jc w:val="right"/>
              <w:ind w:right="772"/>
              <w:spacing w:after="0" w:line="243" w:lineRule="exact"/>
              <w:rPr>
                <w:sz w:val="20"/>
                <w:szCs w:val="20"/>
                <w:color w:val="auto"/>
              </w:rPr>
            </w:pPr>
            <w:r>
              <w:rPr>
                <w:rFonts w:ascii="Arial" w:cs="Arial" w:eastAsia="Arial" w:hAnsi="Arial"/>
                <w:sz w:val="22"/>
                <w:szCs w:val="22"/>
                <w:color w:val="auto"/>
              </w:rPr>
              <w:t>1,034</w:t>
            </w:r>
          </w:p>
        </w:tc>
      </w:tr>
    </w:tbl>
    <w:p>
      <w:pPr>
        <w:spacing w:after="0" w:line="222" w:lineRule="exact"/>
        <w:rPr>
          <w:sz w:val="20"/>
          <w:szCs w:val="20"/>
          <w:color w:val="auto"/>
        </w:rPr>
      </w:pPr>
    </w:p>
    <w:p>
      <w:pPr>
        <w:ind w:left="660" w:right="2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2"/>
          <w:szCs w:val="22"/>
          <w:color w:val="auto"/>
        </w:rPr>
        <w:t>Based upon trailing twelve months ended April 30, 2020. Future period volumes will vary based upon market and plant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During the quarter ended April 30, 2020, there have been no material changes to the risk factors discussed in our Annual Report on Form 10-K for the year ended January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Shares Purchased</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of Shares that May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Total Number</w:t>
            </w:r>
          </w:p>
        </w:tc>
        <w:tc>
          <w:tcPr>
            <w:tcW w:w="12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Part of Publicly</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2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2"/>
              </w:rPr>
              <w:t>Paid per</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07"/>
        </w:trPr>
        <w:tc>
          <w:tcPr>
            <w:tcW w:w="4280" w:type="dxa"/>
            <w:vAlign w:val="bottom"/>
            <w:gridSpan w:val="2"/>
            <w:vMerge w:val="continue"/>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Purchased</w:t>
            </w:r>
          </w:p>
        </w:tc>
        <w:tc>
          <w:tcPr>
            <w:tcW w:w="12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7"/>
              </w:rPr>
              <w:t>Share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or Programs</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or Programs (1)</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E5FFFF"/>
            </w:tcBorders>
          </w:tcPr>
          <w:p>
            <w:pPr>
              <w:spacing w:after="0" w:line="20" w:lineRule="exact"/>
              <w:rPr>
                <w:sz w:val="1"/>
                <w:szCs w:val="1"/>
                <w:color w:val="auto"/>
              </w:rPr>
            </w:pPr>
          </w:p>
        </w:tc>
        <w:tc>
          <w:tcPr>
            <w:tcW w:w="3760" w:type="dxa"/>
            <w:vAlign w:val="bottom"/>
            <w:tcBorders>
              <w:bottom w:val="single" w:sz="8" w:color="E5FF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February 1-29, 2020</w:t>
            </w:r>
          </w:p>
        </w:tc>
        <w:tc>
          <w:tcPr>
            <w:tcW w:w="10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349,861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March 1-31, 2020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349,861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April 1-30, 2020</w:t>
            </w:r>
          </w:p>
        </w:tc>
        <w:tc>
          <w:tcPr>
            <w:tcW w:w="13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78,140</w:t>
            </w:r>
          </w:p>
        </w:tc>
        <w:tc>
          <w:tcPr>
            <w:tcW w:w="10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w w:val="93"/>
              </w:rPr>
              <w:t>50.20</w:t>
            </w:r>
          </w:p>
        </w:tc>
        <w:tc>
          <w:tcPr>
            <w:tcW w:w="20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78,140</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271,721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78,140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50.20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78,140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right="60" w:hanging="328"/>
        <w:spacing w:after="0" w:line="328"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On March 20, 2018, our Board of Directors increased our share repurchase authorization by an additional 500,000 shares. At April 30, 2020, a total of 271,721 shares remained available to purchase under this authorization.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300" w:hanging="428"/>
        <w:spacing w:after="0"/>
        <w:tabs>
          <w:tab w:leader="none" w:pos="1300" w:val="left"/>
        </w:tabs>
        <w:numPr>
          <w:ilvl w:val="0"/>
          <w:numId w:val="15"/>
        </w:numPr>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300" w:hanging="428"/>
        <w:spacing w:after="0"/>
        <w:tabs>
          <w:tab w:leader="none" w:pos="1300" w:val="left"/>
        </w:tabs>
        <w:numPr>
          <w:ilvl w:val="0"/>
          <w:numId w:val="15"/>
        </w:numPr>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jc w:val="both"/>
        <w:ind w:left="1300" w:hanging="482"/>
        <w:spacing w:after="0" w:line="287" w:lineRule="auto"/>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Quarterly Report on Form 10-Q for the quarter ended April 30, 2020, formatted in 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16" w:lineRule="exact"/>
        <w:rPr>
          <w:rFonts w:ascii="Arial" w:cs="Arial" w:eastAsia="Arial" w:hAnsi="Arial"/>
          <w:sz w:val="22"/>
          <w:szCs w:val="22"/>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20" w:type="dxa"/>
            <w:vAlign w:val="bottom"/>
            <w:gridSpan w:val="6"/>
          </w:tcPr>
          <w:p>
            <w:pPr>
              <w:ind w:left="2400"/>
              <w:spacing w:after="0"/>
              <w:rPr>
                <w:sz w:val="20"/>
                <w:szCs w:val="20"/>
                <w:color w:val="auto"/>
              </w:rPr>
            </w:pPr>
            <w:r>
              <w:rPr>
                <w:rFonts w:ascii="Arial" w:cs="Arial" w:eastAsia="Arial" w:hAnsi="Arial"/>
                <w:sz w:val="22"/>
                <w:szCs w:val="22"/>
                <w:color w:val="auto"/>
              </w:rPr>
              <w:t>REX American Resources Corporation Registrant</w:t>
            </w:r>
          </w:p>
        </w:tc>
      </w:tr>
      <w:tr>
        <w:trPr>
          <w:trHeight w:val="435"/>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jc w:val="center"/>
              <w:ind w:right="1300"/>
              <w:spacing w:after="0"/>
              <w:rPr>
                <w:sz w:val="20"/>
                <w:szCs w:val="20"/>
                <w:color w:val="auto"/>
              </w:rPr>
            </w:pPr>
            <w:r>
              <w:rPr>
                <w:rFonts w:ascii="Arial" w:cs="Arial" w:eastAsia="Arial" w:hAnsi="Arial"/>
                <w:sz w:val="22"/>
                <w:szCs w:val="22"/>
                <w:b w:val="1"/>
                <w:bCs w:val="1"/>
                <w:color w:val="auto"/>
                <w:w w:val="88"/>
              </w:rPr>
              <w:t>Signature</w:t>
            </w:r>
          </w:p>
        </w:tc>
        <w:tc>
          <w:tcPr>
            <w:tcW w:w="25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3120" w:type="dxa"/>
            <w:vAlign w:val="bottom"/>
            <w:gridSpan w:val="3"/>
          </w:tcPr>
          <w:p>
            <w:pPr>
              <w:ind w:left="1840"/>
              <w:spacing w:after="0"/>
              <w:rPr>
                <w:sz w:val="20"/>
                <w:szCs w:val="20"/>
                <w:color w:val="auto"/>
              </w:rPr>
            </w:pPr>
            <w:r>
              <w:rPr>
                <w:rFonts w:ascii="Arial" w:cs="Arial" w:eastAsia="Arial" w:hAnsi="Arial"/>
                <w:sz w:val="22"/>
                <w:szCs w:val="22"/>
                <w:b w:val="1"/>
                <w:bCs w:val="1"/>
                <w:color w:val="auto"/>
              </w:rPr>
              <w:t>Date</w:t>
            </w: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3"/>
              </w:rPr>
              <w:t>/s/ Zafar Rizvi</w:t>
            </w:r>
          </w:p>
        </w:tc>
        <w:tc>
          <w:tcPr>
            <w:tcW w:w="1120" w:type="dxa"/>
            <w:vAlign w:val="bottom"/>
            <w:gridSpan w:val="2"/>
          </w:tcPr>
          <w:p>
            <w:pPr>
              <w:spacing w:after="0"/>
              <w:rPr>
                <w:sz w:val="24"/>
                <w:szCs w:val="24"/>
                <w:color w:val="auto"/>
              </w:rPr>
            </w:pPr>
          </w:p>
        </w:tc>
        <w:tc>
          <w:tcPr>
            <w:tcW w:w="4900" w:type="dxa"/>
            <w:vAlign w:val="bottom"/>
            <w:gridSpan w:val="3"/>
          </w:tcPr>
          <w:p>
            <w:pPr>
              <w:ind w:left="620"/>
              <w:spacing w:after="0"/>
              <w:rPr>
                <w:sz w:val="20"/>
                <w:szCs w:val="20"/>
                <w:color w:val="auto"/>
              </w:rPr>
            </w:pPr>
            <w:r>
              <w:rPr>
                <w:rFonts w:ascii="Arial" w:cs="Arial" w:eastAsia="Arial" w:hAnsi="Arial"/>
                <w:sz w:val="22"/>
                <w:szCs w:val="22"/>
                <w:color w:val="auto"/>
              </w:rPr>
              <w:t>Chief Executive Officer and President</w:t>
            </w:r>
          </w:p>
        </w:tc>
        <w:tc>
          <w:tcPr>
            <w:tcW w:w="3120" w:type="dxa"/>
            <w:vAlign w:val="bottom"/>
            <w:gridSpan w:val="3"/>
          </w:tcPr>
          <w:p>
            <w:pPr>
              <w:ind w:left="980"/>
              <w:spacing w:after="0"/>
              <w:rPr>
                <w:sz w:val="20"/>
                <w:szCs w:val="20"/>
                <w:color w:val="auto"/>
              </w:rPr>
            </w:pPr>
            <w:r>
              <w:rPr>
                <w:rFonts w:ascii="Arial" w:cs="Arial" w:eastAsia="Arial" w:hAnsi="Arial"/>
                <w:sz w:val="22"/>
                <w:szCs w:val="22"/>
                <w:color w:val="auto"/>
              </w:rPr>
              <w:t>June 4, 2020</w:t>
            </w:r>
          </w:p>
        </w:tc>
      </w:tr>
      <w:tr>
        <w:trPr>
          <w:trHeight w:val="274"/>
        </w:trPr>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380" w:type="dxa"/>
            <w:vAlign w:val="bottom"/>
            <w:gridSpan w:val="5"/>
          </w:tcPr>
          <w:p>
            <w:pPr>
              <w:jc w:val="center"/>
              <w:ind w:right="1120"/>
              <w:spacing w:after="0"/>
              <w:rPr>
                <w:sz w:val="20"/>
                <w:szCs w:val="20"/>
                <w:color w:val="auto"/>
              </w:rPr>
            </w:pPr>
            <w:r>
              <w:rPr>
                <w:rFonts w:ascii="Arial" w:cs="Arial" w:eastAsia="Arial" w:hAnsi="Arial"/>
                <w:sz w:val="22"/>
                <w:szCs w:val="22"/>
                <w:color w:val="auto"/>
                <w:w w:val="95"/>
              </w:rPr>
              <w:t>(Zafar Rizvi)</w:t>
            </w:r>
          </w:p>
        </w:tc>
        <w:tc>
          <w:tcPr>
            <w:tcW w:w="4900" w:type="dxa"/>
            <w:vAlign w:val="bottom"/>
            <w:gridSpan w:val="3"/>
          </w:tcPr>
          <w:p>
            <w:pPr>
              <w:ind w:left="740"/>
              <w:spacing w:after="0"/>
              <w:rPr>
                <w:sz w:val="20"/>
                <w:szCs w:val="20"/>
                <w:color w:val="auto"/>
              </w:rPr>
            </w:pPr>
            <w:r>
              <w:rPr>
                <w:rFonts w:ascii="Arial" w:cs="Arial" w:eastAsia="Arial" w:hAnsi="Arial"/>
                <w:sz w:val="22"/>
                <w:szCs w:val="22"/>
                <w:color w:val="auto"/>
              </w:rPr>
              <w:t>(Chief Executive Officer)</w:t>
            </w:r>
          </w:p>
        </w:tc>
        <w:tc>
          <w:tcPr>
            <w:tcW w:w="1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35"/>
        </w:trPr>
        <w:tc>
          <w:tcPr>
            <w:tcW w:w="3220" w:type="dxa"/>
            <w:vAlign w:val="bottom"/>
            <w:gridSpan w:val="7"/>
          </w:tcPr>
          <w:p>
            <w:pPr>
              <w:jc w:val="center"/>
              <w:ind w:right="260"/>
              <w:spacing w:after="0"/>
              <w:rPr>
                <w:sz w:val="20"/>
                <w:szCs w:val="20"/>
                <w:color w:val="auto"/>
              </w:rPr>
            </w:pPr>
            <w:r>
              <w:rPr>
                <w:rFonts w:ascii="Arial" w:cs="Arial" w:eastAsia="Arial" w:hAnsi="Arial"/>
                <w:sz w:val="22"/>
                <w:szCs w:val="22"/>
                <w:color w:val="auto"/>
                <w:w w:val="89"/>
              </w:rPr>
              <w:t>/s/ Douglas L. Bruggeman</w:t>
            </w:r>
          </w:p>
        </w:tc>
        <w:tc>
          <w:tcPr>
            <w:tcW w:w="4900" w:type="dxa"/>
            <w:vAlign w:val="bottom"/>
            <w:gridSpan w:val="3"/>
          </w:tcPr>
          <w:p>
            <w:pPr>
              <w:ind w:left="620"/>
              <w:spacing w:after="0"/>
              <w:rPr>
                <w:sz w:val="20"/>
                <w:szCs w:val="20"/>
                <w:color w:val="auto"/>
              </w:rPr>
            </w:pPr>
            <w:r>
              <w:rPr>
                <w:rFonts w:ascii="Arial" w:cs="Arial" w:eastAsia="Arial" w:hAnsi="Arial"/>
                <w:sz w:val="22"/>
                <w:szCs w:val="22"/>
                <w:color w:val="auto"/>
              </w:rPr>
              <w:t>Vice President, Finance and Treasurer</w:t>
            </w:r>
          </w:p>
        </w:tc>
        <w:tc>
          <w:tcPr>
            <w:tcW w:w="3120" w:type="dxa"/>
            <w:vAlign w:val="bottom"/>
            <w:gridSpan w:val="3"/>
          </w:tcPr>
          <w:p>
            <w:pPr>
              <w:ind w:left="980"/>
              <w:spacing w:after="0"/>
              <w:rPr>
                <w:sz w:val="20"/>
                <w:szCs w:val="20"/>
                <w:color w:val="auto"/>
              </w:rPr>
            </w:pPr>
            <w:r>
              <w:rPr>
                <w:rFonts w:ascii="Arial" w:cs="Arial" w:eastAsia="Arial" w:hAnsi="Arial"/>
                <w:sz w:val="22"/>
                <w:szCs w:val="22"/>
                <w:color w:val="auto"/>
              </w:rPr>
              <w:t>June 4, 2020</w:t>
            </w:r>
          </w:p>
        </w:tc>
      </w:tr>
      <w:tr>
        <w:trPr>
          <w:trHeight w:val="274"/>
        </w:trPr>
        <w:tc>
          <w:tcPr>
            <w:tcW w:w="34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600" w:type="dxa"/>
            <w:vAlign w:val="bottom"/>
          </w:tcPr>
          <w:p>
            <w:pPr>
              <w:spacing w:after="0"/>
              <w:rPr>
                <w:sz w:val="23"/>
                <w:szCs w:val="23"/>
                <w:color w:val="auto"/>
              </w:rPr>
            </w:pPr>
          </w:p>
        </w:tc>
        <w:tc>
          <w:tcPr>
            <w:tcW w:w="4900" w:type="dxa"/>
            <w:vAlign w:val="bottom"/>
            <w:gridSpan w:val="3"/>
          </w:tcPr>
          <w:p>
            <w:pPr>
              <w:ind w:left="740"/>
              <w:spacing w:after="0"/>
              <w:rPr>
                <w:sz w:val="20"/>
                <w:szCs w:val="20"/>
                <w:color w:val="auto"/>
              </w:rPr>
            </w:pPr>
            <w:r>
              <w:rPr>
                <w:rFonts w:ascii="Arial" w:cs="Arial" w:eastAsia="Arial" w:hAnsi="Arial"/>
                <w:sz w:val="22"/>
                <w:szCs w:val="22"/>
                <w:color w:val="auto"/>
              </w:rPr>
              <w:t>(Chief Financial Officer)</w:t>
            </w:r>
          </w:p>
        </w:tc>
        <w:tc>
          <w:tcPr>
            <w:tcW w:w="1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32"/>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tcPr>
          <w:p>
            <w:pPr>
              <w:ind w:left="2300"/>
              <w:spacing w:after="0"/>
              <w:rPr>
                <w:sz w:val="20"/>
                <w:szCs w:val="20"/>
                <w:color w:val="auto"/>
              </w:rPr>
            </w:pPr>
            <w:r>
              <w:rPr>
                <w:rFonts w:ascii="Arial" w:cs="Arial" w:eastAsia="Arial" w:hAnsi="Arial"/>
                <w:sz w:val="22"/>
                <w:szCs w:val="22"/>
                <w:color w:val="auto"/>
                <w:w w:val="89"/>
              </w:rPr>
              <w:t>38</w:t>
            </w: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34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920" w:type="dxa"/>
            <w:vAlign w:val="bottom"/>
            <w:tcBorders>
              <w:bottom w:val="single" w:sz="8" w:color="C0C0C0"/>
            </w:tcBorders>
          </w:tcPr>
          <w:p>
            <w:pPr>
              <w:spacing w:after="0"/>
              <w:rPr>
                <w:sz w:val="20"/>
                <w:szCs w:val="20"/>
                <w:color w:val="auto"/>
              </w:rPr>
            </w:pPr>
          </w:p>
        </w:tc>
        <w:tc>
          <w:tcPr>
            <w:tcW w:w="18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97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80" w:firstLine="656"/>
        <w:spacing w:after="0" w:line="263"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30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firstLine="320"/>
        <w:spacing w:after="0" w:line="263" w:lineRule="auto"/>
        <w:tabs>
          <w:tab w:leader="none" w:pos="1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firstLine="320"/>
        <w:spacing w:after="0" w:line="342"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firstLine="320"/>
        <w:spacing w:after="0" w:line="263" w:lineRule="auto"/>
        <w:tabs>
          <w:tab w:leader="none" w:pos="1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56" w:firstLine="656"/>
        <w:spacing w:after="0" w:line="308" w:lineRule="auto"/>
        <w:tabs>
          <w:tab w:leader="none" w:pos="3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60" w:firstLine="320"/>
        <w:spacing w:after="0" w:line="308" w:lineRule="auto"/>
        <w:tabs>
          <w:tab w:leader="none" w:pos="653"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0" w:firstLine="320"/>
        <w:spacing w:after="0" w:line="277" w:lineRule="auto"/>
        <w:tabs>
          <w:tab w:leader="none" w:pos="6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Date: June 4, 2020</w:t>
      </w:r>
    </w:p>
    <w:p>
      <w:pPr>
        <w:spacing w:after="0" w:line="225"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Zafar Rizvi</w:t>
      </w:r>
    </w:p>
    <w:p>
      <w:pPr>
        <w:spacing w:after="0" w:line="23" w:lineRule="exact"/>
        <w:rPr>
          <w:sz w:val="20"/>
          <w:szCs w:val="20"/>
          <w:color w:val="auto"/>
        </w:rPr>
      </w:pPr>
    </w:p>
    <w:p>
      <w:pPr>
        <w:ind w:left="586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9" w:right="43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1100" w:hanging="4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40" w:firstLine="656"/>
        <w:spacing w:after="0" w:line="263" w:lineRule="auto"/>
        <w:tabs>
          <w:tab w:leader="none" w:pos="10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80" w:firstLine="656"/>
        <w:spacing w:after="0" w:line="342" w:lineRule="auto"/>
        <w:tabs>
          <w:tab w:leader="none" w:pos="10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656"/>
        <w:spacing w:after="0" w:line="263" w:lineRule="auto"/>
        <w:tabs>
          <w:tab w:leader="none" w:pos="10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40" w:firstLine="320"/>
        <w:spacing w:after="0" w:line="263" w:lineRule="auto"/>
        <w:tabs>
          <w:tab w:leader="none" w:pos="122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0" w:firstLine="320"/>
        <w:spacing w:after="0" w:line="263" w:lineRule="auto"/>
        <w:tabs>
          <w:tab w:leader="none" w:pos="12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firstLine="320"/>
        <w:spacing w:after="0" w:line="342" w:lineRule="auto"/>
        <w:tabs>
          <w:tab w:leader="none" w:pos="122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firstLine="320"/>
        <w:spacing w:after="0" w:line="263" w:lineRule="auto"/>
        <w:tabs>
          <w:tab w:leader="none" w:pos="12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41" w:name="page42"/>
    <w:bookmarkEnd w:id="41"/>
    <w:p>
      <w:pPr>
        <w:ind w:left="-656" w:firstLine="656"/>
        <w:spacing w:after="0" w:line="308" w:lineRule="auto"/>
        <w:tabs>
          <w:tab w:leader="none" w:pos="4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540" w:firstLine="320"/>
        <w:spacing w:after="0" w:line="308" w:lineRule="auto"/>
        <w:tabs>
          <w:tab w:leader="none" w:pos="56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220" w:firstLine="320"/>
        <w:spacing w:after="0" w:line="277" w:lineRule="auto"/>
        <w:tabs>
          <w:tab w:leader="none" w:pos="5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64"/>
        <w:spacing w:after="0"/>
        <w:rPr>
          <w:sz w:val="20"/>
          <w:szCs w:val="20"/>
          <w:color w:val="auto"/>
        </w:rPr>
      </w:pPr>
      <w:r>
        <w:rPr>
          <w:rFonts w:ascii="Arial" w:cs="Arial" w:eastAsia="Arial" w:hAnsi="Arial"/>
          <w:sz w:val="18"/>
          <w:szCs w:val="18"/>
          <w:color w:val="auto"/>
        </w:rPr>
        <w:t>Date: June 4, 2020</w:t>
      </w:r>
    </w:p>
    <w:p>
      <w:pPr>
        <w:spacing w:after="0" w:line="225" w:lineRule="exact"/>
        <w:rPr>
          <w:sz w:val="20"/>
          <w:szCs w:val="20"/>
          <w:color w:val="auto"/>
        </w:rPr>
      </w:pPr>
    </w:p>
    <w:p>
      <w:pPr>
        <w:ind w:left="576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5764"/>
        <w:spacing w:after="0"/>
        <w:rPr>
          <w:sz w:val="20"/>
          <w:szCs w:val="20"/>
          <w:color w:val="auto"/>
        </w:rPr>
      </w:pPr>
      <w:r>
        <w:rPr>
          <w:rFonts w:ascii="Arial" w:cs="Arial" w:eastAsia="Arial" w:hAnsi="Arial"/>
          <w:sz w:val="18"/>
          <w:szCs w:val="18"/>
          <w:color w:val="auto"/>
        </w:rPr>
        <w:t>Douglas L. Bruggeman</w:t>
      </w:r>
    </w:p>
    <w:p>
      <w:pPr>
        <w:spacing w:after="0" w:line="23" w:lineRule="exact"/>
        <w:rPr>
          <w:sz w:val="20"/>
          <w:szCs w:val="20"/>
          <w:color w:val="auto"/>
        </w:rPr>
      </w:pPr>
    </w:p>
    <w:p>
      <w:pPr>
        <w:ind w:left="5764"/>
        <w:spacing w:after="0"/>
        <w:rPr>
          <w:sz w:val="20"/>
          <w:szCs w:val="20"/>
          <w:color w:val="auto"/>
        </w:rPr>
      </w:pPr>
      <w:r>
        <w:rPr>
          <w:rFonts w:ascii="Arial" w:cs="Arial" w:eastAsia="Arial" w:hAnsi="Arial"/>
          <w:sz w:val="17"/>
          <w:szCs w:val="17"/>
          <w:i w:val="1"/>
          <w:iCs w:val="1"/>
          <w:color w:val="auto"/>
        </w:rPr>
        <w:t>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167640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906 OF THE SARBANES-OXLEY ACT OF 2002</w:t>
      </w:r>
    </w:p>
    <w:p>
      <w:pPr>
        <w:spacing w:after="0" w:line="21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April 30, 2020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1)"/>
      <w:numFmt w:val="decimal"/>
      <w:start w:val="847"/>
    </w:lvl>
  </w:abstractNum>
  <w:abstractNum w:abstractNumId="8">
    <w:nsid w:val="7FDCC233"/>
    <w:multiLevelType w:val="hybridMultilevel"/>
    <w:lvl w:ilvl="0">
      <w:lvlJc w:val="left"/>
      <w:lvlText w:val="(%1)"/>
      <w:numFmt w:val="decimal"/>
      <w:start w:val="545"/>
    </w:lvl>
  </w:abstractNum>
  <w:abstractNum w:abstractNumId="9">
    <w:nsid w:val="1BEFD79F"/>
    <w:multiLevelType w:val="hybridMultilevel"/>
    <w:lvl w:ilvl="0">
      <w:lvlJc w:val="left"/>
      <w:lvlText w:val="(%1)"/>
      <w:numFmt w:val="decimal"/>
      <w:start w:val="352"/>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2020-06-04T12:53:07Z</dcterms:created>
  <dcterms:modified xsi:type="dcterms:W3CDTF">2020-06-04T12:53:07Z</dcterms:modified>
</cp:coreProperties>
</file>