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val="false"/>
          <w:i w:val="false"/>
          <w:caps w:val="false"/>
          <w:smallCaps w:val="false"/>
          <w:sz w:val="20"/>
        </w:rPr>
      </w:pPr>
      <w:bookmarkStart w:id="0" w:name="c117594_8k-ixbrl.htm"/>
      <w:bookmarkStart w:id="1" w:name="ksc117594_8kixbrl"/>
      <w:bookmarkEnd w:id="0"/>
      <w:bookmarkEnd w:id="1"/>
      <w:r>
        <w:rPr>
          <w:rFonts w:ascii="Times New Roman;Times;Serif" w:hAnsi="Times New Roman;Times;Serif"/>
          <w:b w:val="false"/>
          <w:i w:val="false"/>
          <w:caps w:val="false"/>
          <w:smallCaps w:val="false"/>
          <w:sz w:val="20"/>
        </w:rPr>
        <w:t>UNITED STATES</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September 2,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REX AMERICAN RESOURCES CORPORATION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2510"/>
        <w:gridCol w:w="90"/>
        <w:gridCol w:w="2225"/>
        <w:gridCol w:w="90"/>
        <w:gridCol w:w="3335"/>
      </w:tblGrid>
      <w:tr>
        <w:trPr/>
        <w:tc>
          <w:tcPr>
            <w:tcW w:w="2510" w:type="dxa"/>
            <w:tcBorders/>
            <w:vAlign w:val="center"/>
          </w:tcPr>
          <w:p>
            <w:pPr>
              <w:pStyle w:val="TableContents"/>
              <w:bidi w:val="0"/>
              <w:spacing w:before="0" w:after="283"/>
              <w:jc w:val="center"/>
              <w:rPr/>
            </w:pPr>
            <w:r>
              <w:rPr/>
              <w:t>Delaware</w:t>
            </w:r>
          </w:p>
        </w:tc>
        <w:tc>
          <w:tcPr>
            <w:tcW w:w="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001-09097</w:t>
            </w:r>
          </w:p>
        </w:tc>
        <w:tc>
          <w:tcPr>
            <w:tcW w:w="9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center"/>
              <w:rPr/>
            </w:pPr>
            <w:r>
              <w:rPr/>
              <w:t>31-1095548</w:t>
            </w:r>
          </w:p>
        </w:tc>
      </w:tr>
      <w:tr>
        <w:trPr/>
        <w:tc>
          <w:tcPr>
            <w:tcW w:w="2510" w:type="dxa"/>
            <w:tcBorders/>
            <w:vAlign w:val="center"/>
          </w:tcPr>
          <w:p>
            <w:pPr>
              <w:pStyle w:val="TableContents"/>
              <w:bidi w:val="0"/>
              <w:spacing w:before="0" w:after="283"/>
              <w:jc w:val="center"/>
              <w:rPr/>
            </w:pPr>
            <w:r>
              <w:rPr/>
              <w:t>(State or other jurisdiction</w:t>
            </w:r>
          </w:p>
        </w:tc>
        <w:tc>
          <w:tcPr>
            <w:tcW w:w="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(Commission File No.)</w:t>
            </w:r>
          </w:p>
        </w:tc>
        <w:tc>
          <w:tcPr>
            <w:tcW w:w="9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center"/>
              <w:rPr/>
            </w:pPr>
            <w:r>
              <w:rPr/>
              <w:t>(IRS Employer Identification No.)</w:t>
            </w:r>
          </w:p>
        </w:tc>
      </w:tr>
      <w:tr>
        <w:trPr/>
        <w:tc>
          <w:tcPr>
            <w:tcW w:w="2510" w:type="dxa"/>
            <w:tcBorders/>
            <w:vAlign w:val="center"/>
          </w:tcPr>
          <w:p>
            <w:pPr>
              <w:pStyle w:val="TableContents"/>
              <w:bidi w:val="0"/>
              <w:spacing w:before="0" w:after="283"/>
              <w:jc w:val="center"/>
              <w:rPr/>
            </w:pPr>
            <w:r>
              <w:rPr/>
              <w:t>of incorporation)</w:t>
            </w:r>
          </w:p>
        </w:tc>
        <w:tc>
          <w:tcPr>
            <w:tcW w:w="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785"/>
        <w:gridCol w:w="90"/>
        <w:gridCol w:w="1145"/>
      </w:tblGrid>
      <w:tr>
        <w:trPr/>
        <w:tc>
          <w:tcPr>
            <w:tcW w:w="3785" w:type="dxa"/>
            <w:tcBorders/>
            <w:vAlign w:val="center"/>
          </w:tcPr>
          <w:p>
            <w:pPr>
              <w:pStyle w:val="TableContents"/>
              <w:bidi w:val="0"/>
              <w:spacing w:before="0" w:after="283"/>
              <w:jc w:val="center"/>
              <w:rPr/>
            </w:pPr>
            <w:r>
              <w:rPr/>
              <w:t xml:space="preserve">7720 Paragon Road Dayton, Ohio </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45459</w:t>
            </w:r>
          </w:p>
        </w:tc>
      </w:tr>
      <w:tr>
        <w:trPr/>
        <w:tc>
          <w:tcPr>
            <w:tcW w:w="3785" w:type="dxa"/>
            <w:tcBorders/>
            <w:vAlign w:val="center"/>
          </w:tcPr>
          <w:p>
            <w:pPr>
              <w:pStyle w:val="TableContents"/>
              <w:bidi w:val="0"/>
              <w:spacing w:before="0" w:after="283"/>
              <w:jc w:val="center"/>
              <w:rPr/>
            </w:pPr>
            <w:r>
              <w:rPr/>
              <w:t>(Address of principal executive offices)</w:t>
            </w:r>
          </w:p>
        </w:tc>
        <w:tc>
          <w:tcPr>
            <w:tcW w:w="9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pPr>
            <w:r>
              <w:rPr/>
              <w:t>(Zip Code)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(937) 276-3931</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75" w:type="dxa"/>
            <w:tcBorders/>
            <w:vAlign w:val="center"/>
          </w:tcPr>
          <w:p>
            <w:pPr>
              <w:pStyle w:val="TableContents"/>
              <w:bidi w:val="0"/>
              <w:spacing w:before="0" w:after="283"/>
              <w:jc w:val="left"/>
              <w:rPr/>
            </w:pPr>
            <w:r>
              <w:rPr/>
              <w:t> </w:t>
            </w:r>
          </w:p>
        </w:tc>
        <w:tc>
          <w:tcPr>
            <w:tcW w:w="9930"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9390" w:type="dxa"/>
        <w:jc w:val="left"/>
        <w:tblInd w:w="0" w:type="dxa"/>
        <w:tblLayout w:type="fixed"/>
        <w:tblCellMar>
          <w:top w:w="0" w:type="dxa"/>
          <w:left w:w="0" w:type="dxa"/>
          <w:bottom w:w="0" w:type="dxa"/>
          <w:right w:w="0" w:type="dxa"/>
        </w:tblCellMar>
      </w:tblPr>
      <w:tblGrid>
        <w:gridCol w:w="3185"/>
        <w:gridCol w:w="1670"/>
        <w:gridCol w:w="4535"/>
      </w:tblGrid>
      <w:tr>
        <w:trPr/>
        <w:tc>
          <w:tcPr>
            <w:tcW w:w="3185" w:type="dxa"/>
            <w:tcBorders/>
            <w:vAlign w:val="center"/>
          </w:tcPr>
          <w:p>
            <w:pPr>
              <w:pStyle w:val="TableContents"/>
              <w:bidi w:val="0"/>
              <w:spacing w:before="0" w:after="283"/>
              <w:jc w:val="center"/>
              <w:rPr>
                <w:b/>
              </w:rPr>
            </w:pPr>
            <w:r>
              <w:rPr>
                <w:b/>
              </w:rPr>
              <w:t>Title of each class</w:t>
            </w:r>
          </w:p>
        </w:tc>
        <w:tc>
          <w:tcPr>
            <w:tcW w:w="1670" w:type="dxa"/>
            <w:tcBorders/>
            <w:vAlign w:val="center"/>
          </w:tcPr>
          <w:p>
            <w:pPr>
              <w:pStyle w:val="TableContents"/>
              <w:bidi w:val="0"/>
              <w:spacing w:before="0" w:after="283"/>
              <w:jc w:val="center"/>
              <w:rPr>
                <w:b/>
              </w:rPr>
            </w:pPr>
            <w:r>
              <w:rPr>
                <w:b/>
              </w:rPr>
              <w:t>Trading symbol</w:t>
            </w:r>
          </w:p>
        </w:tc>
        <w:tc>
          <w:tcPr>
            <w:tcW w:w="4535" w:type="dxa"/>
            <w:tcBorders/>
            <w:vAlign w:val="center"/>
          </w:tcPr>
          <w:p>
            <w:pPr>
              <w:pStyle w:val="TableContents"/>
              <w:bidi w:val="0"/>
              <w:spacing w:before="0" w:after="283"/>
              <w:jc w:val="center"/>
              <w:rPr>
                <w:b/>
              </w:rPr>
            </w:pPr>
            <w:r>
              <w:rPr>
                <w:b/>
              </w:rPr>
              <w:t>Name of each exchange on which registered</w:t>
            </w:r>
          </w:p>
        </w:tc>
      </w:tr>
      <w:tr>
        <w:trPr/>
        <w:tc>
          <w:tcPr>
            <w:tcW w:w="3185" w:type="dxa"/>
            <w:tcBorders/>
            <w:vAlign w:val="center"/>
          </w:tcPr>
          <w:p>
            <w:pPr>
              <w:pStyle w:val="TableContents"/>
              <w:bidi w:val="0"/>
              <w:spacing w:before="0" w:after="283"/>
              <w:jc w:val="center"/>
              <w:rPr/>
            </w:pPr>
            <w:r>
              <w:rPr/>
              <w:t>Commons stock, $0.01 par value</w:t>
            </w:r>
          </w:p>
        </w:tc>
        <w:tc>
          <w:tcPr>
            <w:tcW w:w="1670" w:type="dxa"/>
            <w:tcBorders/>
            <w:vAlign w:val="center"/>
          </w:tcPr>
          <w:p>
            <w:pPr>
              <w:pStyle w:val="TableContents"/>
              <w:bidi w:val="0"/>
              <w:spacing w:before="0" w:after="283"/>
              <w:jc w:val="center"/>
              <w:rPr/>
            </w:pPr>
            <w:r>
              <w:rPr/>
              <w:t>REX</w:t>
            </w:r>
          </w:p>
        </w:tc>
        <w:tc>
          <w:tcPr>
            <w:tcW w:w="4535" w:type="dxa"/>
            <w:tcBorders/>
            <w:vAlign w:val="center"/>
          </w:tcPr>
          <w:p>
            <w:pPr>
              <w:pStyle w:val="TableContents"/>
              <w:bidi w:val="0"/>
              <w:spacing w:before="0" w:after="283"/>
              <w:jc w:val="center"/>
              <w:rPr/>
            </w:pPr>
            <w:r>
              <w:rPr/>
              <w:t>New York Stock Exchange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660"/>
        <w:gridCol w:w="305"/>
      </w:tblGrid>
      <w:tr>
        <w:trPr/>
        <w:tc>
          <w:tcPr>
            <w:tcW w:w="2660" w:type="dxa"/>
            <w:tcBorders/>
            <w:vAlign w:val="center"/>
          </w:tcPr>
          <w:p>
            <w:pPr>
              <w:pStyle w:val="TableContents"/>
              <w:bidi w:val="0"/>
              <w:spacing w:before="0" w:after="283"/>
              <w:jc w:val="left"/>
              <w:rPr/>
            </w:pPr>
            <w:r>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Item 2.02.  Results of Operations and Financial Condition</w:t>
      </w:r>
    </w:p>
    <w:p>
      <w:pPr>
        <w:pStyle w:val="TextBody"/>
        <w:bidi w:val="0"/>
        <w:jc w:val="left"/>
        <w:rPr>
          <w:caps w:val="false"/>
          <w:smallCaps w:val="false"/>
        </w:rPr>
      </w:pPr>
      <w:r>
        <w:rPr>
          <w:caps w:val="false"/>
          <w:smallCaps w:val="false"/>
        </w:rPr>
        <w:t> </w:t>
      </w:r>
    </w:p>
    <w:p>
      <w:pPr>
        <w:pStyle w:val="TextBody"/>
        <w:bidi w:val="0"/>
        <w:ind w:left="0" w:right="0" w:firstLine="286"/>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September 2, 2026, REX American Resources Corporation issued a press release announcing financial results for the three- and six-month periods ended July 31, 2026. The press release is furnished as Exhibit 99 to this report.</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Item 9.01.  Financial Statements and Exhibits</w:t>
      </w:r>
    </w:p>
    <w:tbl>
      <w:tblPr>
        <w:tblW w:w="8515" w:type="dxa"/>
        <w:jc w:val="left"/>
        <w:tblInd w:w="0" w:type="dxa"/>
        <w:tblLayout w:type="fixed"/>
        <w:tblCellMar>
          <w:top w:w="0" w:type="dxa"/>
          <w:left w:w="0" w:type="dxa"/>
          <w:bottom w:w="0" w:type="dxa"/>
          <w:right w:w="0" w:type="dxa"/>
        </w:tblCellMar>
      </w:tblPr>
      <w:tblGrid>
        <w:gridCol w:w="105"/>
        <w:gridCol w:w="305"/>
        <w:gridCol w:w="8105"/>
      </w:tblGrid>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(c)</w:t>
            </w:r>
          </w:p>
        </w:tc>
        <w:tc>
          <w:tcPr>
            <w:tcW w:w="8105" w:type="dxa"/>
            <w:tcBorders/>
            <w:vAlign w:val="center"/>
          </w:tcPr>
          <w:p>
            <w:pPr>
              <w:pStyle w:val="TableContents"/>
              <w:bidi w:val="0"/>
              <w:jc w:val="left"/>
              <w:rPr/>
            </w:pPr>
            <w:r>
              <w:rPr/>
              <w:t>Exhibits. The following exhibits are furnished with this report:</w:t>
            </w:r>
          </w:p>
          <w:p>
            <w:pPr>
              <w:pStyle w:val="TableContents"/>
              <w:bidi w:val="0"/>
              <w:jc w:val="left"/>
              <w:rPr/>
            </w:pPr>
            <w:r>
              <w:rPr/>
              <w:t> </w:t>
            </w:r>
          </w:p>
          <w:p>
            <w:pPr>
              <w:pStyle w:val="TableContents"/>
              <w:bidi w:val="0"/>
              <w:jc w:val="left"/>
              <w:rPr/>
            </w:pPr>
            <w:hyperlink w:anchor="c117594_ex99.htm">
              <w:r>
                <w:rPr>
                  <w:rStyle w:val="InternetLink"/>
                </w:rPr>
                <w:t>99   Press Release dated September 2, 2026</w:t>
              </w:r>
            </w:hyperlink>
            <w:r>
              <w:rPr/>
              <w:t>*</w:t>
            </w:r>
          </w:p>
          <w:p>
            <w:pPr>
              <w:pStyle w:val="TableContents"/>
              <w:bidi w:val="0"/>
              <w:spacing w:before="0" w:after="283"/>
              <w:jc w:val="left"/>
              <w:rPr/>
            </w:pPr>
            <w:r>
              <w:rPr/>
              <w:t>104 Cover Page Interactive Data File (embedded within the Inline XBRL document)</w:t>
            </w:r>
          </w:p>
        </w:tc>
      </w:tr>
      <w:tr>
        <w:trPr/>
        <w:tc>
          <w:tcPr>
            <w:tcW w:w="10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8410" w:type="dxa"/>
            <w:gridSpan w:val="2"/>
            <w:tcBorders/>
            <w:vAlign w:val="center"/>
          </w:tcPr>
          <w:p>
            <w:pPr>
              <w:pStyle w:val="TableContents"/>
              <w:bidi w:val="0"/>
              <w:spacing w:before="0" w:after="283"/>
              <w:jc w:val="left"/>
              <w:rPr/>
            </w:pPr>
            <w:r>
              <w:rPr/>
              <w:t>*     Furnished herewith</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tbl>
      <w:tblPr>
        <w:tblW w:w="113" w:type="dxa"/>
        <w:jc w:val="left"/>
        <w:tblInd w:w="0" w:type="dxa"/>
        <w:tblLayout w:type="fixed"/>
        <w:tblCellMar>
          <w:top w:w="0" w:type="dxa"/>
          <w:left w:w="0" w:type="dxa"/>
          <w:bottom w:w="0" w:type="dxa"/>
          <w:right w:w="0" w:type="dxa"/>
        </w:tblCellMar>
      </w:tblPr>
      <w:tblGrid>
        <w:gridCol w:w="113"/>
      </w:tblGrid>
      <w:tr>
        <w:trPr/>
        <w:tc>
          <w:tcPr>
            <w:tcW w:w="11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SIGNATURES</w:t>
      </w:r>
    </w:p>
    <w:p>
      <w:pPr>
        <w:pStyle w:val="TextBody"/>
        <w:bidi w:val="0"/>
        <w:jc w:val="left"/>
        <w:rPr>
          <w:caps w:val="false"/>
          <w:smallCaps w:val="false"/>
        </w:rPr>
      </w:pPr>
      <w:r>
        <w:rPr>
          <w:caps w:val="false"/>
          <w:smallCaps w:val="false"/>
        </w:rPr>
        <w:t> </w:t>
      </w:r>
    </w:p>
    <w:p>
      <w:pPr>
        <w:pStyle w:val="TextBody"/>
        <w:bidi w:val="0"/>
        <w:ind w:left="0" w:right="0" w:firstLine="286"/>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2"/>
        <w:gridCol w:w="2658"/>
        <w:gridCol w:w="2261"/>
        <w:gridCol w:w="3304"/>
      </w:tblGrid>
      <w:tr>
        <w:trPr/>
        <w:tc>
          <w:tcPr>
            <w:tcW w:w="1982" w:type="dxa"/>
            <w:tcBorders/>
            <w:vAlign w:val="center"/>
          </w:tcPr>
          <w:p>
            <w:pPr>
              <w:pStyle w:val="TableContents"/>
              <w:bidi w:val="0"/>
              <w:spacing w:before="0" w:after="283"/>
              <w:jc w:val="left"/>
              <w:rPr/>
            </w:pPr>
            <w:r>
              <w:rPr/>
              <w:t> </w:t>
            </w:r>
          </w:p>
        </w:tc>
        <w:tc>
          <w:tcPr>
            <w:tcW w:w="8223" w:type="dxa"/>
            <w:gridSpan w:val="3"/>
            <w:tcBorders/>
            <w:vAlign w:val="center"/>
          </w:tcPr>
          <w:p>
            <w:pPr>
              <w:pStyle w:val="TableContents"/>
              <w:bidi w:val="0"/>
              <w:spacing w:before="0" w:after="283"/>
              <w:jc w:val="left"/>
              <w:rPr/>
            </w:pPr>
            <w:r>
              <w:rPr/>
              <w:t>REX AMERICAN RESOURCES CORPORATION</w:t>
            </w:r>
          </w:p>
        </w:tc>
      </w:tr>
      <w:tr>
        <w:trPr/>
        <w:tc>
          <w:tcPr>
            <w:tcW w:w="1982" w:type="dxa"/>
            <w:tcBorders/>
            <w:vAlign w:val="center"/>
          </w:tcPr>
          <w:p>
            <w:pPr>
              <w:pStyle w:val="TableContents"/>
              <w:bidi w:val="0"/>
              <w:spacing w:before="0" w:after="283"/>
              <w:jc w:val="left"/>
              <w:rPr/>
            </w:pPr>
            <w:r>
              <w:rPr/>
              <w:t> </w:t>
            </w:r>
          </w:p>
        </w:tc>
        <w:tc>
          <w:tcPr>
            <w:tcW w:w="2658" w:type="dxa"/>
            <w:tcBorders/>
            <w:vAlign w:val="center"/>
          </w:tcPr>
          <w:p>
            <w:pPr>
              <w:pStyle w:val="TableContents"/>
              <w:bidi w:val="0"/>
              <w:spacing w:before="0" w:after="283"/>
              <w:jc w:val="left"/>
              <w:rPr/>
            </w:pPr>
            <w:r>
              <w:rPr/>
              <w:t> </w:t>
            </w:r>
          </w:p>
        </w:tc>
        <w:tc>
          <w:tcPr>
            <w:tcW w:w="5565" w:type="dxa"/>
            <w:gridSpan w:val="2"/>
            <w:tcBorders/>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283"/>
              <w:jc w:val="left"/>
              <w:rPr/>
            </w:pPr>
            <w:r>
              <w:rPr/>
              <w:t>Date: September 2, 2026</w:t>
            </w:r>
          </w:p>
        </w:tc>
        <w:tc>
          <w:tcPr>
            <w:tcW w:w="2658" w:type="dxa"/>
            <w:tcBorders/>
            <w:vAlign w:val="center"/>
          </w:tcPr>
          <w:p>
            <w:pPr>
              <w:pStyle w:val="TableContents"/>
              <w:bidi w:val="0"/>
              <w:spacing w:before="0" w:after="283"/>
              <w:jc w:val="left"/>
              <w:rPr/>
            </w:pPr>
            <w:r>
              <w:rPr/>
              <w:t>By:</w:t>
            </w:r>
          </w:p>
        </w:tc>
        <w:tc>
          <w:tcPr>
            <w:tcW w:w="5565" w:type="dxa"/>
            <w:gridSpan w:val="2"/>
            <w:tcBorders/>
            <w:vAlign w:val="center"/>
          </w:tcPr>
          <w:p>
            <w:pPr>
              <w:pStyle w:val="TableContents"/>
              <w:bidi w:val="0"/>
              <w:spacing w:before="0" w:after="283"/>
              <w:jc w:val="left"/>
              <w:rPr/>
            </w:pPr>
            <w:r>
              <w:rPr/>
              <w:t>/s/ DOUGLAS L. BRUGGEMAN</w:t>
            </w:r>
          </w:p>
        </w:tc>
      </w:tr>
      <w:tr>
        <w:trPr/>
        <w:tc>
          <w:tcPr>
            <w:tcW w:w="1982" w:type="dxa"/>
            <w:tcBorders/>
            <w:vAlign w:val="center"/>
          </w:tcPr>
          <w:p>
            <w:pPr>
              <w:pStyle w:val="TableContents"/>
              <w:bidi w:val="0"/>
              <w:spacing w:before="0" w:after="283"/>
              <w:jc w:val="left"/>
              <w:rPr/>
            </w:pPr>
            <w:r>
              <w:rPr/>
              <w:t> </w:t>
            </w:r>
          </w:p>
        </w:tc>
        <w:tc>
          <w:tcPr>
            <w:tcW w:w="2658" w:type="dxa"/>
            <w:tcBorders/>
            <w:vAlign w:val="center"/>
          </w:tcPr>
          <w:p>
            <w:pPr>
              <w:pStyle w:val="TableContents"/>
              <w:bidi w:val="0"/>
              <w:spacing w:before="0" w:after="283"/>
              <w:jc w:val="left"/>
              <w:rPr/>
            </w:pPr>
            <w:r>
              <w:rPr/>
              <w:t> </w:t>
            </w:r>
          </w:p>
        </w:tc>
        <w:tc>
          <w:tcPr>
            <w:tcW w:w="2261" w:type="dxa"/>
            <w:tcBorders>
              <w:bottom w:val="dashed" w:sz="2" w:space="0" w:color="000000"/>
            </w:tcBorders>
            <w:tcMar>
              <w:bottom w:w="28" w:type="dxa"/>
            </w:tcMar>
            <w:vAlign w:val="center"/>
          </w:tcPr>
          <w:p>
            <w:pPr>
              <w:pStyle w:val="TableContents"/>
              <w:bidi w:val="0"/>
              <w:spacing w:before="0" w:after="283"/>
              <w:jc w:val="left"/>
              <w:rPr/>
            </w:pPr>
            <w:r>
              <w:rPr/>
              <w:t> </w:t>
            </w:r>
          </w:p>
        </w:tc>
        <w:tc>
          <w:tcPr>
            <w:tcW w:w="3304" w:type="dxa"/>
            <w:tcBorders/>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283"/>
              <w:jc w:val="left"/>
              <w:rPr/>
            </w:pPr>
            <w:r>
              <w:rPr/>
              <w:t> </w:t>
            </w:r>
          </w:p>
        </w:tc>
        <w:tc>
          <w:tcPr>
            <w:tcW w:w="2658" w:type="dxa"/>
            <w:tcBorders/>
            <w:vAlign w:val="center"/>
          </w:tcPr>
          <w:p>
            <w:pPr>
              <w:pStyle w:val="TableContents"/>
              <w:bidi w:val="0"/>
              <w:spacing w:before="0" w:after="283"/>
              <w:jc w:val="left"/>
              <w:rPr/>
            </w:pPr>
            <w:r>
              <w:rPr/>
              <w:t> </w:t>
            </w:r>
          </w:p>
        </w:tc>
        <w:tc>
          <w:tcPr>
            <w:tcW w:w="5565" w:type="dxa"/>
            <w:gridSpan w:val="2"/>
            <w:tcBorders/>
            <w:vAlign w:val="center"/>
          </w:tcPr>
          <w:p>
            <w:pPr>
              <w:pStyle w:val="TableContents"/>
              <w:bidi w:val="0"/>
              <w:spacing w:before="0" w:after="283"/>
              <w:jc w:val="left"/>
              <w:rPr/>
            </w:pPr>
            <w:r>
              <w:rPr/>
              <w:t> </w:t>
            </w:r>
          </w:p>
        </w:tc>
      </w:tr>
      <w:tr>
        <w:trPr/>
        <w:tc>
          <w:tcPr>
            <w:tcW w:w="1982" w:type="dxa"/>
            <w:tcBorders/>
            <w:vAlign w:val="center"/>
          </w:tcPr>
          <w:p>
            <w:pPr>
              <w:pStyle w:val="TableContents"/>
              <w:bidi w:val="0"/>
              <w:spacing w:before="0" w:after="283"/>
              <w:jc w:val="left"/>
              <w:rPr/>
            </w:pPr>
            <w:r>
              <w:rPr/>
              <w:t> </w:t>
            </w:r>
          </w:p>
        </w:tc>
        <w:tc>
          <w:tcPr>
            <w:tcW w:w="2658" w:type="dxa"/>
            <w:tcBorders/>
            <w:vAlign w:val="center"/>
          </w:tcPr>
          <w:p>
            <w:pPr>
              <w:pStyle w:val="TableContents"/>
              <w:bidi w:val="0"/>
              <w:spacing w:before="0" w:after="283"/>
              <w:jc w:val="left"/>
              <w:rPr/>
            </w:pPr>
            <w:r>
              <w:rPr/>
              <w:t> </w:t>
            </w:r>
          </w:p>
        </w:tc>
        <w:tc>
          <w:tcPr>
            <w:tcW w:w="5565" w:type="dxa"/>
            <w:gridSpan w:val="2"/>
            <w:tcBorders/>
            <w:vAlign w:val="center"/>
          </w:tcPr>
          <w:p>
            <w:pPr>
              <w:pStyle w:val="TableContents"/>
              <w:bidi w:val="0"/>
              <w:spacing w:before="0" w:after="283"/>
              <w:jc w:val="left"/>
              <w:rPr/>
            </w:pPr>
            <w:r>
              <w:rPr/>
              <w:t>Name: Douglas L. Bruggeman</w:t>
            </w:r>
          </w:p>
        </w:tc>
      </w:tr>
      <w:tr>
        <w:trPr/>
        <w:tc>
          <w:tcPr>
            <w:tcW w:w="1982" w:type="dxa"/>
            <w:tcBorders/>
            <w:vAlign w:val="center"/>
          </w:tcPr>
          <w:p>
            <w:pPr>
              <w:pStyle w:val="TableContents"/>
              <w:bidi w:val="0"/>
              <w:spacing w:before="0" w:after="283"/>
              <w:jc w:val="left"/>
              <w:rPr/>
            </w:pPr>
            <w:r>
              <w:rPr/>
              <w:t> </w:t>
            </w:r>
          </w:p>
        </w:tc>
        <w:tc>
          <w:tcPr>
            <w:tcW w:w="2658" w:type="dxa"/>
            <w:tcBorders/>
            <w:vAlign w:val="center"/>
          </w:tcPr>
          <w:p>
            <w:pPr>
              <w:pStyle w:val="TableContents"/>
              <w:bidi w:val="0"/>
              <w:spacing w:before="0" w:after="283"/>
              <w:jc w:val="left"/>
              <w:rPr/>
            </w:pPr>
            <w:r>
              <w:rPr/>
              <w:t> </w:t>
            </w:r>
          </w:p>
        </w:tc>
        <w:tc>
          <w:tcPr>
            <w:tcW w:w="5565" w:type="dxa"/>
            <w:gridSpan w:val="2"/>
            <w:tcBorders/>
            <w:vAlign w:val="center"/>
          </w:tcPr>
          <w:p>
            <w:pPr>
              <w:pStyle w:val="TableContents"/>
              <w:bidi w:val="0"/>
              <w:spacing w:before="0" w:after="283"/>
              <w:jc w:val="left"/>
              <w:rPr/>
            </w:pPr>
            <w:r>
              <w:rPr/>
              <w:t>Title:   Vice President - Finance, Chief Financial Officer and Treasurer</w:t>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jc w:val="center"/>
              <w:rPr/>
            </w:pPr>
            <w:r>
              <w:rPr/>
              <w:t> </w:t>
            </w:r>
          </w:p>
        </w:tc>
      </w:tr>
    </w:tbl>
    <w:p>
      <w:pPr>
        <w:pStyle w:val="TextBody"/>
        <w:bidi w:val="0"/>
        <w:jc w:val="right"/>
        <w:rPr>
          <w:rFonts w:ascii="Arial;Helvetica;Sans-Serif" w:hAnsi="Arial;Helvetica;Sans-Serif"/>
          <w:b/>
          <w:i w:val="false"/>
          <w:caps w:val="false"/>
          <w:smallCaps w:val="false"/>
          <w:sz w:val="20"/>
        </w:rPr>
      </w:pPr>
      <w:bookmarkStart w:id="2" w:name="c117594_ex99.htm"/>
      <w:bookmarkStart w:id="3" w:name="ksc117594_ex99"/>
      <w:bookmarkEnd w:id="2"/>
      <w:bookmarkEnd w:id="3"/>
      <w:r>
        <w:rPr>
          <w:rFonts w:ascii="Arial;Helvetica;Sans-Serif" w:hAnsi="Arial;Helvetica;Sans-Serif"/>
          <w:b/>
          <w:i w:val="false"/>
          <w:caps w:val="false"/>
          <w:smallCaps w:val="false"/>
          <w:sz w:val="20"/>
        </w:rPr>
        <w:t>Exhibit 99</w:t>
      </w:r>
      <w:r>
        <w:br w:type="page"/>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06692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66925"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REX American Resources Reports Record Fiscal Second Quarter 2026</w:t>
        <w:br/>
        <w:t>Net Income Per Share Attributable to REX Common Shareholders of $1.06 vs. $0.22 in</w:t>
        <w:br/>
        <w:t>Fiscal Second Quarter 2025</w:t>
      </w:r>
    </w:p>
    <w:p>
      <w:pPr>
        <w:pStyle w:val="TextBody"/>
        <w:bidi w:val="0"/>
        <w:jc w:val="left"/>
        <w:rPr>
          <w:caps w:val="false"/>
          <w:smallCaps w:val="false"/>
        </w:rPr>
      </w:pPr>
      <w:r>
        <w:rPr>
          <w:caps w:val="false"/>
          <w:smallCaps w:val="false"/>
        </w:rPr>
        <w:t> </w:t>
      </w:r>
    </w:p>
    <w:p>
      <w:pPr>
        <w:pStyle w:val="TextBody"/>
        <w:bidi w:val="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Company receives Class VI injection well draft permit from U.S. EPA</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Generated $1.06 of net income per share in Fiscal Q2 ’26 vs. $0.22 of net income per share in Fiscal Q2 ’25</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Reported gross profit of $53.3 million for Fiscal Q2 ’26 vs. $14.3 million in Fiscal Q2 ’25</w:t>
            </w:r>
          </w:p>
        </w:tc>
      </w:tr>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Reported Net Income to REX shareholders of $34.9 million in Fiscal Q2 ’26 vs. $7.1 million in Fiscal Q2 ’25</w:t>
            </w:r>
          </w:p>
        </w:tc>
      </w:tr>
    </w:tbl>
    <w:p>
      <w:pPr>
        <w:pStyle w:val="TextBody"/>
        <w:bidi w:val="0"/>
        <w:ind w:left="360" w:right="0" w:hanging="36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Dayton, OH - Wednesday, September 2, 2026 - </w:t>
      </w:r>
      <w:r>
        <w:rPr>
          <w:rFonts w:ascii="Arial;Helvetica;Sans-Serif" w:hAnsi="Arial;Helvetica;Sans-Serif"/>
          <w:b w:val="false"/>
          <w:i w:val="false"/>
          <w:caps w:val="false"/>
          <w:smallCaps w:val="false"/>
          <w:sz w:val="20"/>
        </w:rPr>
        <w:t>REX American Resources Corporation (“REX” or the “Company”) (NYSE: REX), a leading ethanol production company, today announced financial and operational results for the Company’s fiscal second quarter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REX American Resources’ fiscal second quarter 2026 results principally reflect its interests in six ethanol production facilities. The One Earth Energy, LLC (“One Earth”) and NuGen Energy, LLC (“NuGen”) ethanol production facilities are consolidated, while the four other ethanol plants are reported as equity in income of unconsolidated affiliates. Investors can view REX’s updated investor presentation by visiting </w:t>
      </w:r>
      <w:r>
        <w:rPr>
          <w:rFonts w:ascii="Arial;Helvetica;Sans-Serif" w:hAnsi="Arial;Helvetica;Sans-Serif"/>
          <w:b w:val="false"/>
          <w:i w:val="false"/>
          <w:caps w:val="false"/>
          <w:smallCaps w:val="false"/>
          <w:color w:val="0000FF"/>
          <w:sz w:val="20"/>
          <w:u w:val="single"/>
        </w:rPr>
        <w:t>https://investors.rexamerican.com/news-events/events-presentations</w:t>
      </w:r>
      <w:r>
        <w:rPr>
          <w:rFonts w:ascii="Arial;Helvetica;Sans-Serif" w:hAnsi="Arial;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Second Quarter 2026 Results</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REX reported Q2 ’26 net sales and revenue of $168.5 million, compared to Q2 ’25 net sales and revenue of $158.6 million, primarily reflecting improved pricing. The Company reported production tax credit income of $18.4 million net of estimated monetization expenses in the second quarter of 2026. Second quarter 2026 gross profit for the Company was $53.3 million, compared with $14.3 million in Q2 ’25 reflecting improved crush margins and the benefits of the production tax credits. The Company reported interest and other income of $3.2 million in Q2 ’26, compared to $3.1 million in Q2 ’25. This led to Q2 ’26 income before income taxes and noncontrolling interests of $48.1 million, compared with $12.1 million in Q2 ’25.</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income attributable to REX shareholders in Q2 ’26 was $34.9 million, compared to $7.1 million in Q2 ’25. Second quarter ’26 diluted net income per share attributable to REX common shareholders was $1.06, compared to $0.22 per share in Q2 ’25. Per share results for Q2 ’26 and Q2 ’25 are based on 33,090,000 and 33,010,000 diluted weighted average shares outstanding, respectively.</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summarizes select operating data for our consolidated entities:</w:t>
      </w:r>
    </w:p>
    <w:p>
      <w:pPr>
        <w:pStyle w:val="TextBody"/>
        <w:shd w:fill="FFFFFF" w:val="clear"/>
        <w:bidi w:val="0"/>
        <w:jc w:val="left"/>
        <w:rPr>
          <w:caps w:val="false"/>
          <w:smallCaps w:val="false"/>
        </w:rPr>
      </w:pPr>
      <w:r>
        <w:rPr>
          <w:caps w:val="false"/>
          <w:smallCaps w:val="false"/>
        </w:rPr>
        <w:t> </w:t>
      </w:r>
    </w:p>
    <w:tbl>
      <w:tblPr>
        <w:tblW w:w="9671" w:type="dxa"/>
        <w:jc w:val="left"/>
        <w:tblInd w:w="0" w:type="dxa"/>
        <w:tblLayout w:type="fixed"/>
        <w:tblCellMar>
          <w:top w:w="0" w:type="dxa"/>
          <w:left w:w="0" w:type="dxa"/>
          <w:bottom w:w="0" w:type="dxa"/>
          <w:right w:w="0" w:type="dxa"/>
        </w:tblCellMar>
      </w:tblPr>
      <w:tblGrid>
        <w:gridCol w:w="5300"/>
        <w:gridCol w:w="60"/>
        <w:gridCol w:w="72"/>
        <w:gridCol w:w="960"/>
        <w:gridCol w:w="72"/>
        <w:gridCol w:w="72"/>
        <w:gridCol w:w="72"/>
        <w:gridCol w:w="960"/>
        <w:gridCol w:w="60"/>
        <w:gridCol w:w="60"/>
        <w:gridCol w:w="62"/>
        <w:gridCol w:w="830"/>
        <w:gridCol w:w="62"/>
        <w:gridCol w:w="62"/>
        <w:gridCol w:w="62"/>
        <w:gridCol w:w="830"/>
        <w:gridCol w:w="75"/>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8" w:type="dxa"/>
            <w:gridSpan w:val="6"/>
            <w:tcBorders/>
            <w:vAlign w:val="center"/>
          </w:tcPr>
          <w:p>
            <w:pPr>
              <w:pStyle w:val="TableContents"/>
              <w:bidi w:val="0"/>
              <w:spacing w:before="0" w:after="283"/>
              <w:jc w:val="center"/>
              <w:rPr>
                <w:b/>
              </w:rPr>
            </w:pPr>
            <w:r>
              <w:rPr>
                <w:b/>
              </w:rPr>
              <w:t>Three Months Ended</w:t>
              <w:br/>
              <w:t>July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8" w:type="dxa"/>
            <w:gridSpan w:val="6"/>
            <w:tcBorders/>
            <w:vAlign w:val="center"/>
          </w:tcPr>
          <w:p>
            <w:pPr>
              <w:pStyle w:val="TableContents"/>
              <w:bidi w:val="0"/>
              <w:spacing w:before="0" w:after="283"/>
              <w:jc w:val="center"/>
              <w:rPr>
                <w:b/>
              </w:rPr>
            </w:pPr>
            <w:r>
              <w:rPr>
                <w:b/>
              </w:rPr>
              <w:t>Six Months Ended</w:t>
              <w:br/>
              <w:t>July 31,</w:t>
            </w:r>
          </w:p>
        </w:tc>
        <w:tc>
          <w:tcPr>
            <w:tcW w:w="75"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2"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5300" w:type="dxa"/>
            <w:tcBorders/>
            <w:shd w:fill="E5FFFF" w:val="clear"/>
            <w:vAlign w:val="center"/>
          </w:tcPr>
          <w:p>
            <w:pPr>
              <w:pStyle w:val="TableContents"/>
              <w:bidi w:val="0"/>
              <w:spacing w:before="0" w:after="283"/>
              <w:jc w:val="left"/>
              <w:rPr/>
            </w:pPr>
            <w:r>
              <w:rPr/>
              <w:t>Avg. selling price per gallon of ethanol (net of hedging)</w:t>
            </w:r>
          </w:p>
        </w:tc>
        <w:tc>
          <w:tcPr>
            <w:tcW w:w="60"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960" w:type="dxa"/>
            <w:tcBorders/>
            <w:shd w:fill="E5FFFF" w:val="clear"/>
            <w:vAlign w:val="center"/>
          </w:tcPr>
          <w:p>
            <w:pPr>
              <w:pStyle w:val="TableContents"/>
              <w:bidi w:val="0"/>
              <w:spacing w:before="0" w:after="283"/>
              <w:jc w:val="right"/>
              <w:rPr/>
            </w:pPr>
            <w:r>
              <w:rPr/>
              <w:t>$1.78</w:t>
            </w:r>
          </w:p>
        </w:tc>
        <w:tc>
          <w:tcPr>
            <w:tcW w:w="72"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960" w:type="dxa"/>
            <w:tcBorders/>
            <w:shd w:fill="E5FFFF" w:val="clear"/>
            <w:vAlign w:val="center"/>
          </w:tcPr>
          <w:p>
            <w:pPr>
              <w:pStyle w:val="TableContents"/>
              <w:bidi w:val="0"/>
              <w:spacing w:before="0" w:after="283"/>
              <w:jc w:val="right"/>
              <w:rPr/>
            </w:pPr>
            <w:r>
              <w:rPr/>
              <w:t>$1.75</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$1.72</w:t>
            </w:r>
          </w:p>
        </w:tc>
        <w:tc>
          <w:tcPr>
            <w:tcW w:w="62"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$1.75</w:t>
            </w:r>
          </w:p>
        </w:tc>
        <w:tc>
          <w:tcPr>
            <w:tcW w:w="75" w:type="dxa"/>
            <w:tcBorders/>
            <w:shd w:fill="E5FF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Gallons of ethanol sold (in millions)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70.6</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141.7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141.5</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E5FFFF" w:val="clear"/>
            <w:vAlign w:val="center"/>
          </w:tcPr>
          <w:p>
            <w:pPr>
              <w:pStyle w:val="TableContents"/>
              <w:bidi w:val="0"/>
              <w:spacing w:before="0" w:after="283"/>
              <w:jc w:val="left"/>
              <w:rPr/>
            </w:pPr>
            <w:r>
              <w:rPr/>
              <w:t>Avg. selling price per ton of dried distillers grains</w:t>
            </w:r>
          </w:p>
        </w:tc>
        <w:tc>
          <w:tcPr>
            <w:tcW w:w="60"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960" w:type="dxa"/>
            <w:tcBorders/>
            <w:shd w:fill="E5FFFF" w:val="clear"/>
            <w:vAlign w:val="center"/>
          </w:tcPr>
          <w:p>
            <w:pPr>
              <w:pStyle w:val="TableContents"/>
              <w:bidi w:val="0"/>
              <w:spacing w:before="0" w:after="283"/>
              <w:jc w:val="right"/>
              <w:rPr/>
            </w:pPr>
            <w:r>
              <w:rPr/>
              <w:t>$166.55</w:t>
            </w:r>
          </w:p>
        </w:tc>
        <w:tc>
          <w:tcPr>
            <w:tcW w:w="72"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960" w:type="dxa"/>
            <w:tcBorders/>
            <w:shd w:fill="E5FFFF" w:val="clear"/>
            <w:vAlign w:val="center"/>
          </w:tcPr>
          <w:p>
            <w:pPr>
              <w:pStyle w:val="TableContents"/>
              <w:bidi w:val="0"/>
              <w:spacing w:before="0" w:after="283"/>
              <w:jc w:val="right"/>
              <w:rPr/>
            </w:pPr>
            <w:r>
              <w:rPr/>
              <w:t>$143.63</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$161.03</w:t>
            </w:r>
          </w:p>
        </w:tc>
        <w:tc>
          <w:tcPr>
            <w:tcW w:w="62"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$144.66</w:t>
            </w:r>
          </w:p>
        </w:tc>
        <w:tc>
          <w:tcPr>
            <w:tcW w:w="75" w:type="dxa"/>
            <w:tcBorders/>
            <w:shd w:fill="E5FF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Tons of dried distillers grains sold</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145,081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148,017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300,113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301,027</w:t>
            </w:r>
          </w:p>
        </w:tc>
        <w:tc>
          <w:tcPr>
            <w:tcW w:w="75" w:type="dxa"/>
            <w:tcBorders/>
            <w:shd w:fill="FFFFFF" w:val="clear"/>
            <w:vAlign w:val="center"/>
          </w:tcPr>
          <w:p>
            <w:pPr>
              <w:pStyle w:val="TableContents"/>
              <w:bidi w:val="0"/>
              <w:spacing w:before="0" w:after="283"/>
              <w:jc w:val="left"/>
              <w:rPr/>
            </w:pPr>
            <w:r>
              <w:rPr/>
              <w:t> </w:t>
            </w:r>
          </w:p>
        </w:tc>
      </w:tr>
      <w:tr>
        <w:trPr/>
        <w:tc>
          <w:tcPr>
            <w:tcW w:w="5300" w:type="dxa"/>
            <w:tcBorders/>
            <w:shd w:fill="E5FFFF" w:val="clear"/>
            <w:vAlign w:val="center"/>
          </w:tcPr>
          <w:p>
            <w:pPr>
              <w:pStyle w:val="TableContents"/>
              <w:bidi w:val="0"/>
              <w:spacing w:before="0" w:after="283"/>
              <w:jc w:val="left"/>
              <w:rPr/>
            </w:pPr>
            <w:r>
              <w:rPr/>
              <w:t>Avg. selling price per pound of distillers corn oil</w:t>
            </w:r>
          </w:p>
        </w:tc>
        <w:tc>
          <w:tcPr>
            <w:tcW w:w="60"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960" w:type="dxa"/>
            <w:tcBorders/>
            <w:shd w:fill="E5FFFF" w:val="clear"/>
            <w:vAlign w:val="center"/>
          </w:tcPr>
          <w:p>
            <w:pPr>
              <w:pStyle w:val="TableContents"/>
              <w:bidi w:val="0"/>
              <w:spacing w:before="0" w:after="283"/>
              <w:jc w:val="right"/>
              <w:rPr/>
            </w:pPr>
            <w:r>
              <w:rPr/>
              <w:t>$0.72</w:t>
            </w:r>
          </w:p>
        </w:tc>
        <w:tc>
          <w:tcPr>
            <w:tcW w:w="72"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72" w:type="dxa"/>
            <w:tcBorders/>
            <w:shd w:fill="E5FFFF" w:val="clear"/>
            <w:vAlign w:val="center"/>
          </w:tcPr>
          <w:p>
            <w:pPr>
              <w:pStyle w:val="TableContents"/>
              <w:bidi w:val="0"/>
              <w:spacing w:before="0" w:after="283"/>
              <w:jc w:val="left"/>
              <w:rPr/>
            </w:pPr>
            <w:r>
              <w:rPr/>
              <w:t> </w:t>
            </w:r>
          </w:p>
        </w:tc>
        <w:tc>
          <w:tcPr>
            <w:tcW w:w="960" w:type="dxa"/>
            <w:tcBorders/>
            <w:shd w:fill="E5FFFF" w:val="clear"/>
            <w:vAlign w:val="center"/>
          </w:tcPr>
          <w:p>
            <w:pPr>
              <w:pStyle w:val="TableContents"/>
              <w:bidi w:val="0"/>
              <w:spacing w:before="0" w:after="283"/>
              <w:jc w:val="right"/>
              <w:rPr/>
            </w:pPr>
            <w:r>
              <w:rPr/>
              <w:t>$0.54</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$0.63</w:t>
            </w:r>
          </w:p>
        </w:tc>
        <w:tc>
          <w:tcPr>
            <w:tcW w:w="62"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62"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$0.50</w:t>
            </w:r>
          </w:p>
        </w:tc>
        <w:tc>
          <w:tcPr>
            <w:tcW w:w="75" w:type="dxa"/>
            <w:tcBorders/>
            <w:shd w:fill="E5FF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Pounds of distillers corn oil sold (in millions)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24.3</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pPr>
            <w:r>
              <w:rPr/>
              <w:t>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48.2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44.5</w:t>
            </w:r>
          </w:p>
        </w:tc>
        <w:tc>
          <w:tcPr>
            <w:tcW w:w="75" w:type="dxa"/>
            <w:tcBorders/>
            <w:shd w:fill="FFFFFF" w:val="clear"/>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2066925" cy="638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66925"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Update on One Earth Energy Ethanol Production Expansion and Carbon Capture Projects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REX is on-track to complete the construction phase of the expansion of ethanol production at the One Earth facility. The Company expects testing and commissioning to begin upon completion, with the expansion becoming operational during fiscal 2026.</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17, 2026, the Company’s carbon capture and sequestration project received draft permits from the U.S. Environmental Protection Agency (EPA) for three Class VI injection wells. The EPA is currently accepting public comments on the draft permits.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Capital expenditures to-date related to the One Earth Energy carbon capture and sequestration project and related expansion of ethanol production capacity at the Gibson City location totaled $191.2 million.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Balance Sheet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July 31, 2026, REX had $379.5 million of cash, cash equivalents, and short-term investments available and no bank debt.</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Management Commentary</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During the second quarter of 2026 REX achieved several important milestones that further support and advance our long-term growth strategy,” said Zafar Rizvi, Chief Executive Officer of REX. “We continued to benefit from the Section 45Z tax credit program in the second quarter, which contributed $18.4 million directly to gross profit. Excluding the impact from 45Z tax credits, our quarterly gross profit from our core operations increased 144% over the same period in the prior year. In addition, we received notice from the U.S. EPA that our One Earth carbon capture and sequestration project had been issued draft permits on August 17</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for three Class VI injection wells. We are pleased to have reached this important regulatory milestone and look forward to advancing the project in coordination with the EPA and Illinois regulators. The second quarter marked REX’s 24th consecutive profitable quarter and represented a record second quarter on an earnings-per-share basis for the company. REX’s long-term prospects remain strong, supported by the continued dedication, hard work, and execution of our team across all of our operations.”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Conference Call Information</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shd w:fill="FFFFFF" w:val="clear"/>
        </w:rPr>
        <w:t>REX will host a conference call at </w:t>
      </w:r>
      <w:r>
        <w:rPr>
          <w:rFonts w:ascii="Arial;Helvetica;Sans-Serif" w:hAnsi="Arial;Helvetica;Sans-Serif"/>
          <w:b w:val="false"/>
          <w:i w:val="false"/>
          <w:caps w:val="false"/>
          <w:smallCaps w:val="false"/>
          <w:sz w:val="20"/>
        </w:rPr>
        <w:t>11:00 a.m. ET</w:t>
      </w:r>
      <w:r>
        <w:rPr>
          <w:rFonts w:ascii="Arial;Helvetica;Sans-Serif" w:hAnsi="Arial;Helvetica;Sans-Serif"/>
          <w:b w:val="false"/>
          <w:i w:val="false"/>
          <w:caps w:val="false"/>
          <w:smallCaps w:val="false"/>
          <w:sz w:val="20"/>
          <w:shd w:fill="FFFFFF" w:val="clear"/>
        </w:rPr>
        <w:t> today to discuss the Company’s fiscal second quarter results and will also host a question and answer session.</w:t>
      </w:r>
      <w:r>
        <w:rPr>
          <w:rFonts w:ascii="Arial;Helvetica;Sans-Serif" w:hAnsi="Arial;Helvetica;Sans-Serif"/>
          <w:b w:val="false"/>
          <w:i w:val="false"/>
          <w:caps w:val="false"/>
          <w:smallCaps w:val="false"/>
          <w:sz w:val="20"/>
        </w:rPr>
        <w:t xml:space="preserve"> To access the conference call, interested parties may dial (877) 269-7751 (US) or (201) 389-0908 (international). Participants can also view an updated presentation, as well as listen to a live webcast of the call by going to the Investors section on the REX website at </w:t>
      </w:r>
      <w:r>
        <w:rPr>
          <w:rFonts w:ascii="Arial;Helvetica;Sans-Serif" w:hAnsi="Arial;Helvetica;Sans-Serif"/>
          <w:b w:val="false"/>
          <w:i w:val="false"/>
          <w:caps w:val="false"/>
          <w:smallCaps w:val="false"/>
          <w:color w:val="0000FF"/>
          <w:sz w:val="20"/>
          <w:u w:val="single"/>
        </w:rPr>
        <w:t>www.rexamerican.com</w:t>
      </w:r>
      <w:r>
        <w:rPr>
          <w:rFonts w:ascii="Arial;Helvetica;Sans-Serif" w:hAnsi="Arial;Helvetica;Sans-Serif"/>
          <w:b w:val="false"/>
          <w:i w:val="false"/>
          <w:caps w:val="false"/>
          <w:smallCaps w:val="false"/>
          <w:sz w:val="20"/>
        </w:rPr>
        <w:t>. A replay will be available shortly after the live conference call and can be accessed by dialing (844) 512-2921 (US) or (412) 317-6671 (international). The passcode for the replay is 13762348. The replay will be available for 30 days after the call.</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About REX American Resources Corporation</w:t>
        <w:br/>
      </w:r>
      <w:r>
        <w:rPr>
          <w:rFonts w:ascii="Arial;Helvetica;Sans-Serif" w:hAnsi="Arial;Helvetica;Sans-Serif"/>
          <w:b w:val="false"/>
          <w:i w:val="false"/>
          <w:caps w:val="false"/>
          <w:smallCaps w:val="false"/>
          <w:sz w:val="20"/>
        </w:rPr>
        <w:t>REX American Resources Corporation has interests in six ethanol production facilities, which in aggregate have production capacity totaling approximately 730 million gallons per year. REX’s effective ownership of annual volumes is approximately 300 million gallons. Further information about REX is available at </w:t>
      </w:r>
      <w:r>
        <w:rPr>
          <w:rFonts w:ascii="Arial;Helvetica;Sans-Serif" w:hAnsi="Arial;Helvetica;Sans-Serif"/>
          <w:b w:val="false"/>
          <w:i w:val="false"/>
          <w:caps w:val="false"/>
          <w:smallCaps w:val="false"/>
          <w:color w:val="0000FF"/>
          <w:sz w:val="20"/>
          <w:u w:val="single"/>
        </w:rPr>
        <w:t>www.rexamerican.com</w:t>
      </w:r>
      <w:r>
        <w:rPr>
          <w:rFonts w:ascii="Arial;Helvetica;Sans-Serif" w:hAnsi="Arial;Helvetica;Sans-Serif"/>
          <w:b w:val="false"/>
          <w:i w:val="false"/>
          <w:caps w:val="false"/>
          <w:smallCaps w:val="false"/>
          <w:sz w:val="20"/>
        </w:rPr>
        <w: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2066925" cy="6381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66925"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and tariffs, changes in foreign currency exchange rates, the effects of terrorism or acts of war and the effect of pandemics on the Company’s business operations, including impacts on supplies, demand, personnel and other factors. The Company does not intend to update publicly any forward-looking statements except as required by law.</w:t>
      </w:r>
    </w:p>
    <w:p>
      <w:pPr>
        <w:pStyle w:val="TextBody"/>
        <w:bidi w:val="0"/>
        <w:jc w:val="left"/>
        <w:rPr>
          <w:caps w:val="false"/>
          <w:smallCaps w:val="false"/>
        </w:rPr>
      </w:pPr>
      <w:r>
        <w:rPr>
          <w:caps w:val="false"/>
          <w:smallCaps w:val="false"/>
        </w:rPr>
        <w:t> </w:t>
      </w:r>
    </w:p>
    <w:p>
      <w:pPr>
        <w:pStyle w:val="TextBody"/>
        <w:shd w:fill="FFFFFF" w:val="clear"/>
        <w:bidi w:val="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Investor Contacts</w:t>
      </w:r>
    </w:p>
    <w:p>
      <w:pPr>
        <w:pStyle w:val="TextBody"/>
        <w:shd w:fill="FFFFFF" w:val="clear"/>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Douglas Bruggeman</w:t>
        <w:br/>
        <w:t>Chief Financial Officer</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Caldwell Bailey</w:t>
        <w:br/>
        <w:t>ICR, Inc.</w:t>
        <w:br/>
        <w:t>rexamerican@icrinc.com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2066925"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66925"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REX AMERICAN RESOURCES CORPORATION AND SUBSIDIARIES</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Statements of Operations</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(in thousands, except per share amounts)</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Unaudited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6"/>
        <w:gridCol w:w="60"/>
        <w:gridCol w:w="148"/>
        <w:gridCol w:w="870"/>
        <w:gridCol w:w="63"/>
        <w:gridCol w:w="63"/>
        <w:gridCol w:w="148"/>
        <w:gridCol w:w="848"/>
        <w:gridCol w:w="60"/>
        <w:gridCol w:w="60"/>
        <w:gridCol w:w="140"/>
        <w:gridCol w:w="820"/>
        <w:gridCol w:w="60"/>
        <w:gridCol w:w="60"/>
        <w:gridCol w:w="140"/>
        <w:gridCol w:w="820"/>
        <w:gridCol w:w="79"/>
      </w:tblGrid>
      <w:tr>
        <w:trPr/>
        <w:tc>
          <w:tcPr>
            <w:tcW w:w="5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283"/>
              <w:jc w:val="center"/>
              <w:rPr>
                <w:b/>
              </w:rPr>
            </w:pPr>
            <w:r>
              <w:rPr>
                <w:b/>
              </w:rPr>
              <w:t>Three Months Ended</w:t>
              <w:br/>
              <w:t>July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0" w:type="dxa"/>
            <w:gridSpan w:val="6"/>
            <w:tcBorders/>
            <w:vAlign w:val="center"/>
          </w:tcPr>
          <w:p>
            <w:pPr>
              <w:pStyle w:val="TableContents"/>
              <w:bidi w:val="0"/>
              <w:spacing w:before="0" w:after="283"/>
              <w:jc w:val="center"/>
              <w:rPr>
                <w:b/>
              </w:rPr>
            </w:pPr>
            <w:r>
              <w:rPr>
                <w:b/>
              </w:rPr>
              <w:t>Six Months Ended</w:t>
              <w:br/>
              <w:t>July 31,</w:t>
            </w:r>
          </w:p>
        </w:tc>
        <w:tc>
          <w:tcPr>
            <w:tcW w:w="79" w:type="dxa"/>
            <w:tcBorders/>
            <w:vAlign w:val="center"/>
          </w:tcPr>
          <w:p>
            <w:pPr>
              <w:pStyle w:val="TableContents"/>
              <w:bidi w:val="0"/>
              <w:spacing w:before="0" w:after="283"/>
              <w:jc w:val="left"/>
              <w:rPr/>
            </w:pPr>
            <w:r>
              <w:rPr/>
              <w:t> </w:t>
            </w:r>
          </w:p>
        </w:tc>
      </w:tr>
      <w:tr>
        <w:trPr/>
        <w:tc>
          <w:tcPr>
            <w:tcW w:w="5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96"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79" w:type="dxa"/>
            <w:tcBorders/>
            <w:vAlign w:val="center"/>
          </w:tcPr>
          <w:p>
            <w:pPr>
              <w:pStyle w:val="TableContents"/>
              <w:bidi w:val="0"/>
              <w:spacing w:before="0" w:after="283"/>
              <w:jc w:val="left"/>
              <w:rPr/>
            </w:pPr>
            <w:r>
              <w:rPr/>
              <w:t> </w:t>
            </w:r>
          </w:p>
        </w:tc>
      </w:tr>
      <w:tr>
        <w:trPr/>
        <w:tc>
          <w:tcPr>
            <w:tcW w:w="5766" w:type="dxa"/>
            <w:tcBorders/>
            <w:shd w:fill="E5FFFF" w:val="clear"/>
            <w:vAlign w:val="center"/>
          </w:tcPr>
          <w:p>
            <w:pPr>
              <w:pStyle w:val="TableContents"/>
              <w:bidi w:val="0"/>
              <w:spacing w:before="0" w:after="283"/>
              <w:jc w:val="left"/>
              <w:rPr/>
            </w:pPr>
            <w:r>
              <w:rPr/>
              <w:t>Net sales and revenue</w:t>
            </w:r>
          </w:p>
        </w:tc>
        <w:tc>
          <w:tcPr>
            <w:tcW w:w="60" w:type="dxa"/>
            <w:tcBorders/>
            <w:shd w:fill="E5FFFF" w:val="clear"/>
            <w:vAlign w:val="center"/>
          </w:tcPr>
          <w:p>
            <w:pPr>
              <w:pStyle w:val="TableContents"/>
              <w:bidi w:val="0"/>
              <w:spacing w:before="0" w:after="283"/>
              <w:jc w:val="left"/>
              <w:rPr/>
            </w:pPr>
            <w:r>
              <w:rPr/>
              <w:t> </w:t>
            </w:r>
          </w:p>
        </w:tc>
        <w:tc>
          <w:tcPr>
            <w:tcW w:w="148" w:type="dxa"/>
            <w:tcBorders/>
            <w:shd w:fill="E5FFFF" w:val="clear"/>
            <w:vAlign w:val="center"/>
          </w:tcPr>
          <w:p>
            <w:pPr>
              <w:pStyle w:val="TableContents"/>
              <w:bidi w:val="0"/>
              <w:spacing w:before="0" w:after="283"/>
              <w:jc w:val="left"/>
              <w:rPr/>
            </w:pPr>
            <w:r>
              <w:rPr/>
              <w:t>$</w:t>
            </w:r>
          </w:p>
        </w:tc>
        <w:tc>
          <w:tcPr>
            <w:tcW w:w="870" w:type="dxa"/>
            <w:tcBorders/>
            <w:shd w:fill="E5FFFF" w:val="clear"/>
            <w:vAlign w:val="center"/>
          </w:tcPr>
          <w:p>
            <w:pPr>
              <w:pStyle w:val="TableContents"/>
              <w:bidi w:val="0"/>
              <w:spacing w:before="0" w:after="283"/>
              <w:jc w:val="right"/>
              <w:rPr/>
            </w:pPr>
            <w:r>
              <w:rPr/>
              <w:t>168,493</w:t>
            </w:r>
          </w:p>
        </w:tc>
        <w:tc>
          <w:tcPr>
            <w:tcW w:w="63" w:type="dxa"/>
            <w:tcBorders/>
            <w:shd w:fill="E5FFFF" w:val="clear"/>
            <w:vAlign w:val="center"/>
          </w:tcPr>
          <w:p>
            <w:pPr>
              <w:pStyle w:val="TableContents"/>
              <w:bidi w:val="0"/>
              <w:spacing w:before="0" w:after="283"/>
              <w:jc w:val="left"/>
              <w:rPr/>
            </w:pPr>
            <w:r>
              <w:rPr/>
              <w:t> </w:t>
            </w:r>
          </w:p>
        </w:tc>
        <w:tc>
          <w:tcPr>
            <w:tcW w:w="63" w:type="dxa"/>
            <w:tcBorders/>
            <w:shd w:fill="E5FFFF" w:val="clear"/>
            <w:vAlign w:val="center"/>
          </w:tcPr>
          <w:p>
            <w:pPr>
              <w:pStyle w:val="TableContents"/>
              <w:bidi w:val="0"/>
              <w:spacing w:before="0" w:after="283"/>
              <w:jc w:val="left"/>
              <w:rPr/>
            </w:pPr>
            <w:r>
              <w:rPr/>
              <w:t> </w:t>
            </w:r>
          </w:p>
        </w:tc>
        <w:tc>
          <w:tcPr>
            <w:tcW w:w="148" w:type="dxa"/>
            <w:tcBorders/>
            <w:shd w:fill="E5FFFF" w:val="clear"/>
            <w:vAlign w:val="center"/>
          </w:tcPr>
          <w:p>
            <w:pPr>
              <w:pStyle w:val="TableContents"/>
              <w:bidi w:val="0"/>
              <w:spacing w:before="0" w:after="283"/>
              <w:jc w:val="left"/>
              <w:rPr/>
            </w:pPr>
            <w:r>
              <w:rPr/>
              <w:t>$</w:t>
            </w:r>
          </w:p>
        </w:tc>
        <w:tc>
          <w:tcPr>
            <w:tcW w:w="848" w:type="dxa"/>
            <w:tcBorders/>
            <w:shd w:fill="E5FFFF" w:val="clear"/>
            <w:vAlign w:val="center"/>
          </w:tcPr>
          <w:p>
            <w:pPr>
              <w:pStyle w:val="TableContents"/>
              <w:bidi w:val="0"/>
              <w:spacing w:before="0" w:after="283"/>
              <w:jc w:val="right"/>
              <w:rPr/>
            </w:pPr>
            <w:r>
              <w:rPr/>
              <w:t>158,563</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w:t>
            </w:r>
          </w:p>
        </w:tc>
        <w:tc>
          <w:tcPr>
            <w:tcW w:w="820" w:type="dxa"/>
            <w:tcBorders/>
            <w:shd w:fill="E5FFFF" w:val="clear"/>
            <w:vAlign w:val="center"/>
          </w:tcPr>
          <w:p>
            <w:pPr>
              <w:pStyle w:val="TableContents"/>
              <w:bidi w:val="0"/>
              <w:spacing w:before="0" w:after="283"/>
              <w:jc w:val="right"/>
              <w:rPr/>
            </w:pPr>
            <w:r>
              <w:rPr/>
              <w:t>324,992</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w:t>
            </w:r>
          </w:p>
        </w:tc>
        <w:tc>
          <w:tcPr>
            <w:tcW w:w="820" w:type="dxa"/>
            <w:tcBorders/>
            <w:shd w:fill="E5FFFF" w:val="clear"/>
            <w:vAlign w:val="center"/>
          </w:tcPr>
          <w:p>
            <w:pPr>
              <w:pStyle w:val="TableContents"/>
              <w:bidi w:val="0"/>
              <w:spacing w:before="0" w:after="283"/>
              <w:jc w:val="right"/>
              <w:rPr/>
            </w:pPr>
            <w:r>
              <w:rPr/>
              <w:t>316,903</w:t>
            </w:r>
          </w:p>
        </w:tc>
        <w:tc>
          <w:tcPr>
            <w:tcW w:w="79" w:type="dxa"/>
            <w:tcBorders/>
            <w:shd w:fill="E5FFFF"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pPr>
            <w:r>
              <w:rPr/>
              <w:t>Production tax credit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18,410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25,959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5766" w:type="dxa"/>
            <w:tcBorders/>
            <w:shd w:fill="E5FFFF" w:val="clear"/>
            <w:vAlign w:val="center"/>
          </w:tcPr>
          <w:p>
            <w:pPr>
              <w:pStyle w:val="TableContents"/>
              <w:bidi w:val="0"/>
              <w:spacing w:before="0" w:after="283"/>
              <w:jc w:val="left"/>
              <w:rPr/>
            </w:pPr>
            <w:r>
              <w:rPr/>
              <w:t>Cost of sales</w:t>
            </w:r>
          </w:p>
        </w:tc>
        <w:tc>
          <w:tcPr>
            <w:tcW w:w="60"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70" w:type="dxa"/>
            <w:tcBorders>
              <w:bottom w:val="single" w:sz="2" w:space="0" w:color="000000"/>
            </w:tcBorders>
            <w:shd w:fill="E5FFFF" w:val="clear"/>
            <w:tcMar>
              <w:bottom w:w="28" w:type="dxa"/>
            </w:tcMar>
            <w:vAlign w:val="center"/>
          </w:tcPr>
          <w:p>
            <w:pPr>
              <w:pStyle w:val="TableContents"/>
              <w:bidi w:val="0"/>
              <w:spacing w:before="0" w:after="283"/>
              <w:jc w:val="right"/>
              <w:rPr/>
            </w:pPr>
            <w:r>
              <w:rPr/>
              <w:t>133,603</w:t>
            </w:r>
          </w:p>
        </w:tc>
        <w:tc>
          <w:tcPr>
            <w:tcW w:w="63" w:type="dxa"/>
            <w:tcBorders/>
            <w:shd w:fill="E5FFFF" w:val="clear"/>
            <w:vAlign w:val="center"/>
          </w:tcPr>
          <w:p>
            <w:pPr>
              <w:pStyle w:val="TableContents"/>
              <w:bidi w:val="0"/>
              <w:spacing w:before="0" w:after="283"/>
              <w:jc w:val="left"/>
              <w:rPr/>
            </w:pPr>
            <w:r>
              <w:rPr/>
              <w:t> </w:t>
            </w:r>
          </w:p>
        </w:tc>
        <w:tc>
          <w:tcPr>
            <w:tcW w:w="63"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48" w:type="dxa"/>
            <w:tcBorders>
              <w:bottom w:val="single" w:sz="2" w:space="0" w:color="000000"/>
            </w:tcBorders>
            <w:shd w:fill="E5FFFF" w:val="clear"/>
            <w:tcMar>
              <w:bottom w:w="28" w:type="dxa"/>
            </w:tcMar>
            <w:vAlign w:val="center"/>
          </w:tcPr>
          <w:p>
            <w:pPr>
              <w:pStyle w:val="TableContents"/>
              <w:bidi w:val="0"/>
              <w:spacing w:before="0" w:after="283"/>
              <w:jc w:val="right"/>
              <w:rPr/>
            </w:pPr>
            <w:r>
              <w:rPr/>
              <w:t>144,244</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268,580</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288,242</w:t>
            </w:r>
          </w:p>
        </w:tc>
        <w:tc>
          <w:tcPr>
            <w:tcW w:w="79" w:type="dxa"/>
            <w:tcBorders/>
            <w:shd w:fill="E5FFFF"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53,300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14,319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82,371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28,661</w:t>
            </w:r>
          </w:p>
        </w:tc>
        <w:tc>
          <w:tcPr>
            <w:tcW w:w="79" w:type="dxa"/>
            <w:tcBorders/>
            <w:shd w:fill="FFFFFF" w:val="clear"/>
            <w:vAlign w:val="center"/>
          </w:tcPr>
          <w:p>
            <w:pPr>
              <w:pStyle w:val="TableContents"/>
              <w:bidi w:val="0"/>
              <w:spacing w:before="0" w:after="283"/>
              <w:jc w:val="left"/>
              <w:rPr/>
            </w:pPr>
            <w:r>
              <w:rPr/>
              <w:t> </w:t>
            </w:r>
          </w:p>
        </w:tc>
      </w:tr>
      <w:tr>
        <w:trPr/>
        <w:tc>
          <w:tcPr>
            <w:tcW w:w="5766" w:type="dxa"/>
            <w:tcBorders/>
            <w:shd w:fill="E5FFFF" w:val="clear"/>
            <w:vAlign w:val="center"/>
          </w:tcPr>
          <w:p>
            <w:pPr>
              <w:pStyle w:val="TableContents"/>
              <w:bidi w:val="0"/>
              <w:spacing w:before="0" w:after="283"/>
              <w:jc w:val="left"/>
              <w:rPr/>
            </w:pPr>
            <w:r>
              <w:rPr/>
              <w:t>Selling, general and administrative expenses</w:t>
            </w:r>
          </w:p>
        </w:tc>
        <w:tc>
          <w:tcPr>
            <w:tcW w:w="60" w:type="dxa"/>
            <w:tcBorders/>
            <w:shd w:fill="E5FFFF" w:val="clear"/>
            <w:vAlign w:val="center"/>
          </w:tcPr>
          <w:p>
            <w:pPr>
              <w:pStyle w:val="TableContents"/>
              <w:bidi w:val="0"/>
              <w:spacing w:before="0" w:after="283"/>
              <w:jc w:val="left"/>
              <w:rPr/>
            </w:pPr>
            <w:r>
              <w:rPr/>
              <w:t> </w:t>
            </w:r>
          </w:p>
        </w:tc>
        <w:tc>
          <w:tcPr>
            <w:tcW w:w="148" w:type="dxa"/>
            <w:tcBorders/>
            <w:shd w:fill="E5FFFF" w:val="clear"/>
            <w:vAlign w:val="center"/>
          </w:tcPr>
          <w:p>
            <w:pPr>
              <w:pStyle w:val="TableContents"/>
              <w:bidi w:val="0"/>
              <w:spacing w:before="0" w:after="283"/>
              <w:jc w:val="left"/>
              <w:rPr/>
            </w:pPr>
            <w:r>
              <w:rPr/>
              <w:t> </w:t>
            </w:r>
          </w:p>
        </w:tc>
        <w:tc>
          <w:tcPr>
            <w:tcW w:w="870" w:type="dxa"/>
            <w:tcBorders/>
            <w:shd w:fill="E5FFFF" w:val="clear"/>
            <w:vAlign w:val="center"/>
          </w:tcPr>
          <w:p>
            <w:pPr>
              <w:pStyle w:val="TableContents"/>
              <w:bidi w:val="0"/>
              <w:spacing w:before="0" w:after="283"/>
              <w:jc w:val="right"/>
              <w:rPr/>
            </w:pPr>
            <w:r>
              <w:rPr/>
              <w:t>(15,622)</w:t>
            </w:r>
          </w:p>
        </w:tc>
        <w:tc>
          <w:tcPr>
            <w:tcW w:w="63" w:type="dxa"/>
            <w:tcBorders/>
            <w:shd w:fill="E5FFFF" w:val="clear"/>
            <w:vAlign w:val="center"/>
          </w:tcPr>
          <w:p>
            <w:pPr>
              <w:pStyle w:val="TableContents"/>
              <w:bidi w:val="0"/>
              <w:spacing w:before="0" w:after="283"/>
              <w:jc w:val="left"/>
              <w:rPr/>
            </w:pPr>
            <w:r>
              <w:rPr/>
              <w:t> </w:t>
            </w:r>
          </w:p>
        </w:tc>
        <w:tc>
          <w:tcPr>
            <w:tcW w:w="63" w:type="dxa"/>
            <w:tcBorders/>
            <w:shd w:fill="E5FFFF" w:val="clear"/>
            <w:vAlign w:val="center"/>
          </w:tcPr>
          <w:p>
            <w:pPr>
              <w:pStyle w:val="TableContents"/>
              <w:bidi w:val="0"/>
              <w:spacing w:before="0" w:after="283"/>
              <w:jc w:val="left"/>
              <w:rPr/>
            </w:pPr>
            <w:r>
              <w:rPr/>
              <w:t> </w:t>
            </w:r>
          </w:p>
        </w:tc>
        <w:tc>
          <w:tcPr>
            <w:tcW w:w="148" w:type="dxa"/>
            <w:tcBorders/>
            <w:shd w:fill="E5FFFF" w:val="clear"/>
            <w:vAlign w:val="center"/>
          </w:tcPr>
          <w:p>
            <w:pPr>
              <w:pStyle w:val="TableContents"/>
              <w:bidi w:val="0"/>
              <w:spacing w:before="0" w:after="283"/>
              <w:jc w:val="left"/>
              <w:rPr/>
            </w:pPr>
            <w:r>
              <w:rPr/>
              <w:t> </w:t>
            </w:r>
          </w:p>
        </w:tc>
        <w:tc>
          <w:tcPr>
            <w:tcW w:w="848" w:type="dxa"/>
            <w:tcBorders/>
            <w:shd w:fill="E5FFFF" w:val="clear"/>
            <w:vAlign w:val="center"/>
          </w:tcPr>
          <w:p>
            <w:pPr>
              <w:pStyle w:val="TableContents"/>
              <w:bidi w:val="0"/>
              <w:spacing w:before="0" w:after="283"/>
              <w:jc w:val="right"/>
              <w:rPr/>
            </w:pPr>
            <w:r>
              <w:rPr/>
              <w:t>(6,201)</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20" w:type="dxa"/>
            <w:tcBorders/>
            <w:shd w:fill="E5FFFF" w:val="clear"/>
            <w:vAlign w:val="center"/>
          </w:tcPr>
          <w:p>
            <w:pPr>
              <w:pStyle w:val="TableContents"/>
              <w:bidi w:val="0"/>
              <w:spacing w:before="0" w:after="283"/>
              <w:jc w:val="right"/>
              <w:rPr/>
            </w:pPr>
            <w:r>
              <w:rPr/>
              <w:t>(25,350)</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20" w:type="dxa"/>
            <w:tcBorders/>
            <w:shd w:fill="E5FFFF" w:val="clear"/>
            <w:vAlign w:val="center"/>
          </w:tcPr>
          <w:p>
            <w:pPr>
              <w:pStyle w:val="TableContents"/>
              <w:bidi w:val="0"/>
              <w:spacing w:before="0" w:after="283"/>
              <w:jc w:val="right"/>
              <w:rPr/>
            </w:pPr>
            <w:r>
              <w:rPr/>
              <w:t>(12,145)</w:t>
            </w:r>
          </w:p>
        </w:tc>
        <w:tc>
          <w:tcPr>
            <w:tcW w:w="79" w:type="dxa"/>
            <w:tcBorders/>
            <w:shd w:fill="E5FFFF"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pPr>
            <w:r>
              <w:rPr/>
              <w:t>Equity in income of unconsolidated affiliates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7,195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10,761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1,897</w:t>
            </w:r>
          </w:p>
        </w:tc>
        <w:tc>
          <w:tcPr>
            <w:tcW w:w="79" w:type="dxa"/>
            <w:tcBorders/>
            <w:shd w:fill="FFFFFF" w:val="clear"/>
            <w:vAlign w:val="center"/>
          </w:tcPr>
          <w:p>
            <w:pPr>
              <w:pStyle w:val="TableContents"/>
              <w:bidi w:val="0"/>
              <w:spacing w:before="0" w:after="283"/>
              <w:jc w:val="left"/>
              <w:rPr/>
            </w:pPr>
            <w:r>
              <w:rPr/>
              <w:t> </w:t>
            </w:r>
          </w:p>
        </w:tc>
      </w:tr>
      <w:tr>
        <w:trPr/>
        <w:tc>
          <w:tcPr>
            <w:tcW w:w="5766" w:type="dxa"/>
            <w:tcBorders/>
            <w:shd w:fill="E5FFFF" w:val="clear"/>
            <w:vAlign w:val="center"/>
          </w:tcPr>
          <w:p>
            <w:pPr>
              <w:pStyle w:val="TableContents"/>
              <w:bidi w:val="0"/>
              <w:spacing w:before="0" w:after="283"/>
              <w:jc w:val="left"/>
              <w:rPr/>
            </w:pPr>
            <w:r>
              <w:rPr/>
              <w:t>Interest and other income, net</w:t>
            </w:r>
          </w:p>
        </w:tc>
        <w:tc>
          <w:tcPr>
            <w:tcW w:w="60"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70" w:type="dxa"/>
            <w:tcBorders>
              <w:bottom w:val="single" w:sz="2" w:space="0" w:color="000000"/>
            </w:tcBorders>
            <w:shd w:fill="E5FFFF" w:val="clear"/>
            <w:tcMar>
              <w:bottom w:w="28" w:type="dxa"/>
            </w:tcMar>
            <w:vAlign w:val="center"/>
          </w:tcPr>
          <w:p>
            <w:pPr>
              <w:pStyle w:val="TableContents"/>
              <w:bidi w:val="0"/>
              <w:spacing w:before="0" w:after="283"/>
              <w:jc w:val="right"/>
              <w:rPr/>
            </w:pPr>
            <w:r>
              <w:rPr/>
              <w:t>3,245</w:t>
            </w:r>
          </w:p>
        </w:tc>
        <w:tc>
          <w:tcPr>
            <w:tcW w:w="63" w:type="dxa"/>
            <w:tcBorders/>
            <w:shd w:fill="E5FFFF" w:val="clear"/>
            <w:vAlign w:val="center"/>
          </w:tcPr>
          <w:p>
            <w:pPr>
              <w:pStyle w:val="TableContents"/>
              <w:bidi w:val="0"/>
              <w:spacing w:before="0" w:after="283"/>
              <w:jc w:val="left"/>
              <w:rPr/>
            </w:pPr>
            <w:r>
              <w:rPr/>
              <w:t> </w:t>
            </w:r>
          </w:p>
        </w:tc>
        <w:tc>
          <w:tcPr>
            <w:tcW w:w="63"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48" w:type="dxa"/>
            <w:tcBorders>
              <w:bottom w:val="single" w:sz="2" w:space="0" w:color="000000"/>
            </w:tcBorders>
            <w:shd w:fill="E5FFFF" w:val="clear"/>
            <w:tcMar>
              <w:bottom w:w="28" w:type="dxa"/>
            </w:tcMar>
            <w:vAlign w:val="center"/>
          </w:tcPr>
          <w:p>
            <w:pPr>
              <w:pStyle w:val="TableContents"/>
              <w:bidi w:val="0"/>
              <w:spacing w:before="0" w:after="283"/>
              <w:jc w:val="right"/>
              <w:rPr/>
            </w:pPr>
            <w:r>
              <w:rPr/>
              <w:t>3,088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6,451</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7,310</w:t>
            </w:r>
          </w:p>
        </w:tc>
        <w:tc>
          <w:tcPr>
            <w:tcW w:w="79" w:type="dxa"/>
            <w:tcBorders/>
            <w:shd w:fill="E5FFFF"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48,118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12,097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74,233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25,723</w:t>
            </w:r>
          </w:p>
        </w:tc>
        <w:tc>
          <w:tcPr>
            <w:tcW w:w="79" w:type="dxa"/>
            <w:tcBorders/>
            <w:shd w:fill="FFFFFF" w:val="clear"/>
            <w:vAlign w:val="center"/>
          </w:tcPr>
          <w:p>
            <w:pPr>
              <w:pStyle w:val="TableContents"/>
              <w:bidi w:val="0"/>
              <w:spacing w:before="0" w:after="283"/>
              <w:jc w:val="left"/>
              <w:rPr/>
            </w:pPr>
            <w:r>
              <w:rPr/>
              <w:t> </w:t>
            </w:r>
          </w:p>
        </w:tc>
      </w:tr>
      <w:tr>
        <w:trPr/>
        <w:tc>
          <w:tcPr>
            <w:tcW w:w="5766" w:type="dxa"/>
            <w:tcBorders/>
            <w:shd w:fill="E5FFFF" w:val="clear"/>
            <w:vAlign w:val="center"/>
          </w:tcPr>
          <w:p>
            <w:pPr>
              <w:pStyle w:val="TableContents"/>
              <w:bidi w:val="0"/>
              <w:spacing w:before="0" w:after="283"/>
              <w:jc w:val="left"/>
              <w:rPr/>
            </w:pPr>
            <w:r>
              <w:rPr/>
              <w:t>Provision for income taxes</w:t>
            </w:r>
          </w:p>
        </w:tc>
        <w:tc>
          <w:tcPr>
            <w:tcW w:w="60"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70" w:type="dxa"/>
            <w:tcBorders>
              <w:bottom w:val="single" w:sz="2" w:space="0" w:color="000000"/>
            </w:tcBorders>
            <w:shd w:fill="E5FFFF" w:val="clear"/>
            <w:tcMar>
              <w:bottom w:w="28" w:type="dxa"/>
            </w:tcMar>
            <w:vAlign w:val="center"/>
          </w:tcPr>
          <w:p>
            <w:pPr>
              <w:pStyle w:val="TableContents"/>
              <w:bidi w:val="0"/>
              <w:spacing w:before="0" w:after="283"/>
              <w:jc w:val="right"/>
              <w:rPr/>
            </w:pPr>
            <w:r>
              <w:rPr/>
              <w:t>(7,472)</w:t>
            </w:r>
          </w:p>
        </w:tc>
        <w:tc>
          <w:tcPr>
            <w:tcW w:w="63" w:type="dxa"/>
            <w:tcBorders/>
            <w:shd w:fill="E5FFFF" w:val="clear"/>
            <w:vAlign w:val="center"/>
          </w:tcPr>
          <w:p>
            <w:pPr>
              <w:pStyle w:val="TableContents"/>
              <w:bidi w:val="0"/>
              <w:spacing w:before="0" w:after="283"/>
              <w:jc w:val="left"/>
              <w:rPr/>
            </w:pPr>
            <w:r>
              <w:rPr/>
              <w:t> </w:t>
            </w:r>
          </w:p>
        </w:tc>
        <w:tc>
          <w:tcPr>
            <w:tcW w:w="63"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48" w:type="dxa"/>
            <w:tcBorders>
              <w:bottom w:val="single" w:sz="2" w:space="0" w:color="000000"/>
            </w:tcBorders>
            <w:shd w:fill="E5FFFF" w:val="clear"/>
            <w:tcMar>
              <w:bottom w:w="28" w:type="dxa"/>
            </w:tcMar>
            <w:vAlign w:val="center"/>
          </w:tcPr>
          <w:p>
            <w:pPr>
              <w:pStyle w:val="TableContents"/>
              <w:bidi w:val="0"/>
              <w:spacing w:before="0" w:after="283"/>
              <w:jc w:val="right"/>
              <w:rPr/>
            </w:pPr>
            <w:r>
              <w:rPr/>
              <w:t>(2,769)</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(11,909)</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(5,723)</w:t>
            </w:r>
          </w:p>
        </w:tc>
        <w:tc>
          <w:tcPr>
            <w:tcW w:w="79" w:type="dxa"/>
            <w:tcBorders/>
            <w:shd w:fill="E5FFFF"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pPr>
            <w:r>
              <w:rPr/>
              <w:t>40,646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right"/>
              <w:rPr/>
            </w:pPr>
            <w:r>
              <w:rPr/>
              <w:t>9,328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62,324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20,000</w:t>
            </w:r>
          </w:p>
        </w:tc>
        <w:tc>
          <w:tcPr>
            <w:tcW w:w="79" w:type="dxa"/>
            <w:tcBorders/>
            <w:shd w:fill="FFFFFF" w:val="clear"/>
            <w:vAlign w:val="center"/>
          </w:tcPr>
          <w:p>
            <w:pPr>
              <w:pStyle w:val="TableContents"/>
              <w:bidi w:val="0"/>
              <w:spacing w:before="0" w:after="283"/>
              <w:jc w:val="left"/>
              <w:rPr/>
            </w:pPr>
            <w:r>
              <w:rPr/>
              <w:t> </w:t>
            </w:r>
          </w:p>
        </w:tc>
      </w:tr>
      <w:tr>
        <w:trPr/>
        <w:tc>
          <w:tcPr>
            <w:tcW w:w="5766" w:type="dxa"/>
            <w:tcBorders/>
            <w:shd w:fill="E5FFFF" w:val="clear"/>
            <w:vAlign w:val="center"/>
          </w:tcPr>
          <w:p>
            <w:pPr>
              <w:pStyle w:val="TableContents"/>
              <w:bidi w:val="0"/>
              <w:spacing w:before="0" w:after="283"/>
              <w:jc w:val="left"/>
              <w:rPr/>
            </w:pPr>
            <w:r>
              <w:rPr/>
              <w:t>Net income attributable to noncontrolling interests</w:t>
            </w:r>
          </w:p>
        </w:tc>
        <w:tc>
          <w:tcPr>
            <w:tcW w:w="60"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70" w:type="dxa"/>
            <w:tcBorders>
              <w:bottom w:val="single" w:sz="2" w:space="0" w:color="000000"/>
            </w:tcBorders>
            <w:shd w:fill="E5FFFF" w:val="clear"/>
            <w:tcMar>
              <w:bottom w:w="28" w:type="dxa"/>
            </w:tcMar>
            <w:vAlign w:val="center"/>
          </w:tcPr>
          <w:p>
            <w:pPr>
              <w:pStyle w:val="TableContents"/>
              <w:bidi w:val="0"/>
              <w:spacing w:before="0" w:after="283"/>
              <w:jc w:val="right"/>
              <w:rPr/>
            </w:pPr>
            <w:r>
              <w:rPr/>
              <w:t>(5,702)</w:t>
            </w:r>
          </w:p>
        </w:tc>
        <w:tc>
          <w:tcPr>
            <w:tcW w:w="63" w:type="dxa"/>
            <w:tcBorders/>
            <w:shd w:fill="E5FFFF" w:val="clear"/>
            <w:vAlign w:val="center"/>
          </w:tcPr>
          <w:p>
            <w:pPr>
              <w:pStyle w:val="TableContents"/>
              <w:bidi w:val="0"/>
              <w:spacing w:before="0" w:after="283"/>
              <w:jc w:val="left"/>
              <w:rPr/>
            </w:pPr>
            <w:r>
              <w:rPr/>
              <w:t> </w:t>
            </w:r>
          </w:p>
        </w:tc>
        <w:tc>
          <w:tcPr>
            <w:tcW w:w="63" w:type="dxa"/>
            <w:tcBorders/>
            <w:shd w:fill="E5FFFF" w:val="clear"/>
            <w:vAlign w:val="center"/>
          </w:tcPr>
          <w:p>
            <w:pPr>
              <w:pStyle w:val="TableContents"/>
              <w:bidi w:val="0"/>
              <w:spacing w:before="0" w:after="283"/>
              <w:jc w:val="left"/>
              <w:rPr/>
            </w:pPr>
            <w:r>
              <w:rPr/>
              <w:t> </w:t>
            </w:r>
          </w:p>
        </w:tc>
        <w:tc>
          <w:tcPr>
            <w:tcW w:w="148"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48" w:type="dxa"/>
            <w:tcBorders>
              <w:bottom w:val="single" w:sz="2" w:space="0" w:color="000000"/>
            </w:tcBorders>
            <w:shd w:fill="E5FFFF" w:val="clear"/>
            <w:tcMar>
              <w:bottom w:w="28" w:type="dxa"/>
            </w:tcMar>
            <w:vAlign w:val="center"/>
          </w:tcPr>
          <w:p>
            <w:pPr>
              <w:pStyle w:val="TableContents"/>
              <w:bidi w:val="0"/>
              <w:spacing w:before="0" w:after="283"/>
              <w:jc w:val="right"/>
              <w:rPr/>
            </w:pPr>
            <w:r>
              <w:rPr/>
              <w:t>(2,217)</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(8,928)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single" w:sz="2" w:space="0" w:color="000000"/>
            </w:tcBorders>
            <w:shd w:fill="E5FFFF" w:val="clear"/>
            <w:tcMar>
              <w:bottom w:w="28" w:type="dxa"/>
            </w:tcMar>
            <w:vAlign w:val="center"/>
          </w:tcPr>
          <w:p>
            <w:pPr>
              <w:pStyle w:val="TableContents"/>
              <w:bidi w:val="0"/>
              <w:spacing w:before="0" w:after="283"/>
              <w:jc w:val="right"/>
              <w:rPr/>
            </w:pPr>
            <w:r>
              <w:rPr/>
              <w:t>(4,211)</w:t>
            </w:r>
          </w:p>
        </w:tc>
        <w:tc>
          <w:tcPr>
            <w:tcW w:w="79" w:type="dxa"/>
            <w:tcBorders/>
            <w:shd w:fill="E5FFFF" w:val="clear"/>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pPr>
            <w:r>
              <w:rPr/>
              <w:t>Net income attributable to REX common shareholders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pPr>
            <w:r>
              <w:rPr/>
              <w:t>34,944</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pPr>
            <w:r>
              <w:rPr/>
              <w:t>7,111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53,396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15,789</w:t>
            </w:r>
          </w:p>
        </w:tc>
        <w:tc>
          <w:tcPr>
            <w:tcW w:w="79" w:type="dxa"/>
            <w:tcBorders/>
            <w:shd w:fill="FFFFFF" w:val="clear"/>
            <w:vAlign w:val="center"/>
          </w:tcPr>
          <w:p>
            <w:pPr>
              <w:pStyle w:val="TableContents"/>
              <w:bidi w:val="0"/>
              <w:spacing w:before="0" w:after="283"/>
              <w:jc w:val="left"/>
              <w:rPr/>
            </w:pPr>
            <w:r>
              <w:rPr/>
              <w:t> </w:t>
            </w:r>
          </w:p>
        </w:tc>
      </w:tr>
      <w:tr>
        <w:trPr/>
        <w:tc>
          <w:tcPr>
            <w:tcW w:w="5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5766" w:type="dxa"/>
            <w:tcBorders/>
            <w:shd w:fill="E5FFFF" w:val="clear"/>
            <w:vAlign w:val="center"/>
          </w:tcPr>
          <w:p>
            <w:pPr>
              <w:pStyle w:val="TableContents"/>
              <w:bidi w:val="0"/>
              <w:spacing w:before="0" w:after="283"/>
              <w:jc w:val="left"/>
              <w:rPr/>
            </w:pPr>
            <w:r>
              <w:rPr/>
              <w:t>Weighted average shares outstanding – basic and diluted</w:t>
            </w:r>
          </w:p>
        </w:tc>
        <w:tc>
          <w:tcPr>
            <w:tcW w:w="60" w:type="dxa"/>
            <w:tcBorders/>
            <w:shd w:fill="E5FFFF" w:val="clear"/>
            <w:vAlign w:val="center"/>
          </w:tcPr>
          <w:p>
            <w:pPr>
              <w:pStyle w:val="TableContents"/>
              <w:bidi w:val="0"/>
              <w:spacing w:before="0" w:after="283"/>
              <w:jc w:val="left"/>
              <w:rPr/>
            </w:pPr>
            <w:r>
              <w:rPr/>
              <w:t> </w:t>
            </w:r>
          </w:p>
        </w:tc>
        <w:tc>
          <w:tcPr>
            <w:tcW w:w="148"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70" w:type="dxa"/>
            <w:tcBorders>
              <w:bottom w:val="double" w:sz="6" w:space="0" w:color="000000"/>
            </w:tcBorders>
            <w:shd w:fill="E5FFFF" w:val="clear"/>
            <w:tcMar>
              <w:bottom w:w="28" w:type="dxa"/>
            </w:tcMar>
            <w:vAlign w:val="center"/>
          </w:tcPr>
          <w:p>
            <w:pPr>
              <w:pStyle w:val="TableContents"/>
              <w:bidi w:val="0"/>
              <w:spacing w:before="0" w:after="283"/>
              <w:jc w:val="right"/>
              <w:rPr/>
            </w:pPr>
            <w:r>
              <w:rPr/>
              <w:t>33,090</w:t>
            </w:r>
          </w:p>
        </w:tc>
        <w:tc>
          <w:tcPr>
            <w:tcW w:w="63" w:type="dxa"/>
            <w:tcBorders/>
            <w:shd w:fill="E5FFFF" w:val="clear"/>
            <w:vAlign w:val="center"/>
          </w:tcPr>
          <w:p>
            <w:pPr>
              <w:pStyle w:val="TableContents"/>
              <w:bidi w:val="0"/>
              <w:spacing w:before="0" w:after="283"/>
              <w:jc w:val="left"/>
              <w:rPr/>
            </w:pPr>
            <w:r>
              <w:rPr/>
              <w:t> </w:t>
            </w:r>
          </w:p>
        </w:tc>
        <w:tc>
          <w:tcPr>
            <w:tcW w:w="63" w:type="dxa"/>
            <w:tcBorders/>
            <w:shd w:fill="E5FFFF" w:val="clear"/>
            <w:vAlign w:val="center"/>
          </w:tcPr>
          <w:p>
            <w:pPr>
              <w:pStyle w:val="TableContents"/>
              <w:bidi w:val="0"/>
              <w:spacing w:before="0" w:after="283"/>
              <w:jc w:val="left"/>
              <w:rPr/>
            </w:pPr>
            <w:r>
              <w:rPr/>
              <w:t> </w:t>
            </w:r>
          </w:p>
        </w:tc>
        <w:tc>
          <w:tcPr>
            <w:tcW w:w="148"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48" w:type="dxa"/>
            <w:tcBorders>
              <w:bottom w:val="double" w:sz="6" w:space="0" w:color="000000"/>
            </w:tcBorders>
            <w:shd w:fill="E5FFFF" w:val="clear"/>
            <w:tcMar>
              <w:bottom w:w="28" w:type="dxa"/>
            </w:tcMar>
            <w:vAlign w:val="center"/>
          </w:tcPr>
          <w:p>
            <w:pPr>
              <w:pStyle w:val="TableContents"/>
              <w:bidi w:val="0"/>
              <w:spacing w:before="0" w:after="283"/>
              <w:jc w:val="right"/>
              <w:rPr/>
            </w:pPr>
            <w:r>
              <w:rPr/>
              <w:t>33,010</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double" w:sz="6" w:space="0" w:color="000000"/>
            </w:tcBorders>
            <w:shd w:fill="E5FFFF" w:val="clear"/>
            <w:tcMar>
              <w:bottom w:w="28" w:type="dxa"/>
            </w:tcMar>
            <w:vAlign w:val="center"/>
          </w:tcPr>
          <w:p>
            <w:pPr>
              <w:pStyle w:val="TableContents"/>
              <w:bidi w:val="0"/>
              <w:spacing w:before="0" w:after="283"/>
              <w:jc w:val="right"/>
              <w:rPr/>
            </w:pPr>
            <w:r>
              <w:rPr/>
              <w:t>33,019</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 </w:t>
            </w:r>
          </w:p>
        </w:tc>
        <w:tc>
          <w:tcPr>
            <w:tcW w:w="820" w:type="dxa"/>
            <w:tcBorders>
              <w:bottom w:val="double" w:sz="6" w:space="0" w:color="000000"/>
            </w:tcBorders>
            <w:shd w:fill="E5FFFF" w:val="clear"/>
            <w:tcMar>
              <w:bottom w:w="28" w:type="dxa"/>
            </w:tcMar>
            <w:vAlign w:val="center"/>
          </w:tcPr>
          <w:p>
            <w:pPr>
              <w:pStyle w:val="TableContents"/>
              <w:bidi w:val="0"/>
              <w:spacing w:before="0" w:after="283"/>
              <w:jc w:val="right"/>
              <w:rPr/>
            </w:pPr>
            <w:r>
              <w:rPr/>
              <w:t>33,388</w:t>
            </w:r>
          </w:p>
        </w:tc>
        <w:tc>
          <w:tcPr>
            <w:tcW w:w="79" w:type="dxa"/>
            <w:tcBorders/>
            <w:shd w:fill="E5FFFF" w:val="clear"/>
            <w:vAlign w:val="center"/>
          </w:tcPr>
          <w:p>
            <w:pPr>
              <w:pStyle w:val="TableContents"/>
              <w:bidi w:val="0"/>
              <w:spacing w:before="0" w:after="283"/>
              <w:jc w:val="left"/>
              <w:rPr/>
            </w:pPr>
            <w:r>
              <w:rPr/>
              <w:t> </w:t>
            </w:r>
          </w:p>
        </w:tc>
      </w:tr>
      <w:tr>
        <w:trPr/>
        <w:tc>
          <w:tcPr>
            <w:tcW w:w="57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70" w:type="dxa"/>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20" w:type="dxa"/>
            <w:tcBorders/>
            <w:vAlign w:val="center"/>
          </w:tcPr>
          <w:p>
            <w:pPr>
              <w:pStyle w:val="TableContents"/>
              <w:bidi w:val="0"/>
              <w:spacing w:before="0" w:after="283"/>
              <w:jc w:val="right"/>
              <w:rPr/>
            </w:pPr>
            <w:r>
              <w:rPr/>
              <w:t> </w:t>
            </w:r>
          </w:p>
        </w:tc>
        <w:tc>
          <w:tcPr>
            <w:tcW w:w="79" w:type="dxa"/>
            <w:tcBorders/>
            <w:vAlign w:val="center"/>
          </w:tcPr>
          <w:p>
            <w:pPr>
              <w:pStyle w:val="TableContents"/>
              <w:bidi w:val="0"/>
              <w:spacing w:before="0" w:after="283"/>
              <w:jc w:val="left"/>
              <w:rPr/>
            </w:pPr>
            <w:r>
              <w:rPr/>
              <w:t> </w:t>
            </w:r>
          </w:p>
        </w:tc>
      </w:tr>
      <w:tr>
        <w:trPr/>
        <w:tc>
          <w:tcPr>
            <w:tcW w:w="5766" w:type="dxa"/>
            <w:tcBorders/>
            <w:shd w:fill="FFFFFF" w:val="clear"/>
            <w:vAlign w:val="center"/>
          </w:tcPr>
          <w:p>
            <w:pPr>
              <w:pStyle w:val="TableContents"/>
              <w:bidi w:val="0"/>
              <w:spacing w:before="0" w:after="283"/>
              <w:jc w:val="left"/>
              <w:rPr/>
            </w:pPr>
            <w:r>
              <w:rPr/>
              <w:t>Basic and diluted net income per share attributable to REX common shareholders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jc w:val="right"/>
              <w:rPr/>
            </w:pPr>
            <w:r>
              <w:rPr/>
              <w:t>1.06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jc w:val="right"/>
              <w:rPr/>
            </w:pPr>
            <w:r>
              <w:rPr/>
              <w:t>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0" w:type="dxa"/>
            <w:tcBorders>
              <w:bottom w:val="double" w:sz="6" w:space="0" w:color="000000"/>
            </w:tcBorders>
            <w:shd w:fill="FFFFFF" w:val="clear"/>
            <w:tcMar>
              <w:bottom w:w="28" w:type="dxa"/>
            </w:tcMar>
            <w:vAlign w:val="center"/>
          </w:tcPr>
          <w:p>
            <w:pPr>
              <w:pStyle w:val="TableContents"/>
              <w:bidi w:val="0"/>
              <w:spacing w:before="0" w:after="283"/>
              <w:jc w:val="right"/>
              <w:rPr/>
            </w:pPr>
            <w:r>
              <w:rPr/>
              <w:t>0.47</w:t>
            </w:r>
          </w:p>
        </w:tc>
        <w:tc>
          <w:tcPr>
            <w:tcW w:w="79" w:type="dxa"/>
            <w:tcBorders/>
            <w:shd w:fill="FFFFFF" w:val="clear"/>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2066925" cy="638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66925"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REX AMERICAN RESOURCES CORPORATION AND SUBSIDIARIES</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Balance Sheets</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 xml:space="preserve">(in thousands) </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Unaudited</w:t>
      </w:r>
    </w:p>
    <w:p>
      <w:pPr>
        <w:pStyle w:val="TextBody"/>
        <w:bidi w:val="0"/>
        <w:jc w:val="left"/>
        <w:rPr>
          <w:caps w:val="false"/>
          <w:smallCaps w:val="false"/>
        </w:rPr>
      </w:pPr>
      <w:r>
        <w:rPr>
          <w:caps w:val="false"/>
          <w:smallCaps w:val="false"/>
        </w:rPr>
        <w:t> </w:t>
      </w:r>
    </w:p>
    <w:tbl>
      <w:tblPr>
        <w:tblW w:w="6755" w:type="dxa"/>
        <w:jc w:val="left"/>
        <w:tblInd w:w="0" w:type="dxa"/>
        <w:tblLayout w:type="fixed"/>
        <w:tblCellMar>
          <w:top w:w="0" w:type="dxa"/>
          <w:left w:w="0" w:type="dxa"/>
          <w:bottom w:w="0" w:type="dxa"/>
          <w:right w:w="0" w:type="dxa"/>
        </w:tblCellMar>
      </w:tblPr>
      <w:tblGrid>
        <w:gridCol w:w="4325"/>
        <w:gridCol w:w="60"/>
        <w:gridCol w:w="140"/>
        <w:gridCol w:w="800"/>
        <w:gridCol w:w="60"/>
        <w:gridCol w:w="60"/>
        <w:gridCol w:w="183"/>
        <w:gridCol w:w="1052"/>
        <w:gridCol w:w="75"/>
      </w:tblGrid>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January 31,</w:t>
              <w:br/>
              <w:t>2026</w:t>
            </w:r>
          </w:p>
        </w:tc>
        <w:tc>
          <w:tcPr>
            <w:tcW w:w="75" w:type="dxa"/>
            <w:tcBorders/>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ASSETS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Cash and cash equivalents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w:t>
            </w:r>
          </w:p>
        </w:tc>
        <w:tc>
          <w:tcPr>
            <w:tcW w:w="800" w:type="dxa"/>
            <w:tcBorders/>
            <w:shd w:fill="E5FFFF" w:val="clear"/>
            <w:vAlign w:val="center"/>
          </w:tcPr>
          <w:p>
            <w:pPr>
              <w:pStyle w:val="TableContents"/>
              <w:bidi w:val="0"/>
              <w:spacing w:before="0" w:after="283"/>
              <w:jc w:val="right"/>
              <w:rPr/>
            </w:pPr>
            <w:r>
              <w:rPr/>
              <w:t>91,328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w:t>
            </w:r>
          </w:p>
        </w:tc>
        <w:tc>
          <w:tcPr>
            <w:tcW w:w="1052" w:type="dxa"/>
            <w:tcBorders/>
            <w:shd w:fill="E5FFFF" w:val="clear"/>
            <w:vAlign w:val="center"/>
          </w:tcPr>
          <w:p>
            <w:pPr>
              <w:pStyle w:val="TableContents"/>
              <w:bidi w:val="0"/>
              <w:spacing w:before="0" w:after="283"/>
              <w:jc w:val="right"/>
              <w:rPr/>
            </w:pPr>
            <w:r>
              <w:rPr/>
              <w:t>188,734</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288,186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187,048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Accounts receivable</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23,479</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14,682</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28,422</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Refundable income taxes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8,602</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12,374</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Prepaid expenses and 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right"/>
              <w:rPr/>
            </w:pPr>
            <w:r>
              <w:rPr/>
              <w:t>17,502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pPr>
            <w:r>
              <w:rPr/>
              <w:t>16,568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Total current assets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458,077</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447,828</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293,962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272,029</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Operating lease right-of-use assets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14,095</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17,594</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Finance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17,558</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Other assets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27,218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4,963</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Equity method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right"/>
              <w:rPr/>
            </w:pPr>
            <w:r>
              <w:rPr/>
              <w:t>46,515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pPr>
            <w:r>
              <w:rPr/>
              <w:t>37,759</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TOTAL ASSETS</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E5FFFF" w:val="clear"/>
            <w:tcMar>
              <w:bottom w:w="28" w:type="dxa"/>
            </w:tcMar>
            <w:vAlign w:val="center"/>
          </w:tcPr>
          <w:p>
            <w:pPr>
              <w:pStyle w:val="TableContents"/>
              <w:bidi w:val="0"/>
              <w:spacing w:before="0" w:after="283"/>
              <w:jc w:val="right"/>
              <w:rPr/>
            </w:pPr>
            <w:r>
              <w:rPr/>
              <w:t>856,476</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shd w:fill="E5FFFF" w:val="clear"/>
            <w:tcMar>
              <w:bottom w:w="28" w:type="dxa"/>
            </w:tcMar>
            <w:vAlign w:val="center"/>
          </w:tcPr>
          <w:p>
            <w:pPr>
              <w:pStyle w:val="TableContents"/>
              <w:bidi w:val="0"/>
              <w:spacing w:before="0" w:after="283"/>
              <w:jc w:val="right"/>
              <w:rPr/>
            </w:pPr>
            <w:r>
              <w:rPr/>
              <w:t>797,731</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CURRENT LIABILITIES: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Accounts payable – trade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36,687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w:t>
            </w:r>
          </w:p>
        </w:tc>
        <w:tc>
          <w:tcPr>
            <w:tcW w:w="1052" w:type="dxa"/>
            <w:tcBorders/>
            <w:shd w:fill="FFFFFF" w:val="clear"/>
            <w:vAlign w:val="center"/>
          </w:tcPr>
          <w:p>
            <w:pPr>
              <w:pStyle w:val="TableContents"/>
              <w:bidi w:val="0"/>
              <w:spacing w:before="0" w:after="283"/>
              <w:jc w:val="right"/>
              <w:rPr/>
            </w:pPr>
            <w:r>
              <w:rPr/>
              <w:t>38,400</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Current operating lease liabilities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7,014</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6,921</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Current 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469</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Accrued expenses and other current liabilities</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E5FFFF" w:val="clear"/>
            <w:tcMar>
              <w:bottom w:w="28" w:type="dxa"/>
            </w:tcMar>
            <w:vAlign w:val="center"/>
          </w:tcPr>
          <w:p>
            <w:pPr>
              <w:pStyle w:val="TableContents"/>
              <w:bidi w:val="0"/>
              <w:spacing w:before="0" w:after="283"/>
              <w:jc w:val="right"/>
              <w:rPr/>
            </w:pPr>
            <w:r>
              <w:rPr/>
              <w:t>22,368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E5FFFF" w:val="clear"/>
            <w:tcMar>
              <w:bottom w:w="28" w:type="dxa"/>
            </w:tcMar>
            <w:vAlign w:val="center"/>
          </w:tcPr>
          <w:p>
            <w:pPr>
              <w:pStyle w:val="TableContents"/>
              <w:bidi w:val="0"/>
              <w:spacing w:before="0" w:after="283"/>
              <w:jc w:val="right"/>
              <w:rPr/>
            </w:pPr>
            <w:r>
              <w:rPr/>
              <w:t>29,587</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right"/>
              <w:rPr/>
            </w:pPr>
            <w:r>
              <w:rPr/>
              <w:t>66,538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pPr>
            <w:r>
              <w:rPr/>
              <w:t>75,377</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LONG-TERM LIABILITIES: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4,065</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Long-term operating lease liabilities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7,730</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11,148</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Long-term 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2,731</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Other long-term liabilities</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E5FFFF" w:val="clear"/>
            <w:tcMar>
              <w:bottom w:w="28" w:type="dxa"/>
            </w:tcMar>
            <w:vAlign w:val="center"/>
          </w:tcPr>
          <w:p>
            <w:pPr>
              <w:pStyle w:val="TableContents"/>
              <w:bidi w:val="0"/>
              <w:spacing w:before="0" w:after="283"/>
              <w:jc w:val="right"/>
              <w:rPr/>
            </w:pPr>
            <w:r>
              <w:rPr/>
              <w:t>545</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E5FFFF" w:val="clear"/>
            <w:tcMar>
              <w:bottom w:w="28" w:type="dxa"/>
            </w:tcMar>
            <w:vAlign w:val="center"/>
          </w:tcPr>
          <w:p>
            <w:pPr>
              <w:pStyle w:val="TableContents"/>
              <w:bidi w:val="0"/>
              <w:spacing w:before="0" w:after="283"/>
              <w:jc w:val="right"/>
              <w:rPr/>
            </w:pPr>
            <w:r>
              <w:rPr/>
              <w:t>2,405</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right"/>
              <w:rPr/>
            </w:pPr>
            <w:r>
              <w:rPr/>
              <w:t>18,324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pPr>
            <w:r>
              <w:rPr/>
              <w:t>20,349</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EQUITY:</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REX shareholders’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Common stock</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332</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329</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66</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Retained earnings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663,713</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610,317</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Treasury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right"/>
              <w:rPr/>
            </w:pPr>
            <w:r>
              <w:rPr/>
              <w:t>(1,581)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Total REX shareholders’ equity</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00" w:type="dxa"/>
            <w:tcBorders/>
            <w:shd w:fill="E5FFFF" w:val="clear"/>
            <w:vAlign w:val="center"/>
          </w:tcPr>
          <w:p>
            <w:pPr>
              <w:pStyle w:val="TableContents"/>
              <w:bidi w:val="0"/>
              <w:spacing w:before="0" w:after="283"/>
              <w:jc w:val="right"/>
              <w:rPr/>
            </w:pPr>
            <w:r>
              <w:rPr/>
              <w:t>673,621</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shd w:fill="E5FFFF" w:val="clear"/>
            <w:vAlign w:val="center"/>
          </w:tcPr>
          <w:p>
            <w:pPr>
              <w:pStyle w:val="TableContents"/>
              <w:bidi w:val="0"/>
              <w:spacing w:before="0" w:after="283"/>
              <w:jc w:val="left"/>
              <w:rPr/>
            </w:pPr>
            <w:r>
              <w:rPr/>
              <w:t> </w:t>
            </w:r>
          </w:p>
        </w:tc>
        <w:tc>
          <w:tcPr>
            <w:tcW w:w="1052" w:type="dxa"/>
            <w:tcBorders/>
            <w:shd w:fill="E5FFFF" w:val="clear"/>
            <w:vAlign w:val="center"/>
          </w:tcPr>
          <w:p>
            <w:pPr>
              <w:pStyle w:val="TableContents"/>
              <w:bidi w:val="0"/>
              <w:spacing w:before="0" w:after="283"/>
              <w:jc w:val="right"/>
              <w:rPr/>
            </w:pPr>
            <w:r>
              <w:rPr/>
              <w:t>610,712</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jc w:val="right"/>
              <w:rPr/>
            </w:pPr>
            <w:r>
              <w:rPr/>
              <w:t>97,993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jc w:val="right"/>
              <w:rPr/>
            </w:pPr>
            <w:r>
              <w:rPr/>
              <w:t>91,293</w:t>
            </w:r>
          </w:p>
        </w:tc>
        <w:tc>
          <w:tcPr>
            <w:tcW w:w="75" w:type="dxa"/>
            <w:tcBorders/>
            <w:shd w:fill="FFFFFF" w:val="clear"/>
            <w:vAlign w:val="center"/>
          </w:tcPr>
          <w:p>
            <w:pPr>
              <w:pStyle w:val="TableContents"/>
              <w:bidi w:val="0"/>
              <w:spacing w:before="0" w:after="283"/>
              <w:jc w:val="left"/>
              <w:rPr/>
            </w:pPr>
            <w:r>
              <w:rPr/>
              <w:t> </w:t>
            </w:r>
          </w:p>
        </w:tc>
      </w:tr>
      <w:tr>
        <w:trPr/>
        <w:tc>
          <w:tcPr>
            <w:tcW w:w="4325" w:type="dxa"/>
            <w:tcBorders/>
            <w:shd w:fill="E5FFFF" w:val="clear"/>
            <w:vAlign w:val="center"/>
          </w:tcPr>
          <w:p>
            <w:pPr>
              <w:pStyle w:val="TableContents"/>
              <w:bidi w:val="0"/>
              <w:spacing w:before="0" w:after="283"/>
              <w:jc w:val="left"/>
              <w:rPr/>
            </w:pPr>
            <w:r>
              <w:rPr/>
              <w:t>Total equity</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E5FFFF" w:val="clear"/>
            <w:tcMar>
              <w:bottom w:w="28" w:type="dxa"/>
            </w:tcMar>
            <w:vAlign w:val="center"/>
          </w:tcPr>
          <w:p>
            <w:pPr>
              <w:pStyle w:val="TableContents"/>
              <w:bidi w:val="0"/>
              <w:spacing w:before="0" w:after="283"/>
              <w:jc w:val="right"/>
              <w:rPr/>
            </w:pPr>
            <w:r>
              <w:rPr/>
              <w:t>771,614</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83"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1052" w:type="dxa"/>
            <w:tcBorders>
              <w:bottom w:val="single" w:sz="2" w:space="0" w:color="000000"/>
            </w:tcBorders>
            <w:shd w:fill="E5FFFF" w:val="clear"/>
            <w:tcMar>
              <w:bottom w:w="28" w:type="dxa"/>
            </w:tcMar>
            <w:vAlign w:val="center"/>
          </w:tcPr>
          <w:p>
            <w:pPr>
              <w:pStyle w:val="TableContents"/>
              <w:bidi w:val="0"/>
              <w:spacing w:before="0" w:after="283"/>
              <w:jc w:val="right"/>
              <w:rPr/>
            </w:pPr>
            <w:r>
              <w:rPr/>
              <w:t>702,005</w:t>
            </w:r>
          </w:p>
        </w:tc>
        <w:tc>
          <w:tcPr>
            <w:tcW w:w="75" w:type="dxa"/>
            <w:tcBorders/>
            <w:shd w:fill="E5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856,476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pPr>
            <w:r>
              <w:rPr/>
              <w:t>797,731</w:t>
            </w:r>
          </w:p>
        </w:tc>
        <w:tc>
          <w:tcPr>
            <w:tcW w:w="75" w:type="dxa"/>
            <w:tcBorders/>
            <w:shd w:fill="FFFFFF" w:val="clear"/>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2066925" cy="638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66925"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REX AMERICAN RESOURCES CORPORATION AND SUBSIDIARIES</w:t>
      </w:r>
    </w:p>
    <w:p>
      <w:pPr>
        <w:pStyle w:val="TextBody"/>
        <w:bidi w:val="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Consolidated Statements of Cash Flows</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(in thousands)</w:t>
      </w:r>
    </w:p>
    <w:p>
      <w:pPr>
        <w:pStyle w:val="TextBody"/>
        <w:bidi w:val="0"/>
        <w:jc w:val="center"/>
        <w:rPr>
          <w:rFonts w:ascii="Arial;Helvetica;Sans-Serif" w:hAnsi="Arial;Helvetica;Sans-Serif"/>
          <w:b/>
          <w:i/>
          <w:caps w:val="false"/>
          <w:smallCaps w:val="false"/>
          <w:sz w:val="20"/>
        </w:rPr>
      </w:pPr>
      <w:r>
        <w:rPr>
          <w:rFonts w:ascii="Arial;Helvetica;Sans-Serif" w:hAnsi="Arial;Helvetica;Sans-Serif"/>
          <w:b/>
          <w:i/>
          <w:caps w:val="false"/>
          <w:smallCaps w:val="false"/>
          <w:sz w:val="20"/>
        </w:rPr>
        <w:t>Unaudited</w:t>
      </w:r>
    </w:p>
    <w:p>
      <w:pPr>
        <w:pStyle w:val="TextBody"/>
        <w:bidi w:val="0"/>
        <w:jc w:val="left"/>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625"/>
        <w:gridCol w:w="60"/>
        <w:gridCol w:w="140"/>
        <w:gridCol w:w="950"/>
        <w:gridCol w:w="60"/>
        <w:gridCol w:w="60"/>
        <w:gridCol w:w="140"/>
        <w:gridCol w:w="830"/>
        <w:gridCol w:w="75"/>
      </w:tblGrid>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283"/>
              <w:jc w:val="center"/>
              <w:rPr>
                <w:b/>
              </w:rPr>
            </w:pPr>
            <w:r>
              <w:rPr>
                <w:b/>
              </w:rPr>
              <w:t>July 31,</w:t>
              <w:br/>
              <w:t>2025</w:t>
            </w:r>
          </w:p>
        </w:tc>
        <w:tc>
          <w:tcPr>
            <w:tcW w:w="75" w:type="dxa"/>
            <w:tcBorders/>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CASH FLOWS FROM OPERATING ACTIVITIES: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jc w:val="right"/>
              <w:rPr/>
            </w:pPr>
            <w:r>
              <w:rPr/>
              <w:t>62,324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jc w:val="right"/>
              <w:rPr/>
            </w:pPr>
            <w:r>
              <w:rPr/>
              <w:t>20,000</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Adjustments to reconcile net income to net cash provided by operating activities: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8,902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7,101</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Noncash operating lease expense</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3,499</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3,197</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Amortization of finance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475</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Stock-based compensation expense</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6,005</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1,022</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Income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(10,761)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(1,897)</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Dividends received from equity method investments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2,005</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2,506</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Interest income from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(4,338)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(2,999)</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Loss on disposal of property and equipment – net</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131</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172</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7,362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4,293</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Changes in assets and liabilities: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(8,797)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(3,317)</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Inventory</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(558)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44</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(27,269)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(583)</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Refundable income taxes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3,771</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(2,022)</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Accounts payable – trade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(1,278)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(9,896)</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Long-term taxes payable</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226</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right"/>
              <w:rPr/>
            </w:pPr>
            <w:r>
              <w:rPr/>
              <w:t>(3,924)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(5,514)</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Net cash provided by operating activities</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E5FFFF" w:val="clear"/>
            <w:tcMar>
              <w:bottom w:w="28" w:type="dxa"/>
            </w:tcMar>
            <w:vAlign w:val="center"/>
          </w:tcPr>
          <w:p>
            <w:pPr>
              <w:pStyle w:val="TableContents"/>
              <w:bidi w:val="0"/>
              <w:spacing w:before="0" w:after="283"/>
              <w:jc w:val="right"/>
              <w:rPr/>
            </w:pPr>
            <w:r>
              <w:rPr/>
              <w:t>38,023</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12,808</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Capital expenditures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(34,977)</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(28,924)</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Purchases of short-term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(320,800)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(90,671)</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Maturities of short-term investments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224,000</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187,000</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Proceeds from disposal of real estate and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Deposits</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E5FFFF" w:val="clear"/>
            <w:tcMar>
              <w:bottom w:w="28" w:type="dxa"/>
            </w:tcMar>
            <w:vAlign w:val="center"/>
          </w:tcPr>
          <w:p>
            <w:pPr>
              <w:pStyle w:val="TableContents"/>
              <w:bidi w:val="0"/>
              <w:spacing w:before="0" w:after="283"/>
              <w:jc w:val="right"/>
              <w:rPr/>
            </w:pPr>
            <w:r>
              <w:rPr/>
              <w:t>(17)</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128</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right"/>
              <w:rPr/>
            </w:pPr>
            <w:r>
              <w:rPr/>
              <w:t>(131,495)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67,533</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CASH FLOWS FROM FINANCING ACTIVITIES: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 </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 </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Treasury stock acquired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(1,581)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(33,382)</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Noncontrolling interests distributions</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950" w:type="dxa"/>
            <w:tcBorders/>
            <w:shd w:fill="E5FFFF" w:val="clear"/>
            <w:vAlign w:val="center"/>
          </w:tcPr>
          <w:p>
            <w:pPr>
              <w:pStyle w:val="TableContents"/>
              <w:bidi w:val="0"/>
              <w:spacing w:before="0" w:after="283"/>
              <w:jc w:val="right"/>
              <w:rPr/>
            </w:pPr>
            <w:r>
              <w:rPr/>
              <w:t>(2,228)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shd w:fill="E5FFFF" w:val="clear"/>
            <w:vAlign w:val="center"/>
          </w:tcPr>
          <w:p>
            <w:pPr>
              <w:pStyle w:val="TableContents"/>
              <w:bidi w:val="0"/>
              <w:spacing w:before="0" w:after="283"/>
              <w:jc w:val="left"/>
              <w:rPr/>
            </w:pPr>
            <w:r>
              <w:rPr/>
              <w:t> </w:t>
            </w:r>
          </w:p>
        </w:tc>
        <w:tc>
          <w:tcPr>
            <w:tcW w:w="830" w:type="dxa"/>
            <w:tcBorders/>
            <w:shd w:fill="E5FFFF" w:val="clear"/>
            <w:vAlign w:val="center"/>
          </w:tcPr>
          <w:p>
            <w:pPr>
              <w:pStyle w:val="TableContents"/>
              <w:bidi w:val="0"/>
              <w:spacing w:before="0" w:after="283"/>
              <w:jc w:val="right"/>
              <w:rPr/>
            </w:pPr>
            <w:r>
              <w:rPr/>
              <w:t>(2,252)</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Principal paid on 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jc w:val="right"/>
              <w:rPr/>
            </w:pPr>
            <w:r>
              <w:rPr/>
              <w:t>(125)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Net cash used in financing activities</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E5FFFF" w:val="clear"/>
            <w:tcMar>
              <w:bottom w:w="28" w:type="dxa"/>
            </w:tcMar>
            <w:vAlign w:val="center"/>
          </w:tcPr>
          <w:p>
            <w:pPr>
              <w:pStyle w:val="TableContents"/>
              <w:bidi w:val="0"/>
              <w:spacing w:before="0" w:after="283"/>
              <w:jc w:val="right"/>
              <w:rPr/>
            </w:pPr>
            <w:r>
              <w:rPr/>
              <w:t>(3,934)</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(35,634)</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(97,406)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44,707</w:t>
            </w:r>
          </w:p>
        </w:tc>
        <w:tc>
          <w:tcPr>
            <w:tcW w:w="75" w:type="dxa"/>
            <w:tcBorders/>
            <w:shd w:fill="FFFFFF" w:val="clear"/>
            <w:vAlign w:val="center"/>
          </w:tcPr>
          <w:p>
            <w:pPr>
              <w:pStyle w:val="TableContents"/>
              <w:bidi w:val="0"/>
              <w:spacing w:before="0" w:after="283"/>
              <w:jc w:val="left"/>
              <w:rPr/>
            </w:pPr>
            <w:r>
              <w:rPr/>
              <w:t> </w:t>
            </w:r>
          </w:p>
        </w:tc>
      </w:tr>
      <w:tr>
        <w:trPr/>
        <w:tc>
          <w:tcPr>
            <w:tcW w:w="7625" w:type="dxa"/>
            <w:tcBorders/>
            <w:shd w:fill="E5FFFF" w:val="clear"/>
            <w:vAlign w:val="center"/>
          </w:tcPr>
          <w:p>
            <w:pPr>
              <w:pStyle w:val="TableContents"/>
              <w:bidi w:val="0"/>
              <w:spacing w:before="0" w:after="283"/>
              <w:jc w:val="left"/>
              <w:rPr/>
            </w:pPr>
            <w:r>
              <w:rPr/>
              <w:t>CASH AND CASH EQUIVALENTS – Beginning of period</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E5FFFF" w:val="clear"/>
            <w:tcMar>
              <w:bottom w:w="28" w:type="dxa"/>
            </w:tcMar>
            <w:vAlign w:val="center"/>
          </w:tcPr>
          <w:p>
            <w:pPr>
              <w:pStyle w:val="TableContents"/>
              <w:bidi w:val="0"/>
              <w:spacing w:before="0" w:after="283"/>
              <w:jc w:val="right"/>
              <w:rPr/>
            </w:pPr>
            <w:r>
              <w:rPr/>
              <w:t>188,734</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single" w:sz="2" w:space="0" w:color="000000"/>
            </w:tcBorders>
            <w:shd w:fill="E5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E5FFFF" w:val="clear"/>
            <w:tcMar>
              <w:bottom w:w="28" w:type="dxa"/>
            </w:tcMar>
            <w:vAlign w:val="center"/>
          </w:tcPr>
          <w:p>
            <w:pPr>
              <w:pStyle w:val="TableContents"/>
              <w:bidi w:val="0"/>
              <w:spacing w:before="0" w:after="283"/>
              <w:jc w:val="right"/>
              <w:rPr/>
            </w:pPr>
            <w:r>
              <w:rPr/>
              <w:t>196,255</w:t>
            </w:r>
          </w:p>
        </w:tc>
        <w:tc>
          <w:tcPr>
            <w:tcW w:w="75" w:type="dxa"/>
            <w:tcBorders/>
            <w:shd w:fill="E5FFFF" w:val="clear"/>
            <w:vAlign w:val="center"/>
          </w:tcPr>
          <w:p>
            <w:pPr>
              <w:pStyle w:val="TableContents"/>
              <w:bidi w:val="0"/>
              <w:spacing w:before="0" w:after="283"/>
              <w:jc w:val="left"/>
              <w:rPr/>
            </w:pPr>
            <w:r>
              <w:rPr/>
              <w:t> </w:t>
            </w:r>
          </w:p>
        </w:tc>
      </w:tr>
      <w:tr>
        <w:trPr/>
        <w:tc>
          <w:tcPr>
            <w:tcW w:w="7625" w:type="dxa"/>
            <w:tcBorders/>
            <w:shd w:fill="FFFFFF" w:val="clear"/>
            <w:vAlign w:val="center"/>
          </w:tcPr>
          <w:p>
            <w:pPr>
              <w:pStyle w:val="TableContents"/>
              <w:bidi w:val="0"/>
              <w:spacing w:before="0" w:after="283"/>
              <w:jc w:val="left"/>
              <w:rPr/>
            </w:pPr>
            <w:r>
              <w:rPr/>
              <w:t>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pPr>
            <w:r>
              <w:rPr/>
              <w:t>91,328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pPr>
            <w:r>
              <w:rPr/>
              <w:t>240,962</w:t>
            </w:r>
          </w:p>
        </w:tc>
        <w:tc>
          <w:tcPr>
            <w:tcW w:w="75" w:type="dxa"/>
            <w:tcBorders/>
            <w:shd w:fill="FFFFFF" w:val="clear"/>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caps w:val="false"/>
          <w:smallCaps w:val="false"/>
        </w:rPr>
      </w:pPr>
      <w:r>
        <w:rPr>
          <w:caps w:val="false"/>
          <w:smallCaps w:val="false"/>
        </w:rPr>
        <w:drawing>
          <wp:inline distT="0" distB="0" distL="0" distR="0">
            <wp:extent cx="2066925" cy="638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066925" cy="63817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8360"/>
        <w:gridCol w:w="60"/>
        <w:gridCol w:w="140"/>
        <w:gridCol w:w="560"/>
        <w:gridCol w:w="60"/>
        <w:gridCol w:w="60"/>
        <w:gridCol w:w="140"/>
        <w:gridCol w:w="560"/>
        <w:gridCol w:w="75"/>
      </w:tblGrid>
      <w:tr>
        <w:trPr/>
        <w:tc>
          <w:tcPr>
            <w:tcW w:w="8360" w:type="dxa"/>
            <w:tcBorders/>
            <w:shd w:fill="E5FFFF" w:val="clear"/>
            <w:vAlign w:val="center"/>
          </w:tcPr>
          <w:p>
            <w:pPr>
              <w:pStyle w:val="TableContents"/>
              <w:bidi w:val="0"/>
              <w:spacing w:before="0" w:after="283"/>
              <w:jc w:val="left"/>
              <w:rPr/>
            </w:pPr>
            <w:r>
              <w:rPr/>
              <w:t>Non-cash investing activities – Accrued capital expenditures</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4,923</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694</w:t>
            </w:r>
          </w:p>
        </w:tc>
        <w:tc>
          <w:tcPr>
            <w:tcW w:w="75" w:type="dxa"/>
            <w:tcBorders/>
            <w:shd w:fill="E5FFFF" w:val="clear"/>
            <w:vAlign w:val="center"/>
          </w:tcPr>
          <w:p>
            <w:pPr>
              <w:pStyle w:val="TableContents"/>
              <w:bidi w:val="0"/>
              <w:spacing w:before="0" w:after="283"/>
              <w:jc w:val="left"/>
              <w:rPr/>
            </w:pPr>
            <w:r>
              <w:rPr/>
              <w:t> </w:t>
            </w:r>
          </w:p>
        </w:tc>
      </w:tr>
      <w:tr>
        <w:trPr/>
        <w:tc>
          <w:tcPr>
            <w:tcW w:w="8360" w:type="dxa"/>
            <w:tcBorders/>
            <w:shd w:fill="FFFFFF" w:val="clear"/>
            <w:vAlign w:val="center"/>
          </w:tcPr>
          <w:p>
            <w:pPr>
              <w:pStyle w:val="TableContents"/>
              <w:bidi w:val="0"/>
              <w:spacing w:before="0" w:after="283"/>
              <w:jc w:val="left"/>
              <w:rPr/>
            </w:pPr>
            <w:r>
              <w:rPr/>
              <w:t>Non-cash investing activities – Capital additions transferred from 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536</w:t>
            </w:r>
          </w:p>
        </w:tc>
        <w:tc>
          <w:tcPr>
            <w:tcW w:w="75" w:type="dxa"/>
            <w:tcBorders/>
            <w:shd w:fill="FFFFFF" w:val="clear"/>
            <w:vAlign w:val="center"/>
          </w:tcPr>
          <w:p>
            <w:pPr>
              <w:pStyle w:val="TableContents"/>
              <w:bidi w:val="0"/>
              <w:spacing w:before="0" w:after="283"/>
              <w:jc w:val="left"/>
              <w:rPr/>
            </w:pPr>
            <w:r>
              <w:rPr/>
              <w:t> </w:t>
            </w:r>
          </w:p>
        </w:tc>
      </w:tr>
      <w:tr>
        <w:trPr/>
        <w:tc>
          <w:tcPr>
            <w:tcW w:w="8360" w:type="dxa"/>
            <w:tcBorders/>
            <w:shd w:fill="E5FFFF" w:val="clear"/>
            <w:vAlign w:val="center"/>
          </w:tcPr>
          <w:p>
            <w:pPr>
              <w:pStyle w:val="TableContents"/>
              <w:bidi w:val="0"/>
              <w:spacing w:before="0" w:after="283"/>
              <w:jc w:val="left"/>
              <w:rPr/>
            </w:pPr>
            <w:r>
              <w:rPr/>
              <w:t>Non-cash financing activities – Stock awards accrued</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1,958</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559</w:t>
            </w:r>
          </w:p>
        </w:tc>
        <w:tc>
          <w:tcPr>
            <w:tcW w:w="75" w:type="dxa"/>
            <w:tcBorders/>
            <w:shd w:fill="E5FFFF" w:val="clear"/>
            <w:vAlign w:val="center"/>
          </w:tcPr>
          <w:p>
            <w:pPr>
              <w:pStyle w:val="TableContents"/>
              <w:bidi w:val="0"/>
              <w:spacing w:before="0" w:after="283"/>
              <w:jc w:val="left"/>
              <w:rPr/>
            </w:pPr>
            <w:r>
              <w:rPr/>
              <w:t> </w:t>
            </w:r>
          </w:p>
        </w:tc>
      </w:tr>
      <w:tr>
        <w:trPr/>
        <w:tc>
          <w:tcPr>
            <w:tcW w:w="8360" w:type="dxa"/>
            <w:tcBorders/>
            <w:shd w:fill="FFFFFF" w:val="clear"/>
            <w:vAlign w:val="center"/>
          </w:tcPr>
          <w:p>
            <w:pPr>
              <w:pStyle w:val="TableContents"/>
              <w:bidi w:val="0"/>
              <w:spacing w:before="0" w:after="283"/>
              <w:jc w:val="left"/>
              <w:rPr/>
            </w:pPr>
            <w:r>
              <w:rPr/>
              <w:t>Non-cash financing activities – Stock awards issued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7,044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2,036</w:t>
            </w:r>
          </w:p>
        </w:tc>
        <w:tc>
          <w:tcPr>
            <w:tcW w:w="75" w:type="dxa"/>
            <w:tcBorders/>
            <w:shd w:fill="FFFFFF" w:val="clear"/>
            <w:vAlign w:val="center"/>
          </w:tcPr>
          <w:p>
            <w:pPr>
              <w:pStyle w:val="TableContents"/>
              <w:bidi w:val="0"/>
              <w:spacing w:before="0" w:after="283"/>
              <w:jc w:val="left"/>
              <w:rPr/>
            </w:pPr>
            <w:r>
              <w:rPr/>
              <w:t> </w:t>
            </w:r>
          </w:p>
        </w:tc>
      </w:tr>
      <w:tr>
        <w:trPr/>
        <w:tc>
          <w:tcPr>
            <w:tcW w:w="8360" w:type="dxa"/>
            <w:tcBorders/>
            <w:shd w:fill="E5FFFF" w:val="clear"/>
            <w:vAlign w:val="center"/>
          </w:tcPr>
          <w:p>
            <w:pPr>
              <w:pStyle w:val="TableContents"/>
              <w:bidi w:val="0"/>
              <w:spacing w:before="0" w:after="283"/>
              <w:jc w:val="left"/>
              <w:rPr/>
            </w:pPr>
            <w:r>
              <w:rPr/>
              <w:t>Non-cash financing activities – Excise tax on stock repurchases accrued</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258</w:t>
            </w:r>
          </w:p>
        </w:tc>
        <w:tc>
          <w:tcPr>
            <w:tcW w:w="75" w:type="dxa"/>
            <w:tcBorders/>
            <w:shd w:fill="E5FFFF" w:val="clear"/>
            <w:vAlign w:val="center"/>
          </w:tcPr>
          <w:p>
            <w:pPr>
              <w:pStyle w:val="TableContents"/>
              <w:bidi w:val="0"/>
              <w:spacing w:before="0" w:after="283"/>
              <w:jc w:val="left"/>
              <w:rPr/>
            </w:pPr>
            <w:r>
              <w:rPr/>
              <w:t> </w:t>
            </w:r>
          </w:p>
        </w:tc>
      </w:tr>
      <w:tr>
        <w:trPr/>
        <w:tc>
          <w:tcPr>
            <w:tcW w:w="8360" w:type="dxa"/>
            <w:tcBorders/>
            <w:shd w:fill="FFFFFF" w:val="clear"/>
            <w:vAlign w:val="center"/>
          </w:tcPr>
          <w:p>
            <w:pPr>
              <w:pStyle w:val="TableContents"/>
              <w:bidi w:val="0"/>
              <w:spacing w:before="0" w:after="283"/>
              <w:jc w:val="left"/>
              <w:rPr/>
            </w:pPr>
            <w:r>
              <w:rPr/>
              <w:t>Operating right-of-use assets acquired and liabilities incurred upon lease commencement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3,007</w:t>
            </w:r>
          </w:p>
        </w:tc>
        <w:tc>
          <w:tcPr>
            <w:tcW w:w="75" w:type="dxa"/>
            <w:tcBorders/>
            <w:shd w:fill="FFFFFF" w:val="clear"/>
            <w:vAlign w:val="center"/>
          </w:tcPr>
          <w:p>
            <w:pPr>
              <w:pStyle w:val="TableContents"/>
              <w:bidi w:val="0"/>
              <w:spacing w:before="0" w:after="283"/>
              <w:jc w:val="left"/>
              <w:rPr/>
            </w:pPr>
            <w:r>
              <w:rPr/>
              <w:t> </w:t>
            </w:r>
          </w:p>
        </w:tc>
      </w:tr>
      <w:tr>
        <w:trPr/>
        <w:tc>
          <w:tcPr>
            <w:tcW w:w="8360" w:type="dxa"/>
            <w:tcBorders/>
            <w:shd w:fill="E5FFFF" w:val="clear"/>
            <w:vAlign w:val="center"/>
          </w:tcPr>
          <w:p>
            <w:pPr>
              <w:pStyle w:val="TableContents"/>
              <w:bidi w:val="0"/>
              <w:spacing w:before="0" w:after="283"/>
              <w:jc w:val="left"/>
              <w:rPr/>
            </w:pPr>
            <w:r>
              <w:rPr/>
              <w:t>Finance right-of-use assets acquired and liabilities incurred upon lease commencement</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w:t>
            </w:r>
          </w:p>
        </w:tc>
        <w:tc>
          <w:tcPr>
            <w:tcW w:w="60" w:type="dxa"/>
            <w:tcBorders/>
            <w:shd w:fill="E5FFFF" w:val="clear"/>
            <w:vAlign w:val="center"/>
          </w:tcPr>
          <w:p>
            <w:pPr>
              <w:pStyle w:val="TableContents"/>
              <w:bidi w:val="0"/>
              <w:spacing w:before="0" w:after="283"/>
              <w:jc w:val="left"/>
              <w:rPr/>
            </w:pPr>
            <w:r>
              <w:rPr/>
              <w:t> </w:t>
            </w:r>
          </w:p>
        </w:tc>
        <w:tc>
          <w:tcPr>
            <w:tcW w:w="60" w:type="dxa"/>
            <w:tcBorders/>
            <w:shd w:fill="E5FFFF" w:val="clear"/>
            <w:vAlign w:val="center"/>
          </w:tcPr>
          <w:p>
            <w:pPr>
              <w:pStyle w:val="TableContents"/>
              <w:bidi w:val="0"/>
              <w:spacing w:before="0" w:after="283"/>
              <w:jc w:val="left"/>
              <w:rPr/>
            </w:pPr>
            <w:r>
              <w:rPr/>
              <w:t> </w:t>
            </w:r>
          </w:p>
        </w:tc>
        <w:tc>
          <w:tcPr>
            <w:tcW w:w="140" w:type="dxa"/>
            <w:tcBorders>
              <w:bottom w:val="double" w:sz="6" w:space="0" w:color="000000"/>
            </w:tcBorders>
            <w:shd w:fill="E5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E5FFFF" w:val="clear"/>
            <w:tcMar>
              <w:bottom w:w="28" w:type="dxa"/>
            </w:tcMar>
            <w:vAlign w:val="center"/>
          </w:tcPr>
          <w:p>
            <w:pPr>
              <w:pStyle w:val="TableContents"/>
              <w:bidi w:val="0"/>
              <w:spacing w:before="0" w:after="283"/>
              <w:jc w:val="right"/>
              <w:rPr/>
            </w:pPr>
            <w:r>
              <w:rPr/>
              <w:t>3,381</w:t>
            </w:r>
          </w:p>
        </w:tc>
        <w:tc>
          <w:tcPr>
            <w:tcW w:w="75" w:type="dxa"/>
            <w:tcBorders/>
            <w:shd w:fill="E5FFFF" w:val="clear"/>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2367</Words>
  <Characters>13608</Characters>
  <CharactersWithSpaces>16445</CharactersWithSpaces>
  <Paragraphs>1375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