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83"/>
        <w:jc w:val="left"/>
        <w:rPr>
          <w:bdr w:val="single" w:sz="18" w:space="1" w:color="000000"/>
        </w:rPr>
      </w:pPr>
      <w:bookmarkStart w:id="0" w:name="c117568_10q-ixbrl.htm"/>
      <w:bookmarkStart w:id="1" w:name="ksc117568_10qixbrl"/>
      <w:bookmarkEnd w:id="0"/>
      <w:bookmarkEnd w:id="1"/>
      <w:r>
        <w:rPr>
          <w:bdr w:val="single" w:sz="1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100" w:after="200"/>
        <w:jc w:val="center"/>
        <w:rPr>
          <w:bdr w:val="single" w:sz="2" w:space="1" w:color="000000"/>
        </w:rPr>
      </w:pPr>
      <w:r>
        <w:rPr>
          <w:bdr w:val="single" w:sz="2"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b/>
              </w:rPr>
            </w:pPr>
            <w:r>
              <w:rPr>
                <w:b/>
              </w:rPr>
              <w:t>QUARTERLY REPORT PURSUANT TO SECTION 13 OR 15(d) OF THE SECURITIES EXCHANGE ACT OF 1934</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b/>
              </w:rPr>
            </w:pPr>
            <w:r>
              <w:rPr>
                <w:b/>
              </w:rPr>
              <w:t>For the quarterly period ended July 31, 2026</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center"/>
              <w:rPr>
                <w:b/>
              </w:rPr>
            </w:pPr>
            <w:r>
              <w:rPr>
                <w:b/>
              </w:rPr>
              <w:t>OR</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b/>
              </w:rPr>
            </w:pPr>
            <w:r>
              <w:rPr>
                <w:b/>
              </w:rPr>
              <w:t>TRANSITION REPORT PURSUANT TO SECTION 13 OR 15(d) OF THE SECURITIES EXCHANGE ACT OF 1934</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001-09097</w:t>
      </w:r>
    </w:p>
    <w:p>
      <w:pPr>
        <w:pStyle w:val="TextBody"/>
        <w:bidi w:val="0"/>
        <w:jc w:val="center"/>
        <w:rPr>
          <w:caps w:val="false"/>
          <w:smallCaps w:val="false"/>
        </w:rPr>
      </w:pPr>
      <w:r>
        <w:rPr>
          <w:caps w:val="false"/>
          <w:smallCaps w:val="false"/>
        </w:rPr>
        <w:t> </w:t>
      </w:r>
    </w:p>
    <w:p>
      <w:pPr>
        <w:pStyle w:val="TextBody"/>
        <w:bidi w:val="0"/>
        <w:spacing w:before="0" w:after="60"/>
        <w:jc w:val="center"/>
        <w:rPr>
          <w:bdr w:val="single" w:sz="2" w:space="1" w:color="000000"/>
        </w:rPr>
      </w:pPr>
      <w:r>
        <w:rPr>
          <w:bdr w:val="single" w:sz="2"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REX AMERICAN RESOURCES CORPORATION</w:t>
      </w:r>
    </w:p>
    <w:p>
      <w:pPr>
        <w:pStyle w:val="TextBody"/>
        <w:bidi w:val="0"/>
        <w:spacing w:before="0" w:after="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60"/>
        <w:jc w:val="center"/>
        <w:rPr>
          <w:bdr w:val="single" w:sz="2" w:space="1" w:color="000000"/>
        </w:rPr>
      </w:pPr>
      <w:r>
        <w:rPr>
          <w:bdr w:val="single" w:sz="2" w:space="1" w:color="000000"/>
        </w:rPr>
        <w:t> </w:t>
      </w:r>
    </w:p>
    <w:p>
      <w:pPr>
        <w:pStyle w:val="TextBody"/>
        <w:bidi w:val="0"/>
        <w:jc w:val="center"/>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05"/>
        <w:gridCol w:w="3950"/>
        <w:gridCol w:w="2390"/>
        <w:gridCol w:w="135"/>
      </w:tblGrid>
      <w:tr>
        <w:trPr/>
        <w:tc>
          <w:tcPr>
            <w:tcW w:w="105"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center"/>
              <w:rPr>
                <w:b/>
              </w:rPr>
            </w:pPr>
            <w:r>
              <w:rPr>
                <w:b/>
              </w:rPr>
              <w:t>Delaware</w:t>
              <w:br/>
              <w:t>(State or other jurisdiction of</w:t>
              <w:br/>
              <w:t>incorporation or organization)</w:t>
            </w:r>
          </w:p>
        </w:tc>
        <w:tc>
          <w:tcPr>
            <w:tcW w:w="2390" w:type="dxa"/>
            <w:tcBorders/>
            <w:vAlign w:val="center"/>
          </w:tcPr>
          <w:p>
            <w:pPr>
              <w:pStyle w:val="TableContents"/>
              <w:bidi w:val="0"/>
              <w:spacing w:before="0" w:after="283"/>
              <w:jc w:val="center"/>
              <w:rPr>
                <w:b/>
              </w:rPr>
            </w:pPr>
            <w:r>
              <w:rPr>
                <w:b/>
              </w:rPr>
              <w:t>31-1095548</w:t>
              <w:br/>
              <w:t>(I.R.S. Employer</w:t>
              <w:br/>
              <w:t>Identification Number)</w:t>
            </w:r>
          </w:p>
        </w:tc>
        <w:tc>
          <w:tcPr>
            <w:tcW w:w="135" w:type="dxa"/>
            <w:tcBorders/>
            <w:vAlign w:val="center"/>
          </w:tcPr>
          <w:p>
            <w:pPr>
              <w:pStyle w:val="TableContents"/>
              <w:bidi w:val="0"/>
              <w:spacing w:before="0" w:after="283"/>
              <w:jc w:val="center"/>
              <w:rPr/>
            </w:pPr>
            <w:r>
              <w:rPr/>
              <w:t> </w:t>
            </w:r>
          </w:p>
        </w:tc>
      </w:tr>
      <w:tr>
        <w:trPr/>
        <w:tc>
          <w:tcPr>
            <w:tcW w:w="105" w:type="dxa"/>
            <w:tcBorders/>
            <w:vAlign w:val="center"/>
          </w:tcPr>
          <w:p>
            <w:pPr>
              <w:pStyle w:val="TableContents"/>
              <w:bidi w:val="0"/>
              <w:spacing w:before="0" w:after="283"/>
              <w:jc w:val="center"/>
              <w:rPr/>
            </w:pPr>
            <w:r>
              <w:rPr/>
              <w:t> </w:t>
            </w:r>
          </w:p>
        </w:tc>
        <w:tc>
          <w:tcPr>
            <w:tcW w:w="3950" w:type="dxa"/>
            <w:tcBorders/>
            <w:vAlign w:val="center"/>
          </w:tcPr>
          <w:p>
            <w:pPr>
              <w:pStyle w:val="TableContents"/>
              <w:bidi w:val="0"/>
              <w:spacing w:before="0" w:after="283"/>
              <w:jc w:val="center"/>
              <w:rPr/>
            </w:pPr>
            <w:r>
              <w:rPr/>
              <w:t> </w:t>
            </w:r>
          </w:p>
        </w:tc>
        <w:tc>
          <w:tcPr>
            <w:tcW w:w="2390"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05" w:type="dxa"/>
            <w:tcBorders/>
            <w:vAlign w:val="center"/>
          </w:tcPr>
          <w:p>
            <w:pPr>
              <w:pStyle w:val="TableContents"/>
              <w:bidi w:val="0"/>
              <w:spacing w:before="0" w:after="283"/>
              <w:jc w:val="center"/>
              <w:rPr/>
            </w:pPr>
            <w:r>
              <w:rPr/>
              <w:t> </w:t>
            </w:r>
          </w:p>
        </w:tc>
        <w:tc>
          <w:tcPr>
            <w:tcW w:w="3950" w:type="dxa"/>
            <w:tcBorders/>
            <w:vAlign w:val="center"/>
          </w:tcPr>
          <w:p>
            <w:pPr>
              <w:pStyle w:val="TableContents"/>
              <w:bidi w:val="0"/>
              <w:spacing w:before="0" w:after="283"/>
              <w:jc w:val="center"/>
              <w:rPr>
                <w:b/>
              </w:rPr>
            </w:pPr>
            <w:r>
              <w:rPr>
                <w:b/>
              </w:rPr>
              <w:t>7720 Paragon Road, Dayton, Ohio</w:t>
              <w:br/>
              <w:t>(Address of principal executive offices)</w:t>
            </w:r>
          </w:p>
        </w:tc>
        <w:tc>
          <w:tcPr>
            <w:tcW w:w="2390" w:type="dxa"/>
            <w:tcBorders/>
            <w:vAlign w:val="center"/>
          </w:tcPr>
          <w:p>
            <w:pPr>
              <w:pStyle w:val="TableContents"/>
              <w:bidi w:val="0"/>
              <w:spacing w:before="0" w:after="283"/>
              <w:jc w:val="center"/>
              <w:rPr>
                <w:b/>
              </w:rPr>
            </w:pPr>
            <w:r>
              <w:rPr>
                <w:b/>
              </w:rPr>
              <w:t>45459</w:t>
              <w:br/>
              <w:t>(Zip Code)</w:t>
            </w:r>
          </w:p>
        </w:tc>
        <w:tc>
          <w:tcPr>
            <w:tcW w:w="13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(937) 276-3931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055" w:type="dxa"/>
        <w:jc w:val="left"/>
        <w:tblInd w:w="0" w:type="dxa"/>
        <w:tblLayout w:type="fixed"/>
        <w:tblCellMar>
          <w:top w:w="0" w:type="dxa"/>
          <w:left w:w="0" w:type="dxa"/>
          <w:bottom w:w="0" w:type="dxa"/>
          <w:right w:w="0" w:type="dxa"/>
        </w:tblCellMar>
      </w:tblPr>
      <w:tblGrid>
        <w:gridCol w:w="2645"/>
        <w:gridCol w:w="1640"/>
        <w:gridCol w:w="3770"/>
      </w:tblGrid>
      <w:tr>
        <w:trPr/>
        <w:tc>
          <w:tcPr>
            <w:tcW w:w="26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w:t>
            </w:r>
          </w:p>
        </w:tc>
        <w:tc>
          <w:tcPr>
            <w:tcW w:w="16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REX</w:t>
            </w:r>
          </w:p>
        </w:tc>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Stock Exchange</w:t>
            </w:r>
          </w:p>
        </w:tc>
      </w:tr>
    </w:tbl>
    <w:p>
      <w:pPr>
        <w:pStyle w:val="TextBody"/>
        <w:bidi w:val="0"/>
        <w:spacing w:before="0" w:after="60"/>
        <w:jc w:val="center"/>
        <w:rPr>
          <w:bdr w:val="single" w:sz="2" w:space="1" w:color="000000"/>
        </w:rPr>
      </w:pPr>
      <w:r>
        <w:rPr>
          <w:bdr w:val="single" w:sz="2"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bidi w:val="0"/>
        <w:jc w:val="both"/>
        <w:rPr>
          <w:caps w:val="false"/>
          <w:smallCaps w:val="false"/>
        </w:rPr>
      </w:pPr>
      <w:r>
        <w:rPr>
          <w:caps w:val="false"/>
          <w:smallCaps w:val="false"/>
        </w:rPr>
        <w:t> </w:t>
      </w:r>
    </w:p>
    <w:tbl>
      <w:tblPr>
        <w:tblW w:w="9819" w:type="dxa"/>
        <w:jc w:val="left"/>
        <w:tblInd w:w="0" w:type="dxa"/>
        <w:tblLayout w:type="fixed"/>
        <w:tblCellMar>
          <w:top w:w="0" w:type="dxa"/>
          <w:left w:w="0" w:type="dxa"/>
          <w:bottom w:w="0" w:type="dxa"/>
          <w:right w:w="0" w:type="dxa"/>
        </w:tblCellMar>
      </w:tblPr>
      <w:tblGrid>
        <w:gridCol w:w="3692"/>
        <w:gridCol w:w="3167"/>
        <w:gridCol w:w="2960"/>
      </w:tblGrid>
      <w:tr>
        <w:trPr/>
        <w:tc>
          <w:tcPr>
            <w:tcW w:w="6859" w:type="dxa"/>
            <w:gridSpan w:val="2"/>
            <w:tcBorders/>
            <w:vAlign w:val="center"/>
          </w:tcPr>
          <w:p>
            <w:pPr>
              <w:pStyle w:val="TableContents"/>
              <w:bidi w:val="0"/>
              <w:spacing w:before="0" w:after="283"/>
              <w:jc w:val="left"/>
              <w:rPr/>
            </w:pPr>
            <w:r>
              <w:rPr/>
              <w:t>Large accelerated filer ☒</w:t>
            </w:r>
          </w:p>
        </w:tc>
        <w:tc>
          <w:tcPr>
            <w:tcW w:w="2960" w:type="dxa"/>
            <w:tcBorders/>
            <w:vAlign w:val="center"/>
          </w:tcPr>
          <w:p>
            <w:pPr>
              <w:pStyle w:val="TableContents"/>
              <w:bidi w:val="0"/>
              <w:spacing w:before="0" w:after="283"/>
              <w:jc w:val="left"/>
              <w:rPr/>
            </w:pPr>
            <w:r>
              <w:rPr/>
              <w:t>Accelerated filer ☐</w:t>
            </w:r>
          </w:p>
        </w:tc>
      </w:tr>
      <w:tr>
        <w:trPr/>
        <w:tc>
          <w:tcPr>
            <w:tcW w:w="6859" w:type="dxa"/>
            <w:gridSpan w:val="2"/>
            <w:tcBorders/>
            <w:vAlign w:val="center"/>
          </w:tcPr>
          <w:p>
            <w:pPr>
              <w:pStyle w:val="TableContents"/>
              <w:bidi w:val="0"/>
              <w:spacing w:before="0" w:after="283"/>
              <w:jc w:val="left"/>
              <w:rPr/>
            </w:pPr>
            <w:r>
              <w:rPr/>
              <w:t>Non-accelerated filer   ☐ (Do not check if a smaller reporting company)</w:t>
            </w:r>
          </w:p>
        </w:tc>
        <w:tc>
          <w:tcPr>
            <w:tcW w:w="2960" w:type="dxa"/>
            <w:tcBorders/>
            <w:vAlign w:val="center"/>
          </w:tcPr>
          <w:p>
            <w:pPr>
              <w:pStyle w:val="TableContents"/>
              <w:bidi w:val="0"/>
              <w:spacing w:before="0" w:after="283"/>
              <w:jc w:val="left"/>
              <w:rPr/>
            </w:pPr>
            <w:r>
              <w:rPr/>
              <w:t>Smaller reporting company ☐</w:t>
            </w:r>
          </w:p>
        </w:tc>
      </w:tr>
      <w:tr>
        <w:trPr/>
        <w:tc>
          <w:tcPr>
            <w:tcW w:w="3692"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Emerging growth company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on September 2, 2026, the registrant had 33,175,640 shares of Common Stock, par value $0.01 per share, outstanding.</w:t>
      </w:r>
    </w:p>
    <w:p>
      <w:pPr>
        <w:pStyle w:val="TextBody"/>
        <w:bidi w:val="0"/>
        <w:jc w:val="both"/>
        <w:rPr>
          <w:caps w:val="false"/>
          <w:smallCaps w:val="false"/>
          <w:color w:val="FF0000"/>
        </w:rPr>
      </w:pPr>
      <w:r>
        <w:rPr>
          <w:caps w:val="false"/>
          <w:smallCaps w:val="false"/>
          <w:color w:val="FF0000"/>
        </w:rPr>
        <w:t> </w:t>
      </w:r>
    </w:p>
    <w:p>
      <w:pPr>
        <w:pStyle w:val="TextBody"/>
        <w:bidi w:val="0"/>
        <w:spacing w:before="0" w:after="0"/>
        <w:jc w:val="left"/>
        <w:rPr>
          <w:bdr w:val="single" w:sz="2" w:space="1" w:color="000000"/>
        </w:rPr>
      </w:pPr>
      <w:r>
        <w:rPr>
          <w:bdr w:val="single" w:sz="2" w:space="1" w:color="000000"/>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REX AMERICAN RESOURCES CORPORATION AND SUBSIDIARIES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INDEX</w:t>
      </w:r>
    </w:p>
    <w:p>
      <w:pPr>
        <w:pStyle w:val="TextBody"/>
        <w:bidi w:val="0"/>
        <w:jc w:val="center"/>
        <w:rPr>
          <w:caps w:val="false"/>
          <w:smallCaps w:val="false"/>
        </w:rPr>
      </w:pPr>
      <w:r>
        <w:rPr>
          <w:caps w:val="false"/>
          <w:smallCaps w:val="false"/>
        </w:rPr>
        <w:t> </w:t>
      </w:r>
    </w:p>
    <w:tbl>
      <w:tblPr>
        <w:tblW w:w="10170" w:type="dxa"/>
        <w:jc w:val="left"/>
        <w:tblInd w:w="0" w:type="dxa"/>
        <w:tblLayout w:type="fixed"/>
        <w:tblCellMar>
          <w:top w:w="0" w:type="dxa"/>
          <w:left w:w="0" w:type="dxa"/>
          <w:bottom w:w="0" w:type="dxa"/>
          <w:right w:w="0" w:type="dxa"/>
        </w:tblCellMar>
      </w:tblPr>
      <w:tblGrid>
        <w:gridCol w:w="1025"/>
        <w:gridCol w:w="8585"/>
        <w:gridCol w:w="560"/>
      </w:tblGrid>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Page</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01">
              <w:r>
                <w:rPr>
                  <w:rStyle w:val="InternetLink"/>
                </w:rPr>
                <w:t>PART I.</w:t>
              </w:r>
            </w:hyperlink>
          </w:p>
        </w:tc>
        <w:tc>
          <w:tcPr>
            <w:tcW w:w="8585" w:type="dxa"/>
            <w:tcBorders/>
            <w:vAlign w:val="center"/>
          </w:tcPr>
          <w:p>
            <w:pPr>
              <w:pStyle w:val="TableContents"/>
              <w:bidi w:val="0"/>
              <w:spacing w:before="0" w:after="283"/>
              <w:jc w:val="left"/>
              <w:rPr/>
            </w:pPr>
            <w:hyperlink w:anchor="x1_c117568a001">
              <w:r>
                <w:rPr>
                  <w:rStyle w:val="InternetLink"/>
                </w:rPr>
                <w:t>FINANCIAL INFORMATION</w:t>
              </w:r>
            </w:hyperlink>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02">
              <w:r>
                <w:rPr>
                  <w:rStyle w:val="InternetLink"/>
                </w:rPr>
                <w:t>Item 1.</w:t>
              </w:r>
            </w:hyperlink>
          </w:p>
        </w:tc>
        <w:tc>
          <w:tcPr>
            <w:tcW w:w="8585" w:type="dxa"/>
            <w:tcBorders/>
            <w:vAlign w:val="center"/>
          </w:tcPr>
          <w:p>
            <w:pPr>
              <w:pStyle w:val="TableContents"/>
              <w:bidi w:val="0"/>
              <w:spacing w:before="0" w:after="283"/>
              <w:jc w:val="left"/>
              <w:rPr/>
            </w:pPr>
            <w:hyperlink w:anchor="x1_c117568a002">
              <w:r>
                <w:rPr>
                  <w:rStyle w:val="InternetLink"/>
                </w:rPr>
                <w:t>Financial Statements</w:t>
              </w:r>
            </w:hyperlink>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hyperlink w:anchor="x1_c117568a003">
              <w:r>
                <w:rPr>
                  <w:rStyle w:val="InternetLink"/>
                </w:rPr>
                <w:t>Consolidated Balance Sheets</w:t>
              </w:r>
            </w:hyperlink>
          </w:p>
        </w:tc>
        <w:tc>
          <w:tcPr>
            <w:tcW w:w="560" w:type="dxa"/>
            <w:tcBorders/>
            <w:vAlign w:val="center"/>
          </w:tcPr>
          <w:p>
            <w:pPr>
              <w:pStyle w:val="TableContents"/>
              <w:bidi w:val="0"/>
              <w:spacing w:before="0" w:after="283"/>
              <w:jc w:val="right"/>
              <w:rPr/>
            </w:pPr>
            <w:r>
              <w:rPr/>
              <w:t>5</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hyperlink w:anchor="x1_c117568a004">
              <w:r>
                <w:rPr>
                  <w:rStyle w:val="InternetLink"/>
                </w:rPr>
                <w:t>Consolidated Statements of Operations</w:t>
              </w:r>
            </w:hyperlink>
          </w:p>
        </w:tc>
        <w:tc>
          <w:tcPr>
            <w:tcW w:w="560" w:type="dxa"/>
            <w:tcBorders/>
            <w:vAlign w:val="center"/>
          </w:tcPr>
          <w:p>
            <w:pPr>
              <w:pStyle w:val="TableContents"/>
              <w:bidi w:val="0"/>
              <w:spacing w:before="0" w:after="283"/>
              <w:jc w:val="right"/>
              <w:rPr/>
            </w:pPr>
            <w:r>
              <w:rPr/>
              <w:t>6</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hyperlink w:anchor="x1_c117568a005">
              <w:r>
                <w:rPr>
                  <w:rStyle w:val="InternetLink"/>
                </w:rPr>
                <w:t>Consolidated Statements of Equity</w:t>
              </w:r>
            </w:hyperlink>
          </w:p>
        </w:tc>
        <w:tc>
          <w:tcPr>
            <w:tcW w:w="560" w:type="dxa"/>
            <w:tcBorders/>
            <w:vAlign w:val="center"/>
          </w:tcPr>
          <w:p>
            <w:pPr>
              <w:pStyle w:val="TableContents"/>
              <w:bidi w:val="0"/>
              <w:spacing w:before="0" w:after="283"/>
              <w:jc w:val="right"/>
              <w:rPr/>
            </w:pPr>
            <w:r>
              <w:rPr/>
              <w:t>7</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hyperlink w:anchor="x1_c117568a006">
              <w:r>
                <w:rPr>
                  <w:rStyle w:val="InternetLink"/>
                </w:rPr>
                <w:t>Consolidated Statements of Cash Flows</w:t>
              </w:r>
            </w:hyperlink>
          </w:p>
        </w:tc>
        <w:tc>
          <w:tcPr>
            <w:tcW w:w="560" w:type="dxa"/>
            <w:tcBorders/>
            <w:vAlign w:val="center"/>
          </w:tcPr>
          <w:p>
            <w:pPr>
              <w:pStyle w:val="TableContents"/>
              <w:bidi w:val="0"/>
              <w:spacing w:before="0" w:after="283"/>
              <w:jc w:val="right"/>
              <w:rPr/>
            </w:pPr>
            <w:r>
              <w:rPr/>
              <w:t>9</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hyperlink w:anchor="x1_c117568a007">
              <w:r>
                <w:rPr>
                  <w:rStyle w:val="InternetLink"/>
                </w:rPr>
                <w:t>Notes to Consolidated Financial Statements</w:t>
              </w:r>
            </w:hyperlink>
          </w:p>
        </w:tc>
        <w:tc>
          <w:tcPr>
            <w:tcW w:w="560" w:type="dxa"/>
            <w:tcBorders/>
            <w:vAlign w:val="center"/>
          </w:tcPr>
          <w:p>
            <w:pPr>
              <w:pStyle w:val="TableContents"/>
              <w:bidi w:val="0"/>
              <w:spacing w:before="0" w:after="283"/>
              <w:jc w:val="right"/>
              <w:rPr/>
            </w:pPr>
            <w:r>
              <w:rPr/>
              <w:t>10</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08">
              <w:r>
                <w:rPr>
                  <w:rStyle w:val="InternetLink"/>
                </w:rPr>
                <w:t>Item 2.</w:t>
              </w:r>
            </w:hyperlink>
          </w:p>
        </w:tc>
        <w:tc>
          <w:tcPr>
            <w:tcW w:w="8585" w:type="dxa"/>
            <w:tcBorders/>
            <w:vAlign w:val="center"/>
          </w:tcPr>
          <w:p>
            <w:pPr>
              <w:pStyle w:val="TableContents"/>
              <w:bidi w:val="0"/>
              <w:spacing w:before="0" w:after="283"/>
              <w:jc w:val="left"/>
              <w:rPr/>
            </w:pPr>
            <w:hyperlink w:anchor="x1_c117568a008">
              <w:r>
                <w:rPr>
                  <w:rStyle w:val="InternetLink"/>
                </w:rPr>
                <w:t>Management’s Discussion and Analysis of Financial Condition  and Results of Operations</w:t>
              </w:r>
            </w:hyperlink>
          </w:p>
        </w:tc>
        <w:tc>
          <w:tcPr>
            <w:tcW w:w="560" w:type="dxa"/>
            <w:tcBorders/>
            <w:vAlign w:val="center"/>
          </w:tcPr>
          <w:p>
            <w:pPr>
              <w:pStyle w:val="TableContents"/>
              <w:bidi w:val="0"/>
              <w:spacing w:before="0" w:after="283"/>
              <w:jc w:val="right"/>
              <w:rPr/>
            </w:pPr>
            <w:r>
              <w:rPr/>
              <w:t>31</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09">
              <w:r>
                <w:rPr>
                  <w:rStyle w:val="InternetLink"/>
                </w:rPr>
                <w:t>Item 3.</w:t>
              </w:r>
            </w:hyperlink>
          </w:p>
        </w:tc>
        <w:tc>
          <w:tcPr>
            <w:tcW w:w="8585" w:type="dxa"/>
            <w:tcBorders/>
            <w:vAlign w:val="center"/>
          </w:tcPr>
          <w:p>
            <w:pPr>
              <w:pStyle w:val="TableContents"/>
              <w:bidi w:val="0"/>
              <w:spacing w:before="0" w:after="283"/>
              <w:jc w:val="left"/>
              <w:rPr/>
            </w:pPr>
            <w:hyperlink w:anchor="x1_c117568a009">
              <w:r>
                <w:rPr>
                  <w:rStyle w:val="InternetLink"/>
                </w:rPr>
                <w:t>Quantitative and Qualitative Disclosures About Market Risk</w:t>
              </w:r>
            </w:hyperlink>
          </w:p>
        </w:tc>
        <w:tc>
          <w:tcPr>
            <w:tcW w:w="560" w:type="dxa"/>
            <w:tcBorders/>
            <w:vAlign w:val="center"/>
          </w:tcPr>
          <w:p>
            <w:pPr>
              <w:pStyle w:val="TableContents"/>
              <w:bidi w:val="0"/>
              <w:spacing w:before="0" w:after="283"/>
              <w:jc w:val="right"/>
              <w:rPr/>
            </w:pPr>
            <w:r>
              <w:rPr/>
              <w:t>44</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0">
              <w:r>
                <w:rPr>
                  <w:rStyle w:val="InternetLink"/>
                </w:rPr>
                <w:t>Item 4.</w:t>
              </w:r>
            </w:hyperlink>
          </w:p>
        </w:tc>
        <w:tc>
          <w:tcPr>
            <w:tcW w:w="8585" w:type="dxa"/>
            <w:tcBorders/>
            <w:vAlign w:val="center"/>
          </w:tcPr>
          <w:p>
            <w:pPr>
              <w:pStyle w:val="TableContents"/>
              <w:bidi w:val="0"/>
              <w:spacing w:before="0" w:after="283"/>
              <w:jc w:val="left"/>
              <w:rPr/>
            </w:pPr>
            <w:hyperlink w:anchor="x1_c117568a010">
              <w:r>
                <w:rPr>
                  <w:rStyle w:val="InternetLink"/>
                </w:rPr>
                <w:t>Controls and Procedures</w:t>
              </w:r>
            </w:hyperlink>
          </w:p>
        </w:tc>
        <w:tc>
          <w:tcPr>
            <w:tcW w:w="560" w:type="dxa"/>
            <w:tcBorders/>
            <w:vAlign w:val="center"/>
          </w:tcPr>
          <w:p>
            <w:pPr>
              <w:pStyle w:val="TableContents"/>
              <w:bidi w:val="0"/>
              <w:spacing w:before="0" w:after="283"/>
              <w:jc w:val="right"/>
              <w:rPr/>
            </w:pPr>
            <w:r>
              <w:rPr/>
              <w:t>44</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1">
              <w:r>
                <w:rPr>
                  <w:rStyle w:val="InternetLink"/>
                </w:rPr>
                <w:t>PART II. </w:t>
              </w:r>
            </w:hyperlink>
          </w:p>
        </w:tc>
        <w:tc>
          <w:tcPr>
            <w:tcW w:w="8585" w:type="dxa"/>
            <w:tcBorders/>
            <w:vAlign w:val="center"/>
          </w:tcPr>
          <w:p>
            <w:pPr>
              <w:pStyle w:val="TableContents"/>
              <w:bidi w:val="0"/>
              <w:spacing w:before="0" w:after="283"/>
              <w:jc w:val="left"/>
              <w:rPr/>
            </w:pPr>
            <w:hyperlink w:anchor="x1_c117568a011">
              <w:r>
                <w:rPr>
                  <w:rStyle w:val="InternetLink"/>
                </w:rPr>
                <w:t>OTHER INFORMATION</w:t>
              </w:r>
            </w:hyperlink>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2">
              <w:r>
                <w:rPr>
                  <w:rStyle w:val="InternetLink"/>
                </w:rPr>
                <w:t>Item 1.</w:t>
              </w:r>
            </w:hyperlink>
          </w:p>
        </w:tc>
        <w:tc>
          <w:tcPr>
            <w:tcW w:w="8585" w:type="dxa"/>
            <w:tcBorders/>
            <w:vAlign w:val="center"/>
          </w:tcPr>
          <w:p>
            <w:pPr>
              <w:pStyle w:val="TableContents"/>
              <w:bidi w:val="0"/>
              <w:spacing w:before="0" w:after="283"/>
              <w:jc w:val="left"/>
              <w:rPr/>
            </w:pPr>
            <w:hyperlink w:anchor="x1_c117568a012">
              <w:r>
                <w:rPr>
                  <w:rStyle w:val="InternetLink"/>
                </w:rPr>
                <w:t>Legal Proceedings</w:t>
              </w:r>
            </w:hyperlink>
          </w:p>
        </w:tc>
        <w:tc>
          <w:tcPr>
            <w:tcW w:w="560" w:type="dxa"/>
            <w:tcBorders/>
            <w:vAlign w:val="center"/>
          </w:tcPr>
          <w:p>
            <w:pPr>
              <w:pStyle w:val="TableContents"/>
              <w:bidi w:val="0"/>
              <w:spacing w:before="0" w:after="283"/>
              <w:jc w:val="right"/>
              <w:rPr/>
            </w:pPr>
            <w:r>
              <w:rPr/>
              <w:t>45</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3">
              <w:r>
                <w:rPr>
                  <w:rStyle w:val="InternetLink"/>
                </w:rPr>
                <w:t>Item 1A.</w:t>
              </w:r>
            </w:hyperlink>
          </w:p>
        </w:tc>
        <w:tc>
          <w:tcPr>
            <w:tcW w:w="8585" w:type="dxa"/>
            <w:tcBorders/>
            <w:vAlign w:val="center"/>
          </w:tcPr>
          <w:p>
            <w:pPr>
              <w:pStyle w:val="TableContents"/>
              <w:bidi w:val="0"/>
              <w:spacing w:before="0" w:after="283"/>
              <w:jc w:val="left"/>
              <w:rPr/>
            </w:pPr>
            <w:hyperlink w:anchor="x1_c117568a013">
              <w:r>
                <w:rPr>
                  <w:rStyle w:val="InternetLink"/>
                </w:rPr>
                <w:t>Risk Factors</w:t>
              </w:r>
            </w:hyperlink>
          </w:p>
        </w:tc>
        <w:tc>
          <w:tcPr>
            <w:tcW w:w="560" w:type="dxa"/>
            <w:tcBorders/>
            <w:vAlign w:val="center"/>
          </w:tcPr>
          <w:p>
            <w:pPr>
              <w:pStyle w:val="TableContents"/>
              <w:bidi w:val="0"/>
              <w:spacing w:before="0" w:after="283"/>
              <w:jc w:val="right"/>
              <w:rPr/>
            </w:pPr>
            <w:r>
              <w:rPr/>
              <w:t>45</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4">
              <w:r>
                <w:rPr>
                  <w:rStyle w:val="InternetLink"/>
                </w:rPr>
                <w:t>Item 2.</w:t>
              </w:r>
            </w:hyperlink>
          </w:p>
        </w:tc>
        <w:tc>
          <w:tcPr>
            <w:tcW w:w="8585" w:type="dxa"/>
            <w:tcBorders/>
            <w:vAlign w:val="center"/>
          </w:tcPr>
          <w:p>
            <w:pPr>
              <w:pStyle w:val="TableContents"/>
              <w:bidi w:val="0"/>
              <w:spacing w:before="0" w:after="283"/>
              <w:jc w:val="left"/>
              <w:rPr/>
            </w:pPr>
            <w:hyperlink w:anchor="x1_c117568a014">
              <w:r>
                <w:rPr>
                  <w:rStyle w:val="InternetLink"/>
                </w:rPr>
                <w:t>Unregistered Sales of Equity Securities and Use of Proceeds</w:t>
              </w:r>
            </w:hyperlink>
          </w:p>
        </w:tc>
        <w:tc>
          <w:tcPr>
            <w:tcW w:w="560" w:type="dxa"/>
            <w:tcBorders/>
            <w:vAlign w:val="center"/>
          </w:tcPr>
          <w:p>
            <w:pPr>
              <w:pStyle w:val="TableContents"/>
              <w:bidi w:val="0"/>
              <w:spacing w:before="0" w:after="283"/>
              <w:jc w:val="right"/>
              <w:rPr/>
            </w:pPr>
            <w:r>
              <w:rPr/>
              <w:t>45</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5">
              <w:r>
                <w:rPr>
                  <w:rStyle w:val="InternetLink"/>
                </w:rPr>
                <w:t>Item 3.</w:t>
              </w:r>
            </w:hyperlink>
          </w:p>
        </w:tc>
        <w:tc>
          <w:tcPr>
            <w:tcW w:w="8585" w:type="dxa"/>
            <w:tcBorders/>
            <w:vAlign w:val="center"/>
          </w:tcPr>
          <w:p>
            <w:pPr>
              <w:pStyle w:val="TableContents"/>
              <w:bidi w:val="0"/>
              <w:spacing w:before="0" w:after="283"/>
              <w:jc w:val="left"/>
              <w:rPr/>
            </w:pPr>
            <w:hyperlink w:anchor="x1_c117568a015">
              <w:r>
                <w:rPr>
                  <w:rStyle w:val="InternetLink"/>
                </w:rPr>
                <w:t>Defaults upon Senior Securities</w:t>
              </w:r>
            </w:hyperlink>
          </w:p>
        </w:tc>
        <w:tc>
          <w:tcPr>
            <w:tcW w:w="560" w:type="dxa"/>
            <w:tcBorders/>
            <w:vAlign w:val="center"/>
          </w:tcPr>
          <w:p>
            <w:pPr>
              <w:pStyle w:val="TableContents"/>
              <w:bidi w:val="0"/>
              <w:spacing w:before="0" w:after="283"/>
              <w:jc w:val="right"/>
              <w:rPr/>
            </w:pPr>
            <w:r>
              <w:rPr/>
              <w:t>45</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6">
              <w:r>
                <w:rPr>
                  <w:rStyle w:val="InternetLink"/>
                </w:rPr>
                <w:t>Item 4.</w:t>
              </w:r>
            </w:hyperlink>
          </w:p>
        </w:tc>
        <w:tc>
          <w:tcPr>
            <w:tcW w:w="8585" w:type="dxa"/>
            <w:tcBorders/>
            <w:vAlign w:val="center"/>
          </w:tcPr>
          <w:p>
            <w:pPr>
              <w:pStyle w:val="TableContents"/>
              <w:bidi w:val="0"/>
              <w:spacing w:before="0" w:after="283"/>
              <w:jc w:val="left"/>
              <w:rPr/>
            </w:pPr>
            <w:hyperlink w:anchor="x1_c117568a016">
              <w:r>
                <w:rPr>
                  <w:rStyle w:val="InternetLink"/>
                </w:rPr>
                <w:t>Mine Safety Disclosures</w:t>
              </w:r>
            </w:hyperlink>
          </w:p>
        </w:tc>
        <w:tc>
          <w:tcPr>
            <w:tcW w:w="560" w:type="dxa"/>
            <w:tcBorders/>
            <w:vAlign w:val="center"/>
          </w:tcPr>
          <w:p>
            <w:pPr>
              <w:pStyle w:val="TableContents"/>
              <w:bidi w:val="0"/>
              <w:spacing w:before="0" w:after="283"/>
              <w:jc w:val="right"/>
              <w:rPr/>
            </w:pPr>
            <w:r>
              <w:rPr/>
              <w:t>45</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7">
              <w:r>
                <w:rPr>
                  <w:rStyle w:val="InternetLink"/>
                </w:rPr>
                <w:t>Item 5.</w:t>
              </w:r>
            </w:hyperlink>
          </w:p>
        </w:tc>
        <w:tc>
          <w:tcPr>
            <w:tcW w:w="8585" w:type="dxa"/>
            <w:tcBorders/>
            <w:vAlign w:val="center"/>
          </w:tcPr>
          <w:p>
            <w:pPr>
              <w:pStyle w:val="TableContents"/>
              <w:bidi w:val="0"/>
              <w:spacing w:before="0" w:after="283"/>
              <w:jc w:val="left"/>
              <w:rPr/>
            </w:pPr>
            <w:hyperlink w:anchor="x1_c117568a017">
              <w:r>
                <w:rPr>
                  <w:rStyle w:val="InternetLink"/>
                </w:rPr>
                <w:t>Other Information</w:t>
              </w:r>
            </w:hyperlink>
          </w:p>
        </w:tc>
        <w:tc>
          <w:tcPr>
            <w:tcW w:w="560" w:type="dxa"/>
            <w:tcBorders/>
            <w:vAlign w:val="center"/>
          </w:tcPr>
          <w:p>
            <w:pPr>
              <w:pStyle w:val="TableContents"/>
              <w:bidi w:val="0"/>
              <w:spacing w:before="0" w:after="283"/>
              <w:jc w:val="right"/>
              <w:rPr/>
            </w:pPr>
            <w:r>
              <w:rPr/>
              <w:t>46</w:t>
            </w:r>
          </w:p>
        </w:tc>
      </w:tr>
      <w:tr>
        <w:trPr/>
        <w:tc>
          <w:tcPr>
            <w:tcW w:w="1025"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025" w:type="dxa"/>
            <w:tcBorders/>
            <w:vAlign w:val="center"/>
          </w:tcPr>
          <w:p>
            <w:pPr>
              <w:pStyle w:val="TableContents"/>
              <w:bidi w:val="0"/>
              <w:spacing w:before="0" w:after="283"/>
              <w:jc w:val="left"/>
              <w:rPr/>
            </w:pPr>
            <w:hyperlink w:anchor="x1_c117568a018">
              <w:r>
                <w:rPr>
                  <w:rStyle w:val="InternetLink"/>
                </w:rPr>
                <w:t>Item 6.</w:t>
              </w:r>
            </w:hyperlink>
          </w:p>
        </w:tc>
        <w:tc>
          <w:tcPr>
            <w:tcW w:w="8585" w:type="dxa"/>
            <w:tcBorders/>
            <w:vAlign w:val="center"/>
          </w:tcPr>
          <w:p>
            <w:pPr>
              <w:pStyle w:val="TableContents"/>
              <w:bidi w:val="0"/>
              <w:spacing w:before="0" w:after="283"/>
              <w:jc w:val="left"/>
              <w:rPr/>
            </w:pPr>
            <w:hyperlink w:anchor="x1_c117568a018">
              <w:r>
                <w:rPr>
                  <w:rStyle w:val="InternetLink"/>
                </w:rPr>
                <w:t>Exhibits</w:t>
              </w:r>
            </w:hyperlink>
          </w:p>
        </w:tc>
        <w:tc>
          <w:tcPr>
            <w:tcW w:w="560" w:type="dxa"/>
            <w:tcBorders/>
            <w:vAlign w:val="center"/>
          </w:tcPr>
          <w:p>
            <w:pPr>
              <w:pStyle w:val="TableContents"/>
              <w:bidi w:val="0"/>
              <w:spacing w:before="0" w:after="283"/>
              <w:jc w:val="right"/>
              <w:rPr/>
            </w:pPr>
            <w:r>
              <w:rPr/>
              <w:t>46</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2 </w:t>
      </w:r>
    </w:p>
    <w:tbl>
      <w:tblPr>
        <w:tblW w:w="10205" w:type="dxa"/>
        <w:jc w:val="left"/>
        <w:tblInd w:w="0" w:type="dxa"/>
        <w:tblLayout w:type="fixed"/>
        <w:tblCellMar>
          <w:top w:w="0" w:type="dxa"/>
          <w:left w:w="0" w:type="dxa"/>
          <w:bottom w:w="0" w:type="dxa"/>
          <w:right w:w="0" w:type="dxa"/>
        </w:tblCellMar>
      </w:tblPr>
      <w:tblGrid>
        <w:gridCol w:w="2445"/>
        <w:gridCol w:w="7760"/>
      </w:tblGrid>
      <w:tr>
        <w:trPr/>
        <w:tc>
          <w:tcPr>
            <w:tcW w:w="10205" w:type="dxa"/>
            <w:gridSpan w:val="2"/>
            <w:tcBorders/>
            <w:vAlign w:val="center"/>
          </w:tcPr>
          <w:p>
            <w:pPr>
              <w:pStyle w:val="TableContents"/>
              <w:bidi w:val="0"/>
              <w:spacing w:before="0" w:after="283"/>
              <w:jc w:val="center"/>
              <w:rPr>
                <w:b/>
              </w:rPr>
            </w:pPr>
            <w:r>
              <w:rPr>
                <w:b/>
              </w:rPr>
              <w:t>Commonly Used Defined Terms</w:t>
            </w:r>
          </w:p>
        </w:tc>
      </w:tr>
      <w:tr>
        <w:trPr/>
        <w:tc>
          <w:tcPr>
            <w:tcW w:w="10205" w:type="dxa"/>
            <w:gridSpan w:val="2"/>
            <w:tcBorders/>
            <w:vAlign w:val="center"/>
          </w:tcPr>
          <w:p>
            <w:pPr>
              <w:pStyle w:val="TableContents"/>
              <w:bidi w:val="0"/>
              <w:spacing w:before="0" w:after="283"/>
              <w:jc w:val="center"/>
              <w:rPr/>
            </w:pPr>
            <w:r>
              <w:rPr/>
              <w:t> </w:t>
            </w:r>
          </w:p>
        </w:tc>
      </w:tr>
      <w:tr>
        <w:trPr/>
        <w:tc>
          <w:tcPr>
            <w:tcW w:w="2445" w:type="dxa"/>
            <w:tcBorders/>
            <w:vAlign w:val="center"/>
          </w:tcPr>
          <w:p>
            <w:pPr>
              <w:pStyle w:val="TableContents"/>
              <w:bidi w:val="0"/>
              <w:spacing w:before="0" w:after="283"/>
              <w:jc w:val="left"/>
              <w:rPr>
                <w:b/>
                <w:i/>
              </w:rPr>
            </w:pPr>
            <w:r>
              <w:rPr>
                <w:b/>
                <w:i/>
              </w:rPr>
              <w:t>Corporate Structure:</w:t>
            </w:r>
          </w:p>
        </w:tc>
        <w:tc>
          <w:tcPr>
            <w:tcW w:w="7760" w:type="dxa"/>
            <w:tcBorders/>
            <w:vAlign w:val="center"/>
          </w:tcPr>
          <w:p>
            <w:pPr>
              <w:pStyle w:val="TableContents"/>
              <w:bidi w:val="0"/>
              <w:spacing w:before="0" w:after="283"/>
              <w:jc w:val="left"/>
              <w:rPr/>
            </w:pPr>
            <w:r>
              <w:rPr/>
              <w:t> </w:t>
            </w:r>
          </w:p>
        </w:tc>
      </w:tr>
      <w:tr>
        <w:trPr/>
        <w:tc>
          <w:tcPr>
            <w:tcW w:w="2445"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283"/>
              <w:jc w:val="left"/>
              <w:rPr/>
            </w:pPr>
            <w:r>
              <w:rPr/>
              <w:t> </w:t>
            </w:r>
          </w:p>
        </w:tc>
      </w:tr>
      <w:tr>
        <w:trPr/>
        <w:tc>
          <w:tcPr>
            <w:tcW w:w="2445" w:type="dxa"/>
            <w:tcBorders/>
            <w:vAlign w:val="center"/>
          </w:tcPr>
          <w:p>
            <w:pPr>
              <w:pStyle w:val="TableContents"/>
              <w:bidi w:val="0"/>
              <w:spacing w:before="0" w:after="283"/>
              <w:jc w:val="left"/>
              <w:rPr/>
            </w:pPr>
            <w:r>
              <w:rPr/>
              <w:t>REX/the Company</w:t>
            </w:r>
          </w:p>
        </w:tc>
        <w:tc>
          <w:tcPr>
            <w:tcW w:w="7760" w:type="dxa"/>
            <w:tcBorders/>
            <w:vAlign w:val="center"/>
          </w:tcPr>
          <w:p>
            <w:pPr>
              <w:pStyle w:val="TableContents"/>
              <w:bidi w:val="0"/>
              <w:spacing w:before="0" w:after="283"/>
              <w:jc w:val="left"/>
              <w:rPr/>
            </w:pPr>
            <w:r>
              <w:rPr/>
              <w:t>REX American Resources Corporation, and its majority and wholly owned subsidiaries</w:t>
            </w:r>
          </w:p>
        </w:tc>
      </w:tr>
      <w:tr>
        <w:trPr/>
        <w:tc>
          <w:tcPr>
            <w:tcW w:w="2445" w:type="dxa"/>
            <w:tcBorders/>
            <w:vAlign w:val="center"/>
          </w:tcPr>
          <w:p>
            <w:pPr>
              <w:pStyle w:val="TableContents"/>
              <w:bidi w:val="0"/>
              <w:spacing w:before="0" w:after="283"/>
              <w:jc w:val="left"/>
              <w:rPr/>
            </w:pPr>
            <w:r>
              <w:rPr/>
              <w:t xml:space="preserve">NuGen </w:t>
            </w:r>
          </w:p>
        </w:tc>
        <w:tc>
          <w:tcPr>
            <w:tcW w:w="7760" w:type="dxa"/>
            <w:tcBorders/>
            <w:vAlign w:val="center"/>
          </w:tcPr>
          <w:p>
            <w:pPr>
              <w:pStyle w:val="TableContents"/>
              <w:bidi w:val="0"/>
              <w:spacing w:before="0" w:after="283"/>
              <w:jc w:val="left"/>
              <w:rPr/>
            </w:pPr>
            <w:r>
              <w:rPr/>
              <w:t>NuGen Energy, LLC – REX owns 99.7%</w:t>
            </w:r>
          </w:p>
        </w:tc>
      </w:tr>
      <w:tr>
        <w:trPr/>
        <w:tc>
          <w:tcPr>
            <w:tcW w:w="2445" w:type="dxa"/>
            <w:tcBorders/>
            <w:vAlign w:val="center"/>
          </w:tcPr>
          <w:p>
            <w:pPr>
              <w:pStyle w:val="TableContents"/>
              <w:bidi w:val="0"/>
              <w:spacing w:before="0" w:after="283"/>
              <w:jc w:val="left"/>
              <w:rPr/>
            </w:pPr>
            <w:r>
              <w:rPr/>
              <w:t>One Earth</w:t>
            </w:r>
          </w:p>
        </w:tc>
        <w:tc>
          <w:tcPr>
            <w:tcW w:w="7760" w:type="dxa"/>
            <w:tcBorders/>
            <w:vAlign w:val="center"/>
          </w:tcPr>
          <w:p>
            <w:pPr>
              <w:pStyle w:val="TableContents"/>
              <w:bidi w:val="0"/>
              <w:spacing w:before="0" w:after="283"/>
              <w:jc w:val="left"/>
              <w:rPr/>
            </w:pPr>
            <w:r>
              <w:rPr/>
              <w:t>One Earth Energy, LLC and subsidiaries – REX owns 76.1%</w:t>
            </w:r>
          </w:p>
        </w:tc>
      </w:tr>
      <w:tr>
        <w:trPr/>
        <w:tc>
          <w:tcPr>
            <w:tcW w:w="2445" w:type="dxa"/>
            <w:tcBorders/>
            <w:vAlign w:val="center"/>
          </w:tcPr>
          <w:p>
            <w:pPr>
              <w:pStyle w:val="TableContents"/>
              <w:bidi w:val="0"/>
              <w:spacing w:before="0" w:after="283"/>
              <w:jc w:val="left"/>
              <w:rPr/>
            </w:pPr>
            <w:r>
              <w:rPr/>
              <w:t>Big River</w:t>
            </w:r>
          </w:p>
        </w:tc>
        <w:tc>
          <w:tcPr>
            <w:tcW w:w="7760" w:type="dxa"/>
            <w:tcBorders/>
            <w:vAlign w:val="center"/>
          </w:tcPr>
          <w:p>
            <w:pPr>
              <w:pStyle w:val="TableContents"/>
              <w:bidi w:val="0"/>
              <w:spacing w:before="0" w:after="283"/>
              <w:jc w:val="left"/>
              <w:rPr/>
            </w:pPr>
            <w:r>
              <w:rPr/>
              <w:t>Big River Resources, LLC and subsidiaries – REX owns 10.3%</w:t>
            </w:r>
          </w:p>
        </w:tc>
      </w:tr>
      <w:tr>
        <w:trPr/>
        <w:tc>
          <w:tcPr>
            <w:tcW w:w="2445"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283"/>
              <w:jc w:val="left"/>
              <w:rPr/>
            </w:pPr>
            <w:r>
              <w:rPr/>
              <w:t> </w:t>
            </w:r>
          </w:p>
        </w:tc>
      </w:tr>
      <w:tr>
        <w:trPr/>
        <w:tc>
          <w:tcPr>
            <w:tcW w:w="2445" w:type="dxa"/>
            <w:tcBorders/>
            <w:vAlign w:val="center"/>
          </w:tcPr>
          <w:p>
            <w:pPr>
              <w:pStyle w:val="TableContents"/>
              <w:bidi w:val="0"/>
              <w:spacing w:before="0" w:after="283"/>
              <w:jc w:val="left"/>
              <w:rPr>
                <w:b/>
                <w:i/>
              </w:rPr>
            </w:pPr>
            <w:r>
              <w:rPr>
                <w:b/>
                <w:i/>
              </w:rPr>
              <w:t>Industry Terms:</w:t>
            </w:r>
          </w:p>
        </w:tc>
        <w:tc>
          <w:tcPr>
            <w:tcW w:w="7760" w:type="dxa"/>
            <w:tcBorders/>
            <w:vAlign w:val="center"/>
          </w:tcPr>
          <w:p>
            <w:pPr>
              <w:pStyle w:val="TableContents"/>
              <w:bidi w:val="0"/>
              <w:spacing w:before="0" w:after="283"/>
              <w:jc w:val="left"/>
              <w:rPr/>
            </w:pPr>
            <w:r>
              <w:rPr/>
              <w:t> </w:t>
            </w:r>
          </w:p>
        </w:tc>
      </w:tr>
      <w:tr>
        <w:trPr/>
        <w:tc>
          <w:tcPr>
            <w:tcW w:w="2445"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283"/>
              <w:jc w:val="left"/>
              <w:rPr/>
            </w:pPr>
            <w:r>
              <w:rPr/>
              <w:t> </w:t>
            </w:r>
          </w:p>
        </w:tc>
      </w:tr>
      <w:tr>
        <w:trPr/>
        <w:tc>
          <w:tcPr>
            <w:tcW w:w="2445" w:type="dxa"/>
            <w:tcBorders/>
            <w:vAlign w:val="center"/>
          </w:tcPr>
          <w:p>
            <w:pPr>
              <w:pStyle w:val="TableContents"/>
              <w:bidi w:val="0"/>
              <w:spacing w:before="0" w:after="283"/>
              <w:jc w:val="left"/>
              <w:rPr/>
            </w:pPr>
            <w:r>
              <w:rPr/>
              <w:t>CI</w:t>
            </w:r>
          </w:p>
        </w:tc>
        <w:tc>
          <w:tcPr>
            <w:tcW w:w="7760" w:type="dxa"/>
            <w:tcBorders/>
            <w:vAlign w:val="center"/>
          </w:tcPr>
          <w:p>
            <w:pPr>
              <w:pStyle w:val="TableContents"/>
              <w:bidi w:val="0"/>
              <w:spacing w:before="0" w:after="283"/>
              <w:jc w:val="left"/>
              <w:rPr/>
            </w:pPr>
            <w:r>
              <w:rPr/>
              <w:t>Carbon Intensity</w:t>
            </w:r>
          </w:p>
        </w:tc>
      </w:tr>
      <w:tr>
        <w:trPr/>
        <w:tc>
          <w:tcPr>
            <w:tcW w:w="2445" w:type="dxa"/>
            <w:tcBorders/>
            <w:vAlign w:val="center"/>
          </w:tcPr>
          <w:p>
            <w:pPr>
              <w:pStyle w:val="TableContents"/>
              <w:bidi w:val="0"/>
              <w:spacing w:before="0" w:after="283"/>
              <w:jc w:val="left"/>
              <w:rPr/>
            </w:pPr>
            <w:r>
              <w:rPr/>
              <w:t>CO</w:t>
            </w:r>
            <w:r>
              <w:rPr>
                <w:position w:val="-2"/>
                <w:sz w:val="19"/>
              </w:rPr>
              <w:t>2</w:t>
            </w:r>
          </w:p>
        </w:tc>
        <w:tc>
          <w:tcPr>
            <w:tcW w:w="7760" w:type="dxa"/>
            <w:tcBorders/>
            <w:vAlign w:val="center"/>
          </w:tcPr>
          <w:p>
            <w:pPr>
              <w:pStyle w:val="TableContents"/>
              <w:bidi w:val="0"/>
              <w:spacing w:before="0" w:after="283"/>
              <w:jc w:val="left"/>
              <w:rPr/>
            </w:pPr>
            <w:r>
              <w:rPr/>
              <w:t>Carbon dioxide</w:t>
            </w:r>
          </w:p>
        </w:tc>
      </w:tr>
      <w:tr>
        <w:trPr/>
        <w:tc>
          <w:tcPr>
            <w:tcW w:w="2445" w:type="dxa"/>
            <w:tcBorders/>
            <w:vAlign w:val="center"/>
          </w:tcPr>
          <w:p>
            <w:pPr>
              <w:pStyle w:val="TableContents"/>
              <w:bidi w:val="0"/>
              <w:spacing w:before="0" w:after="283"/>
              <w:jc w:val="left"/>
              <w:rPr/>
            </w:pPr>
            <w:r>
              <w:rPr/>
              <w:t>E-10</w:t>
            </w:r>
          </w:p>
        </w:tc>
        <w:tc>
          <w:tcPr>
            <w:tcW w:w="7760" w:type="dxa"/>
            <w:tcBorders/>
            <w:vAlign w:val="center"/>
          </w:tcPr>
          <w:p>
            <w:pPr>
              <w:pStyle w:val="TableContents"/>
              <w:bidi w:val="0"/>
              <w:spacing w:before="0" w:after="283"/>
              <w:jc w:val="left"/>
              <w:rPr/>
            </w:pPr>
            <w:r>
              <w:rPr/>
              <w:t>Gasoline blended with up to 10% ethanol by volume</w:t>
            </w:r>
          </w:p>
        </w:tc>
      </w:tr>
      <w:tr>
        <w:trPr/>
        <w:tc>
          <w:tcPr>
            <w:tcW w:w="2445" w:type="dxa"/>
            <w:tcBorders/>
            <w:vAlign w:val="center"/>
          </w:tcPr>
          <w:p>
            <w:pPr>
              <w:pStyle w:val="TableContents"/>
              <w:bidi w:val="0"/>
              <w:spacing w:before="0" w:after="283"/>
              <w:jc w:val="left"/>
              <w:rPr/>
            </w:pPr>
            <w:r>
              <w:rPr/>
              <w:t>E-15</w:t>
            </w:r>
          </w:p>
        </w:tc>
        <w:tc>
          <w:tcPr>
            <w:tcW w:w="7760" w:type="dxa"/>
            <w:tcBorders/>
            <w:vAlign w:val="center"/>
          </w:tcPr>
          <w:p>
            <w:pPr>
              <w:pStyle w:val="TableContents"/>
              <w:bidi w:val="0"/>
              <w:spacing w:before="0" w:after="283"/>
              <w:jc w:val="left"/>
              <w:rPr/>
            </w:pPr>
            <w:r>
              <w:rPr/>
              <w:t>Gasoline blended with up to 15% ethanol by volume</w:t>
            </w:r>
          </w:p>
        </w:tc>
      </w:tr>
      <w:tr>
        <w:trPr/>
        <w:tc>
          <w:tcPr>
            <w:tcW w:w="2445" w:type="dxa"/>
            <w:tcBorders/>
            <w:vAlign w:val="center"/>
          </w:tcPr>
          <w:p>
            <w:pPr>
              <w:pStyle w:val="TableContents"/>
              <w:bidi w:val="0"/>
              <w:spacing w:before="0" w:after="283"/>
              <w:jc w:val="left"/>
              <w:rPr/>
            </w:pPr>
            <w:r>
              <w:rPr/>
              <w:t>EACs</w:t>
            </w:r>
          </w:p>
        </w:tc>
        <w:tc>
          <w:tcPr>
            <w:tcW w:w="7760" w:type="dxa"/>
            <w:tcBorders/>
            <w:vAlign w:val="center"/>
          </w:tcPr>
          <w:p>
            <w:pPr>
              <w:pStyle w:val="TableContents"/>
              <w:bidi w:val="0"/>
              <w:spacing w:before="0" w:after="283"/>
              <w:jc w:val="left"/>
              <w:rPr/>
            </w:pPr>
            <w:r>
              <w:rPr/>
              <w:t>Energy Attribute Certificates</w:t>
            </w:r>
          </w:p>
        </w:tc>
      </w:tr>
      <w:tr>
        <w:trPr/>
        <w:tc>
          <w:tcPr>
            <w:tcW w:w="2445" w:type="dxa"/>
            <w:tcBorders/>
            <w:vAlign w:val="center"/>
          </w:tcPr>
          <w:p>
            <w:pPr>
              <w:pStyle w:val="TableContents"/>
              <w:bidi w:val="0"/>
              <w:spacing w:before="0" w:after="283"/>
              <w:jc w:val="left"/>
              <w:rPr/>
            </w:pPr>
            <w:r>
              <w:rPr/>
              <w:t>EPA</w:t>
            </w:r>
          </w:p>
        </w:tc>
        <w:tc>
          <w:tcPr>
            <w:tcW w:w="7760" w:type="dxa"/>
            <w:tcBorders/>
            <w:vAlign w:val="center"/>
          </w:tcPr>
          <w:p>
            <w:pPr>
              <w:pStyle w:val="TableContents"/>
              <w:bidi w:val="0"/>
              <w:spacing w:before="0" w:after="283"/>
              <w:jc w:val="left"/>
              <w:rPr/>
            </w:pPr>
            <w:r>
              <w:rPr/>
              <w:t>United States Environmental Protection Agency</w:t>
            </w:r>
          </w:p>
        </w:tc>
      </w:tr>
      <w:tr>
        <w:trPr/>
        <w:tc>
          <w:tcPr>
            <w:tcW w:w="2445" w:type="dxa"/>
            <w:tcBorders/>
            <w:vAlign w:val="center"/>
          </w:tcPr>
          <w:p>
            <w:pPr>
              <w:pStyle w:val="TableContents"/>
              <w:bidi w:val="0"/>
              <w:spacing w:before="0" w:after="283"/>
              <w:jc w:val="left"/>
              <w:rPr/>
            </w:pPr>
            <w:r>
              <w:rPr/>
              <w:t>FEOC</w:t>
            </w:r>
          </w:p>
        </w:tc>
        <w:tc>
          <w:tcPr>
            <w:tcW w:w="7760" w:type="dxa"/>
            <w:tcBorders/>
            <w:vAlign w:val="center"/>
          </w:tcPr>
          <w:p>
            <w:pPr>
              <w:pStyle w:val="TableContents"/>
              <w:bidi w:val="0"/>
              <w:spacing w:before="0" w:after="283"/>
              <w:jc w:val="left"/>
              <w:rPr/>
            </w:pPr>
            <w:r>
              <w:rPr/>
              <w:t>Foreign Entity of Concern</w:t>
            </w:r>
          </w:p>
        </w:tc>
      </w:tr>
      <w:tr>
        <w:trPr/>
        <w:tc>
          <w:tcPr>
            <w:tcW w:w="2445" w:type="dxa"/>
            <w:tcBorders/>
            <w:vAlign w:val="center"/>
          </w:tcPr>
          <w:p>
            <w:pPr>
              <w:pStyle w:val="TableContents"/>
              <w:bidi w:val="0"/>
              <w:spacing w:before="0" w:after="283"/>
              <w:jc w:val="left"/>
              <w:rPr/>
            </w:pPr>
            <w:r>
              <w:rPr/>
              <w:t>GHG</w:t>
            </w:r>
          </w:p>
        </w:tc>
        <w:tc>
          <w:tcPr>
            <w:tcW w:w="7760" w:type="dxa"/>
            <w:tcBorders/>
            <w:vAlign w:val="center"/>
          </w:tcPr>
          <w:p>
            <w:pPr>
              <w:pStyle w:val="TableContents"/>
              <w:bidi w:val="0"/>
              <w:spacing w:before="0" w:after="283"/>
              <w:jc w:val="left"/>
              <w:rPr/>
            </w:pPr>
            <w:r>
              <w:rPr/>
              <w:t>Greenhouse Gas</w:t>
            </w:r>
          </w:p>
        </w:tc>
      </w:tr>
      <w:tr>
        <w:trPr/>
        <w:tc>
          <w:tcPr>
            <w:tcW w:w="2445" w:type="dxa"/>
            <w:tcBorders/>
            <w:vAlign w:val="center"/>
          </w:tcPr>
          <w:p>
            <w:pPr>
              <w:pStyle w:val="TableContents"/>
              <w:bidi w:val="0"/>
              <w:spacing w:before="0" w:after="283"/>
              <w:jc w:val="left"/>
              <w:rPr/>
            </w:pPr>
            <w:r>
              <w:rPr/>
              <w:t>IRA</w:t>
            </w:r>
          </w:p>
        </w:tc>
        <w:tc>
          <w:tcPr>
            <w:tcW w:w="7760" w:type="dxa"/>
            <w:tcBorders/>
            <w:vAlign w:val="center"/>
          </w:tcPr>
          <w:p>
            <w:pPr>
              <w:pStyle w:val="TableContents"/>
              <w:bidi w:val="0"/>
              <w:spacing w:before="0" w:after="283"/>
              <w:jc w:val="left"/>
              <w:rPr/>
            </w:pPr>
            <w:r>
              <w:rPr/>
              <w:t>Inflation Reduction Act</w:t>
            </w:r>
          </w:p>
        </w:tc>
      </w:tr>
      <w:tr>
        <w:trPr/>
        <w:tc>
          <w:tcPr>
            <w:tcW w:w="2445" w:type="dxa"/>
            <w:tcBorders/>
            <w:vAlign w:val="center"/>
          </w:tcPr>
          <w:p>
            <w:pPr>
              <w:pStyle w:val="TableContents"/>
              <w:bidi w:val="0"/>
              <w:spacing w:before="0" w:after="283"/>
              <w:jc w:val="left"/>
              <w:rPr/>
            </w:pPr>
            <w:r>
              <w:rPr/>
              <w:t>IRC</w:t>
            </w:r>
          </w:p>
        </w:tc>
        <w:tc>
          <w:tcPr>
            <w:tcW w:w="7760" w:type="dxa"/>
            <w:tcBorders/>
            <w:vAlign w:val="center"/>
          </w:tcPr>
          <w:p>
            <w:pPr>
              <w:pStyle w:val="TableContents"/>
              <w:bidi w:val="0"/>
              <w:spacing w:before="0" w:after="283"/>
              <w:jc w:val="left"/>
              <w:rPr/>
            </w:pPr>
            <w:r>
              <w:rPr/>
              <w:t>Internal Revenue Code of 1986, as amended</w:t>
            </w:r>
          </w:p>
        </w:tc>
      </w:tr>
      <w:tr>
        <w:trPr/>
        <w:tc>
          <w:tcPr>
            <w:tcW w:w="2445" w:type="dxa"/>
            <w:tcBorders/>
            <w:vAlign w:val="center"/>
          </w:tcPr>
          <w:p>
            <w:pPr>
              <w:pStyle w:val="TableContents"/>
              <w:bidi w:val="0"/>
              <w:spacing w:before="0" w:after="283"/>
              <w:jc w:val="left"/>
              <w:rPr/>
            </w:pPr>
            <w:r>
              <w:rPr/>
              <w:t>IRC Section 45/Section 45</w:t>
            </w:r>
          </w:p>
        </w:tc>
        <w:tc>
          <w:tcPr>
            <w:tcW w:w="7760" w:type="dxa"/>
            <w:tcBorders/>
            <w:vAlign w:val="center"/>
          </w:tcPr>
          <w:p>
            <w:pPr>
              <w:pStyle w:val="TableContents"/>
              <w:bidi w:val="0"/>
              <w:spacing w:before="0" w:after="283"/>
              <w:jc w:val="left"/>
              <w:rPr/>
            </w:pPr>
            <w:r>
              <w:rPr/>
              <w:t>IRC § 45 - Electricity Produced from Certain Renewable Resources, etc.</w:t>
            </w:r>
          </w:p>
        </w:tc>
      </w:tr>
      <w:tr>
        <w:trPr/>
        <w:tc>
          <w:tcPr>
            <w:tcW w:w="2445" w:type="dxa"/>
            <w:tcBorders/>
            <w:vAlign w:val="center"/>
          </w:tcPr>
          <w:p>
            <w:pPr>
              <w:pStyle w:val="TableContents"/>
              <w:bidi w:val="0"/>
              <w:spacing w:before="0" w:after="283"/>
              <w:jc w:val="left"/>
              <w:rPr/>
            </w:pPr>
            <w:r>
              <w:rPr/>
              <w:t>IRS</w:t>
            </w:r>
          </w:p>
        </w:tc>
        <w:tc>
          <w:tcPr>
            <w:tcW w:w="7760" w:type="dxa"/>
            <w:tcBorders/>
            <w:vAlign w:val="center"/>
          </w:tcPr>
          <w:p>
            <w:pPr>
              <w:pStyle w:val="TableContents"/>
              <w:bidi w:val="0"/>
              <w:spacing w:before="0" w:after="283"/>
              <w:jc w:val="left"/>
              <w:rPr/>
            </w:pPr>
            <w:r>
              <w:rPr/>
              <w:t>Internal Revenue Service</w:t>
            </w:r>
          </w:p>
        </w:tc>
      </w:tr>
      <w:tr>
        <w:trPr/>
        <w:tc>
          <w:tcPr>
            <w:tcW w:w="2445" w:type="dxa"/>
            <w:tcBorders/>
            <w:vAlign w:val="center"/>
          </w:tcPr>
          <w:p>
            <w:pPr>
              <w:pStyle w:val="TableContents"/>
              <w:bidi w:val="0"/>
              <w:spacing w:before="0" w:after="283"/>
              <w:jc w:val="left"/>
              <w:rPr/>
            </w:pPr>
            <w:r>
              <w:rPr/>
              <w:t>OBBBA</w:t>
            </w:r>
          </w:p>
        </w:tc>
        <w:tc>
          <w:tcPr>
            <w:tcW w:w="7760" w:type="dxa"/>
            <w:tcBorders/>
            <w:vAlign w:val="center"/>
          </w:tcPr>
          <w:p>
            <w:pPr>
              <w:pStyle w:val="TableContents"/>
              <w:bidi w:val="0"/>
              <w:spacing w:before="0" w:after="283"/>
              <w:jc w:val="left"/>
              <w:rPr/>
            </w:pPr>
            <w:r>
              <w:rPr/>
              <w:t>One Big Beautiful Bill Act</w:t>
            </w:r>
          </w:p>
        </w:tc>
      </w:tr>
      <w:tr>
        <w:trPr/>
        <w:tc>
          <w:tcPr>
            <w:tcW w:w="2445" w:type="dxa"/>
            <w:tcBorders/>
            <w:vAlign w:val="center"/>
          </w:tcPr>
          <w:p>
            <w:pPr>
              <w:pStyle w:val="TableContents"/>
              <w:bidi w:val="0"/>
              <w:spacing w:before="0" w:after="283"/>
              <w:jc w:val="left"/>
              <w:rPr/>
            </w:pPr>
            <w:r>
              <w:rPr/>
              <w:t>PHMSA</w:t>
            </w:r>
          </w:p>
        </w:tc>
        <w:tc>
          <w:tcPr>
            <w:tcW w:w="7760" w:type="dxa"/>
            <w:tcBorders/>
            <w:vAlign w:val="center"/>
          </w:tcPr>
          <w:p>
            <w:pPr>
              <w:pStyle w:val="TableContents"/>
              <w:bidi w:val="0"/>
              <w:spacing w:before="0" w:after="283"/>
              <w:jc w:val="left"/>
              <w:rPr/>
            </w:pPr>
            <w:r>
              <w:rPr/>
              <w:t>Pipeline and Hazardous Materials Safety Administration</w:t>
            </w:r>
          </w:p>
        </w:tc>
      </w:tr>
      <w:tr>
        <w:trPr/>
        <w:tc>
          <w:tcPr>
            <w:tcW w:w="2445" w:type="dxa"/>
            <w:tcBorders/>
            <w:vAlign w:val="center"/>
          </w:tcPr>
          <w:p>
            <w:pPr>
              <w:pStyle w:val="TableContents"/>
              <w:bidi w:val="0"/>
              <w:spacing w:before="0" w:after="283"/>
              <w:jc w:val="left"/>
              <w:rPr/>
            </w:pPr>
            <w:r>
              <w:rPr/>
              <w:t>RFS II</w:t>
            </w:r>
          </w:p>
        </w:tc>
        <w:tc>
          <w:tcPr>
            <w:tcW w:w="7760" w:type="dxa"/>
            <w:tcBorders/>
            <w:vAlign w:val="center"/>
          </w:tcPr>
          <w:p>
            <w:pPr>
              <w:pStyle w:val="TableContents"/>
              <w:bidi w:val="0"/>
              <w:spacing w:before="0" w:after="283"/>
              <w:jc w:val="left"/>
              <w:rPr/>
            </w:pPr>
            <w:r>
              <w:rPr/>
              <w:t>Renewable Fuel Standard II</w:t>
            </w:r>
          </w:p>
        </w:tc>
      </w:tr>
      <w:tr>
        <w:trPr/>
        <w:tc>
          <w:tcPr>
            <w:tcW w:w="2445" w:type="dxa"/>
            <w:tcBorders/>
            <w:vAlign w:val="center"/>
          </w:tcPr>
          <w:p>
            <w:pPr>
              <w:pStyle w:val="TableContents"/>
              <w:bidi w:val="0"/>
              <w:spacing w:before="0" w:after="283"/>
              <w:jc w:val="left"/>
              <w:rPr/>
            </w:pPr>
            <w:r>
              <w:rPr/>
              <w:t>RINs</w:t>
            </w:r>
          </w:p>
        </w:tc>
        <w:tc>
          <w:tcPr>
            <w:tcW w:w="7760" w:type="dxa"/>
            <w:tcBorders/>
            <w:vAlign w:val="center"/>
          </w:tcPr>
          <w:p>
            <w:pPr>
              <w:pStyle w:val="TableContents"/>
              <w:bidi w:val="0"/>
              <w:spacing w:before="0" w:after="283"/>
              <w:jc w:val="left"/>
              <w:rPr/>
            </w:pPr>
            <w:r>
              <w:rPr/>
              <w:t>Renewable Identification Number(s)</w:t>
            </w:r>
          </w:p>
        </w:tc>
      </w:tr>
      <w:tr>
        <w:trPr/>
        <w:tc>
          <w:tcPr>
            <w:tcW w:w="2445" w:type="dxa"/>
            <w:tcBorders/>
            <w:vAlign w:val="center"/>
          </w:tcPr>
          <w:p>
            <w:pPr>
              <w:pStyle w:val="TableContents"/>
              <w:bidi w:val="0"/>
              <w:spacing w:before="0" w:after="283"/>
              <w:jc w:val="left"/>
              <w:rPr/>
            </w:pPr>
            <w:r>
              <w:rPr/>
              <w:t>RVOs</w:t>
            </w:r>
          </w:p>
        </w:tc>
        <w:tc>
          <w:tcPr>
            <w:tcW w:w="7760" w:type="dxa"/>
            <w:tcBorders/>
            <w:vAlign w:val="center"/>
          </w:tcPr>
          <w:p>
            <w:pPr>
              <w:pStyle w:val="TableContents"/>
              <w:bidi w:val="0"/>
              <w:spacing w:before="0" w:after="283"/>
              <w:jc w:val="left"/>
              <w:rPr/>
            </w:pPr>
            <w:r>
              <w:rPr/>
              <w:t>Renewable Volume Obligations</w:t>
            </w:r>
          </w:p>
        </w:tc>
      </w:tr>
      <w:tr>
        <w:trPr/>
        <w:tc>
          <w:tcPr>
            <w:tcW w:w="2445" w:type="dxa"/>
            <w:tcBorders/>
            <w:vAlign w:val="center"/>
          </w:tcPr>
          <w:p>
            <w:pPr>
              <w:pStyle w:val="TableContents"/>
              <w:bidi w:val="0"/>
              <w:spacing w:before="0" w:after="283"/>
              <w:jc w:val="left"/>
              <w:rPr/>
            </w:pPr>
            <w:r>
              <w:rPr/>
              <w:t>Section 45Q/45Q</w:t>
            </w:r>
          </w:p>
        </w:tc>
        <w:tc>
          <w:tcPr>
            <w:tcW w:w="7760" w:type="dxa"/>
            <w:tcBorders/>
            <w:vAlign w:val="center"/>
          </w:tcPr>
          <w:p>
            <w:pPr>
              <w:pStyle w:val="TableContents"/>
              <w:bidi w:val="0"/>
              <w:spacing w:before="0" w:after="283"/>
              <w:jc w:val="left"/>
              <w:rPr/>
            </w:pPr>
            <w:r>
              <w:rPr/>
              <w:t>Section 45Q of the IRC</w:t>
            </w:r>
          </w:p>
        </w:tc>
      </w:tr>
      <w:tr>
        <w:trPr/>
        <w:tc>
          <w:tcPr>
            <w:tcW w:w="2445" w:type="dxa"/>
            <w:tcBorders/>
            <w:vAlign w:val="center"/>
          </w:tcPr>
          <w:p>
            <w:pPr>
              <w:pStyle w:val="TableContents"/>
              <w:bidi w:val="0"/>
              <w:spacing w:before="0" w:after="283"/>
              <w:jc w:val="left"/>
              <w:rPr/>
            </w:pPr>
            <w:r>
              <w:rPr/>
              <w:t>Section 45Z/45Z</w:t>
            </w:r>
          </w:p>
        </w:tc>
        <w:tc>
          <w:tcPr>
            <w:tcW w:w="7760" w:type="dxa"/>
            <w:tcBorders/>
            <w:vAlign w:val="center"/>
          </w:tcPr>
          <w:p>
            <w:pPr>
              <w:pStyle w:val="TableContents"/>
              <w:bidi w:val="0"/>
              <w:spacing w:before="0" w:after="283"/>
              <w:jc w:val="left"/>
              <w:rPr/>
            </w:pPr>
            <w:r>
              <w:rPr/>
              <w:t>Section 45Z of the IRC</w:t>
            </w:r>
          </w:p>
        </w:tc>
      </w:tr>
      <w:tr>
        <w:trPr/>
        <w:tc>
          <w:tcPr>
            <w:tcW w:w="2445" w:type="dxa"/>
            <w:tcBorders/>
            <w:vAlign w:val="center"/>
          </w:tcPr>
          <w:p>
            <w:pPr>
              <w:pStyle w:val="TableContents"/>
              <w:bidi w:val="0"/>
              <w:spacing w:before="0" w:after="283"/>
              <w:jc w:val="left"/>
              <w:rPr/>
            </w:pPr>
            <w:r>
              <w:rPr/>
              <w:t>SB</w:t>
            </w:r>
          </w:p>
        </w:tc>
        <w:tc>
          <w:tcPr>
            <w:tcW w:w="7760" w:type="dxa"/>
            <w:tcBorders/>
            <w:vAlign w:val="center"/>
          </w:tcPr>
          <w:p>
            <w:pPr>
              <w:pStyle w:val="TableContents"/>
              <w:bidi w:val="0"/>
              <w:spacing w:before="0" w:after="283"/>
              <w:jc w:val="left"/>
              <w:rPr/>
            </w:pPr>
            <w:r>
              <w:rPr/>
              <w:t>Illinois Senate Bill</w:t>
            </w:r>
          </w:p>
        </w:tc>
      </w:tr>
      <w:tr>
        <w:trPr/>
        <w:tc>
          <w:tcPr>
            <w:tcW w:w="2445" w:type="dxa"/>
            <w:tcBorders/>
            <w:vAlign w:val="center"/>
          </w:tcPr>
          <w:p>
            <w:pPr>
              <w:pStyle w:val="TableContents"/>
              <w:bidi w:val="0"/>
              <w:spacing w:before="0" w:after="283"/>
              <w:jc w:val="left"/>
              <w:rPr/>
            </w:pPr>
            <w:r>
              <w:rPr/>
              <w:t>SAF</w:t>
            </w:r>
          </w:p>
        </w:tc>
        <w:tc>
          <w:tcPr>
            <w:tcW w:w="7760" w:type="dxa"/>
            <w:tcBorders/>
            <w:vAlign w:val="center"/>
          </w:tcPr>
          <w:p>
            <w:pPr>
              <w:pStyle w:val="TableContents"/>
              <w:bidi w:val="0"/>
              <w:spacing w:before="0" w:after="283"/>
              <w:jc w:val="left"/>
              <w:rPr/>
            </w:pPr>
            <w:r>
              <w:rPr/>
              <w:t>Sustainable Aviation Fuel</w:t>
            </w:r>
          </w:p>
        </w:tc>
      </w:tr>
      <w:tr>
        <w:trPr/>
        <w:tc>
          <w:tcPr>
            <w:tcW w:w="2445" w:type="dxa"/>
            <w:tcBorders/>
            <w:vAlign w:val="center"/>
          </w:tcPr>
          <w:p>
            <w:pPr>
              <w:pStyle w:val="TableContents"/>
              <w:bidi w:val="0"/>
              <w:spacing w:before="0" w:after="283"/>
              <w:jc w:val="left"/>
              <w:rPr/>
            </w:pPr>
            <w:r>
              <w:rPr/>
              <w:t>SRE(s)</w:t>
            </w:r>
          </w:p>
        </w:tc>
        <w:tc>
          <w:tcPr>
            <w:tcW w:w="7760" w:type="dxa"/>
            <w:tcBorders/>
            <w:vAlign w:val="center"/>
          </w:tcPr>
          <w:p>
            <w:pPr>
              <w:pStyle w:val="TableContents"/>
              <w:bidi w:val="0"/>
              <w:spacing w:before="0" w:after="283"/>
              <w:jc w:val="left"/>
              <w:rPr/>
            </w:pPr>
            <w:r>
              <w:rPr/>
              <w:t>Small Refinery Exemption(s)</w:t>
            </w:r>
          </w:p>
        </w:tc>
      </w:tr>
      <w:tr>
        <w:trPr/>
        <w:tc>
          <w:tcPr>
            <w:tcW w:w="2445" w:type="dxa"/>
            <w:tcBorders/>
            <w:vAlign w:val="center"/>
          </w:tcPr>
          <w:p>
            <w:pPr>
              <w:pStyle w:val="TableContents"/>
              <w:bidi w:val="0"/>
              <w:spacing w:before="0" w:after="283"/>
              <w:jc w:val="left"/>
              <w:rPr/>
            </w:pPr>
            <w:r>
              <w:rPr/>
              <w:t>USDA</w:t>
            </w:r>
          </w:p>
        </w:tc>
        <w:tc>
          <w:tcPr>
            <w:tcW w:w="7760" w:type="dxa"/>
            <w:tcBorders/>
            <w:vAlign w:val="center"/>
          </w:tcPr>
          <w:p>
            <w:pPr>
              <w:pStyle w:val="TableContents"/>
              <w:bidi w:val="0"/>
              <w:spacing w:before="0" w:after="283"/>
              <w:jc w:val="left"/>
              <w:rPr/>
            </w:pPr>
            <w:r>
              <w:rPr/>
              <w:t>United States Department of Agriculture</w:t>
            </w:r>
          </w:p>
        </w:tc>
      </w:tr>
      <w:tr>
        <w:trPr/>
        <w:tc>
          <w:tcPr>
            <w:tcW w:w="2445" w:type="dxa"/>
            <w:tcBorders/>
            <w:vAlign w:val="center"/>
          </w:tcPr>
          <w:p>
            <w:pPr>
              <w:pStyle w:val="TableContents"/>
              <w:bidi w:val="0"/>
              <w:spacing w:before="0" w:after="283"/>
              <w:jc w:val="left"/>
              <w:rPr/>
            </w:pPr>
            <w:r>
              <w:rPr/>
              <w:t>USMCA</w:t>
            </w:r>
          </w:p>
        </w:tc>
        <w:tc>
          <w:tcPr>
            <w:tcW w:w="7760" w:type="dxa"/>
            <w:tcBorders/>
            <w:vAlign w:val="center"/>
          </w:tcPr>
          <w:p>
            <w:pPr>
              <w:pStyle w:val="TableContents"/>
              <w:bidi w:val="0"/>
              <w:spacing w:before="0" w:after="283"/>
              <w:jc w:val="left"/>
              <w:rPr/>
            </w:pPr>
            <w:r>
              <w:rPr/>
              <w:t>United States-Mexico-Canada Agreement</w:t>
            </w:r>
          </w:p>
        </w:tc>
      </w:tr>
      <w:tr>
        <w:trPr/>
        <w:tc>
          <w:tcPr>
            <w:tcW w:w="2445"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b/>
                <w:i/>
              </w:rPr>
            </w:pPr>
            <w:r>
              <w:rPr>
                <w:b/>
                <w:i/>
              </w:rPr>
              <w:t>Accounting and General Business Terms:</w:t>
            </w:r>
          </w:p>
        </w:tc>
      </w:tr>
      <w:tr>
        <w:trPr/>
        <w:tc>
          <w:tcPr>
            <w:tcW w:w="10205" w:type="dxa"/>
            <w:gridSpan w:val="2"/>
            <w:tcBorders/>
            <w:vAlign w:val="center"/>
          </w:tcPr>
          <w:p>
            <w:pPr>
              <w:pStyle w:val="TableContents"/>
              <w:bidi w:val="0"/>
              <w:spacing w:before="0" w:after="283"/>
              <w:jc w:val="left"/>
              <w:rPr/>
            </w:pPr>
            <w:r>
              <w:rPr/>
              <w:t> </w:t>
            </w:r>
          </w:p>
        </w:tc>
      </w:tr>
      <w:tr>
        <w:trPr/>
        <w:tc>
          <w:tcPr>
            <w:tcW w:w="2445" w:type="dxa"/>
            <w:tcBorders/>
            <w:vAlign w:val="center"/>
          </w:tcPr>
          <w:p>
            <w:pPr>
              <w:pStyle w:val="TableContents"/>
              <w:bidi w:val="0"/>
              <w:spacing w:before="0" w:after="283"/>
              <w:jc w:val="left"/>
              <w:rPr/>
            </w:pPr>
            <w:r>
              <w:rPr/>
              <w:t>ASC</w:t>
            </w:r>
          </w:p>
        </w:tc>
        <w:tc>
          <w:tcPr>
            <w:tcW w:w="7760" w:type="dxa"/>
            <w:tcBorders/>
            <w:vAlign w:val="center"/>
          </w:tcPr>
          <w:p>
            <w:pPr>
              <w:pStyle w:val="TableContents"/>
              <w:bidi w:val="0"/>
              <w:spacing w:before="0" w:after="283"/>
              <w:jc w:val="left"/>
              <w:rPr/>
            </w:pPr>
            <w:r>
              <w:rPr/>
              <w:t>Accounting Standards Codification</w:t>
            </w:r>
          </w:p>
        </w:tc>
      </w:tr>
      <w:tr>
        <w:trPr/>
        <w:tc>
          <w:tcPr>
            <w:tcW w:w="2445" w:type="dxa"/>
            <w:tcBorders/>
            <w:vAlign w:val="center"/>
          </w:tcPr>
          <w:p>
            <w:pPr>
              <w:pStyle w:val="TableContents"/>
              <w:bidi w:val="0"/>
              <w:spacing w:before="0" w:after="283"/>
              <w:jc w:val="left"/>
              <w:rPr/>
            </w:pPr>
            <w:r>
              <w:rPr/>
              <w:t>ASC 280</w:t>
            </w:r>
          </w:p>
        </w:tc>
        <w:tc>
          <w:tcPr>
            <w:tcW w:w="7760" w:type="dxa"/>
            <w:tcBorders/>
            <w:vAlign w:val="center"/>
          </w:tcPr>
          <w:p>
            <w:pPr>
              <w:pStyle w:val="TableContents"/>
              <w:bidi w:val="0"/>
              <w:spacing w:before="0" w:after="283"/>
              <w:jc w:val="left"/>
              <w:rPr/>
            </w:pPr>
            <w:r>
              <w:rPr/>
              <w:t>ASC 280, “</w:t>
            </w:r>
            <w:r>
              <w:rPr>
                <w:i/>
              </w:rPr>
              <w:t>Segment Reporting”</w:t>
            </w:r>
          </w:p>
        </w:tc>
      </w:tr>
      <w:tr>
        <w:trPr/>
        <w:tc>
          <w:tcPr>
            <w:tcW w:w="2445" w:type="dxa"/>
            <w:tcBorders/>
            <w:vAlign w:val="center"/>
          </w:tcPr>
          <w:p>
            <w:pPr>
              <w:pStyle w:val="TableContents"/>
              <w:bidi w:val="0"/>
              <w:spacing w:before="0" w:after="283"/>
              <w:jc w:val="left"/>
              <w:rPr/>
            </w:pPr>
            <w:r>
              <w:rPr/>
              <w:t>ASC 323</w:t>
            </w:r>
          </w:p>
        </w:tc>
        <w:tc>
          <w:tcPr>
            <w:tcW w:w="7760" w:type="dxa"/>
            <w:tcBorders/>
            <w:vAlign w:val="center"/>
          </w:tcPr>
          <w:p>
            <w:pPr>
              <w:pStyle w:val="TableContents"/>
              <w:bidi w:val="0"/>
              <w:spacing w:before="0" w:after="283"/>
              <w:jc w:val="left"/>
              <w:rPr/>
            </w:pPr>
            <w:r>
              <w:rPr/>
              <w:t>ASC 323, “</w:t>
            </w:r>
            <w:r>
              <w:rPr>
                <w:i/>
              </w:rPr>
              <w:t>Investments-Equity Method and Joint Ventures”</w:t>
            </w:r>
          </w:p>
        </w:tc>
      </w:tr>
      <w:tr>
        <w:trPr/>
        <w:tc>
          <w:tcPr>
            <w:tcW w:w="2445" w:type="dxa"/>
            <w:tcBorders/>
            <w:vAlign w:val="center"/>
          </w:tcPr>
          <w:p>
            <w:pPr>
              <w:pStyle w:val="TableContents"/>
              <w:bidi w:val="0"/>
              <w:spacing w:before="0" w:after="283"/>
              <w:jc w:val="left"/>
              <w:rPr/>
            </w:pPr>
            <w:r>
              <w:rPr/>
              <w:t>ASC 815</w:t>
            </w:r>
          </w:p>
        </w:tc>
        <w:tc>
          <w:tcPr>
            <w:tcW w:w="7760" w:type="dxa"/>
            <w:tcBorders/>
            <w:vAlign w:val="center"/>
          </w:tcPr>
          <w:p>
            <w:pPr>
              <w:pStyle w:val="TableContents"/>
              <w:bidi w:val="0"/>
              <w:spacing w:before="0" w:after="283"/>
              <w:jc w:val="left"/>
              <w:rPr/>
            </w:pPr>
            <w:r>
              <w:rPr/>
              <w:t>ASC 815, “</w:t>
            </w:r>
            <w:r>
              <w:rPr>
                <w:i/>
              </w:rPr>
              <w:t>Derivatives and Hedging</w:t>
            </w:r>
            <w:r>
              <w:rPr/>
              <w:t>”</w:t>
            </w:r>
          </w:p>
        </w:tc>
      </w:tr>
      <w:tr>
        <w:trPr/>
        <w:tc>
          <w:tcPr>
            <w:tcW w:w="2445" w:type="dxa"/>
            <w:tcBorders/>
            <w:vAlign w:val="center"/>
          </w:tcPr>
          <w:p>
            <w:pPr>
              <w:pStyle w:val="TableContents"/>
              <w:bidi w:val="0"/>
              <w:spacing w:before="0" w:after="283"/>
              <w:jc w:val="left"/>
              <w:rPr/>
            </w:pPr>
            <w:r>
              <w:rPr/>
              <w:t>ASC 820</w:t>
            </w:r>
          </w:p>
        </w:tc>
        <w:tc>
          <w:tcPr>
            <w:tcW w:w="7760" w:type="dxa"/>
            <w:tcBorders/>
            <w:vAlign w:val="center"/>
          </w:tcPr>
          <w:p>
            <w:pPr>
              <w:pStyle w:val="TableContents"/>
              <w:bidi w:val="0"/>
              <w:spacing w:before="0" w:after="283"/>
              <w:jc w:val="left"/>
              <w:rPr/>
            </w:pPr>
            <w:r>
              <w:rPr/>
              <w:t>ASC 820, “</w:t>
            </w:r>
            <w:r>
              <w:rPr>
                <w:i/>
              </w:rPr>
              <w:t>Fair Value Measurements and Disclosures</w:t>
            </w:r>
            <w:r>
              <w:rPr/>
              <w:t>”</w:t>
            </w:r>
          </w:p>
        </w:tc>
      </w:tr>
      <w:tr>
        <w:trPr/>
        <w:tc>
          <w:tcPr>
            <w:tcW w:w="2445" w:type="dxa"/>
            <w:tcBorders/>
            <w:vAlign w:val="center"/>
          </w:tcPr>
          <w:p>
            <w:pPr>
              <w:pStyle w:val="TableContents"/>
              <w:bidi w:val="0"/>
              <w:spacing w:before="0" w:after="283"/>
              <w:jc w:val="left"/>
              <w:rPr/>
            </w:pPr>
            <w:r>
              <w:rPr/>
              <w:t>ASU</w:t>
            </w:r>
          </w:p>
        </w:tc>
        <w:tc>
          <w:tcPr>
            <w:tcW w:w="7760" w:type="dxa"/>
            <w:tcBorders/>
            <w:vAlign w:val="center"/>
          </w:tcPr>
          <w:p>
            <w:pPr>
              <w:pStyle w:val="TableContents"/>
              <w:bidi w:val="0"/>
              <w:spacing w:before="0" w:after="283"/>
              <w:jc w:val="left"/>
              <w:rPr/>
            </w:pPr>
            <w:r>
              <w:rPr/>
              <w:t>Accounting Standards Update</w:t>
            </w:r>
          </w:p>
        </w:tc>
      </w:tr>
      <w:tr>
        <w:trPr/>
        <w:tc>
          <w:tcPr>
            <w:tcW w:w="2445" w:type="dxa"/>
            <w:tcBorders/>
            <w:vAlign w:val="center"/>
          </w:tcPr>
          <w:p>
            <w:pPr>
              <w:pStyle w:val="TableContents"/>
              <w:bidi w:val="0"/>
              <w:spacing w:before="0" w:after="283"/>
              <w:jc w:val="left"/>
              <w:rPr/>
            </w:pPr>
            <w:r>
              <w:rPr/>
              <w:t>ASU 2025-10</w:t>
            </w:r>
          </w:p>
        </w:tc>
        <w:tc>
          <w:tcPr>
            <w:tcW w:w="7760" w:type="dxa"/>
            <w:tcBorders/>
            <w:vAlign w:val="center"/>
          </w:tcPr>
          <w:p>
            <w:pPr>
              <w:pStyle w:val="TableContents"/>
              <w:bidi w:val="0"/>
              <w:spacing w:before="0" w:after="283"/>
              <w:jc w:val="left"/>
              <w:rPr/>
            </w:pPr>
            <w:r>
              <w:rPr/>
              <w:t>ASU 2025-10, “</w:t>
            </w:r>
            <w:r>
              <w:rPr>
                <w:i/>
              </w:rPr>
              <w:t>Accounting for Government Grants Received by Business Entities</w:t>
            </w:r>
            <w:r>
              <w:rPr/>
              <w:t>”</w:t>
            </w:r>
          </w:p>
        </w:tc>
      </w:tr>
      <w:tr>
        <w:trPr/>
        <w:tc>
          <w:tcPr>
            <w:tcW w:w="2445" w:type="dxa"/>
            <w:tcBorders/>
            <w:vAlign w:val="center"/>
          </w:tcPr>
          <w:p>
            <w:pPr>
              <w:pStyle w:val="TableContents"/>
              <w:bidi w:val="0"/>
              <w:spacing w:before="0" w:after="283"/>
              <w:jc w:val="left"/>
              <w:rPr/>
            </w:pPr>
            <w:r>
              <w:rPr/>
              <w:t>FASB</w:t>
            </w:r>
          </w:p>
        </w:tc>
        <w:tc>
          <w:tcPr>
            <w:tcW w:w="7760" w:type="dxa"/>
            <w:tcBorders/>
            <w:vAlign w:val="center"/>
          </w:tcPr>
          <w:p>
            <w:pPr>
              <w:pStyle w:val="TableContents"/>
              <w:bidi w:val="0"/>
              <w:spacing w:before="0" w:after="283"/>
              <w:jc w:val="left"/>
              <w:rPr/>
            </w:pPr>
            <w:r>
              <w:rPr/>
              <w:t>Financial Accounting Standards Board</w:t>
            </w:r>
          </w:p>
        </w:tc>
      </w:tr>
      <w:tr>
        <w:trPr/>
        <w:tc>
          <w:tcPr>
            <w:tcW w:w="2445" w:type="dxa"/>
            <w:tcBorders/>
            <w:vAlign w:val="center"/>
          </w:tcPr>
          <w:p>
            <w:pPr>
              <w:pStyle w:val="TableContents"/>
              <w:bidi w:val="0"/>
              <w:spacing w:before="0" w:after="283"/>
              <w:jc w:val="left"/>
              <w:rPr/>
            </w:pPr>
            <w:r>
              <w:rPr/>
              <w:t>SG&amp;A</w:t>
            </w:r>
          </w:p>
        </w:tc>
        <w:tc>
          <w:tcPr>
            <w:tcW w:w="7760" w:type="dxa"/>
            <w:tcBorders/>
            <w:vAlign w:val="center"/>
          </w:tcPr>
          <w:p>
            <w:pPr>
              <w:pStyle w:val="TableContents"/>
              <w:bidi w:val="0"/>
              <w:spacing w:before="0" w:after="283"/>
              <w:jc w:val="left"/>
              <w:rPr/>
            </w:pPr>
            <w:r>
              <w:rPr/>
              <w:t>Selling, general, and administrative</w:t>
            </w:r>
          </w:p>
        </w:tc>
      </w:tr>
      <w:tr>
        <w:trPr/>
        <w:tc>
          <w:tcPr>
            <w:tcW w:w="2445" w:type="dxa"/>
            <w:tcBorders/>
            <w:vAlign w:val="center"/>
          </w:tcPr>
          <w:p>
            <w:pPr>
              <w:pStyle w:val="TableContents"/>
              <w:bidi w:val="0"/>
              <w:spacing w:before="0" w:after="283"/>
              <w:jc w:val="left"/>
              <w:rPr/>
            </w:pPr>
            <w:r>
              <w:rPr/>
              <w:t>RSUs</w:t>
            </w:r>
          </w:p>
        </w:tc>
        <w:tc>
          <w:tcPr>
            <w:tcW w:w="7760" w:type="dxa"/>
            <w:tcBorders/>
            <w:vAlign w:val="center"/>
          </w:tcPr>
          <w:p>
            <w:pPr>
              <w:pStyle w:val="TableContents"/>
              <w:bidi w:val="0"/>
              <w:spacing w:before="0" w:after="283"/>
              <w:jc w:val="left"/>
              <w:rPr/>
            </w:pPr>
            <w:r>
              <w:rPr/>
              <w:t>Restricted stock units</w:t>
            </w:r>
          </w:p>
        </w:tc>
      </w:tr>
      <w:tr>
        <w:trPr/>
        <w:tc>
          <w:tcPr>
            <w:tcW w:w="2445" w:type="dxa"/>
            <w:tcBorders/>
            <w:vAlign w:val="center"/>
          </w:tcPr>
          <w:p>
            <w:pPr>
              <w:pStyle w:val="TableContents"/>
              <w:bidi w:val="0"/>
              <w:spacing w:before="0" w:after="283"/>
              <w:jc w:val="left"/>
              <w:rPr/>
            </w:pPr>
            <w:r>
              <w:rPr/>
              <w:t>TSR</w:t>
            </w:r>
          </w:p>
        </w:tc>
        <w:tc>
          <w:tcPr>
            <w:tcW w:w="7760" w:type="dxa"/>
            <w:tcBorders/>
            <w:vAlign w:val="center"/>
          </w:tcPr>
          <w:p>
            <w:pPr>
              <w:pStyle w:val="TableContents"/>
              <w:bidi w:val="0"/>
              <w:spacing w:before="0" w:after="283"/>
              <w:jc w:val="left"/>
              <w:rPr/>
            </w:pPr>
            <w:r>
              <w:rPr/>
              <w:t>Total shareholder return</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3 </w:t>
      </w:r>
    </w:p>
    <w:p>
      <w:pPr>
        <w:pStyle w:val="TextBody"/>
        <w:bidi w:val="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Forward-Looking Statements</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ethanol plant, changes in the international, national or regional economies, the impact of inflation, the ability to attract employees, weather, results of income tax audits, changes in income tax laws or regulations such as the OBBBA, the impact of U.S. foreign trade policy and tariffs, changes in foreign currency exchange rates, the effects of terrorism, wars and other conflicts, and the effect of pandemics on the Company’s business operations, including impacts on supplies, demand, personnel and other factors.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2026 (File No. 001-09097).</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4 </w:t>
      </w:r>
    </w:p>
    <w:p>
      <w:pPr>
        <w:pStyle w:val="TextBody"/>
        <w:bidi w:val="0"/>
        <w:ind w:left="0" w:right="0" w:hanging="0"/>
        <w:jc w:val="center"/>
        <w:rPr>
          <w:rFonts w:ascii="Times New Roman;Times;Serif" w:hAnsi="Times New Roman;Times;Serif"/>
          <w:b/>
          <w:i w:val="false"/>
          <w:caps w:val="false"/>
          <w:smallCaps w:val="false"/>
          <w:sz w:val="20"/>
        </w:rPr>
      </w:pPr>
      <w:bookmarkStart w:id="2" w:name="x1_c117568a001"/>
      <w:bookmarkEnd w:id="2"/>
      <w:r>
        <w:rPr>
          <w:rFonts w:ascii="Times New Roman;Times;Serif" w:hAnsi="Times New Roman;Times;Serif"/>
          <w:b/>
          <w:i w:val="false"/>
          <w:caps w:val="false"/>
          <w:smallCaps w:val="false"/>
          <w:sz w:val="20"/>
        </w:rPr>
        <w:t>PART I. FINANCIAL INFORMATION</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3" w:name="x1_c117568a002"/>
      <w:bookmarkEnd w:id="3"/>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Financial Statements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REX AMERICAN RESOURCES CORPORATION AND SUBSIDIARIES</w:t>
      </w:r>
    </w:p>
    <w:p>
      <w:pPr>
        <w:pStyle w:val="TextBody"/>
        <w:bidi w:val="0"/>
        <w:jc w:val="left"/>
        <w:rPr>
          <w:rFonts w:ascii="Times New Roman;Times;Serif" w:hAnsi="Times New Roman;Times;Serif"/>
          <w:b/>
          <w:i w:val="false"/>
          <w:caps w:val="false"/>
          <w:smallCaps w:val="false"/>
          <w:sz w:val="20"/>
        </w:rPr>
      </w:pPr>
      <w:bookmarkStart w:id="4" w:name="x1_c117568a003"/>
      <w:bookmarkEnd w:id="4"/>
      <w:r>
        <w:rPr>
          <w:rFonts w:ascii="Times New Roman;Times;Serif" w:hAnsi="Times New Roman;Times;Serif"/>
          <w:b/>
          <w:i w:val="false"/>
          <w:caps w:val="false"/>
          <w:smallCaps w:val="false"/>
          <w:sz w:val="20"/>
        </w:rPr>
        <w:t>Consolidated Balance Sheets</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3"/>
        <w:gridCol w:w="90"/>
        <w:gridCol w:w="170"/>
        <w:gridCol w:w="830"/>
        <w:gridCol w:w="90"/>
        <w:gridCol w:w="90"/>
        <w:gridCol w:w="196"/>
        <w:gridCol w:w="959"/>
        <w:gridCol w:w="137"/>
      </w:tblGrid>
      <w:tr>
        <w:trPr/>
        <w:tc>
          <w:tcPr>
            <w:tcW w:w="764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b/>
              </w:rPr>
            </w:pPr>
            <w:r>
              <w:rPr>
                <w:b/>
              </w:rPr>
              <w:t>July 31,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55" w:type="dxa"/>
            <w:gridSpan w:val="2"/>
            <w:tcBorders/>
            <w:vAlign w:val="center"/>
          </w:tcPr>
          <w:p>
            <w:pPr>
              <w:pStyle w:val="TableContents"/>
              <w:bidi w:val="0"/>
              <w:spacing w:before="0" w:after="283"/>
              <w:jc w:val="center"/>
              <w:rPr>
                <w:b/>
              </w:rPr>
            </w:pPr>
            <w:r>
              <w:rPr>
                <w:b/>
              </w:rPr>
              <w:t>January 31,</w:t>
            </w:r>
          </w:p>
        </w:tc>
        <w:tc>
          <w:tcPr>
            <w:tcW w:w="137" w:type="dxa"/>
            <w:tcBorders/>
            <w:vAlign w:val="center"/>
          </w:tcPr>
          <w:p>
            <w:pPr>
              <w:pStyle w:val="TableContents"/>
              <w:bidi w:val="0"/>
              <w:spacing w:before="0" w:after="283"/>
              <w:jc w:val="center"/>
              <w:rPr/>
            </w:pPr>
            <w:r>
              <w:rPr/>
              <w:t> </w:t>
            </w:r>
          </w:p>
        </w:tc>
      </w:tr>
      <w:tr>
        <w:trPr/>
        <w:tc>
          <w:tcPr>
            <w:tcW w:w="764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center"/>
              <w:rPr/>
            </w:pPr>
            <w:r>
              <w:rPr/>
              <w:t> </w:t>
            </w:r>
          </w:p>
        </w:tc>
      </w:tr>
      <w:tr>
        <w:trPr/>
        <w:tc>
          <w:tcPr>
            <w:tcW w:w="7643" w:type="dxa"/>
            <w:tcBorders/>
            <w:shd w:fill="E5FFFF" w:val="clear"/>
            <w:vAlign w:val="center"/>
          </w:tcPr>
          <w:p>
            <w:pPr>
              <w:pStyle w:val="TableContents"/>
              <w:bidi w:val="0"/>
              <w:spacing w:before="0" w:after="283"/>
              <w:jc w:val="left"/>
              <w:rPr/>
            </w:pPr>
            <w:r>
              <w:rPr/>
              <w:t>Assets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Cash and cash equivalents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91,328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w:t>
            </w:r>
          </w:p>
        </w:tc>
        <w:tc>
          <w:tcPr>
            <w:tcW w:w="959" w:type="dxa"/>
            <w:tcBorders/>
            <w:shd w:fill="E5FFFF" w:val="clear"/>
            <w:vAlign w:val="center"/>
          </w:tcPr>
          <w:p>
            <w:pPr>
              <w:pStyle w:val="TableContents"/>
              <w:bidi w:val="0"/>
              <w:spacing w:before="0" w:after="283"/>
              <w:jc w:val="right"/>
              <w:rPr/>
            </w:pPr>
            <w:r>
              <w:rPr/>
              <w:t>188,734</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Short-term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288,186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187,048</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Accounts receivable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23,479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14,682</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Inventory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28,980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28,422</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Refundable income taxes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8,602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12,374</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Prepaid expenses and other</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17,502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jc w:val="right"/>
              <w:rPr/>
            </w:pPr>
            <w:r>
              <w:rPr/>
              <w:t>16,568</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Total current assets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458,077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447,828</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293,962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272,029</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Operating lease right-of-use assets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14,095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17,594</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Finance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16,609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17,558</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Other assets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27,218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4,963</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Equity method investment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46,515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jc w:val="right"/>
              <w:rPr/>
            </w:pPr>
            <w:r>
              <w:rPr/>
              <w:t>37,759</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Total assets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856,476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959" w:type="dxa"/>
            <w:tcBorders>
              <w:bottom w:val="double" w:sz="6" w:space="0" w:color="000000"/>
            </w:tcBorders>
            <w:shd w:fill="E5FFFF" w:val="clear"/>
            <w:tcMar>
              <w:bottom w:w="28" w:type="dxa"/>
            </w:tcMar>
            <w:vAlign w:val="center"/>
          </w:tcPr>
          <w:p>
            <w:pPr>
              <w:pStyle w:val="TableContents"/>
              <w:bidi w:val="0"/>
              <w:spacing w:before="0" w:after="283"/>
              <w:jc w:val="right"/>
              <w:rPr/>
            </w:pPr>
            <w:r>
              <w:rPr/>
              <w:t>797,731</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Liabilities and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Current liabilities: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43" w:type="dxa"/>
            <w:tcBorders/>
            <w:vAlign w:val="center"/>
          </w:tcPr>
          <w:p>
            <w:pPr>
              <w:pStyle w:val="TableContents"/>
              <w:bidi w:val="0"/>
              <w:spacing w:before="0" w:after="283"/>
              <w:jc w:val="left"/>
              <w:rPr/>
            </w:pPr>
            <w:r>
              <w:rPr/>
              <w:t>Accounts payable – trade (includes $988 and $1,195 with related parties at July 31, 2026 and January 31, 2026,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36,687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38,400</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Current operating lease liabilities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7,014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6,921</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Current finance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469</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Accrued expenses and other current liabilities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22,368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shd w:fill="E5FFFF" w:val="clear"/>
            <w:tcMar>
              <w:bottom w:w="28" w:type="dxa"/>
            </w:tcMar>
            <w:vAlign w:val="center"/>
          </w:tcPr>
          <w:p>
            <w:pPr>
              <w:pStyle w:val="TableContents"/>
              <w:bidi w:val="0"/>
              <w:spacing w:before="0" w:after="283"/>
              <w:jc w:val="right"/>
              <w:rPr/>
            </w:pPr>
            <w:r>
              <w:rPr/>
              <w:t>29,587</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66,538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jc w:val="right"/>
              <w:rPr/>
            </w:pPr>
            <w:r>
              <w:rPr/>
              <w:t>75,377</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Long-term liabilities: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Deferred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7,443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4,065</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Long-term operating lease liabilities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7,730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11,148</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Long-term finance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2,731</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Other long-term liabilities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545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shd w:fill="E5FFFF" w:val="clear"/>
            <w:tcMar>
              <w:bottom w:w="28" w:type="dxa"/>
            </w:tcMar>
            <w:vAlign w:val="center"/>
          </w:tcPr>
          <w:p>
            <w:pPr>
              <w:pStyle w:val="TableContents"/>
              <w:bidi w:val="0"/>
              <w:spacing w:before="0" w:after="283"/>
              <w:jc w:val="right"/>
              <w:rPr/>
            </w:pPr>
            <w:r>
              <w:rPr/>
              <w:t>2,405</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Total long-term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18,324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jc w:val="right"/>
              <w:rPr/>
            </w:pPr>
            <w:r>
              <w:rPr/>
              <w:t>20,349</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Equity:</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REX shareholders’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Common stock</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332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329</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66</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Retained earnings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663,713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610,317</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Treasury stock</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(1,581)</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Total REX shareholders’ equity</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673,621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shd w:fill="E5FFFF" w:val="clear"/>
            <w:vAlign w:val="center"/>
          </w:tcPr>
          <w:p>
            <w:pPr>
              <w:pStyle w:val="TableContents"/>
              <w:bidi w:val="0"/>
              <w:spacing w:before="0" w:after="283"/>
              <w:jc w:val="left"/>
              <w:rPr/>
            </w:pPr>
            <w:r>
              <w:rPr/>
              <w:t> </w:t>
            </w:r>
          </w:p>
        </w:tc>
        <w:tc>
          <w:tcPr>
            <w:tcW w:w="959" w:type="dxa"/>
            <w:tcBorders/>
            <w:shd w:fill="E5FFFF" w:val="clear"/>
            <w:vAlign w:val="center"/>
          </w:tcPr>
          <w:p>
            <w:pPr>
              <w:pStyle w:val="TableContents"/>
              <w:bidi w:val="0"/>
              <w:spacing w:before="0" w:after="283"/>
              <w:jc w:val="right"/>
              <w:rPr/>
            </w:pPr>
            <w:r>
              <w:rPr/>
              <w:t>610,712</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Noncontrolling interests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97,993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tcMar>
              <w:bottom w:w="28" w:type="dxa"/>
            </w:tcMar>
            <w:vAlign w:val="center"/>
          </w:tcPr>
          <w:p>
            <w:pPr>
              <w:pStyle w:val="TableContents"/>
              <w:bidi w:val="0"/>
              <w:spacing w:before="0" w:after="283"/>
              <w:jc w:val="right"/>
              <w:rPr/>
            </w:pPr>
            <w:r>
              <w:rPr/>
              <w:t>91,293</w:t>
            </w:r>
          </w:p>
        </w:tc>
        <w:tc>
          <w:tcPr>
            <w:tcW w:w="137" w:type="dxa"/>
            <w:tcBorders/>
            <w:vAlign w:val="center"/>
          </w:tcPr>
          <w:p>
            <w:pPr>
              <w:pStyle w:val="TableContents"/>
              <w:bidi w:val="0"/>
              <w:spacing w:before="0" w:after="283"/>
              <w:jc w:val="left"/>
              <w:rPr/>
            </w:pPr>
            <w:r>
              <w:rPr/>
              <w:t> </w:t>
            </w:r>
          </w:p>
        </w:tc>
      </w:tr>
      <w:tr>
        <w:trPr/>
        <w:tc>
          <w:tcPr>
            <w:tcW w:w="7643" w:type="dxa"/>
            <w:tcBorders/>
            <w:shd w:fill="E5FFFF" w:val="clear"/>
            <w:vAlign w:val="center"/>
          </w:tcPr>
          <w:p>
            <w:pPr>
              <w:pStyle w:val="TableContents"/>
              <w:bidi w:val="0"/>
              <w:spacing w:before="0" w:after="283"/>
              <w:jc w:val="left"/>
              <w:rPr/>
            </w:pPr>
            <w:r>
              <w:rPr/>
              <w:t>Total equity</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771,614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6"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59" w:type="dxa"/>
            <w:tcBorders>
              <w:bottom w:val="single" w:sz="2" w:space="0" w:color="000000"/>
            </w:tcBorders>
            <w:shd w:fill="E5FFFF" w:val="clear"/>
            <w:tcMar>
              <w:bottom w:w="28" w:type="dxa"/>
            </w:tcMar>
            <w:vAlign w:val="center"/>
          </w:tcPr>
          <w:p>
            <w:pPr>
              <w:pStyle w:val="TableContents"/>
              <w:bidi w:val="0"/>
              <w:spacing w:before="0" w:after="283"/>
              <w:jc w:val="right"/>
              <w:rPr/>
            </w:pPr>
            <w:r>
              <w:rPr/>
              <w:t>702,005</w:t>
            </w:r>
          </w:p>
        </w:tc>
        <w:tc>
          <w:tcPr>
            <w:tcW w:w="137" w:type="dxa"/>
            <w:tcBorders/>
            <w:shd w:fill="E5FFFF" w:val="clear"/>
            <w:vAlign w:val="center"/>
          </w:tcPr>
          <w:p>
            <w:pPr>
              <w:pStyle w:val="TableContents"/>
              <w:bidi w:val="0"/>
              <w:spacing w:before="0" w:after="283"/>
              <w:jc w:val="left"/>
              <w:rPr/>
            </w:pPr>
            <w:r>
              <w:rPr/>
              <w:t> </w:t>
            </w:r>
          </w:p>
        </w:tc>
      </w:tr>
      <w:tr>
        <w:trPr/>
        <w:tc>
          <w:tcPr>
            <w:tcW w:w="7643" w:type="dxa"/>
            <w:tcBorders/>
            <w:vAlign w:val="center"/>
          </w:tcPr>
          <w:p>
            <w:pPr>
              <w:pStyle w:val="TableContents"/>
              <w:bidi w:val="0"/>
              <w:spacing w:before="0" w:after="283"/>
              <w:jc w:val="left"/>
              <w:rPr/>
            </w:pPr>
            <w:r>
              <w:rPr/>
              <w:t>Total liabilities and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856,476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w:t>
            </w:r>
          </w:p>
        </w:tc>
        <w:tc>
          <w:tcPr>
            <w:tcW w:w="959" w:type="dxa"/>
            <w:tcBorders>
              <w:bottom w:val="double" w:sz="6" w:space="0" w:color="000000"/>
            </w:tcBorders>
            <w:tcMar>
              <w:bottom w:w="28" w:type="dxa"/>
            </w:tcMar>
            <w:vAlign w:val="center"/>
          </w:tcPr>
          <w:p>
            <w:pPr>
              <w:pStyle w:val="TableContents"/>
              <w:bidi w:val="0"/>
              <w:spacing w:before="0" w:after="283"/>
              <w:jc w:val="right"/>
              <w:rPr/>
            </w:pPr>
            <w:r>
              <w:rPr/>
              <w:t>797,731</w:t>
            </w:r>
          </w:p>
        </w:tc>
        <w:tc>
          <w:tcPr>
            <w:tcW w:w="13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consolidated financial statements.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5 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REX AMERICAN RESOURCES CORPORATION AND SUBSIDIARIES</w:t>
      </w:r>
    </w:p>
    <w:p>
      <w:pPr>
        <w:pStyle w:val="TextBody"/>
        <w:bidi w:val="0"/>
        <w:jc w:val="left"/>
        <w:rPr>
          <w:rFonts w:ascii="Times New Roman;Times;Serif" w:hAnsi="Times New Roman;Times;Serif"/>
          <w:b/>
          <w:i w:val="false"/>
          <w:caps w:val="false"/>
          <w:smallCaps w:val="false"/>
          <w:sz w:val="20"/>
        </w:rPr>
      </w:pPr>
      <w:bookmarkStart w:id="5" w:name="x1_c117568a004"/>
      <w:bookmarkEnd w:id="5"/>
      <w:r>
        <w:rPr>
          <w:rFonts w:ascii="Times New Roman;Times;Serif" w:hAnsi="Times New Roman;Times;Serif"/>
          <w:b/>
          <w:i w:val="false"/>
          <w:caps w:val="false"/>
          <w:smallCaps w:val="false"/>
          <w:sz w:val="20"/>
        </w:rPr>
        <w:t>Consolidated Statements of Operations</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8"/>
        <w:gridCol w:w="90"/>
        <w:gridCol w:w="170"/>
        <w:gridCol w:w="837"/>
        <w:gridCol w:w="90"/>
        <w:gridCol w:w="90"/>
        <w:gridCol w:w="170"/>
        <w:gridCol w:w="832"/>
        <w:gridCol w:w="90"/>
        <w:gridCol w:w="90"/>
        <w:gridCol w:w="170"/>
        <w:gridCol w:w="835"/>
        <w:gridCol w:w="90"/>
        <w:gridCol w:w="90"/>
        <w:gridCol w:w="170"/>
        <w:gridCol w:w="835"/>
        <w:gridCol w:w="138"/>
      </w:tblGrid>
      <w:tr>
        <w:trPr/>
        <w:tc>
          <w:tcPr>
            <w:tcW w:w="54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89" w:type="dxa"/>
            <w:gridSpan w:val="6"/>
            <w:tcBorders/>
            <w:vAlign w:val="center"/>
          </w:tcPr>
          <w:p>
            <w:pPr>
              <w:pStyle w:val="TableContents"/>
              <w:bidi w:val="0"/>
              <w:spacing w:before="0" w:after="283"/>
              <w:jc w:val="center"/>
              <w:rPr>
                <w:b/>
              </w:rPr>
            </w:pPr>
            <w:r>
              <w:rPr>
                <w:b/>
              </w:rPr>
              <w:t>Three Months Ended</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0" w:type="dxa"/>
            <w:gridSpan w:val="6"/>
            <w:tcBorders/>
            <w:vAlign w:val="center"/>
          </w:tcPr>
          <w:p>
            <w:pPr>
              <w:pStyle w:val="TableContents"/>
              <w:bidi w:val="0"/>
              <w:spacing w:before="0" w:after="283"/>
              <w:jc w:val="center"/>
              <w:rPr>
                <w:b/>
              </w:rPr>
            </w:pPr>
            <w:r>
              <w:rPr>
                <w:b/>
              </w:rPr>
              <w:t>Six Months Ended</w:t>
              <w:br/>
              <w:t>July 31,</w:t>
            </w:r>
          </w:p>
        </w:tc>
        <w:tc>
          <w:tcPr>
            <w:tcW w:w="138"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center"/>
              <w:rPr/>
            </w:pPr>
            <w:r>
              <w:rPr/>
              <w:t> </w:t>
            </w:r>
          </w:p>
        </w:tc>
      </w:tr>
      <w:tr>
        <w:trPr/>
        <w:tc>
          <w:tcPr>
            <w:tcW w:w="54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7"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2"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5" w:type="dxa"/>
            <w:gridSpan w:val="2"/>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center"/>
              <w:rPr/>
            </w:pPr>
            <w:r>
              <w:rPr/>
              <w:t> </w:t>
            </w:r>
          </w:p>
        </w:tc>
      </w:tr>
      <w:tr>
        <w:trPr/>
        <w:tc>
          <w:tcPr>
            <w:tcW w:w="5418" w:type="dxa"/>
            <w:tcBorders/>
            <w:shd w:fill="E5FFFF" w:val="clear"/>
            <w:vAlign w:val="center"/>
          </w:tcPr>
          <w:p>
            <w:pPr>
              <w:pStyle w:val="TableContents"/>
              <w:bidi w:val="0"/>
              <w:spacing w:before="0" w:after="283"/>
              <w:jc w:val="left"/>
              <w:rPr/>
            </w:pPr>
            <w:r>
              <w:rPr/>
              <w:t>Net sales and revenue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7" w:type="dxa"/>
            <w:tcBorders/>
            <w:shd w:fill="E5FFFF" w:val="clear"/>
            <w:vAlign w:val="center"/>
          </w:tcPr>
          <w:p>
            <w:pPr>
              <w:pStyle w:val="TableContents"/>
              <w:bidi w:val="0"/>
              <w:spacing w:before="0" w:after="283"/>
              <w:jc w:val="right"/>
              <w:rPr/>
            </w:pPr>
            <w:r>
              <w:rPr/>
              <w:t>168,493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2" w:type="dxa"/>
            <w:tcBorders/>
            <w:shd w:fill="E5FFFF" w:val="clear"/>
            <w:vAlign w:val="center"/>
          </w:tcPr>
          <w:p>
            <w:pPr>
              <w:pStyle w:val="TableContents"/>
              <w:bidi w:val="0"/>
              <w:spacing w:before="0" w:after="283"/>
              <w:jc w:val="right"/>
              <w:rPr/>
            </w:pPr>
            <w:r>
              <w:rPr/>
              <w:t>158,563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5" w:type="dxa"/>
            <w:tcBorders/>
            <w:shd w:fill="E5FFFF" w:val="clear"/>
            <w:vAlign w:val="center"/>
          </w:tcPr>
          <w:p>
            <w:pPr>
              <w:pStyle w:val="TableContents"/>
              <w:bidi w:val="0"/>
              <w:spacing w:before="0" w:after="283"/>
              <w:jc w:val="right"/>
              <w:rPr/>
            </w:pPr>
            <w:r>
              <w:rPr/>
              <w:t>324,992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5" w:type="dxa"/>
            <w:tcBorders/>
            <w:shd w:fill="E5FFFF" w:val="clear"/>
            <w:vAlign w:val="center"/>
          </w:tcPr>
          <w:p>
            <w:pPr>
              <w:pStyle w:val="TableContents"/>
              <w:bidi w:val="0"/>
              <w:spacing w:before="0" w:after="283"/>
              <w:jc w:val="right"/>
              <w:rPr/>
            </w:pPr>
            <w:r>
              <w:rPr/>
              <w:t>316,903</w:t>
            </w:r>
          </w:p>
        </w:tc>
        <w:tc>
          <w:tcPr>
            <w:tcW w:w="138" w:type="dxa"/>
            <w:tcBorders/>
            <w:shd w:fill="E5FFFF" w:val="clear"/>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Production tax credit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18,410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25,959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ind w:left="0" w:right="0" w:hanging="0"/>
              <w:jc w:val="left"/>
              <w:rPr/>
            </w:pPr>
            <w:r>
              <w:rPr/>
              <w:t> </w:t>
            </w:r>
          </w:p>
        </w:tc>
      </w:tr>
      <w:tr>
        <w:trPr/>
        <w:tc>
          <w:tcPr>
            <w:tcW w:w="5418" w:type="dxa"/>
            <w:tcBorders/>
            <w:shd w:fill="E5FFFF" w:val="clear"/>
            <w:vAlign w:val="center"/>
          </w:tcPr>
          <w:p>
            <w:pPr>
              <w:pStyle w:val="TableContents"/>
              <w:bidi w:val="0"/>
              <w:spacing w:before="0" w:after="283"/>
              <w:jc w:val="left"/>
              <w:rPr/>
            </w:pPr>
            <w:r>
              <w:rPr/>
              <w:t>Cost of sales (includes $21,243 and $29,004 with related parties for the three months ended July 31, 2026 and 2025, respectively, and $40,083 and $53,853 with related parties for the six months ended July 31, 2026 and 2025, respectively.)</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7" w:type="dxa"/>
            <w:tcBorders>
              <w:bottom w:val="single" w:sz="2" w:space="0" w:color="000000"/>
            </w:tcBorders>
            <w:shd w:fill="E5FFFF" w:val="clear"/>
            <w:tcMar>
              <w:bottom w:w="28" w:type="dxa"/>
            </w:tcMar>
            <w:vAlign w:val="center"/>
          </w:tcPr>
          <w:p>
            <w:pPr>
              <w:pStyle w:val="TableContents"/>
              <w:bidi w:val="0"/>
              <w:spacing w:before="0" w:after="283"/>
              <w:jc w:val="right"/>
              <w:rPr/>
            </w:pPr>
            <w:r>
              <w:rPr/>
              <w:t>133,603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2" w:type="dxa"/>
            <w:tcBorders>
              <w:bottom w:val="single" w:sz="2" w:space="0" w:color="000000"/>
            </w:tcBorders>
            <w:shd w:fill="E5FFFF" w:val="clear"/>
            <w:tcMar>
              <w:bottom w:w="28" w:type="dxa"/>
            </w:tcMar>
            <w:vAlign w:val="center"/>
          </w:tcPr>
          <w:p>
            <w:pPr>
              <w:pStyle w:val="TableContents"/>
              <w:bidi w:val="0"/>
              <w:spacing w:before="0" w:after="283"/>
              <w:jc w:val="right"/>
              <w:rPr/>
            </w:pPr>
            <w:r>
              <w:rPr/>
              <w:t>144,244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268,580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288,242</w:t>
            </w:r>
          </w:p>
        </w:tc>
        <w:tc>
          <w:tcPr>
            <w:tcW w:w="138" w:type="dxa"/>
            <w:tcBorders/>
            <w:shd w:fill="E5FFFF" w:val="clear"/>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53,300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14,319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82,371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28,661</w:t>
            </w:r>
          </w:p>
        </w:tc>
        <w:tc>
          <w:tcPr>
            <w:tcW w:w="138"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5418" w:type="dxa"/>
            <w:tcBorders/>
            <w:shd w:fill="E5FFFF" w:val="clear"/>
            <w:vAlign w:val="center"/>
          </w:tcPr>
          <w:p>
            <w:pPr>
              <w:pStyle w:val="TableContents"/>
              <w:bidi w:val="0"/>
              <w:spacing w:before="0" w:after="283"/>
              <w:jc w:val="left"/>
              <w:rPr/>
            </w:pPr>
            <w:r>
              <w:rPr/>
              <w:t>Selling, general and administrative expenses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7" w:type="dxa"/>
            <w:tcBorders/>
            <w:shd w:fill="E5FFFF" w:val="clear"/>
            <w:vAlign w:val="center"/>
          </w:tcPr>
          <w:p>
            <w:pPr>
              <w:pStyle w:val="TableContents"/>
              <w:bidi w:val="0"/>
              <w:spacing w:before="0" w:after="283"/>
              <w:jc w:val="right"/>
              <w:rPr/>
            </w:pPr>
            <w:r>
              <w:rPr/>
              <w:t>(15,622)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2" w:type="dxa"/>
            <w:tcBorders/>
            <w:shd w:fill="E5FFFF" w:val="clear"/>
            <w:vAlign w:val="center"/>
          </w:tcPr>
          <w:p>
            <w:pPr>
              <w:pStyle w:val="TableContents"/>
              <w:bidi w:val="0"/>
              <w:spacing w:before="0" w:after="283"/>
              <w:jc w:val="right"/>
              <w:rPr/>
            </w:pPr>
            <w:r>
              <w:rPr/>
              <w:t>(6,201)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5" w:type="dxa"/>
            <w:tcBorders/>
            <w:shd w:fill="E5FFFF" w:val="clear"/>
            <w:vAlign w:val="center"/>
          </w:tcPr>
          <w:p>
            <w:pPr>
              <w:pStyle w:val="TableContents"/>
              <w:bidi w:val="0"/>
              <w:spacing w:before="0" w:after="283"/>
              <w:jc w:val="right"/>
              <w:rPr/>
            </w:pPr>
            <w:r>
              <w:rPr/>
              <w:t>(25,350)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5" w:type="dxa"/>
            <w:tcBorders/>
            <w:shd w:fill="E5FFFF" w:val="clear"/>
            <w:vAlign w:val="center"/>
          </w:tcPr>
          <w:p>
            <w:pPr>
              <w:pStyle w:val="TableContents"/>
              <w:bidi w:val="0"/>
              <w:spacing w:before="0" w:after="283"/>
              <w:jc w:val="right"/>
              <w:rPr/>
            </w:pPr>
            <w:r>
              <w:rPr/>
              <w:t>(12,145)</w:t>
            </w:r>
          </w:p>
        </w:tc>
        <w:tc>
          <w:tcPr>
            <w:tcW w:w="138" w:type="dxa"/>
            <w:tcBorders/>
            <w:shd w:fill="E5FFFF" w:val="clear"/>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Equity in income of unconsolidated affiliates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7,195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891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10,761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1,897</w:t>
            </w:r>
          </w:p>
        </w:tc>
        <w:tc>
          <w:tcPr>
            <w:tcW w:w="138" w:type="dxa"/>
            <w:tcBorders/>
            <w:vAlign w:val="center"/>
          </w:tcPr>
          <w:p>
            <w:pPr>
              <w:pStyle w:val="TableContents"/>
              <w:bidi w:val="0"/>
              <w:spacing w:before="0" w:after="283"/>
              <w:jc w:val="left"/>
              <w:rPr/>
            </w:pPr>
            <w:r>
              <w:rPr/>
              <w:t> </w:t>
            </w:r>
          </w:p>
        </w:tc>
      </w:tr>
      <w:tr>
        <w:trPr/>
        <w:tc>
          <w:tcPr>
            <w:tcW w:w="5418" w:type="dxa"/>
            <w:tcBorders/>
            <w:shd w:fill="E5FFFF" w:val="clear"/>
            <w:vAlign w:val="center"/>
          </w:tcPr>
          <w:p>
            <w:pPr>
              <w:pStyle w:val="TableContents"/>
              <w:bidi w:val="0"/>
              <w:spacing w:before="0" w:after="283"/>
              <w:jc w:val="left"/>
              <w:rPr/>
            </w:pPr>
            <w:r>
              <w:rPr/>
              <w:t>Interest and other income, net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7" w:type="dxa"/>
            <w:tcBorders>
              <w:bottom w:val="single" w:sz="2" w:space="0" w:color="000000"/>
            </w:tcBorders>
            <w:shd w:fill="E5FFFF" w:val="clear"/>
            <w:tcMar>
              <w:bottom w:w="28" w:type="dxa"/>
            </w:tcMar>
            <w:vAlign w:val="center"/>
          </w:tcPr>
          <w:p>
            <w:pPr>
              <w:pStyle w:val="TableContents"/>
              <w:bidi w:val="0"/>
              <w:spacing w:before="0" w:after="283"/>
              <w:jc w:val="right"/>
              <w:rPr/>
            </w:pPr>
            <w:r>
              <w:rPr/>
              <w:t>3,245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2" w:type="dxa"/>
            <w:tcBorders>
              <w:bottom w:val="single" w:sz="2" w:space="0" w:color="000000"/>
            </w:tcBorders>
            <w:shd w:fill="E5FFFF" w:val="clear"/>
            <w:tcMar>
              <w:bottom w:w="28" w:type="dxa"/>
            </w:tcMar>
            <w:vAlign w:val="center"/>
          </w:tcPr>
          <w:p>
            <w:pPr>
              <w:pStyle w:val="TableContents"/>
              <w:bidi w:val="0"/>
              <w:spacing w:before="0" w:after="283"/>
              <w:jc w:val="right"/>
              <w:rPr/>
            </w:pPr>
            <w:r>
              <w:rPr/>
              <w:t>3,088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6,451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7,310</w:t>
            </w:r>
          </w:p>
        </w:tc>
        <w:tc>
          <w:tcPr>
            <w:tcW w:w="138" w:type="dxa"/>
            <w:tcBorders/>
            <w:shd w:fill="E5FFFF" w:val="clear"/>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Income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48,118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12,097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74,233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25,723</w:t>
            </w:r>
          </w:p>
        </w:tc>
        <w:tc>
          <w:tcPr>
            <w:tcW w:w="138" w:type="dxa"/>
            <w:tcBorders/>
            <w:vAlign w:val="center"/>
          </w:tcPr>
          <w:p>
            <w:pPr>
              <w:pStyle w:val="TableContents"/>
              <w:bidi w:val="0"/>
              <w:spacing w:before="0" w:after="283"/>
              <w:jc w:val="left"/>
              <w:rPr/>
            </w:pPr>
            <w:r>
              <w:rPr/>
              <w:t> </w:t>
            </w:r>
          </w:p>
        </w:tc>
      </w:tr>
      <w:tr>
        <w:trPr/>
        <w:tc>
          <w:tcPr>
            <w:tcW w:w="5418" w:type="dxa"/>
            <w:tcBorders/>
            <w:shd w:fill="E5FFFF" w:val="clear"/>
            <w:vAlign w:val="center"/>
          </w:tcPr>
          <w:p>
            <w:pPr>
              <w:pStyle w:val="TableContents"/>
              <w:bidi w:val="0"/>
              <w:spacing w:before="0" w:after="283"/>
              <w:jc w:val="left"/>
              <w:rPr/>
            </w:pPr>
            <w:r>
              <w:rPr/>
              <w:t>Provision for income taxes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7" w:type="dxa"/>
            <w:tcBorders>
              <w:bottom w:val="single" w:sz="2" w:space="0" w:color="000000"/>
            </w:tcBorders>
            <w:shd w:fill="E5FFFF" w:val="clear"/>
            <w:tcMar>
              <w:bottom w:w="28" w:type="dxa"/>
            </w:tcMar>
            <w:vAlign w:val="center"/>
          </w:tcPr>
          <w:p>
            <w:pPr>
              <w:pStyle w:val="TableContents"/>
              <w:bidi w:val="0"/>
              <w:spacing w:before="0" w:after="283"/>
              <w:jc w:val="right"/>
              <w:rPr/>
            </w:pPr>
            <w:r>
              <w:rPr/>
              <w:t>(7,472)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2" w:type="dxa"/>
            <w:tcBorders>
              <w:bottom w:val="single" w:sz="2" w:space="0" w:color="000000"/>
            </w:tcBorders>
            <w:shd w:fill="E5FFFF" w:val="clear"/>
            <w:tcMar>
              <w:bottom w:w="28" w:type="dxa"/>
            </w:tcMar>
            <w:vAlign w:val="center"/>
          </w:tcPr>
          <w:p>
            <w:pPr>
              <w:pStyle w:val="TableContents"/>
              <w:bidi w:val="0"/>
              <w:spacing w:before="0" w:after="283"/>
              <w:jc w:val="right"/>
              <w:rPr/>
            </w:pPr>
            <w:r>
              <w:rPr/>
              <w:t>(2,769)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(11,909)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(5,723)</w:t>
            </w:r>
          </w:p>
        </w:tc>
        <w:tc>
          <w:tcPr>
            <w:tcW w:w="138" w:type="dxa"/>
            <w:tcBorders/>
            <w:shd w:fill="E5FFFF" w:val="clear"/>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40,646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9,328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62,324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20,000</w:t>
            </w:r>
          </w:p>
        </w:tc>
        <w:tc>
          <w:tcPr>
            <w:tcW w:w="138" w:type="dxa"/>
            <w:tcBorders/>
            <w:vAlign w:val="center"/>
          </w:tcPr>
          <w:p>
            <w:pPr>
              <w:pStyle w:val="TableContents"/>
              <w:bidi w:val="0"/>
              <w:spacing w:before="0" w:after="283"/>
              <w:jc w:val="left"/>
              <w:rPr/>
            </w:pPr>
            <w:r>
              <w:rPr/>
              <w:t> </w:t>
            </w:r>
          </w:p>
        </w:tc>
      </w:tr>
      <w:tr>
        <w:trPr/>
        <w:tc>
          <w:tcPr>
            <w:tcW w:w="5418" w:type="dxa"/>
            <w:tcBorders/>
            <w:shd w:fill="E5FFFF" w:val="clear"/>
            <w:vAlign w:val="center"/>
          </w:tcPr>
          <w:p>
            <w:pPr>
              <w:pStyle w:val="TableContents"/>
              <w:bidi w:val="0"/>
              <w:spacing w:before="0" w:after="283"/>
              <w:jc w:val="left"/>
              <w:rPr/>
            </w:pPr>
            <w:r>
              <w:rPr/>
              <w:t>Net income attributable to noncontrolling interests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7" w:type="dxa"/>
            <w:tcBorders>
              <w:bottom w:val="single" w:sz="2" w:space="0" w:color="000000"/>
            </w:tcBorders>
            <w:shd w:fill="E5FFFF" w:val="clear"/>
            <w:tcMar>
              <w:bottom w:w="28" w:type="dxa"/>
            </w:tcMar>
            <w:vAlign w:val="center"/>
          </w:tcPr>
          <w:p>
            <w:pPr>
              <w:pStyle w:val="TableContents"/>
              <w:bidi w:val="0"/>
              <w:spacing w:before="0" w:after="283"/>
              <w:jc w:val="right"/>
              <w:rPr/>
            </w:pPr>
            <w:r>
              <w:rPr/>
              <w:t>(5,702)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2" w:type="dxa"/>
            <w:tcBorders>
              <w:bottom w:val="single" w:sz="2" w:space="0" w:color="000000"/>
            </w:tcBorders>
            <w:shd w:fill="E5FFFF" w:val="clear"/>
            <w:tcMar>
              <w:bottom w:w="28" w:type="dxa"/>
            </w:tcMar>
            <w:vAlign w:val="center"/>
          </w:tcPr>
          <w:p>
            <w:pPr>
              <w:pStyle w:val="TableContents"/>
              <w:bidi w:val="0"/>
              <w:spacing w:before="0" w:after="283"/>
              <w:jc w:val="right"/>
              <w:rPr/>
            </w:pPr>
            <w:r>
              <w:rPr/>
              <w:t>(2,217)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(8,928)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E5FFFF" w:val="clear"/>
            <w:tcMar>
              <w:bottom w:w="28" w:type="dxa"/>
            </w:tcMar>
            <w:vAlign w:val="center"/>
          </w:tcPr>
          <w:p>
            <w:pPr>
              <w:pStyle w:val="TableContents"/>
              <w:bidi w:val="0"/>
              <w:spacing w:before="0" w:after="283"/>
              <w:jc w:val="right"/>
              <w:rPr/>
            </w:pPr>
            <w:r>
              <w:rPr/>
              <w:t>(4,211)</w:t>
            </w:r>
          </w:p>
        </w:tc>
        <w:tc>
          <w:tcPr>
            <w:tcW w:w="138" w:type="dxa"/>
            <w:tcBorders/>
            <w:shd w:fill="E5FFFF" w:val="clear"/>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Net income attributable to REX common shareholders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tcMar>
              <w:bottom w:w="28" w:type="dxa"/>
            </w:tcMar>
            <w:vAlign w:val="center"/>
          </w:tcPr>
          <w:p>
            <w:pPr>
              <w:pStyle w:val="TableContents"/>
              <w:bidi w:val="0"/>
              <w:spacing w:before="0" w:after="283"/>
              <w:jc w:val="right"/>
              <w:rPr/>
            </w:pPr>
            <w:r>
              <w:rPr/>
              <w:t>34,944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2" w:type="dxa"/>
            <w:tcBorders>
              <w:bottom w:val="double" w:sz="6" w:space="0" w:color="000000"/>
            </w:tcBorders>
            <w:tcMar>
              <w:bottom w:w="28" w:type="dxa"/>
            </w:tcMar>
            <w:vAlign w:val="center"/>
          </w:tcPr>
          <w:p>
            <w:pPr>
              <w:pStyle w:val="TableContents"/>
              <w:bidi w:val="0"/>
              <w:spacing w:before="0" w:after="283"/>
              <w:jc w:val="right"/>
              <w:rPr/>
            </w:pPr>
            <w:r>
              <w:rPr/>
              <w:t>7,111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5" w:type="dxa"/>
            <w:tcBorders>
              <w:bottom w:val="double" w:sz="6" w:space="0" w:color="000000"/>
            </w:tcBorders>
            <w:tcMar>
              <w:bottom w:w="28" w:type="dxa"/>
            </w:tcMar>
            <w:vAlign w:val="center"/>
          </w:tcPr>
          <w:p>
            <w:pPr>
              <w:pStyle w:val="TableContents"/>
              <w:bidi w:val="0"/>
              <w:spacing w:before="0" w:after="283"/>
              <w:jc w:val="right"/>
              <w:rPr/>
            </w:pPr>
            <w:r>
              <w:rPr/>
              <w:t>53,396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5" w:type="dxa"/>
            <w:tcBorders>
              <w:bottom w:val="double" w:sz="6" w:space="0" w:color="000000"/>
            </w:tcBorders>
            <w:tcMar>
              <w:bottom w:w="28" w:type="dxa"/>
            </w:tcMar>
            <w:vAlign w:val="center"/>
          </w:tcPr>
          <w:p>
            <w:pPr>
              <w:pStyle w:val="TableContents"/>
              <w:bidi w:val="0"/>
              <w:spacing w:before="0" w:after="283"/>
              <w:jc w:val="right"/>
              <w:rPr/>
            </w:pPr>
            <w:r>
              <w:rPr/>
              <w:t>15,789</w:t>
            </w:r>
          </w:p>
        </w:tc>
        <w:tc>
          <w:tcPr>
            <w:tcW w:w="138"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5418" w:type="dxa"/>
            <w:tcBorders/>
            <w:shd w:fill="E5FFFF" w:val="clear"/>
            <w:vAlign w:val="center"/>
          </w:tcPr>
          <w:p>
            <w:pPr>
              <w:pStyle w:val="TableContents"/>
              <w:bidi w:val="0"/>
              <w:spacing w:before="0" w:after="283"/>
              <w:jc w:val="left"/>
              <w:rPr/>
            </w:pPr>
            <w:r>
              <w:rPr/>
              <w:t>Weighted average shares outstanding – basic and diluted</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37" w:type="dxa"/>
            <w:tcBorders>
              <w:bottom w:val="double" w:sz="6" w:space="0" w:color="000000"/>
            </w:tcBorders>
            <w:shd w:fill="E5FFFF" w:val="clear"/>
            <w:tcMar>
              <w:bottom w:w="28" w:type="dxa"/>
            </w:tcMar>
            <w:vAlign w:val="center"/>
          </w:tcPr>
          <w:p>
            <w:pPr>
              <w:pStyle w:val="TableContents"/>
              <w:bidi w:val="0"/>
              <w:spacing w:before="0" w:after="283"/>
              <w:jc w:val="right"/>
              <w:rPr/>
            </w:pPr>
            <w:r>
              <w:rPr/>
              <w:t>33,090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32" w:type="dxa"/>
            <w:tcBorders>
              <w:bottom w:val="double" w:sz="6" w:space="0" w:color="000000"/>
            </w:tcBorders>
            <w:shd w:fill="E5FFFF" w:val="clear"/>
            <w:tcMar>
              <w:bottom w:w="28" w:type="dxa"/>
            </w:tcMar>
            <w:vAlign w:val="center"/>
          </w:tcPr>
          <w:p>
            <w:pPr>
              <w:pStyle w:val="TableContents"/>
              <w:bidi w:val="0"/>
              <w:spacing w:before="0" w:after="283"/>
              <w:jc w:val="right"/>
              <w:rPr/>
            </w:pPr>
            <w:r>
              <w:rPr/>
              <w:t>33,010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double" w:sz="6" w:space="0" w:color="000000"/>
            </w:tcBorders>
            <w:shd w:fill="E5FFFF" w:val="clear"/>
            <w:tcMar>
              <w:bottom w:w="28" w:type="dxa"/>
            </w:tcMar>
            <w:vAlign w:val="center"/>
          </w:tcPr>
          <w:p>
            <w:pPr>
              <w:pStyle w:val="TableContents"/>
              <w:bidi w:val="0"/>
              <w:spacing w:before="0" w:after="283"/>
              <w:jc w:val="right"/>
              <w:rPr/>
            </w:pPr>
            <w:r>
              <w:rPr/>
              <w:t>33,019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35" w:type="dxa"/>
            <w:tcBorders>
              <w:bottom w:val="double" w:sz="6" w:space="0" w:color="000000"/>
            </w:tcBorders>
            <w:shd w:fill="E5FFFF" w:val="clear"/>
            <w:tcMar>
              <w:bottom w:w="28" w:type="dxa"/>
            </w:tcMar>
            <w:vAlign w:val="center"/>
          </w:tcPr>
          <w:p>
            <w:pPr>
              <w:pStyle w:val="TableContents"/>
              <w:bidi w:val="0"/>
              <w:spacing w:before="0" w:after="283"/>
              <w:jc w:val="right"/>
              <w:rPr/>
            </w:pPr>
            <w:r>
              <w:rPr/>
              <w:t>33,388</w:t>
            </w:r>
          </w:p>
        </w:tc>
        <w:tc>
          <w:tcPr>
            <w:tcW w:w="138" w:type="dxa"/>
            <w:tcBorders/>
            <w:shd w:fill="E5FFFF" w:val="clear"/>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left"/>
              <w:rPr/>
            </w:pPr>
            <w:r>
              <w:rPr/>
              <w:t>Basic and diluted net income per share attributable to REX common shareholders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tcMar>
              <w:bottom w:w="28" w:type="dxa"/>
            </w:tcMar>
            <w:vAlign w:val="center"/>
          </w:tcPr>
          <w:p>
            <w:pPr>
              <w:pStyle w:val="TableContents"/>
              <w:bidi w:val="0"/>
              <w:spacing w:before="0" w:after="283"/>
              <w:jc w:val="right"/>
              <w:rPr/>
            </w:pPr>
            <w:r>
              <w:rPr/>
              <w:t>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2" w:type="dxa"/>
            <w:tcBorders>
              <w:bottom w:val="double" w:sz="6" w:space="0" w:color="000000"/>
            </w:tcBorders>
            <w:tcMar>
              <w:bottom w:w="28" w:type="dxa"/>
            </w:tcMar>
            <w:vAlign w:val="center"/>
          </w:tcPr>
          <w:p>
            <w:pPr>
              <w:pStyle w:val="TableContents"/>
              <w:bidi w:val="0"/>
              <w:spacing w:before="0" w:after="283"/>
              <w:jc w:val="right"/>
              <w:rPr/>
            </w:pPr>
            <w:r>
              <w:rPr/>
              <w:t>0.22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5" w:type="dxa"/>
            <w:tcBorders>
              <w:bottom w:val="double" w:sz="6" w:space="0" w:color="000000"/>
            </w:tcBorders>
            <w:tcMar>
              <w:bottom w:w="28" w:type="dxa"/>
            </w:tcMar>
            <w:vAlign w:val="center"/>
          </w:tcPr>
          <w:p>
            <w:pPr>
              <w:pStyle w:val="TableContents"/>
              <w:bidi w:val="0"/>
              <w:spacing w:before="0" w:after="283"/>
              <w:jc w:val="right"/>
              <w:rPr/>
            </w:pPr>
            <w:r>
              <w:rPr/>
              <w:t>1.62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5" w:type="dxa"/>
            <w:tcBorders>
              <w:bottom w:val="double" w:sz="6" w:space="0" w:color="000000"/>
            </w:tcBorders>
            <w:tcMar>
              <w:bottom w:w="28" w:type="dxa"/>
            </w:tcMar>
            <w:vAlign w:val="center"/>
          </w:tcPr>
          <w:p>
            <w:pPr>
              <w:pStyle w:val="TableContents"/>
              <w:bidi w:val="0"/>
              <w:spacing w:before="0" w:after="283"/>
              <w:jc w:val="right"/>
              <w:rPr/>
            </w:pPr>
            <w:r>
              <w:rPr/>
              <w:t>0.47</w:t>
            </w:r>
          </w:p>
        </w:tc>
        <w:tc>
          <w:tcPr>
            <w:tcW w:w="138"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consolidated financial statements.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6 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REX AMERICAN RESOURCES CORPORATION AND SUBSIDIARIES</w:t>
      </w:r>
    </w:p>
    <w:p>
      <w:pPr>
        <w:pStyle w:val="TextBody"/>
        <w:bidi w:val="0"/>
        <w:jc w:val="left"/>
        <w:rPr>
          <w:rFonts w:ascii="Times New Roman;Times;Serif" w:hAnsi="Times New Roman;Times;Serif"/>
          <w:b/>
          <w:i w:val="false"/>
          <w:caps w:val="false"/>
          <w:smallCaps w:val="false"/>
          <w:sz w:val="20"/>
        </w:rPr>
      </w:pPr>
      <w:bookmarkStart w:id="6" w:name="x1_c117568a005"/>
      <w:bookmarkEnd w:id="6"/>
      <w:r>
        <w:rPr>
          <w:rFonts w:ascii="Times New Roman;Times;Serif" w:hAnsi="Times New Roman;Times;Serif"/>
          <w:b/>
          <w:i w:val="false"/>
          <w:caps w:val="false"/>
          <w:smallCaps w:val="false"/>
          <w:sz w:val="20"/>
        </w:rPr>
        <w:t>Consolidated Condensed Statements of Equity</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July 31, 2026 and 2025</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770" w:type="dxa"/>
        <w:jc w:val="left"/>
        <w:tblInd w:w="0" w:type="dxa"/>
        <w:tblLayout w:type="fixed"/>
        <w:tblCellMar>
          <w:top w:w="0" w:type="dxa"/>
          <w:left w:w="0" w:type="dxa"/>
          <w:bottom w:w="0" w:type="dxa"/>
          <w:right w:w="0" w:type="dxa"/>
        </w:tblCellMar>
      </w:tblPr>
      <w:tblGrid>
        <w:gridCol w:w="1505"/>
        <w:gridCol w:w="90"/>
        <w:gridCol w:w="90"/>
        <w:gridCol w:w="710"/>
        <w:gridCol w:w="90"/>
        <w:gridCol w:w="90"/>
        <w:gridCol w:w="260"/>
        <w:gridCol w:w="630"/>
        <w:gridCol w:w="90"/>
        <w:gridCol w:w="90"/>
        <w:gridCol w:w="175"/>
        <w:gridCol w:w="565"/>
        <w:gridCol w:w="90"/>
        <w:gridCol w:w="90"/>
        <w:gridCol w:w="170"/>
        <w:gridCol w:w="720"/>
        <w:gridCol w:w="90"/>
        <w:gridCol w:w="90"/>
        <w:gridCol w:w="170"/>
        <w:gridCol w:w="710"/>
        <w:gridCol w:w="90"/>
        <w:gridCol w:w="90"/>
        <w:gridCol w:w="170"/>
        <w:gridCol w:w="830"/>
        <w:gridCol w:w="90"/>
        <w:gridCol w:w="90"/>
        <w:gridCol w:w="305"/>
        <w:gridCol w:w="1275"/>
        <w:gridCol w:w="90"/>
        <w:gridCol w:w="90"/>
        <w:gridCol w:w="170"/>
        <w:gridCol w:w="830"/>
        <w:gridCol w:w="135"/>
      </w:tblGrid>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6190" w:type="dxa"/>
            <w:gridSpan w:val="23"/>
            <w:tcBorders>
              <w:bottom w:val="single" w:sz="2" w:space="0" w:color="000000"/>
            </w:tcBorders>
            <w:tcMar>
              <w:bottom w:w="28" w:type="dxa"/>
            </w:tcMar>
            <w:vAlign w:val="center"/>
          </w:tcPr>
          <w:p>
            <w:pPr>
              <w:pStyle w:val="TableContents"/>
              <w:bidi w:val="0"/>
              <w:spacing w:before="0" w:after="283"/>
              <w:jc w:val="center"/>
              <w:rPr>
                <w:b/>
              </w:rPr>
            </w:pPr>
            <w:r>
              <w:rPr>
                <w:b/>
              </w:rPr>
              <w:t>REX Shareholders</w:t>
            </w:r>
          </w:p>
        </w:tc>
        <w:tc>
          <w:tcPr>
            <w:tcW w:w="90" w:type="dxa"/>
            <w:tcBorders/>
            <w:vAlign w:val="center"/>
          </w:tcPr>
          <w:p>
            <w:pPr>
              <w:pStyle w:val="TableContents"/>
              <w:bidi w:val="0"/>
              <w:spacing w:before="0" w:after="283"/>
              <w:jc w:val="center"/>
              <w:rPr/>
            </w:pPr>
            <w:r>
              <w:rPr/>
              <w:t> </w:t>
            </w:r>
          </w:p>
        </w:tc>
        <w:tc>
          <w:tcPr>
            <w:tcW w:w="15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6190" w:type="dxa"/>
            <w:gridSpan w:val="23"/>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870" w:type="dxa"/>
            <w:gridSpan w:val="6"/>
            <w:tcBorders>
              <w:bottom w:val="single" w:sz="2" w:space="0" w:color="000000"/>
            </w:tcBorders>
            <w:tcMar>
              <w:bottom w:w="28" w:type="dxa"/>
            </w:tcMar>
            <w:vAlign w:val="center"/>
          </w:tcPr>
          <w:p>
            <w:pPr>
              <w:pStyle w:val="TableContents"/>
              <w:bidi w:val="0"/>
              <w:spacing w:before="0" w:after="283"/>
              <w:jc w:val="center"/>
              <w:rPr>
                <w:b/>
              </w:rPr>
            </w:pPr>
            <w:r>
              <w:rPr>
                <w:b/>
              </w:rPr>
              <w:t>Common Shares</w:t>
              <w:br/>
              <w:t>Issued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10" w:type="dxa"/>
            <w:gridSpan w:val="6"/>
            <w:tcBorders>
              <w:bottom w:val="single" w:sz="2" w:space="0" w:color="000000"/>
            </w:tcBorders>
            <w:tcMar>
              <w:bottom w:w="28" w:type="dxa"/>
            </w:tcMar>
            <w:vAlign w:val="center"/>
          </w:tcPr>
          <w:p>
            <w:pPr>
              <w:pStyle w:val="TableContents"/>
              <w:bidi w:val="0"/>
              <w:spacing w:before="0" w:after="283"/>
              <w:jc w:val="center"/>
              <w:rPr>
                <w:b/>
              </w:rPr>
            </w:pPr>
            <w:r>
              <w:rPr>
                <w:b/>
              </w:rPr>
              <w:t>Treasury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b/>
              </w:rPr>
            </w:pPr>
            <w:r>
              <w:rPr>
                <w:b/>
              </w:rPr>
              <w:t>Paid-in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b/>
              </w:rPr>
            </w:pPr>
            <w:r>
              <w:rPr>
                <w:b/>
              </w:rPr>
              <w:t>Retained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80" w:type="dxa"/>
            <w:gridSpan w:val="2"/>
            <w:tcBorders/>
            <w:vAlign w:val="center"/>
          </w:tcPr>
          <w:p>
            <w:pPr>
              <w:pStyle w:val="TableContents"/>
              <w:bidi w:val="0"/>
              <w:spacing w:before="0" w:after="283"/>
              <w:jc w:val="center"/>
              <w:rPr>
                <w:b/>
              </w:rPr>
            </w:pPr>
            <w:r>
              <w:rPr>
                <w:b/>
              </w:rPr>
              <w:t>Noncontrolling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Earnings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Interests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505" w:type="dxa"/>
            <w:tcBorders/>
            <w:shd w:fill="E5FFFF" w:val="clear"/>
            <w:vAlign w:val="center"/>
          </w:tcPr>
          <w:p>
            <w:pPr>
              <w:pStyle w:val="TableContents"/>
              <w:bidi w:val="0"/>
              <w:spacing w:before="0" w:after="283"/>
              <w:jc w:val="left"/>
              <w:rPr/>
            </w:pPr>
            <w:r>
              <w:rPr/>
              <w:t>Balance at January 31, 2026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710" w:type="dxa"/>
            <w:tcBorders/>
            <w:shd w:fill="E5FFFF" w:val="clear"/>
            <w:vAlign w:val="center"/>
          </w:tcPr>
          <w:p>
            <w:pPr>
              <w:pStyle w:val="TableContents"/>
              <w:bidi w:val="0"/>
              <w:spacing w:before="0" w:after="283"/>
              <w:jc w:val="right"/>
              <w:rPr/>
            </w:pPr>
            <w:r>
              <w:rPr/>
              <w:t>32,938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shd w:fill="E5FFFF" w:val="clear"/>
            <w:vAlign w:val="center"/>
          </w:tcPr>
          <w:p>
            <w:pPr>
              <w:pStyle w:val="TableContents"/>
              <w:bidi w:val="0"/>
              <w:spacing w:before="0" w:after="283"/>
              <w:jc w:val="left"/>
              <w:rPr/>
            </w:pPr>
            <w:r>
              <w:rPr/>
              <w:t>$</w:t>
            </w:r>
          </w:p>
        </w:tc>
        <w:tc>
          <w:tcPr>
            <w:tcW w:w="630" w:type="dxa"/>
            <w:tcBorders/>
            <w:shd w:fill="E5FFFF" w:val="clear"/>
            <w:vAlign w:val="center"/>
          </w:tcPr>
          <w:p>
            <w:pPr>
              <w:pStyle w:val="TableContents"/>
              <w:bidi w:val="0"/>
              <w:spacing w:before="0" w:after="283"/>
              <w:jc w:val="right"/>
              <w:rPr/>
            </w:pPr>
            <w:r>
              <w:rPr/>
              <w:t>329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shd w:fill="E5FFFF" w:val="clear"/>
            <w:vAlign w:val="center"/>
          </w:tcPr>
          <w:p>
            <w:pPr>
              <w:pStyle w:val="TableContents"/>
              <w:bidi w:val="0"/>
              <w:spacing w:before="0" w:after="283"/>
              <w:jc w:val="left"/>
              <w:rPr/>
            </w:pPr>
            <w:r>
              <w:rPr/>
              <w:t> </w:t>
            </w:r>
          </w:p>
        </w:tc>
        <w:tc>
          <w:tcPr>
            <w:tcW w:w="565"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720"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710" w:type="dxa"/>
            <w:tcBorders/>
            <w:shd w:fill="E5FFFF" w:val="clear"/>
            <w:vAlign w:val="center"/>
          </w:tcPr>
          <w:p>
            <w:pPr>
              <w:pStyle w:val="TableContents"/>
              <w:bidi w:val="0"/>
              <w:spacing w:before="0" w:after="283"/>
              <w:jc w:val="right"/>
              <w:rPr/>
            </w:pPr>
            <w:r>
              <w:rPr/>
              <w:t>66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610,317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shd w:fill="E5FFFF" w:val="clear"/>
            <w:vAlign w:val="center"/>
          </w:tcPr>
          <w:p>
            <w:pPr>
              <w:pStyle w:val="TableContents"/>
              <w:bidi w:val="0"/>
              <w:spacing w:before="0" w:after="283"/>
              <w:jc w:val="left"/>
              <w:rPr/>
            </w:pPr>
            <w:r>
              <w:rPr/>
              <w:t>$</w:t>
            </w:r>
          </w:p>
        </w:tc>
        <w:tc>
          <w:tcPr>
            <w:tcW w:w="1275" w:type="dxa"/>
            <w:tcBorders/>
            <w:shd w:fill="E5FFFF" w:val="clear"/>
            <w:vAlign w:val="center"/>
          </w:tcPr>
          <w:p>
            <w:pPr>
              <w:pStyle w:val="TableContents"/>
              <w:bidi w:val="0"/>
              <w:spacing w:before="0" w:after="283"/>
              <w:jc w:val="right"/>
              <w:rPr/>
            </w:pPr>
            <w:r>
              <w:rPr/>
              <w:t>91,293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702,005</w:t>
            </w:r>
          </w:p>
        </w:tc>
        <w:tc>
          <w:tcPr>
            <w:tcW w:w="135" w:type="dxa"/>
            <w:tcBorders/>
            <w:shd w:fill="E5FF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3,226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21,678</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shd w:fill="E5FFFF" w:val="clear"/>
            <w:vAlign w:val="center"/>
          </w:tcPr>
          <w:p>
            <w:pPr>
              <w:pStyle w:val="TableContents"/>
              <w:bidi w:val="0"/>
              <w:spacing w:before="0" w:after="283"/>
              <w:jc w:val="left"/>
              <w:rPr/>
            </w:pPr>
            <w:r>
              <w:rPr/>
              <w:t>Issuance of equity awards and stock-based compensation expense</w:t>
            </w:r>
          </w:p>
        </w:tc>
        <w:tc>
          <w:tcPr>
            <w:tcW w:w="90" w:type="dxa"/>
            <w:tcBorders/>
            <w:shd w:fill="E5FFFF" w:val="clear"/>
            <w:vAlign w:val="center"/>
          </w:tcPr>
          <w:p>
            <w:pPr>
              <w:pStyle w:val="TableContents"/>
              <w:bidi w:val="0"/>
              <w:spacing w:before="0" w:after="283"/>
              <w:jc w:val="left"/>
              <w:rPr/>
            </w:pPr>
            <w:r>
              <w:rPr/>
              <w:t> </w:t>
            </w:r>
          </w:p>
        </w:tc>
        <w:tc>
          <w:tcPr>
            <w:tcW w:w="9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630"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565"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20"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E5FFFF" w:val="clear"/>
            <w:tcMar>
              <w:bottom w:w="28" w:type="dxa"/>
            </w:tcMar>
            <w:vAlign w:val="center"/>
          </w:tcPr>
          <w:p>
            <w:pPr>
              <w:pStyle w:val="TableContents"/>
              <w:bidi w:val="0"/>
              <w:spacing w:before="0" w:after="283"/>
              <w:jc w:val="right"/>
              <w:rPr/>
            </w:pPr>
            <w:r>
              <w:rPr/>
              <w:t>71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275"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71</w:t>
            </w:r>
          </w:p>
        </w:tc>
        <w:tc>
          <w:tcPr>
            <w:tcW w:w="135" w:type="dxa"/>
            <w:tcBorders/>
            <w:shd w:fill="E5FF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Balance at April 30,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32,938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329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628,769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94,519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723,754</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shd w:fill="E5FFFF" w:val="clear"/>
            <w:vAlign w:val="center"/>
          </w:tcPr>
          <w:p>
            <w:pPr>
              <w:pStyle w:val="TableContents"/>
              <w:bidi w:val="0"/>
              <w:spacing w:before="0" w:after="283"/>
              <w:jc w:val="left"/>
              <w:rPr/>
            </w:pPr>
            <w:r>
              <w:rPr/>
              <w:t>Net income</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71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shd w:fill="E5FFFF" w:val="clear"/>
            <w:vAlign w:val="center"/>
          </w:tcPr>
          <w:p>
            <w:pPr>
              <w:pStyle w:val="TableContents"/>
              <w:bidi w:val="0"/>
              <w:spacing w:before="0" w:after="283"/>
              <w:jc w:val="left"/>
              <w:rPr/>
            </w:pPr>
            <w:r>
              <w:rPr/>
              <w:t> </w:t>
            </w:r>
          </w:p>
        </w:tc>
        <w:tc>
          <w:tcPr>
            <w:tcW w:w="6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shd w:fill="E5FFFF" w:val="clear"/>
            <w:vAlign w:val="center"/>
          </w:tcPr>
          <w:p>
            <w:pPr>
              <w:pStyle w:val="TableContents"/>
              <w:bidi w:val="0"/>
              <w:spacing w:before="0" w:after="283"/>
              <w:jc w:val="left"/>
              <w:rPr/>
            </w:pPr>
            <w:r>
              <w:rPr/>
              <w:t> </w:t>
            </w:r>
          </w:p>
        </w:tc>
        <w:tc>
          <w:tcPr>
            <w:tcW w:w="565"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72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71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34,944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shd w:fill="E5FFFF" w:val="clear"/>
            <w:vAlign w:val="center"/>
          </w:tcPr>
          <w:p>
            <w:pPr>
              <w:pStyle w:val="TableContents"/>
              <w:bidi w:val="0"/>
              <w:spacing w:before="0" w:after="283"/>
              <w:jc w:val="left"/>
              <w:rPr/>
            </w:pPr>
            <w:r>
              <w:rPr/>
              <w:t> </w:t>
            </w:r>
          </w:p>
        </w:tc>
        <w:tc>
          <w:tcPr>
            <w:tcW w:w="1275" w:type="dxa"/>
            <w:tcBorders/>
            <w:shd w:fill="E5FFFF" w:val="clear"/>
            <w:vAlign w:val="center"/>
          </w:tcPr>
          <w:p>
            <w:pPr>
              <w:pStyle w:val="TableContents"/>
              <w:bidi w:val="0"/>
              <w:spacing w:before="0" w:after="283"/>
              <w:jc w:val="right"/>
              <w:rPr/>
            </w:pPr>
            <w:r>
              <w:rPr/>
              <w:t>5,702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40,646</w:t>
            </w:r>
          </w:p>
        </w:tc>
        <w:tc>
          <w:tcPr>
            <w:tcW w:w="135" w:type="dxa"/>
            <w:tcBorders/>
            <w:shd w:fill="E5FF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Stock repurchases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(1,581)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(1,581)</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shd w:fill="E5FFFF" w:val="clear"/>
            <w:vAlign w:val="center"/>
          </w:tcPr>
          <w:p>
            <w:pPr>
              <w:pStyle w:val="TableContents"/>
              <w:bidi w:val="0"/>
              <w:spacing w:before="0" w:after="283"/>
              <w:jc w:val="left"/>
              <w:rPr/>
            </w:pPr>
            <w:r>
              <w:rPr/>
              <w:t>Noncontrolling interests distributions and other</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71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shd w:fill="E5FFFF" w:val="clear"/>
            <w:vAlign w:val="center"/>
          </w:tcPr>
          <w:p>
            <w:pPr>
              <w:pStyle w:val="TableContents"/>
              <w:bidi w:val="0"/>
              <w:spacing w:before="0" w:after="283"/>
              <w:jc w:val="left"/>
              <w:rPr/>
            </w:pPr>
            <w:r>
              <w:rPr/>
              <w:t> </w:t>
            </w:r>
          </w:p>
        </w:tc>
        <w:tc>
          <w:tcPr>
            <w:tcW w:w="6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shd w:fill="E5FFFF" w:val="clear"/>
            <w:vAlign w:val="center"/>
          </w:tcPr>
          <w:p>
            <w:pPr>
              <w:pStyle w:val="TableContents"/>
              <w:bidi w:val="0"/>
              <w:spacing w:before="0" w:after="283"/>
              <w:jc w:val="left"/>
              <w:rPr/>
            </w:pPr>
            <w:r>
              <w:rPr/>
              <w:t> </w:t>
            </w:r>
          </w:p>
        </w:tc>
        <w:tc>
          <w:tcPr>
            <w:tcW w:w="565"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72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71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shd w:fill="E5FFFF" w:val="clear"/>
            <w:vAlign w:val="center"/>
          </w:tcPr>
          <w:p>
            <w:pPr>
              <w:pStyle w:val="TableContents"/>
              <w:bidi w:val="0"/>
              <w:spacing w:before="0" w:after="283"/>
              <w:jc w:val="left"/>
              <w:rPr/>
            </w:pPr>
            <w:r>
              <w:rPr/>
              <w:t> </w:t>
            </w:r>
          </w:p>
        </w:tc>
        <w:tc>
          <w:tcPr>
            <w:tcW w:w="1275" w:type="dxa"/>
            <w:tcBorders/>
            <w:shd w:fill="E5FFFF" w:val="clear"/>
            <w:vAlign w:val="center"/>
          </w:tcPr>
          <w:p>
            <w:pPr>
              <w:pStyle w:val="TableContents"/>
              <w:bidi w:val="0"/>
              <w:spacing w:before="0" w:after="283"/>
              <w:jc w:val="right"/>
              <w:rPr/>
            </w:pPr>
            <w:r>
              <w:rPr/>
              <w:t>(2,228)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(2,228)</w:t>
            </w:r>
          </w:p>
        </w:tc>
        <w:tc>
          <w:tcPr>
            <w:tcW w:w="135" w:type="dxa"/>
            <w:tcBorders/>
            <w:shd w:fill="E5FF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Issuance of equity awards and 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single" w:sz="2" w:space="0" w:color="000000"/>
            </w:tcBorders>
            <w:tcMar>
              <w:bottom w:w="28" w:type="dxa"/>
            </w:tcMar>
            <w:vAlign w:val="center"/>
          </w:tcPr>
          <w:p>
            <w:pPr>
              <w:pStyle w:val="TableContents"/>
              <w:bidi w:val="0"/>
              <w:spacing w:before="0" w:after="283"/>
              <w:jc w:val="left"/>
              <w:rPr/>
            </w:pPr>
            <w:r>
              <w:rPr/>
              <w:t> </w:t>
            </w:r>
          </w:p>
        </w:tc>
        <w:tc>
          <w:tcPr>
            <w:tcW w:w="630" w:type="dxa"/>
            <w:tcBorders>
              <w:bottom w:val="single" w:sz="2" w:space="0" w:color="000000"/>
            </w:tcBorders>
            <w:tcMar>
              <w:bottom w:w="28" w:type="dxa"/>
            </w:tcMar>
            <w:vAlign w:val="center"/>
          </w:tcPr>
          <w:p>
            <w:pPr>
              <w:pStyle w:val="TableContents"/>
              <w:bidi w:val="0"/>
              <w:spacing w:before="0" w:after="283"/>
              <w:jc w:val="right"/>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2" w:space="0" w:color="000000"/>
            </w:tcBorders>
            <w:tcMar>
              <w:bottom w:w="28" w:type="dxa"/>
            </w:tcMar>
            <w:vAlign w:val="center"/>
          </w:tcPr>
          <w:p>
            <w:pPr>
              <w:pStyle w:val="TableContents"/>
              <w:bidi w:val="0"/>
              <w:spacing w:before="0" w:after="283"/>
              <w:jc w:val="left"/>
              <w:rPr/>
            </w:pPr>
            <w:r>
              <w:rPr/>
              <w:t> </w:t>
            </w:r>
          </w:p>
        </w:tc>
        <w:tc>
          <w:tcPr>
            <w:tcW w:w="56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2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11,020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bottom w:val="single" w:sz="2" w:space="0" w:color="000000"/>
            </w:tcBorders>
            <w:tcMar>
              <w:bottom w:w="28" w:type="dxa"/>
            </w:tcMar>
            <w:vAlign w:val="center"/>
          </w:tcPr>
          <w:p>
            <w:pPr>
              <w:pStyle w:val="TableContents"/>
              <w:bidi w:val="0"/>
              <w:spacing w:before="0" w:after="283"/>
              <w:jc w:val="left"/>
              <w:rPr/>
            </w:pPr>
            <w:r>
              <w:rPr/>
              <w:t> </w:t>
            </w:r>
          </w:p>
        </w:tc>
        <w:tc>
          <w:tcPr>
            <w:tcW w:w="127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11,023</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05" w:type="dxa"/>
            <w:tcBorders/>
            <w:shd w:fill="E5FFFF" w:val="clear"/>
            <w:vAlign w:val="center"/>
          </w:tcPr>
          <w:p>
            <w:pPr>
              <w:pStyle w:val="TableContents"/>
              <w:bidi w:val="0"/>
              <w:spacing w:before="0" w:after="283"/>
              <w:jc w:val="left"/>
              <w:rPr/>
            </w:pPr>
            <w:r>
              <w:rPr/>
              <w:t>Balance at July 31, 2026</w:t>
            </w:r>
          </w:p>
        </w:tc>
        <w:tc>
          <w:tcPr>
            <w:tcW w:w="90" w:type="dxa"/>
            <w:tcBorders/>
            <w:shd w:fill="E5FFFF" w:val="clear"/>
            <w:vAlign w:val="center"/>
          </w:tcPr>
          <w:p>
            <w:pPr>
              <w:pStyle w:val="TableContents"/>
              <w:bidi w:val="0"/>
              <w:spacing w:before="0" w:after="283"/>
              <w:jc w:val="left"/>
              <w:rPr/>
            </w:pPr>
            <w:r>
              <w:rPr/>
              <w:t> </w:t>
            </w:r>
          </w:p>
        </w:tc>
        <w:tc>
          <w:tcPr>
            <w:tcW w:w="9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shd w:fill="E5FFFF" w:val="clear"/>
            <w:tcMar>
              <w:bottom w:w="28" w:type="dxa"/>
            </w:tcMar>
            <w:vAlign w:val="center"/>
          </w:tcPr>
          <w:p>
            <w:pPr>
              <w:pStyle w:val="TableContents"/>
              <w:bidi w:val="0"/>
              <w:spacing w:before="0" w:after="283"/>
              <w:jc w:val="right"/>
              <w:rPr/>
            </w:pPr>
            <w:r>
              <w:rPr/>
              <w:t>33,212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630" w:type="dxa"/>
            <w:tcBorders>
              <w:bottom w:val="double" w:sz="6" w:space="0" w:color="000000"/>
            </w:tcBorders>
            <w:shd w:fill="E5FFFF" w:val="clear"/>
            <w:tcMar>
              <w:bottom w:w="28" w:type="dxa"/>
            </w:tcMar>
            <w:vAlign w:val="center"/>
          </w:tcPr>
          <w:p>
            <w:pPr>
              <w:pStyle w:val="TableContents"/>
              <w:bidi w:val="0"/>
              <w:spacing w:before="0" w:after="283"/>
              <w:jc w:val="right"/>
              <w:rPr/>
            </w:pPr>
            <w:r>
              <w:rPr/>
              <w:t>332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565" w:type="dxa"/>
            <w:tcBorders>
              <w:bottom w:val="double" w:sz="6" w:space="0" w:color="000000"/>
            </w:tcBorders>
            <w:shd w:fill="E5FFFF" w:val="clear"/>
            <w:tcMar>
              <w:bottom w:w="28" w:type="dxa"/>
            </w:tcMar>
            <w:vAlign w:val="center"/>
          </w:tcPr>
          <w:p>
            <w:pPr>
              <w:pStyle w:val="TableContents"/>
              <w:bidi w:val="0"/>
              <w:spacing w:before="0" w:after="283"/>
              <w:jc w:val="right"/>
              <w:rPr/>
            </w:pPr>
            <w:r>
              <w:rPr/>
              <w:t>36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720" w:type="dxa"/>
            <w:tcBorders>
              <w:bottom w:val="double" w:sz="6" w:space="0" w:color="000000"/>
            </w:tcBorders>
            <w:shd w:fill="E5FFFF" w:val="clear"/>
            <w:tcMar>
              <w:bottom w:w="28" w:type="dxa"/>
            </w:tcMar>
            <w:vAlign w:val="center"/>
          </w:tcPr>
          <w:p>
            <w:pPr>
              <w:pStyle w:val="TableContents"/>
              <w:bidi w:val="0"/>
              <w:spacing w:before="0" w:after="283"/>
              <w:jc w:val="right"/>
              <w:rPr/>
            </w:pPr>
            <w:r>
              <w:rPr/>
              <w:t>(1,581)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E5FFFF" w:val="clear"/>
            <w:tcMar>
              <w:bottom w:w="28" w:type="dxa"/>
            </w:tcMar>
            <w:vAlign w:val="center"/>
          </w:tcPr>
          <w:p>
            <w:pPr>
              <w:pStyle w:val="TableContents"/>
              <w:bidi w:val="0"/>
              <w:spacing w:before="0" w:after="283"/>
              <w:jc w:val="right"/>
              <w:rPr/>
            </w:pPr>
            <w:r>
              <w:rPr/>
              <w:t>11,157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663,713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275" w:type="dxa"/>
            <w:tcBorders>
              <w:bottom w:val="double" w:sz="6" w:space="0" w:color="000000"/>
            </w:tcBorders>
            <w:shd w:fill="E5FFFF" w:val="clear"/>
            <w:tcMar>
              <w:bottom w:w="28" w:type="dxa"/>
            </w:tcMar>
            <w:vAlign w:val="center"/>
          </w:tcPr>
          <w:p>
            <w:pPr>
              <w:pStyle w:val="TableContents"/>
              <w:bidi w:val="0"/>
              <w:spacing w:before="0" w:after="283"/>
              <w:jc w:val="right"/>
              <w:rPr/>
            </w:pPr>
            <w:r>
              <w:rPr/>
              <w:t>97,993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771,614</w:t>
            </w:r>
          </w:p>
        </w:tc>
        <w:tc>
          <w:tcPr>
            <w:tcW w:w="135"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on the following page</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7 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REX AMERICAN RESOURCES CORPORATION AND SUBSIDIARIES</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Equity</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from the previous page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1"/>
        <w:gridCol w:w="90"/>
        <w:gridCol w:w="90"/>
        <w:gridCol w:w="719"/>
        <w:gridCol w:w="90"/>
        <w:gridCol w:w="90"/>
        <w:gridCol w:w="260"/>
        <w:gridCol w:w="630"/>
        <w:gridCol w:w="90"/>
        <w:gridCol w:w="90"/>
        <w:gridCol w:w="460"/>
        <w:gridCol w:w="340"/>
        <w:gridCol w:w="90"/>
        <w:gridCol w:w="90"/>
        <w:gridCol w:w="170"/>
        <w:gridCol w:w="839"/>
        <w:gridCol w:w="90"/>
        <w:gridCol w:w="90"/>
        <w:gridCol w:w="305"/>
        <w:gridCol w:w="1275"/>
        <w:gridCol w:w="90"/>
        <w:gridCol w:w="90"/>
        <w:gridCol w:w="170"/>
        <w:gridCol w:w="839"/>
        <w:gridCol w:w="137"/>
      </w:tblGrid>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8" w:type="dxa"/>
            <w:gridSpan w:val="15"/>
            <w:tcBorders>
              <w:bottom w:val="single" w:sz="2" w:space="0" w:color="000000"/>
            </w:tcBorders>
            <w:tcMar>
              <w:bottom w:w="28" w:type="dxa"/>
            </w:tcMar>
            <w:vAlign w:val="center"/>
          </w:tcPr>
          <w:p>
            <w:pPr>
              <w:pStyle w:val="TableContents"/>
              <w:bidi w:val="0"/>
              <w:spacing w:before="0" w:after="283"/>
              <w:jc w:val="center"/>
              <w:rPr>
                <w:b/>
              </w:rPr>
            </w:pPr>
            <w:r>
              <w:rPr>
                <w:b/>
              </w:rPr>
              <w:t>REX Shareholders</w:t>
            </w:r>
          </w:p>
        </w:tc>
        <w:tc>
          <w:tcPr>
            <w:tcW w:w="9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9" w:type="dxa"/>
            <w:gridSpan w:val="6"/>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9" w:type="dxa"/>
            <w:gridSpan w:val="6"/>
            <w:tcBorders>
              <w:bottom w:val="single" w:sz="2" w:space="0" w:color="000000"/>
            </w:tcBorders>
            <w:tcMar>
              <w:bottom w:w="28" w:type="dxa"/>
            </w:tcMar>
            <w:vAlign w:val="center"/>
          </w:tcPr>
          <w:p>
            <w:pPr>
              <w:pStyle w:val="TableContents"/>
              <w:bidi w:val="0"/>
              <w:spacing w:before="0" w:after="283"/>
              <w:jc w:val="center"/>
              <w:rPr>
                <w:b/>
              </w:rPr>
            </w:pPr>
            <w:r>
              <w:rPr>
                <w:b/>
              </w:rPr>
              <w:t>Common Stock</w:t>
              <w:br/>
              <w:t>Issued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Retained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Noncontrolling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Total</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9" w:type="dxa"/>
            <w:gridSpan w:val="2"/>
            <w:tcBorders>
              <w:bottom w:val="single" w:sz="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283"/>
              <w:jc w:val="center"/>
              <w:rPr>
                <w:b/>
              </w:rPr>
            </w:pPr>
            <w:r>
              <w:rPr>
                <w:b/>
              </w:rPr>
              <w:t>Earnings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283"/>
              <w:jc w:val="center"/>
              <w:rPr>
                <w:b/>
              </w:rPr>
            </w:pPr>
            <w:r>
              <w:rPr>
                <w:b/>
              </w:rPr>
              <w:t>Equity</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2981" w:type="dxa"/>
            <w:tcBorders/>
            <w:shd w:fill="E5FFFF" w:val="clear"/>
            <w:vAlign w:val="center"/>
          </w:tcPr>
          <w:p>
            <w:pPr>
              <w:pStyle w:val="TableContents"/>
              <w:bidi w:val="0"/>
              <w:spacing w:before="0" w:after="283"/>
              <w:jc w:val="left"/>
              <w:rPr/>
            </w:pPr>
            <w:r>
              <w:rPr/>
              <w:t>Balance at January 31, 2025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719" w:type="dxa"/>
            <w:tcBorders/>
            <w:shd w:fill="E5FFFF" w:val="clear"/>
            <w:vAlign w:val="center"/>
          </w:tcPr>
          <w:p>
            <w:pPr>
              <w:pStyle w:val="TableContents"/>
              <w:bidi w:val="0"/>
              <w:spacing w:before="0" w:after="283"/>
              <w:jc w:val="right"/>
              <w:rPr/>
            </w:pPr>
            <w:r>
              <w:rPr/>
              <w:t>34,389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shd w:fill="E5FFFF" w:val="clear"/>
            <w:vAlign w:val="center"/>
          </w:tcPr>
          <w:p>
            <w:pPr>
              <w:pStyle w:val="TableContents"/>
              <w:bidi w:val="0"/>
              <w:spacing w:before="0" w:after="283"/>
              <w:jc w:val="left"/>
              <w:rPr/>
            </w:pPr>
            <w:r>
              <w:rPr/>
              <w:t>$</w:t>
            </w:r>
          </w:p>
        </w:tc>
        <w:tc>
          <w:tcPr>
            <w:tcW w:w="630" w:type="dxa"/>
            <w:tcBorders/>
            <w:shd w:fill="E5FFFF" w:val="clear"/>
            <w:vAlign w:val="center"/>
          </w:tcPr>
          <w:p>
            <w:pPr>
              <w:pStyle w:val="TableContents"/>
              <w:bidi w:val="0"/>
              <w:spacing w:before="0" w:after="283"/>
              <w:jc w:val="right"/>
              <w:rPr/>
            </w:pPr>
            <w:r>
              <w:rPr/>
              <w:t>344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60" w:type="dxa"/>
            <w:tcBorders/>
            <w:shd w:fill="E5FFFF" w:val="clear"/>
            <w:vAlign w:val="center"/>
          </w:tcPr>
          <w:p>
            <w:pPr>
              <w:pStyle w:val="TableContents"/>
              <w:bidi w:val="0"/>
              <w:spacing w:before="0" w:after="283"/>
              <w:jc w:val="left"/>
              <w:rPr/>
            </w:pPr>
            <w:r>
              <w:rPr/>
              <w:t>$</w:t>
            </w:r>
          </w:p>
        </w:tc>
        <w:tc>
          <w:tcPr>
            <w:tcW w:w="340"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9" w:type="dxa"/>
            <w:tcBorders/>
            <w:shd w:fill="E5FFFF" w:val="clear"/>
            <w:vAlign w:val="center"/>
          </w:tcPr>
          <w:p>
            <w:pPr>
              <w:pStyle w:val="TableContents"/>
              <w:bidi w:val="0"/>
              <w:spacing w:before="0" w:after="283"/>
              <w:jc w:val="right"/>
              <w:rPr/>
            </w:pPr>
            <w:r>
              <w:rPr/>
              <w:t>559,993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shd w:fill="E5FFFF" w:val="clear"/>
            <w:vAlign w:val="center"/>
          </w:tcPr>
          <w:p>
            <w:pPr>
              <w:pStyle w:val="TableContents"/>
              <w:bidi w:val="0"/>
              <w:spacing w:before="0" w:after="283"/>
              <w:jc w:val="left"/>
              <w:rPr/>
            </w:pPr>
            <w:r>
              <w:rPr/>
              <w:t>$</w:t>
            </w:r>
          </w:p>
        </w:tc>
        <w:tc>
          <w:tcPr>
            <w:tcW w:w="1275" w:type="dxa"/>
            <w:tcBorders/>
            <w:shd w:fill="E5FFFF" w:val="clear"/>
            <w:vAlign w:val="center"/>
          </w:tcPr>
          <w:p>
            <w:pPr>
              <w:pStyle w:val="TableContents"/>
              <w:bidi w:val="0"/>
              <w:spacing w:before="0" w:after="283"/>
              <w:jc w:val="right"/>
              <w:rPr/>
            </w:pPr>
            <w:r>
              <w:rPr/>
              <w:t>83,265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9" w:type="dxa"/>
            <w:tcBorders/>
            <w:shd w:fill="E5FFFF" w:val="clear"/>
            <w:vAlign w:val="center"/>
          </w:tcPr>
          <w:p>
            <w:pPr>
              <w:pStyle w:val="TableContents"/>
              <w:bidi w:val="0"/>
              <w:spacing w:before="0" w:after="283"/>
              <w:jc w:val="right"/>
              <w:rPr/>
            </w:pPr>
            <w:r>
              <w:rPr/>
              <w:t>643,602</w:t>
            </w:r>
          </w:p>
        </w:tc>
        <w:tc>
          <w:tcPr>
            <w:tcW w:w="137" w:type="dxa"/>
            <w:tcBorders/>
            <w:shd w:fill="E5FFFF" w:val="clear"/>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8,678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1,994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10,672</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shd w:fill="E5FFFF" w:val="clear"/>
            <w:vAlign w:val="center"/>
          </w:tcPr>
          <w:p>
            <w:pPr>
              <w:pStyle w:val="TableContents"/>
              <w:bidi w:val="0"/>
              <w:spacing w:before="0" w:after="283"/>
              <w:jc w:val="left"/>
              <w:rPr/>
            </w:pPr>
            <w:r>
              <w:rPr/>
              <w:t>Stock repurchases</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719" w:type="dxa"/>
            <w:tcBorders/>
            <w:shd w:fill="E5FFFF" w:val="clear"/>
            <w:vAlign w:val="center"/>
          </w:tcPr>
          <w:p>
            <w:pPr>
              <w:pStyle w:val="TableContents"/>
              <w:bidi w:val="0"/>
              <w:spacing w:before="0" w:after="283"/>
              <w:jc w:val="right"/>
              <w:rPr/>
            </w:pPr>
            <w:r>
              <w:rPr/>
              <w:t>(1,645)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shd w:fill="E5FFFF" w:val="clear"/>
            <w:vAlign w:val="center"/>
          </w:tcPr>
          <w:p>
            <w:pPr>
              <w:pStyle w:val="TableContents"/>
              <w:bidi w:val="0"/>
              <w:spacing w:before="0" w:after="283"/>
              <w:jc w:val="left"/>
              <w:rPr/>
            </w:pPr>
            <w:r>
              <w:rPr/>
              <w:t> </w:t>
            </w:r>
          </w:p>
        </w:tc>
        <w:tc>
          <w:tcPr>
            <w:tcW w:w="630" w:type="dxa"/>
            <w:tcBorders/>
            <w:shd w:fill="E5FFFF" w:val="clear"/>
            <w:vAlign w:val="center"/>
          </w:tcPr>
          <w:p>
            <w:pPr>
              <w:pStyle w:val="TableContents"/>
              <w:bidi w:val="0"/>
              <w:spacing w:before="0" w:after="283"/>
              <w:jc w:val="right"/>
              <w:rPr/>
            </w:pPr>
            <w:r>
              <w:rPr/>
              <w:t>(16)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60" w:type="dxa"/>
            <w:tcBorders/>
            <w:shd w:fill="E5FFFF" w:val="clear"/>
            <w:vAlign w:val="center"/>
          </w:tcPr>
          <w:p>
            <w:pPr>
              <w:pStyle w:val="TableContents"/>
              <w:bidi w:val="0"/>
              <w:spacing w:before="0" w:after="283"/>
              <w:jc w:val="left"/>
              <w:rPr/>
            </w:pPr>
            <w:r>
              <w:rPr/>
              <w:t> </w:t>
            </w:r>
          </w:p>
        </w:tc>
        <w:tc>
          <w:tcPr>
            <w:tcW w:w="34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9" w:type="dxa"/>
            <w:tcBorders/>
            <w:shd w:fill="E5FFFF" w:val="clear"/>
            <w:vAlign w:val="center"/>
          </w:tcPr>
          <w:p>
            <w:pPr>
              <w:pStyle w:val="TableContents"/>
              <w:bidi w:val="0"/>
              <w:spacing w:before="0" w:after="283"/>
              <w:jc w:val="right"/>
              <w:rPr/>
            </w:pPr>
            <w:r>
              <w:rPr/>
              <w:t>(32,711)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shd w:fill="E5FFFF" w:val="clear"/>
            <w:vAlign w:val="center"/>
          </w:tcPr>
          <w:p>
            <w:pPr>
              <w:pStyle w:val="TableContents"/>
              <w:bidi w:val="0"/>
              <w:spacing w:before="0" w:after="283"/>
              <w:jc w:val="left"/>
              <w:rPr/>
            </w:pPr>
            <w:r>
              <w:rPr/>
              <w:t> </w:t>
            </w:r>
          </w:p>
        </w:tc>
        <w:tc>
          <w:tcPr>
            <w:tcW w:w="1275"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9" w:type="dxa"/>
            <w:tcBorders/>
            <w:shd w:fill="E5FFFF" w:val="clear"/>
            <w:vAlign w:val="center"/>
          </w:tcPr>
          <w:p>
            <w:pPr>
              <w:pStyle w:val="TableContents"/>
              <w:bidi w:val="0"/>
              <w:spacing w:before="0" w:after="283"/>
              <w:jc w:val="right"/>
              <w:rPr/>
            </w:pPr>
            <w:r>
              <w:rPr/>
              <w:t>(32,727)</w:t>
            </w:r>
          </w:p>
        </w:tc>
        <w:tc>
          <w:tcPr>
            <w:tcW w:w="137" w:type="dxa"/>
            <w:tcBorders/>
            <w:shd w:fill="E5FFFF" w:val="clear"/>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Noncontrolling interests distributions and 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(2,005)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(2,005)</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shd w:fill="E5FFFF" w:val="clear"/>
            <w:vAlign w:val="center"/>
          </w:tcPr>
          <w:p>
            <w:pPr>
              <w:pStyle w:val="TableContents"/>
              <w:bidi w:val="0"/>
              <w:spacing w:before="0" w:after="283"/>
              <w:jc w:val="left"/>
              <w:rPr/>
            </w:pPr>
            <w:r>
              <w:rPr/>
              <w:t>Issuance of equity awards and stock-based compensation expense</w:t>
            </w:r>
          </w:p>
        </w:tc>
        <w:tc>
          <w:tcPr>
            <w:tcW w:w="90" w:type="dxa"/>
            <w:tcBorders/>
            <w:shd w:fill="E5FFFF" w:val="clear"/>
            <w:vAlign w:val="center"/>
          </w:tcPr>
          <w:p>
            <w:pPr>
              <w:pStyle w:val="TableContents"/>
              <w:bidi w:val="0"/>
              <w:spacing w:before="0" w:after="283"/>
              <w:jc w:val="left"/>
              <w:rPr/>
            </w:pPr>
            <w:r>
              <w:rPr/>
              <w:t> </w:t>
            </w:r>
          </w:p>
        </w:tc>
        <w:tc>
          <w:tcPr>
            <w:tcW w:w="9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19" w:type="dxa"/>
            <w:tcBorders>
              <w:bottom w:val="single" w:sz="2" w:space="0" w:color="000000"/>
            </w:tcBorders>
            <w:shd w:fill="E5FFFF" w:val="clear"/>
            <w:tcMar>
              <w:bottom w:w="28" w:type="dxa"/>
            </w:tcMar>
            <w:vAlign w:val="center"/>
          </w:tcPr>
          <w:p>
            <w:pPr>
              <w:pStyle w:val="TableContents"/>
              <w:bidi w:val="0"/>
              <w:spacing w:before="0" w:after="283"/>
              <w:jc w:val="right"/>
              <w:rPr/>
            </w:pPr>
            <w:r>
              <w:rPr/>
              <w:t>200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630" w:type="dxa"/>
            <w:tcBorders>
              <w:bottom w:val="single" w:sz="2" w:space="0" w:color="000000"/>
            </w:tcBorders>
            <w:shd w:fill="E5FFFF" w:val="clear"/>
            <w:tcMar>
              <w:bottom w:w="28" w:type="dxa"/>
            </w:tcMar>
            <w:vAlign w:val="center"/>
          </w:tcPr>
          <w:p>
            <w:pPr>
              <w:pStyle w:val="TableContents"/>
              <w:bidi w:val="0"/>
              <w:spacing w:before="0" w:after="283"/>
              <w:jc w:val="right"/>
              <w:rPr/>
            </w:pPr>
            <w:r>
              <w:rPr/>
              <w:t>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6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340"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9" w:type="dxa"/>
            <w:tcBorders>
              <w:bottom w:val="single" w:sz="2" w:space="0" w:color="000000"/>
            </w:tcBorders>
            <w:shd w:fill="E5FFFF" w:val="clear"/>
            <w:tcMar>
              <w:bottom w:w="28" w:type="dxa"/>
            </w:tcMar>
            <w:vAlign w:val="center"/>
          </w:tcPr>
          <w:p>
            <w:pPr>
              <w:pStyle w:val="TableContents"/>
              <w:bidi w:val="0"/>
              <w:spacing w:before="0" w:after="283"/>
              <w:jc w:val="right"/>
              <w:rPr/>
            </w:pPr>
            <w:r>
              <w:rPr/>
              <w:t>93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275"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9" w:type="dxa"/>
            <w:tcBorders>
              <w:bottom w:val="single" w:sz="2" w:space="0" w:color="000000"/>
            </w:tcBorders>
            <w:shd w:fill="E5FFFF" w:val="clear"/>
            <w:tcMar>
              <w:bottom w:w="28" w:type="dxa"/>
            </w:tcMar>
            <w:vAlign w:val="center"/>
          </w:tcPr>
          <w:p>
            <w:pPr>
              <w:pStyle w:val="TableContents"/>
              <w:bidi w:val="0"/>
              <w:spacing w:before="0" w:after="283"/>
              <w:jc w:val="right"/>
              <w:rPr/>
            </w:pPr>
            <w:r>
              <w:rPr/>
              <w:t>94</w:t>
            </w:r>
          </w:p>
        </w:tc>
        <w:tc>
          <w:tcPr>
            <w:tcW w:w="137" w:type="dxa"/>
            <w:tcBorders/>
            <w:shd w:fill="E5FFFF" w:val="clear"/>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Balance at April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32,944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329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536,053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83,254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619,636</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shd w:fill="E5FFFF" w:val="clear"/>
            <w:vAlign w:val="center"/>
          </w:tcPr>
          <w:p>
            <w:pPr>
              <w:pStyle w:val="TableContents"/>
              <w:bidi w:val="0"/>
              <w:spacing w:before="0" w:after="283"/>
              <w:jc w:val="left"/>
              <w:rPr/>
            </w:pPr>
            <w:r>
              <w:rPr/>
              <w:t>Net income</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719"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shd w:fill="E5FFFF" w:val="clear"/>
            <w:vAlign w:val="center"/>
          </w:tcPr>
          <w:p>
            <w:pPr>
              <w:pStyle w:val="TableContents"/>
              <w:bidi w:val="0"/>
              <w:spacing w:before="0" w:after="283"/>
              <w:jc w:val="left"/>
              <w:rPr/>
            </w:pPr>
            <w:r>
              <w:rPr/>
              <w:t> </w:t>
            </w:r>
          </w:p>
        </w:tc>
        <w:tc>
          <w:tcPr>
            <w:tcW w:w="6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60" w:type="dxa"/>
            <w:tcBorders/>
            <w:shd w:fill="E5FFFF" w:val="clear"/>
            <w:vAlign w:val="center"/>
          </w:tcPr>
          <w:p>
            <w:pPr>
              <w:pStyle w:val="TableContents"/>
              <w:bidi w:val="0"/>
              <w:spacing w:before="0" w:after="283"/>
              <w:jc w:val="left"/>
              <w:rPr/>
            </w:pPr>
            <w:r>
              <w:rPr/>
              <w:t> </w:t>
            </w:r>
          </w:p>
        </w:tc>
        <w:tc>
          <w:tcPr>
            <w:tcW w:w="34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9" w:type="dxa"/>
            <w:tcBorders/>
            <w:shd w:fill="E5FFFF" w:val="clear"/>
            <w:vAlign w:val="center"/>
          </w:tcPr>
          <w:p>
            <w:pPr>
              <w:pStyle w:val="TableContents"/>
              <w:bidi w:val="0"/>
              <w:spacing w:before="0" w:after="283"/>
              <w:jc w:val="right"/>
              <w:rPr/>
            </w:pPr>
            <w:r>
              <w:rPr/>
              <w:t>7,111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shd w:fill="E5FFFF" w:val="clear"/>
            <w:vAlign w:val="center"/>
          </w:tcPr>
          <w:p>
            <w:pPr>
              <w:pStyle w:val="TableContents"/>
              <w:bidi w:val="0"/>
              <w:spacing w:before="0" w:after="283"/>
              <w:jc w:val="left"/>
              <w:rPr/>
            </w:pPr>
            <w:r>
              <w:rPr/>
              <w:t> </w:t>
            </w:r>
          </w:p>
        </w:tc>
        <w:tc>
          <w:tcPr>
            <w:tcW w:w="1275" w:type="dxa"/>
            <w:tcBorders/>
            <w:shd w:fill="E5FFFF" w:val="clear"/>
            <w:vAlign w:val="center"/>
          </w:tcPr>
          <w:p>
            <w:pPr>
              <w:pStyle w:val="TableContents"/>
              <w:bidi w:val="0"/>
              <w:spacing w:before="0" w:after="283"/>
              <w:jc w:val="right"/>
              <w:rPr/>
            </w:pPr>
            <w:r>
              <w:rPr/>
              <w:t>2,217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9" w:type="dxa"/>
            <w:tcBorders/>
            <w:shd w:fill="E5FFFF" w:val="clear"/>
            <w:vAlign w:val="center"/>
          </w:tcPr>
          <w:p>
            <w:pPr>
              <w:pStyle w:val="TableContents"/>
              <w:bidi w:val="0"/>
              <w:spacing w:before="0" w:after="283"/>
              <w:jc w:val="right"/>
              <w:rPr/>
            </w:pPr>
            <w:r>
              <w:rPr/>
              <w:t>9,328</w:t>
            </w:r>
          </w:p>
        </w:tc>
        <w:tc>
          <w:tcPr>
            <w:tcW w:w="137" w:type="dxa"/>
            <w:tcBorders/>
            <w:shd w:fill="E5FFFF" w:val="clear"/>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Stock repurchases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(132)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(132)</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shd w:fill="E5FFFF" w:val="clear"/>
            <w:vAlign w:val="center"/>
          </w:tcPr>
          <w:p>
            <w:pPr>
              <w:pStyle w:val="TableContents"/>
              <w:bidi w:val="0"/>
              <w:spacing w:before="0" w:after="283"/>
              <w:jc w:val="left"/>
              <w:rPr/>
            </w:pPr>
            <w:r>
              <w:rPr/>
              <w:t>Noncontrolling interests distributions and other</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719"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shd w:fill="E5FFFF" w:val="clear"/>
            <w:vAlign w:val="center"/>
          </w:tcPr>
          <w:p>
            <w:pPr>
              <w:pStyle w:val="TableContents"/>
              <w:bidi w:val="0"/>
              <w:spacing w:before="0" w:after="283"/>
              <w:jc w:val="left"/>
              <w:rPr/>
            </w:pPr>
            <w:r>
              <w:rPr/>
              <w:t> </w:t>
            </w:r>
          </w:p>
        </w:tc>
        <w:tc>
          <w:tcPr>
            <w:tcW w:w="63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60" w:type="dxa"/>
            <w:tcBorders/>
            <w:shd w:fill="E5FFFF" w:val="clear"/>
            <w:vAlign w:val="center"/>
          </w:tcPr>
          <w:p>
            <w:pPr>
              <w:pStyle w:val="TableContents"/>
              <w:bidi w:val="0"/>
              <w:spacing w:before="0" w:after="283"/>
              <w:jc w:val="left"/>
              <w:rPr/>
            </w:pPr>
            <w:r>
              <w:rPr/>
              <w:t> </w:t>
            </w:r>
          </w:p>
        </w:tc>
        <w:tc>
          <w:tcPr>
            <w:tcW w:w="340"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9"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shd w:fill="E5FFFF" w:val="clear"/>
            <w:vAlign w:val="center"/>
          </w:tcPr>
          <w:p>
            <w:pPr>
              <w:pStyle w:val="TableContents"/>
              <w:bidi w:val="0"/>
              <w:spacing w:before="0" w:after="283"/>
              <w:jc w:val="left"/>
              <w:rPr/>
            </w:pPr>
            <w:r>
              <w:rPr/>
              <w:t> </w:t>
            </w:r>
          </w:p>
        </w:tc>
        <w:tc>
          <w:tcPr>
            <w:tcW w:w="1275" w:type="dxa"/>
            <w:tcBorders/>
            <w:shd w:fill="E5FFFF" w:val="clear"/>
            <w:vAlign w:val="center"/>
          </w:tcPr>
          <w:p>
            <w:pPr>
              <w:pStyle w:val="TableContents"/>
              <w:bidi w:val="0"/>
              <w:spacing w:before="0" w:after="283"/>
              <w:jc w:val="right"/>
              <w:rPr/>
            </w:pPr>
            <w:r>
              <w:rPr/>
              <w:t>(247)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9" w:type="dxa"/>
            <w:tcBorders/>
            <w:shd w:fill="E5FFFF" w:val="clear"/>
            <w:vAlign w:val="center"/>
          </w:tcPr>
          <w:p>
            <w:pPr>
              <w:pStyle w:val="TableContents"/>
              <w:bidi w:val="0"/>
              <w:spacing w:before="0" w:after="283"/>
              <w:jc w:val="right"/>
              <w:rPr/>
            </w:pPr>
            <w:r>
              <w:rPr/>
              <w:t>(247)</w:t>
            </w:r>
          </w:p>
        </w:tc>
        <w:tc>
          <w:tcPr>
            <w:tcW w:w="137" w:type="dxa"/>
            <w:tcBorders/>
            <w:shd w:fill="E5FFFF" w:val="clear"/>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Issuance of equity awards and 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719" w:type="dxa"/>
            <w:tcBorders>
              <w:bottom w:val="single" w:sz="2" w:space="0" w:color="000000"/>
            </w:tcBorders>
            <w:tcMar>
              <w:bottom w:w="28" w:type="dxa"/>
            </w:tcMar>
            <w:vAlign w:val="center"/>
          </w:tcPr>
          <w:p>
            <w:pPr>
              <w:pStyle w:val="TableContents"/>
              <w:bidi w:val="0"/>
              <w:spacing w:before="0" w:after="283"/>
              <w:jc w:val="right"/>
              <w:rPr/>
            </w:pPr>
            <w:r>
              <w:rPr/>
              <w:t>120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single" w:sz="2" w:space="0" w:color="000000"/>
            </w:tcBorders>
            <w:tcMar>
              <w:bottom w:w="28" w:type="dxa"/>
            </w:tcMar>
            <w:vAlign w:val="center"/>
          </w:tcPr>
          <w:p>
            <w:pPr>
              <w:pStyle w:val="TableContents"/>
              <w:bidi w:val="0"/>
              <w:spacing w:before="0" w:after="283"/>
              <w:jc w:val="left"/>
              <w:rPr/>
            </w:pPr>
            <w:r>
              <w:rPr/>
              <w:t> </w:t>
            </w:r>
          </w:p>
        </w:tc>
        <w:tc>
          <w:tcPr>
            <w:tcW w:w="630" w:type="dxa"/>
            <w:tcBorders>
              <w:bottom w:val="single" w:sz="2" w:space="0" w:color="000000"/>
            </w:tcBorders>
            <w:tcMar>
              <w:bottom w:w="28" w:type="dxa"/>
            </w:tcMar>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9" w:type="dxa"/>
            <w:tcBorders>
              <w:bottom w:val="single" w:sz="2" w:space="0" w:color="000000"/>
            </w:tcBorders>
            <w:tcMar>
              <w:bottom w:w="28" w:type="dxa"/>
            </w:tcMar>
            <w:vAlign w:val="center"/>
          </w:tcPr>
          <w:p>
            <w:pPr>
              <w:pStyle w:val="TableContents"/>
              <w:bidi w:val="0"/>
              <w:spacing w:before="0" w:after="283"/>
              <w:jc w:val="right"/>
              <w:rPr/>
            </w:pPr>
            <w:r>
              <w:rPr/>
              <w:t>2,403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bottom w:val="single" w:sz="2" w:space="0" w:color="000000"/>
            </w:tcBorders>
            <w:tcMar>
              <w:bottom w:w="28" w:type="dxa"/>
            </w:tcMar>
            <w:vAlign w:val="center"/>
          </w:tcPr>
          <w:p>
            <w:pPr>
              <w:pStyle w:val="TableContents"/>
              <w:bidi w:val="0"/>
              <w:spacing w:before="0" w:after="283"/>
              <w:jc w:val="left"/>
              <w:rPr/>
            </w:pPr>
            <w:r>
              <w:rPr/>
              <w:t> </w:t>
            </w:r>
          </w:p>
        </w:tc>
        <w:tc>
          <w:tcPr>
            <w:tcW w:w="127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9" w:type="dxa"/>
            <w:tcBorders>
              <w:bottom w:val="single" w:sz="2" w:space="0" w:color="000000"/>
            </w:tcBorders>
            <w:tcMar>
              <w:bottom w:w="28" w:type="dxa"/>
            </w:tcMar>
            <w:vAlign w:val="center"/>
          </w:tcPr>
          <w:p>
            <w:pPr>
              <w:pStyle w:val="TableContents"/>
              <w:bidi w:val="0"/>
              <w:spacing w:before="0" w:after="283"/>
              <w:jc w:val="right"/>
              <w:rPr/>
            </w:pPr>
            <w:r>
              <w:rPr/>
              <w:t>2,405</w:t>
            </w:r>
          </w:p>
        </w:tc>
        <w:tc>
          <w:tcPr>
            <w:tcW w:w="13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981" w:type="dxa"/>
            <w:tcBorders/>
            <w:shd w:fill="E5FFFF" w:val="clear"/>
            <w:vAlign w:val="center"/>
          </w:tcPr>
          <w:p>
            <w:pPr>
              <w:pStyle w:val="TableContents"/>
              <w:bidi w:val="0"/>
              <w:spacing w:before="0" w:after="283"/>
              <w:jc w:val="left"/>
              <w:rPr/>
            </w:pPr>
            <w:r>
              <w:rPr/>
              <w:t>Balance at July 31, 2025</w:t>
            </w:r>
          </w:p>
        </w:tc>
        <w:tc>
          <w:tcPr>
            <w:tcW w:w="90" w:type="dxa"/>
            <w:tcBorders/>
            <w:shd w:fill="E5FFFF" w:val="clear"/>
            <w:vAlign w:val="center"/>
          </w:tcPr>
          <w:p>
            <w:pPr>
              <w:pStyle w:val="TableContents"/>
              <w:bidi w:val="0"/>
              <w:spacing w:before="0" w:after="283"/>
              <w:jc w:val="left"/>
              <w:rPr/>
            </w:pPr>
            <w:r>
              <w:rPr/>
              <w:t> </w:t>
            </w:r>
          </w:p>
        </w:tc>
        <w:tc>
          <w:tcPr>
            <w:tcW w:w="9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719" w:type="dxa"/>
            <w:tcBorders>
              <w:bottom w:val="double" w:sz="6" w:space="0" w:color="000000"/>
            </w:tcBorders>
            <w:shd w:fill="E5FFFF" w:val="clear"/>
            <w:tcMar>
              <w:bottom w:w="28" w:type="dxa"/>
            </w:tcMar>
            <w:vAlign w:val="center"/>
          </w:tcPr>
          <w:p>
            <w:pPr>
              <w:pStyle w:val="TableContents"/>
              <w:bidi w:val="0"/>
              <w:spacing w:before="0" w:after="283"/>
              <w:jc w:val="right"/>
              <w:rPr/>
            </w:pPr>
            <w:r>
              <w:rPr/>
              <w:t>33,058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6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630" w:type="dxa"/>
            <w:tcBorders>
              <w:bottom w:val="double" w:sz="6" w:space="0" w:color="000000"/>
            </w:tcBorders>
            <w:shd w:fill="E5FFFF" w:val="clear"/>
            <w:tcMar>
              <w:bottom w:w="28" w:type="dxa"/>
            </w:tcMar>
            <w:vAlign w:val="center"/>
          </w:tcPr>
          <w:p>
            <w:pPr>
              <w:pStyle w:val="TableContents"/>
              <w:bidi w:val="0"/>
              <w:spacing w:before="0" w:after="283"/>
              <w:jc w:val="right"/>
              <w:rPr/>
            </w:pPr>
            <w:r>
              <w:rPr/>
              <w:t>331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6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340"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E5FFFF" w:val="clear"/>
            <w:tcMar>
              <w:bottom w:w="28" w:type="dxa"/>
            </w:tcMar>
            <w:vAlign w:val="center"/>
          </w:tcPr>
          <w:p>
            <w:pPr>
              <w:pStyle w:val="TableContents"/>
              <w:bidi w:val="0"/>
              <w:spacing w:before="0" w:after="283"/>
              <w:jc w:val="right"/>
              <w:rPr/>
            </w:pPr>
            <w:r>
              <w:rPr/>
              <w:t>545,435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05"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275" w:type="dxa"/>
            <w:tcBorders>
              <w:bottom w:val="double" w:sz="6" w:space="0" w:color="000000"/>
            </w:tcBorders>
            <w:shd w:fill="E5FFFF" w:val="clear"/>
            <w:tcMar>
              <w:bottom w:w="28" w:type="dxa"/>
            </w:tcMar>
            <w:vAlign w:val="center"/>
          </w:tcPr>
          <w:p>
            <w:pPr>
              <w:pStyle w:val="TableContents"/>
              <w:bidi w:val="0"/>
              <w:spacing w:before="0" w:after="283"/>
              <w:jc w:val="right"/>
              <w:rPr/>
            </w:pPr>
            <w:r>
              <w:rPr/>
              <w:t>85,224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E5FFFF" w:val="clear"/>
            <w:tcMar>
              <w:bottom w:w="28" w:type="dxa"/>
            </w:tcMar>
            <w:vAlign w:val="center"/>
          </w:tcPr>
          <w:p>
            <w:pPr>
              <w:pStyle w:val="TableContents"/>
              <w:bidi w:val="0"/>
              <w:spacing w:before="0" w:after="283"/>
              <w:jc w:val="right"/>
              <w:rPr/>
            </w:pPr>
            <w:r>
              <w:rPr/>
              <w:t>630,990</w:t>
            </w:r>
          </w:p>
        </w:tc>
        <w:tc>
          <w:tcPr>
            <w:tcW w:w="137"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consolidated financial statements.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8 </w:t>
      </w:r>
    </w:p>
    <w:p>
      <w:pPr>
        <w:pStyle w:val="TextBody"/>
        <w:bidi w:val="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REX AMERICAN RESOURCES CORPORATION AND SUBSIDIARIES</w:t>
      </w:r>
    </w:p>
    <w:p>
      <w:pPr>
        <w:pStyle w:val="TextBody"/>
        <w:bidi w:val="0"/>
        <w:jc w:val="left"/>
        <w:rPr>
          <w:rFonts w:ascii="Times New Roman;Times;Serif" w:hAnsi="Times New Roman;Times;Serif"/>
          <w:b/>
          <w:i w:val="false"/>
          <w:caps w:val="false"/>
          <w:smallCaps w:val="false"/>
          <w:sz w:val="16"/>
        </w:rPr>
      </w:pPr>
      <w:bookmarkStart w:id="7" w:name="x1_c117568a006"/>
      <w:bookmarkEnd w:id="7"/>
      <w:r>
        <w:rPr>
          <w:rFonts w:ascii="Times New Roman;Times;Serif" w:hAnsi="Times New Roman;Times;Serif"/>
          <w:b/>
          <w:i w:val="false"/>
          <w:caps w:val="false"/>
          <w:smallCaps w:val="false"/>
          <w:sz w:val="16"/>
        </w:rPr>
        <w:t>Consolidated Statements of Cash Flows</w:t>
      </w:r>
    </w:p>
    <w:p>
      <w:pPr>
        <w:pStyle w:val="TextBody"/>
        <w:bidi w:val="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Unaudited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1"/>
        <w:gridCol w:w="90"/>
        <w:gridCol w:w="170"/>
        <w:gridCol w:w="971"/>
        <w:gridCol w:w="90"/>
        <w:gridCol w:w="90"/>
        <w:gridCol w:w="170"/>
        <w:gridCol w:w="856"/>
        <w:gridCol w:w="137"/>
      </w:tblGrid>
      <w:tr>
        <w:trPr/>
        <w:tc>
          <w:tcPr>
            <w:tcW w:w="76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47" w:type="dxa"/>
            <w:gridSpan w:val="6"/>
            <w:tcBorders/>
            <w:vAlign w:val="center"/>
          </w:tcPr>
          <w:p>
            <w:pPr>
              <w:pStyle w:val="TableContents"/>
              <w:bidi w:val="0"/>
              <w:spacing w:before="0" w:after="283"/>
              <w:jc w:val="center"/>
              <w:rPr>
                <w:b/>
              </w:rPr>
            </w:pPr>
            <w:r>
              <w:rPr>
                <w:b/>
              </w:rPr>
              <w:t>Six Months Ended</w:t>
              <w:br/>
              <w:t>July 31,</w:t>
            </w:r>
          </w:p>
        </w:tc>
        <w:tc>
          <w:tcPr>
            <w:tcW w:w="137" w:type="dxa"/>
            <w:tcBorders/>
            <w:vAlign w:val="center"/>
          </w:tcPr>
          <w:p>
            <w:pPr>
              <w:pStyle w:val="TableContents"/>
              <w:bidi w:val="0"/>
              <w:spacing w:before="0" w:after="283"/>
              <w:ind w:left="0" w:right="0" w:hanging="200"/>
              <w:jc w:val="center"/>
              <w:rPr/>
            </w:pPr>
            <w:r>
              <w:rPr/>
              <w:t> </w:t>
            </w:r>
          </w:p>
        </w:tc>
      </w:tr>
      <w:tr>
        <w:trPr/>
        <w:tc>
          <w:tcPr>
            <w:tcW w:w="76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7" w:type="dxa"/>
            <w:tcBorders/>
            <w:vAlign w:val="center"/>
          </w:tcPr>
          <w:p>
            <w:pPr>
              <w:pStyle w:val="TableContents"/>
              <w:bidi w:val="0"/>
              <w:spacing w:before="0" w:after="283"/>
              <w:ind w:left="0" w:right="0" w:hanging="200"/>
              <w:jc w:val="center"/>
              <w:rPr/>
            </w:pPr>
            <w:r>
              <w:rPr/>
              <w:t> </w:t>
            </w:r>
          </w:p>
        </w:tc>
      </w:tr>
      <w:tr>
        <w:trPr/>
        <w:tc>
          <w:tcPr>
            <w:tcW w:w="7631" w:type="dxa"/>
            <w:tcBorders/>
            <w:shd w:fill="E5FFFF" w:val="clear"/>
            <w:vAlign w:val="center"/>
          </w:tcPr>
          <w:p>
            <w:pPr>
              <w:pStyle w:val="TableContents"/>
              <w:bidi w:val="0"/>
              <w:spacing w:before="0" w:after="283"/>
              <w:jc w:val="left"/>
              <w:rPr/>
            </w:pPr>
            <w:r>
              <w:rPr/>
              <w:t>Cash flows from operating activities: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jc w:val="right"/>
              <w:rPr/>
            </w:pPr>
            <w:r>
              <w:rPr/>
              <w:t>62,324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20,000</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Adjustments to reconcile net income to net cash provided by operating activities: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Depreciation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8,902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7,101</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Noncash operating lease expense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3,499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3,197</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Amortization of finance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949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475</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Stock-based compensation expense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6,005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1,022</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Income from equity method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(10,761)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(1,897)</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Dividends received from equity method investments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2,005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2,506</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Interest income from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(4,338)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(2,999)</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Loss on disposal of property and equipment – net</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131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172</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7,362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4,293</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Changes in assets and liabilities: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(8,797)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(3,317)</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Inventory</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(558)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44</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Prepaid expenses and other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(27,269)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(583)</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Refundable income taxes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3,771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(2,022)</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Accounts payable – trade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(1,278)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(9,896)</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Long-term taxes payable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226</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Accrued expenses and other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71" w:type="dxa"/>
            <w:tcBorders>
              <w:bottom w:val="single" w:sz="2" w:space="0" w:color="000000"/>
            </w:tcBorders>
            <w:tcMar>
              <w:bottom w:w="28" w:type="dxa"/>
            </w:tcMar>
            <w:vAlign w:val="center"/>
          </w:tcPr>
          <w:p>
            <w:pPr>
              <w:pStyle w:val="TableContents"/>
              <w:bidi w:val="0"/>
              <w:spacing w:before="0" w:after="283"/>
              <w:jc w:val="right"/>
              <w:rPr/>
            </w:pPr>
            <w:r>
              <w:rPr/>
              <w:t>(3,924)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tcMar>
              <w:bottom w:w="28" w:type="dxa"/>
            </w:tcMar>
            <w:vAlign w:val="center"/>
          </w:tcPr>
          <w:p>
            <w:pPr>
              <w:pStyle w:val="TableContents"/>
              <w:bidi w:val="0"/>
              <w:spacing w:before="0" w:after="283"/>
              <w:jc w:val="right"/>
              <w:rPr/>
            </w:pPr>
            <w:r>
              <w:rPr/>
              <w:t>(5,514)</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Net cash provided by operating activities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71" w:type="dxa"/>
            <w:tcBorders>
              <w:bottom w:val="single" w:sz="2" w:space="0" w:color="000000"/>
            </w:tcBorders>
            <w:shd w:fill="E5FFFF" w:val="clear"/>
            <w:tcMar>
              <w:bottom w:w="28" w:type="dxa"/>
            </w:tcMar>
            <w:vAlign w:val="center"/>
          </w:tcPr>
          <w:p>
            <w:pPr>
              <w:pStyle w:val="TableContents"/>
              <w:bidi w:val="0"/>
              <w:spacing w:before="0" w:after="283"/>
              <w:jc w:val="right"/>
              <w:rPr/>
            </w:pPr>
            <w:r>
              <w:rPr/>
              <w:t>38,023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shd w:fill="E5FFFF" w:val="clear"/>
            <w:tcMar>
              <w:bottom w:w="28" w:type="dxa"/>
            </w:tcMar>
            <w:vAlign w:val="center"/>
          </w:tcPr>
          <w:p>
            <w:pPr>
              <w:pStyle w:val="TableContents"/>
              <w:bidi w:val="0"/>
              <w:spacing w:before="0" w:after="283"/>
              <w:jc w:val="right"/>
              <w:rPr/>
            </w:pPr>
            <w:r>
              <w:rPr/>
              <w:t>12,808</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Capital expenditures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(34,977)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(28,924)</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Purchases of short-term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(320,800)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(90,671)</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Maturities of short-term investments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224,000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187,000</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Proceeds from disposal of real estate and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299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Deposits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71" w:type="dxa"/>
            <w:tcBorders>
              <w:bottom w:val="single" w:sz="2" w:space="0" w:color="000000"/>
            </w:tcBorders>
            <w:shd w:fill="E5FFFF" w:val="clear"/>
            <w:tcMar>
              <w:bottom w:w="28" w:type="dxa"/>
            </w:tcMar>
            <w:vAlign w:val="center"/>
          </w:tcPr>
          <w:p>
            <w:pPr>
              <w:pStyle w:val="TableContents"/>
              <w:bidi w:val="0"/>
              <w:spacing w:before="0" w:after="283"/>
              <w:jc w:val="right"/>
              <w:rPr/>
            </w:pPr>
            <w:r>
              <w:rPr/>
              <w:t>(17)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shd w:fill="E5FFFF" w:val="clear"/>
            <w:tcMar>
              <w:bottom w:w="28" w:type="dxa"/>
            </w:tcMar>
            <w:vAlign w:val="center"/>
          </w:tcPr>
          <w:p>
            <w:pPr>
              <w:pStyle w:val="TableContents"/>
              <w:bidi w:val="0"/>
              <w:spacing w:before="0" w:after="283"/>
              <w:jc w:val="right"/>
              <w:rPr/>
            </w:pPr>
            <w:r>
              <w:rPr/>
              <w:t>128</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Net cash (used in) provided by investing activities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71" w:type="dxa"/>
            <w:tcBorders>
              <w:bottom w:val="single" w:sz="2" w:space="0" w:color="000000"/>
            </w:tcBorders>
            <w:tcMar>
              <w:bottom w:w="28" w:type="dxa"/>
            </w:tcMar>
            <w:vAlign w:val="center"/>
          </w:tcPr>
          <w:p>
            <w:pPr>
              <w:pStyle w:val="TableContents"/>
              <w:bidi w:val="0"/>
              <w:spacing w:before="0" w:after="283"/>
              <w:jc w:val="right"/>
              <w:rPr/>
            </w:pPr>
            <w:r>
              <w:rPr/>
              <w:t>(131,495)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tcMar>
              <w:bottom w:w="28" w:type="dxa"/>
            </w:tcMar>
            <w:vAlign w:val="center"/>
          </w:tcPr>
          <w:p>
            <w:pPr>
              <w:pStyle w:val="TableContents"/>
              <w:bidi w:val="0"/>
              <w:spacing w:before="0" w:after="283"/>
              <w:jc w:val="right"/>
              <w:rPr/>
            </w:pPr>
            <w:r>
              <w:rPr/>
              <w:t>67,533</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Cash flows from financing activities: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 </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 </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Treasury stock acquired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(1,581)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(33,382)</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Noncontrolling interests distributions and other</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71" w:type="dxa"/>
            <w:tcBorders/>
            <w:shd w:fill="E5FFFF" w:val="clear"/>
            <w:vAlign w:val="center"/>
          </w:tcPr>
          <w:p>
            <w:pPr>
              <w:pStyle w:val="TableContents"/>
              <w:bidi w:val="0"/>
              <w:spacing w:before="0" w:after="283"/>
              <w:jc w:val="right"/>
              <w:rPr/>
            </w:pPr>
            <w:r>
              <w:rPr/>
              <w:t>(2,228)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56" w:type="dxa"/>
            <w:tcBorders/>
            <w:shd w:fill="E5FFFF" w:val="clear"/>
            <w:vAlign w:val="center"/>
          </w:tcPr>
          <w:p>
            <w:pPr>
              <w:pStyle w:val="TableContents"/>
              <w:bidi w:val="0"/>
              <w:spacing w:before="0" w:after="283"/>
              <w:jc w:val="right"/>
              <w:rPr/>
            </w:pPr>
            <w:r>
              <w:rPr/>
              <w:t>(2,252)</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Principal paid on finance lease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71" w:type="dxa"/>
            <w:tcBorders>
              <w:bottom w:val="single" w:sz="2" w:space="0" w:color="000000"/>
            </w:tcBorders>
            <w:tcMar>
              <w:bottom w:w="28" w:type="dxa"/>
            </w:tcMar>
            <w:vAlign w:val="center"/>
          </w:tcPr>
          <w:p>
            <w:pPr>
              <w:pStyle w:val="TableContents"/>
              <w:bidi w:val="0"/>
              <w:spacing w:before="0" w:after="283"/>
              <w:jc w:val="right"/>
              <w:rPr/>
            </w:pPr>
            <w:r>
              <w:rPr/>
              <w:t>(125)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tcMar>
              <w:bottom w:w="28" w:type="dxa"/>
            </w:tcMar>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Net cash used in financing activities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71" w:type="dxa"/>
            <w:tcBorders>
              <w:bottom w:val="single" w:sz="2" w:space="0" w:color="000000"/>
            </w:tcBorders>
            <w:shd w:fill="E5FFFF" w:val="clear"/>
            <w:tcMar>
              <w:bottom w:w="28" w:type="dxa"/>
            </w:tcMar>
            <w:vAlign w:val="center"/>
          </w:tcPr>
          <w:p>
            <w:pPr>
              <w:pStyle w:val="TableContents"/>
              <w:bidi w:val="0"/>
              <w:spacing w:before="0" w:after="283"/>
              <w:jc w:val="right"/>
              <w:rPr/>
            </w:pPr>
            <w:r>
              <w:rPr/>
              <w:t>(3,934)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shd w:fill="E5FFFF" w:val="clear"/>
            <w:tcMar>
              <w:bottom w:w="28" w:type="dxa"/>
            </w:tcMar>
            <w:vAlign w:val="center"/>
          </w:tcPr>
          <w:p>
            <w:pPr>
              <w:pStyle w:val="TableContents"/>
              <w:bidi w:val="0"/>
              <w:spacing w:before="0" w:after="283"/>
              <w:jc w:val="right"/>
              <w:rPr/>
            </w:pPr>
            <w:r>
              <w:rPr/>
              <w:t>(35,634)</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Net (decrease) increase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(97,406)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44,707</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Cash and cash equivalents, beginning of period</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71" w:type="dxa"/>
            <w:tcBorders>
              <w:bottom w:val="single" w:sz="2" w:space="0" w:color="000000"/>
            </w:tcBorders>
            <w:shd w:fill="E5FFFF" w:val="clear"/>
            <w:tcMar>
              <w:bottom w:w="28" w:type="dxa"/>
            </w:tcMar>
            <w:vAlign w:val="center"/>
          </w:tcPr>
          <w:p>
            <w:pPr>
              <w:pStyle w:val="TableContents"/>
              <w:bidi w:val="0"/>
              <w:spacing w:before="0" w:after="283"/>
              <w:jc w:val="right"/>
              <w:rPr/>
            </w:pPr>
            <w:r>
              <w:rPr/>
              <w:t>188,734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56" w:type="dxa"/>
            <w:tcBorders>
              <w:bottom w:val="single" w:sz="2" w:space="0" w:color="000000"/>
            </w:tcBorders>
            <w:shd w:fill="E5FFFF" w:val="clear"/>
            <w:tcMar>
              <w:bottom w:w="28" w:type="dxa"/>
            </w:tcMar>
            <w:vAlign w:val="center"/>
          </w:tcPr>
          <w:p>
            <w:pPr>
              <w:pStyle w:val="TableContents"/>
              <w:bidi w:val="0"/>
              <w:spacing w:before="0" w:after="283"/>
              <w:jc w:val="right"/>
              <w:rPr/>
            </w:pPr>
            <w:r>
              <w:rPr/>
              <w:t>196,255</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Cash and cash equivalents, end of period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tcMar>
              <w:bottom w:w="28" w:type="dxa"/>
            </w:tcMar>
            <w:vAlign w:val="center"/>
          </w:tcPr>
          <w:p>
            <w:pPr>
              <w:pStyle w:val="TableContents"/>
              <w:bidi w:val="0"/>
              <w:spacing w:before="0" w:after="283"/>
              <w:jc w:val="right"/>
              <w:rPr/>
            </w:pPr>
            <w:r>
              <w:rPr/>
              <w:t>91,328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240,962</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Non-cash investing activities – Accrued capital expenditures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E5FFFF" w:val="clear"/>
            <w:tcMar>
              <w:bottom w:w="28" w:type="dxa"/>
            </w:tcMar>
            <w:vAlign w:val="center"/>
          </w:tcPr>
          <w:p>
            <w:pPr>
              <w:pStyle w:val="TableContents"/>
              <w:bidi w:val="0"/>
              <w:spacing w:before="0" w:after="283"/>
              <w:jc w:val="right"/>
              <w:rPr/>
            </w:pPr>
            <w:r>
              <w:rPr/>
              <w:t>4,923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E5FFFF" w:val="clear"/>
            <w:tcMar>
              <w:bottom w:w="28" w:type="dxa"/>
            </w:tcMar>
            <w:vAlign w:val="center"/>
          </w:tcPr>
          <w:p>
            <w:pPr>
              <w:pStyle w:val="TableContents"/>
              <w:bidi w:val="0"/>
              <w:spacing w:before="0" w:after="283"/>
              <w:jc w:val="right"/>
              <w:rPr/>
            </w:pPr>
            <w:r>
              <w:rPr/>
              <w:t>694</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Non-cash investing activities – Capital additions transferred from prepaid expenses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tcMar>
              <w:bottom w:w="28" w:type="dxa"/>
            </w:tcMar>
            <w:vAlign w:val="center"/>
          </w:tcPr>
          <w:p>
            <w:pPr>
              <w:pStyle w:val="TableContents"/>
              <w:bidi w:val="0"/>
              <w:spacing w:before="0" w:after="283"/>
              <w:jc w:val="right"/>
              <w:rPr/>
            </w:pPr>
            <w:r>
              <w:rPr/>
              <w:t>123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536</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Non-cash financing activities – Stock awards accrued</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E5FFFF" w:val="clear"/>
            <w:tcMar>
              <w:bottom w:w="28" w:type="dxa"/>
            </w:tcMar>
            <w:vAlign w:val="center"/>
          </w:tcPr>
          <w:p>
            <w:pPr>
              <w:pStyle w:val="TableContents"/>
              <w:bidi w:val="0"/>
              <w:spacing w:before="0" w:after="283"/>
              <w:jc w:val="right"/>
              <w:rPr/>
            </w:pPr>
            <w:r>
              <w:rPr/>
              <w:t>1,958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E5FFFF" w:val="clear"/>
            <w:tcMar>
              <w:bottom w:w="28" w:type="dxa"/>
            </w:tcMar>
            <w:vAlign w:val="center"/>
          </w:tcPr>
          <w:p>
            <w:pPr>
              <w:pStyle w:val="TableContents"/>
              <w:bidi w:val="0"/>
              <w:spacing w:before="0" w:after="283"/>
              <w:jc w:val="right"/>
              <w:rPr/>
            </w:pPr>
            <w:r>
              <w:rPr/>
              <w:t>559</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Non-cash financing activities – Stock awards issued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tcMar>
              <w:bottom w:w="28" w:type="dxa"/>
            </w:tcMar>
            <w:vAlign w:val="center"/>
          </w:tcPr>
          <w:p>
            <w:pPr>
              <w:pStyle w:val="TableContents"/>
              <w:bidi w:val="0"/>
              <w:spacing w:before="0" w:after="283"/>
              <w:jc w:val="right"/>
              <w:rPr/>
            </w:pPr>
            <w:r>
              <w:rPr/>
              <w:t>7,044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2,036</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Non-cash financing activities – Excise tax on stock repurchases accrued</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E5FFFF" w:val="clear"/>
            <w:tcMar>
              <w:bottom w:w="28" w:type="dxa"/>
            </w:tcMar>
            <w:vAlign w:val="center"/>
          </w:tcPr>
          <w:p>
            <w:pPr>
              <w:pStyle w:val="TableContents"/>
              <w:bidi w:val="0"/>
              <w:spacing w:before="0" w:after="283"/>
              <w:jc w:val="right"/>
              <w:rPr/>
            </w:pPr>
            <w:r>
              <w:rPr/>
              <w:t>258</w:t>
            </w:r>
          </w:p>
        </w:tc>
        <w:tc>
          <w:tcPr>
            <w:tcW w:w="137" w:type="dxa"/>
            <w:tcBorders/>
            <w:shd w:fill="E5FFFF" w:val="clear"/>
            <w:vAlign w:val="center"/>
          </w:tcPr>
          <w:p>
            <w:pPr>
              <w:pStyle w:val="TableContents"/>
              <w:bidi w:val="0"/>
              <w:spacing w:before="0" w:after="283"/>
              <w:ind w:left="0" w:right="0" w:hanging="200"/>
              <w:jc w:val="left"/>
              <w:rPr/>
            </w:pPr>
            <w:r>
              <w:rPr/>
              <w:t> </w:t>
            </w:r>
          </w:p>
        </w:tc>
      </w:tr>
      <w:tr>
        <w:trPr/>
        <w:tc>
          <w:tcPr>
            <w:tcW w:w="7631" w:type="dxa"/>
            <w:tcBorders/>
            <w:vAlign w:val="center"/>
          </w:tcPr>
          <w:p>
            <w:pPr>
              <w:pStyle w:val="TableContents"/>
              <w:bidi w:val="0"/>
              <w:spacing w:before="0" w:after="283"/>
              <w:jc w:val="left"/>
              <w:rPr/>
            </w:pPr>
            <w:r>
              <w:rPr/>
              <w:t>Operating right-of-use assets acquired and liabilities incurred upon lease commencement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3,007</w:t>
            </w:r>
          </w:p>
        </w:tc>
        <w:tc>
          <w:tcPr>
            <w:tcW w:w="137" w:type="dxa"/>
            <w:tcBorders/>
            <w:vAlign w:val="center"/>
          </w:tcPr>
          <w:p>
            <w:pPr>
              <w:pStyle w:val="TableContents"/>
              <w:bidi w:val="0"/>
              <w:spacing w:before="0" w:after="283"/>
              <w:ind w:left="0" w:right="0" w:hanging="200"/>
              <w:jc w:val="left"/>
              <w:rPr/>
            </w:pPr>
            <w:r>
              <w:rPr/>
              <w:t> </w:t>
            </w:r>
          </w:p>
        </w:tc>
      </w:tr>
      <w:tr>
        <w:trPr/>
        <w:tc>
          <w:tcPr>
            <w:tcW w:w="7631" w:type="dxa"/>
            <w:tcBorders/>
            <w:shd w:fill="E5FFFF" w:val="clear"/>
            <w:vAlign w:val="center"/>
          </w:tcPr>
          <w:p>
            <w:pPr>
              <w:pStyle w:val="TableContents"/>
              <w:bidi w:val="0"/>
              <w:spacing w:before="0" w:after="283"/>
              <w:jc w:val="left"/>
              <w:rPr/>
            </w:pPr>
            <w:r>
              <w:rPr/>
              <w:t>Finance right-of-use assets acquired and liabilities incurred upon lease commencement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E5FFFF" w:val="clear"/>
            <w:tcMar>
              <w:bottom w:w="28" w:type="dxa"/>
            </w:tcMar>
            <w:vAlign w:val="center"/>
          </w:tcPr>
          <w:p>
            <w:pPr>
              <w:pStyle w:val="TableContents"/>
              <w:bidi w:val="0"/>
              <w:spacing w:before="0" w:after="283"/>
              <w:jc w:val="right"/>
              <w:rPr/>
            </w:pPr>
            <w:r>
              <w:rPr/>
              <w:t>3,381</w:t>
            </w:r>
          </w:p>
        </w:tc>
        <w:tc>
          <w:tcPr>
            <w:tcW w:w="137"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accompanying notes are an integral part of these unaudited consolidated financial statements.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9 </w:t>
      </w:r>
    </w:p>
    <w:p>
      <w:pPr>
        <w:pStyle w:val="TextBody"/>
        <w:bidi w:val="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REX AMERICAN RESOURCES CORPORATION AND SUBSIDIARIES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bookmarkStart w:id="8" w:name="x1_c117568a007"/>
      <w:bookmarkEnd w:id="8"/>
      <w:r>
        <w:rPr>
          <w:rFonts w:ascii="Times New Roman;Times;Serif" w:hAnsi="Times New Roman;Times;Serif"/>
          <w:b/>
          <w:i w:val="false"/>
          <w:caps w:val="false"/>
          <w:smallCaps w:val="false"/>
          <w:sz w:val="24"/>
        </w:rPr>
        <w:t>NOTES TO UNAUDITED CONSOLIDATED FINANCIAL STATEMENTS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July 31, 2026</w:t>
      </w:r>
    </w:p>
    <w:p>
      <w:pPr>
        <w:pStyle w:val="TextBody"/>
        <w:bidi w:val="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1. </w:t>
      </w:r>
      <w:r>
        <w:rPr>
          <w:rFonts w:ascii="Times New Roman;Times;Serif" w:hAnsi="Times New Roman;Times;Serif"/>
          <w:b/>
          <w:i/>
          <w:caps w:val="false"/>
          <w:smallCaps w:val="false"/>
          <w:sz w:val="24"/>
        </w:rPr>
        <w:t>Consolidated Financial Statements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References to the Company – References to “REX” or the “Company” in the consolidated financial statements and in these notes to the consolidated financial statements refer to REX American Resources Corporation, a Delaware corporation, and its majority and wholly owned subsidiaries.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2026 included in these financial statements has been derived from the audited consolidated financial statements included in the Company’s Annual Report on Form 10-K for the year ended January 31, 2026 (fiscal year 2025). These unaudited consolidated financial statements should be read in conjunction with the consolidated financial statements and the notes thereto included in the Company’s Annual Report on Form 10-K for the year ended January 31, 2026. The results of operations for the interim periods are not necessarily indicative of the results to be expected for the year.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Basis of Consolidation</w:t>
      </w:r>
      <w:r>
        <w:rPr>
          <w:rFonts w:ascii="Times New Roman;Times;Serif" w:hAnsi="Times New Roman;Times;Serif"/>
          <w:b w:val="false"/>
          <w:i w:val="false"/>
          <w:caps w:val="false"/>
          <w:smallCaps w:val="false"/>
          <w:sz w:val="24"/>
        </w:rPr>
        <w:t xml:space="preserve"> – The consolidated financial statements in this report include the operating results and financial position of the Company. All intercompany balances and transactions have been eliminated. The Company consolidates the results of its wholly owned and majority owned subsidiaries. The Company includes the results of operations of One Earth in its Consolidated Statements of Operations on a delayed basis of one month as One Earth has a fiscal year end of December 31.</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Common Stock</w:t>
      </w:r>
      <w:r>
        <w:rPr>
          <w:rFonts w:ascii="Times New Roman;Times;Serif" w:hAnsi="Times New Roman;Times;Serif"/>
          <w:b w:val="false"/>
          <w:i w:val="false"/>
          <w:caps w:val="false"/>
          <w:smallCaps w:val="false"/>
          <w:sz w:val="24"/>
        </w:rPr>
        <w:t xml:space="preserve"> – On May 28, 2026, shareholders adopted an amendment to the Certificate of Incorporation to increase the Company’s authorized common stock from 45,000,000 shares to 90,000,000 shares, which was then filed with the Secretary of State of Delaware.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Stock Split</w:t>
      </w:r>
      <w:r>
        <w:rPr>
          <w:rFonts w:ascii="Times New Roman;Times;Serif" w:hAnsi="Times New Roman;Times;Serif"/>
          <w:b w:val="false"/>
          <w:i w:val="false"/>
          <w:caps w:val="false"/>
          <w:smallCaps w:val="false"/>
          <w:sz w:val="24"/>
        </w:rPr>
        <w:t xml:space="preserve"> – On August 26, 2025, the Board of Directors of the Company adopted resolutions declaring a two-for-one split of the Company’s Common Stock to be effectuated in the form of a 100% stock dividend, payable on September 15, 2025 to shareholders of record at the close of business on September 8, 2025. The stock split has been retroactively reflected in the accompanying consolidated financial statements.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Nature of Operations</w:t>
      </w:r>
      <w:r>
        <w:rPr>
          <w:rFonts w:ascii="Times New Roman;Times;Serif" w:hAnsi="Times New Roman;Times;Serif"/>
          <w:b w:val="false"/>
          <w:i w:val="false"/>
          <w:caps w:val="false"/>
          <w:smallCaps w:val="false"/>
          <w:sz w:val="24"/>
        </w:rPr>
        <w:t xml:space="preserve"> – The Company has one reportable segment, ethanol and by-products. Within the ethanol and by-products segment, the Company has equity investments in three ethanol limited liability companies, two of which are majority ownership interests.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10 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2. </w:t>
      </w:r>
      <w:r>
        <w:rPr>
          <w:rFonts w:ascii="Times New Roman;Times;Serif" w:hAnsi="Times New Roman;Times;Serif"/>
          <w:b/>
          <w:i/>
          <w:caps w:val="false"/>
          <w:smallCaps w:val="false"/>
          <w:sz w:val="24"/>
        </w:rPr>
        <w:t xml:space="preserve">Accounting Policies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interim consolidated financial statements have been prepared in accordance with the accounting policies described in the notes to the consolidated financial statements included in the Company’s fiscal year 2025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Use of Estimates</w:t>
      </w:r>
    </w:p>
    <w:p>
      <w:pPr>
        <w:pStyle w:val="TextBody"/>
        <w:bidi w:val="0"/>
        <w:ind w:left="0" w:right="0" w:firstLine="45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Cash and Cash Equivalents</w:t>
      </w:r>
    </w:p>
    <w:p>
      <w:pPr>
        <w:pStyle w:val="TextBody"/>
        <w:bidi w:val="0"/>
        <w:ind w:left="0" w:right="0" w:firstLine="45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Cash and cash equivalents includes bank deposits as well as short-term, highly liquid investments with original maturities of three months or less. The carrying amount of cash equivalents approximates fair value.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Accounts Receivable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Accounts receivable are recorded at their estimated net realizable value. Accounts are considered past due if payment is not received on a timely basis in accordance with the Company’s credit terms. Accounts considered uncollectible are written off in the period they are determined to be uncollectible. As of July 31, 2026 and January 31, 2026, the Company believes that all amounts are collectible and an allowance for credit losses was not considered necessary. The balance of accounts receivable at January 31, 2025 was $21.5 million.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Revenue Recognition</w:t>
      </w:r>
    </w:p>
    <w:p>
      <w:pPr>
        <w:pStyle w:val="TextBody"/>
        <w:bidi w:val="0"/>
        <w:ind w:left="0" w:right="0" w:firstLine="45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11 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Change in Accounting Principles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has determined that it qualifies for clean fuel production tax credits allowable under the IRA and OBBBA. The benefit recognized is determined based on the Company’s CI score. The Company intends on utilizing the tax credits earned in fiscal year 2025 to offset taxes due and payable. As of July 31, 2026, the Company currently intends on selling the tax credits earned in fiscal year 2026.</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Effective February 1, 2026, the Company elected to early adopt ASU 2025-10, “</w:t>
      </w:r>
      <w:r>
        <w:rPr>
          <w:rFonts w:ascii="Times New Roman;Times;Serif" w:hAnsi="Times New Roman;Times;Serif"/>
          <w:b w:val="false"/>
          <w:i/>
          <w:caps w:val="false"/>
          <w:smallCaps w:val="false"/>
          <w:sz w:val="24"/>
        </w:rPr>
        <w:t>Accounting for Government Grants Received by Business Entities</w:t>
      </w:r>
      <w:r>
        <w:rPr>
          <w:rFonts w:ascii="Times New Roman;Times;Serif" w:hAnsi="Times New Roman;Times;Serif"/>
          <w:b w:val="false"/>
          <w:i w:val="false"/>
          <w:caps w:val="false"/>
          <w:smallCaps w:val="false"/>
          <w:sz w:val="24"/>
        </w:rPr>
        <w:t>” and changed its accounting policy for Section 45Z tax credits. The Company determined the income model under ASU 2025-10 is preferable to better align with monetization opportunities in the future. The Company will record the tax credits earned under the income model of ASU 2025-10 as “Production tax credit income”, included within gross profit on the Consolidated Statements of Operations and within “Other assets” on the Consolidated Balance Sheets.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determined that the change in accounting policy requires retrospective application. The Company did not record any Section 45Z tax credits until the fourth quarter of fiscal year 2025, and as such, there is no impact to the first six months of fiscal year 2025. Additionally, as the Company does not intend to monetize the credits earned in fiscal year 2025, the balance sheet classification as a deferred tax asset within “Other assets” remains appropriate. Further, there is no impact to the prior period equity balances as the retrospective adjustments result in an increase in net income attributable to noncontrolling interests, offset by an increase in distributions to noncontrolling interests. Accordingly, no retrospective adjustments to the balance sheet are required.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Below is a summary of reclassifications made to the Consolidated Statements of Operations for the year ended January 31, 2026 (amounts in thousands):</w:t>
      </w:r>
    </w:p>
    <w:p>
      <w:pPr>
        <w:pStyle w:val="TextBody"/>
        <w:bidi w:val="0"/>
        <w:ind w:left="0" w:right="0" w:firstLine="72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5195"/>
        <w:gridCol w:w="90"/>
        <w:gridCol w:w="257"/>
        <w:gridCol w:w="1188"/>
        <w:gridCol w:w="90"/>
        <w:gridCol w:w="90"/>
        <w:gridCol w:w="170"/>
        <w:gridCol w:w="860"/>
        <w:gridCol w:w="90"/>
        <w:gridCol w:w="90"/>
        <w:gridCol w:w="238"/>
        <w:gridCol w:w="1162"/>
        <w:gridCol w:w="135"/>
      </w:tblGrid>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10"/>
            <w:tcBorders/>
            <w:vAlign w:val="center"/>
          </w:tcPr>
          <w:p>
            <w:pPr>
              <w:pStyle w:val="TableContents"/>
              <w:bidi w:val="0"/>
              <w:spacing w:before="0" w:after="283"/>
              <w:jc w:val="center"/>
              <w:rPr>
                <w:b/>
              </w:rPr>
            </w:pPr>
            <w:r>
              <w:rPr>
                <w:b/>
              </w:rPr>
              <w:t>Year Ended</w:t>
              <w:br/>
              <w:t>January 31, 2026</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10"/>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As Previously</w:t>
              <w:br/>
              <w:t>Reported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Effect of</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As Currently</w:t>
              <w:br/>
              <w:t>Reported</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Production tax credit income</w:t>
            </w:r>
          </w:p>
        </w:tc>
        <w:tc>
          <w:tcPr>
            <w:tcW w:w="90" w:type="dxa"/>
            <w:tcBorders/>
            <w:shd w:fill="E5FFFF" w:val="clear"/>
            <w:vAlign w:val="center"/>
          </w:tcPr>
          <w:p>
            <w:pPr>
              <w:pStyle w:val="TableContents"/>
              <w:bidi w:val="0"/>
              <w:spacing w:before="0" w:after="283"/>
              <w:jc w:val="left"/>
              <w:rPr/>
            </w:pPr>
            <w:r>
              <w:rPr/>
              <w:t> </w:t>
            </w:r>
          </w:p>
        </w:tc>
        <w:tc>
          <w:tcPr>
            <w:tcW w:w="257" w:type="dxa"/>
            <w:tcBorders/>
            <w:shd w:fill="E5FFFF" w:val="clear"/>
            <w:vAlign w:val="center"/>
          </w:tcPr>
          <w:p>
            <w:pPr>
              <w:pStyle w:val="TableContents"/>
              <w:bidi w:val="0"/>
              <w:spacing w:before="0" w:after="283"/>
              <w:jc w:val="left"/>
              <w:rPr/>
            </w:pPr>
            <w:r>
              <w:rPr/>
              <w:t>$</w:t>
            </w:r>
          </w:p>
        </w:tc>
        <w:tc>
          <w:tcPr>
            <w:tcW w:w="1188"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60" w:type="dxa"/>
            <w:tcBorders/>
            <w:shd w:fill="E5FFFF" w:val="clear"/>
            <w:vAlign w:val="center"/>
          </w:tcPr>
          <w:p>
            <w:pPr>
              <w:pStyle w:val="TableContents"/>
              <w:bidi w:val="0"/>
              <w:spacing w:before="0" w:after="283"/>
              <w:jc w:val="right"/>
              <w:rPr/>
            </w:pPr>
            <w:r>
              <w:rPr/>
              <w:t>31,723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38" w:type="dxa"/>
            <w:tcBorders/>
            <w:shd w:fill="E5FFFF" w:val="clear"/>
            <w:vAlign w:val="center"/>
          </w:tcPr>
          <w:p>
            <w:pPr>
              <w:pStyle w:val="TableContents"/>
              <w:bidi w:val="0"/>
              <w:spacing w:before="0" w:after="283"/>
              <w:jc w:val="left"/>
              <w:rPr/>
            </w:pPr>
            <w:r>
              <w:rPr/>
              <w:t>$</w:t>
            </w:r>
          </w:p>
        </w:tc>
        <w:tc>
          <w:tcPr>
            <w:tcW w:w="1162" w:type="dxa"/>
            <w:tcBorders/>
            <w:shd w:fill="E5FFFF" w:val="clear"/>
            <w:vAlign w:val="center"/>
          </w:tcPr>
          <w:p>
            <w:pPr>
              <w:pStyle w:val="TableContents"/>
              <w:bidi w:val="0"/>
              <w:spacing w:before="0" w:after="283"/>
              <w:jc w:val="right"/>
              <w:rPr/>
            </w:pPr>
            <w:r>
              <w:rPr/>
              <w:t>31,723</w:t>
            </w:r>
          </w:p>
        </w:tc>
        <w:tc>
          <w:tcPr>
            <w:tcW w:w="135" w:type="dxa"/>
            <w:tcBorders/>
            <w:shd w:fill="E5FF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93,706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31,723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125,429</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Income before income taxes</w:t>
            </w:r>
          </w:p>
        </w:tc>
        <w:tc>
          <w:tcPr>
            <w:tcW w:w="90" w:type="dxa"/>
            <w:tcBorders/>
            <w:shd w:fill="E5FFFF" w:val="clear"/>
            <w:vAlign w:val="center"/>
          </w:tcPr>
          <w:p>
            <w:pPr>
              <w:pStyle w:val="TableContents"/>
              <w:bidi w:val="0"/>
              <w:spacing w:before="0" w:after="283"/>
              <w:jc w:val="left"/>
              <w:rPr/>
            </w:pPr>
            <w:r>
              <w:rPr/>
              <w:t> </w:t>
            </w:r>
          </w:p>
        </w:tc>
        <w:tc>
          <w:tcPr>
            <w:tcW w:w="257" w:type="dxa"/>
            <w:tcBorders/>
            <w:shd w:fill="E5FFFF" w:val="clear"/>
            <w:vAlign w:val="center"/>
          </w:tcPr>
          <w:p>
            <w:pPr>
              <w:pStyle w:val="TableContents"/>
              <w:bidi w:val="0"/>
              <w:spacing w:before="0" w:after="283"/>
              <w:jc w:val="left"/>
              <w:rPr/>
            </w:pPr>
            <w:r>
              <w:rPr/>
              <w:t>$</w:t>
            </w:r>
          </w:p>
        </w:tc>
        <w:tc>
          <w:tcPr>
            <w:tcW w:w="1188" w:type="dxa"/>
            <w:tcBorders/>
            <w:shd w:fill="E5FFFF" w:val="clear"/>
            <w:vAlign w:val="center"/>
          </w:tcPr>
          <w:p>
            <w:pPr>
              <w:pStyle w:val="TableContents"/>
              <w:bidi w:val="0"/>
              <w:spacing w:before="0" w:after="283"/>
              <w:jc w:val="right"/>
              <w:rPr/>
            </w:pPr>
            <w:r>
              <w:rPr/>
              <w:t>88,572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60" w:type="dxa"/>
            <w:tcBorders/>
            <w:shd w:fill="E5FFFF" w:val="clear"/>
            <w:vAlign w:val="center"/>
          </w:tcPr>
          <w:p>
            <w:pPr>
              <w:pStyle w:val="TableContents"/>
              <w:bidi w:val="0"/>
              <w:spacing w:before="0" w:after="283"/>
              <w:jc w:val="right"/>
              <w:rPr/>
            </w:pPr>
            <w:r>
              <w:rPr/>
              <w:t>31,723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38" w:type="dxa"/>
            <w:tcBorders/>
            <w:shd w:fill="E5FFFF" w:val="clear"/>
            <w:vAlign w:val="center"/>
          </w:tcPr>
          <w:p>
            <w:pPr>
              <w:pStyle w:val="TableContents"/>
              <w:bidi w:val="0"/>
              <w:spacing w:before="0" w:after="283"/>
              <w:jc w:val="left"/>
              <w:rPr/>
            </w:pPr>
            <w:r>
              <w:rPr/>
              <w:t>$</w:t>
            </w:r>
          </w:p>
        </w:tc>
        <w:tc>
          <w:tcPr>
            <w:tcW w:w="1162" w:type="dxa"/>
            <w:tcBorders/>
            <w:shd w:fill="E5FFFF" w:val="clear"/>
            <w:vAlign w:val="center"/>
          </w:tcPr>
          <w:p>
            <w:pPr>
              <w:pStyle w:val="TableContents"/>
              <w:bidi w:val="0"/>
              <w:spacing w:before="0" w:after="283"/>
              <w:jc w:val="right"/>
              <w:rPr/>
            </w:pPr>
            <w:r>
              <w:rPr/>
              <w:t>120,295</w:t>
            </w:r>
          </w:p>
        </w:tc>
        <w:tc>
          <w:tcPr>
            <w:tcW w:w="135" w:type="dxa"/>
            <w:tcBorders/>
            <w:shd w:fill="E5FF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Benefit (provision) for income taxes</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6,502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(28,089)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(21,587)</w:t>
            </w:r>
          </w:p>
        </w:tc>
        <w:tc>
          <w:tcPr>
            <w:tcW w:w="13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Net income</w:t>
            </w:r>
          </w:p>
        </w:tc>
        <w:tc>
          <w:tcPr>
            <w:tcW w:w="90" w:type="dxa"/>
            <w:tcBorders/>
            <w:shd w:fill="E5FFFF" w:val="clear"/>
            <w:vAlign w:val="center"/>
          </w:tcPr>
          <w:p>
            <w:pPr>
              <w:pStyle w:val="TableContents"/>
              <w:bidi w:val="0"/>
              <w:spacing w:before="0" w:after="283"/>
              <w:jc w:val="left"/>
              <w:rPr/>
            </w:pPr>
            <w:r>
              <w:rPr/>
              <w:t> </w:t>
            </w:r>
          </w:p>
        </w:tc>
        <w:tc>
          <w:tcPr>
            <w:tcW w:w="257" w:type="dxa"/>
            <w:tcBorders/>
            <w:shd w:fill="E5FFFF" w:val="clear"/>
            <w:vAlign w:val="center"/>
          </w:tcPr>
          <w:p>
            <w:pPr>
              <w:pStyle w:val="TableContents"/>
              <w:bidi w:val="0"/>
              <w:spacing w:before="0" w:after="283"/>
              <w:jc w:val="left"/>
              <w:rPr/>
            </w:pPr>
            <w:r>
              <w:rPr/>
              <w:t>$</w:t>
            </w:r>
          </w:p>
        </w:tc>
        <w:tc>
          <w:tcPr>
            <w:tcW w:w="1188" w:type="dxa"/>
            <w:tcBorders/>
            <w:shd w:fill="E5FFFF" w:val="clear"/>
            <w:vAlign w:val="center"/>
          </w:tcPr>
          <w:p>
            <w:pPr>
              <w:pStyle w:val="TableContents"/>
              <w:bidi w:val="0"/>
              <w:spacing w:before="0" w:after="283"/>
              <w:jc w:val="right"/>
              <w:rPr/>
            </w:pPr>
            <w:r>
              <w:rPr/>
              <w:t>95,074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60" w:type="dxa"/>
            <w:tcBorders/>
            <w:shd w:fill="E5FFFF" w:val="clear"/>
            <w:vAlign w:val="center"/>
          </w:tcPr>
          <w:p>
            <w:pPr>
              <w:pStyle w:val="TableContents"/>
              <w:bidi w:val="0"/>
              <w:spacing w:before="0" w:after="283"/>
              <w:jc w:val="right"/>
              <w:rPr/>
            </w:pPr>
            <w:r>
              <w:rPr/>
              <w:t>3,634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38" w:type="dxa"/>
            <w:tcBorders/>
            <w:shd w:fill="E5FFFF" w:val="clear"/>
            <w:vAlign w:val="center"/>
          </w:tcPr>
          <w:p>
            <w:pPr>
              <w:pStyle w:val="TableContents"/>
              <w:bidi w:val="0"/>
              <w:spacing w:before="0" w:after="283"/>
              <w:jc w:val="left"/>
              <w:rPr/>
            </w:pPr>
            <w:r>
              <w:rPr/>
              <w:t>$</w:t>
            </w:r>
          </w:p>
        </w:tc>
        <w:tc>
          <w:tcPr>
            <w:tcW w:w="1162" w:type="dxa"/>
            <w:tcBorders/>
            <w:shd w:fill="E5FFFF" w:val="clear"/>
            <w:vAlign w:val="center"/>
          </w:tcPr>
          <w:p>
            <w:pPr>
              <w:pStyle w:val="TableContents"/>
              <w:bidi w:val="0"/>
              <w:spacing w:before="0" w:after="283"/>
              <w:jc w:val="right"/>
              <w:rPr/>
            </w:pPr>
            <w:r>
              <w:rPr/>
              <w:t>98,708</w:t>
            </w:r>
          </w:p>
        </w:tc>
        <w:tc>
          <w:tcPr>
            <w:tcW w:w="135" w:type="dxa"/>
            <w:tcBorders/>
            <w:shd w:fill="E5FF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Net income attributable to noncontrolling interests</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(12,123)</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(3,634)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(15,757)</w:t>
            </w:r>
          </w:p>
        </w:tc>
        <w:tc>
          <w:tcPr>
            <w:tcW w:w="13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Net income attributable to REX common shareholders</w:t>
            </w:r>
          </w:p>
        </w:tc>
        <w:tc>
          <w:tcPr>
            <w:tcW w:w="90" w:type="dxa"/>
            <w:tcBorders/>
            <w:shd w:fill="E5FFFF" w:val="clear"/>
            <w:vAlign w:val="center"/>
          </w:tcPr>
          <w:p>
            <w:pPr>
              <w:pStyle w:val="TableContents"/>
              <w:bidi w:val="0"/>
              <w:spacing w:before="0" w:after="283"/>
              <w:jc w:val="left"/>
              <w:rPr/>
            </w:pPr>
            <w:r>
              <w:rPr/>
              <w:t> </w:t>
            </w:r>
          </w:p>
        </w:tc>
        <w:tc>
          <w:tcPr>
            <w:tcW w:w="257" w:type="dxa"/>
            <w:tcBorders/>
            <w:shd w:fill="E5FFFF" w:val="clear"/>
            <w:vAlign w:val="center"/>
          </w:tcPr>
          <w:p>
            <w:pPr>
              <w:pStyle w:val="TableContents"/>
              <w:bidi w:val="0"/>
              <w:spacing w:before="0" w:after="283"/>
              <w:jc w:val="left"/>
              <w:rPr/>
            </w:pPr>
            <w:r>
              <w:rPr/>
              <w:t>$</w:t>
            </w:r>
          </w:p>
        </w:tc>
        <w:tc>
          <w:tcPr>
            <w:tcW w:w="1188" w:type="dxa"/>
            <w:tcBorders/>
            <w:shd w:fill="E5FFFF" w:val="clear"/>
            <w:vAlign w:val="center"/>
          </w:tcPr>
          <w:p>
            <w:pPr>
              <w:pStyle w:val="TableContents"/>
              <w:bidi w:val="0"/>
              <w:spacing w:before="0" w:after="283"/>
              <w:jc w:val="right"/>
              <w:rPr/>
            </w:pPr>
            <w:r>
              <w:rPr/>
              <w:t>82,951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60"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38" w:type="dxa"/>
            <w:tcBorders/>
            <w:shd w:fill="E5FFFF" w:val="clear"/>
            <w:vAlign w:val="center"/>
          </w:tcPr>
          <w:p>
            <w:pPr>
              <w:pStyle w:val="TableContents"/>
              <w:bidi w:val="0"/>
              <w:spacing w:before="0" w:after="283"/>
              <w:jc w:val="left"/>
              <w:rPr/>
            </w:pPr>
            <w:r>
              <w:rPr/>
              <w:t>$</w:t>
            </w:r>
          </w:p>
        </w:tc>
        <w:tc>
          <w:tcPr>
            <w:tcW w:w="1162" w:type="dxa"/>
            <w:tcBorders/>
            <w:shd w:fill="E5FFFF" w:val="clear"/>
            <w:vAlign w:val="center"/>
          </w:tcPr>
          <w:p>
            <w:pPr>
              <w:pStyle w:val="TableContents"/>
              <w:bidi w:val="0"/>
              <w:spacing w:before="0" w:after="283"/>
              <w:jc w:val="right"/>
              <w:rPr/>
            </w:pPr>
            <w:r>
              <w:rPr/>
              <w:t>82,951</w:t>
            </w:r>
          </w:p>
        </w:tc>
        <w:tc>
          <w:tcPr>
            <w:tcW w:w="135" w:type="dxa"/>
            <w:tcBorders/>
            <w:shd w:fill="E5FFFF" w:val="cle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12 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Cost of Sales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Cost of sales includes depreciation, costs of raw materials, third-party freight charges, purchasing and receiving costs, inspection costs, other distribution expenses, warehousing costs, plant repair and maintenance costs, production labor and related payroll costs, and general facility overhead charges.</w:t>
      </w:r>
    </w:p>
    <w:p>
      <w:pPr>
        <w:pStyle w:val="TextBody"/>
        <w:bidi w:val="0"/>
        <w:ind w:left="0" w:right="0" w:firstLine="45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Selling, General and Administrative Expenses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includes non-production related costs such as professional fees, operating lease expense, and certain payroll in SG&amp;A expenses.</w:t>
      </w:r>
    </w:p>
    <w:p>
      <w:pPr>
        <w:pStyle w:val="TextBody"/>
        <w:bidi w:val="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Certain of the forward corn and natural gas purchase contracts and ethanol, distillers grains and distillers corn oil sale contracts are accounted for under the “normal purchases and normal sales” scope exemption of ASC 815 because these arrangements are for purchases of corn that will be delivered in quantities expected to be used by the Company and sales of ethanol, distillers grains and distillers corn oil in quantities expected to be sold by the Company over a reasonable period of time in the normal course of business.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designate any of its derivative instruments as cash flow or fair value hedges.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Income Taxes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$800,000 and $3.1 million and received no refunds during the six months ended July 31, 2026 and 2025, respectively.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As of July 31, 2026 and January 31, 2026, total unrecognized tax benefits were approximately $259,000. Accrued penalties and interest were approximately $137,000 and approximately $124,000 at July 31, 2026 and January 31, 2026, respectively. If the Company were to prevail on all unrecognized tax </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13 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benefits recorded, the provision for income taxes would be reduced by approximately $175,000.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Inventory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Inventory is permanently written down in instances when cost exceeds estimated net realizable value; such write-downs are based primarily upon commodity prices as the market value of inventory is often dependent upon changes in commodity prices. The Company did not record any inventory write-downs at July 31, 2026. The Company recorded approximately $66,000 of inventory write-downs in cost of sales at January 31, 2026. Fluctuations in the write-down of inventory generally relate to the levels and composition of such inventory and changes in commodity prices at a given point in time.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components of inventory are as follows (amounts in thousands):</w:t>
      </w:r>
    </w:p>
    <w:p>
      <w:pPr>
        <w:pStyle w:val="TextBody"/>
        <w:bidi w:val="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3185"/>
        <w:gridCol w:w="90"/>
        <w:gridCol w:w="170"/>
        <w:gridCol w:w="710"/>
        <w:gridCol w:w="90"/>
        <w:gridCol w:w="90"/>
        <w:gridCol w:w="244"/>
        <w:gridCol w:w="1021"/>
        <w:gridCol w:w="135"/>
      </w:tblGrid>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w:t>
              <w:br/>
              <w:t>2026</w:t>
            </w:r>
          </w:p>
        </w:tc>
        <w:tc>
          <w:tcPr>
            <w:tcW w:w="13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185" w:type="dxa"/>
            <w:tcBorders/>
            <w:shd w:fill="E5FFFF" w:val="clear"/>
            <w:vAlign w:val="center"/>
          </w:tcPr>
          <w:p>
            <w:pPr>
              <w:pStyle w:val="TableContents"/>
              <w:bidi w:val="0"/>
              <w:spacing w:before="0" w:after="283"/>
              <w:jc w:val="left"/>
              <w:rPr/>
            </w:pPr>
            <w:r>
              <w:rPr/>
              <w:t>Ethanol and other finished goods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710" w:type="dxa"/>
            <w:tcBorders/>
            <w:shd w:fill="E5FFFF" w:val="clear"/>
            <w:vAlign w:val="center"/>
          </w:tcPr>
          <w:p>
            <w:pPr>
              <w:pStyle w:val="TableContents"/>
              <w:bidi w:val="0"/>
              <w:spacing w:before="0" w:after="283"/>
              <w:jc w:val="right"/>
              <w:rPr/>
            </w:pPr>
            <w:r>
              <w:rPr/>
              <w:t>5,687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44" w:type="dxa"/>
            <w:tcBorders/>
            <w:shd w:fill="E5FFFF" w:val="clear"/>
            <w:vAlign w:val="center"/>
          </w:tcPr>
          <w:p>
            <w:pPr>
              <w:pStyle w:val="TableContents"/>
              <w:bidi w:val="0"/>
              <w:spacing w:before="0" w:after="283"/>
              <w:jc w:val="left"/>
              <w:rPr/>
            </w:pPr>
            <w:r>
              <w:rPr/>
              <w:t>$</w:t>
            </w:r>
          </w:p>
        </w:tc>
        <w:tc>
          <w:tcPr>
            <w:tcW w:w="1021" w:type="dxa"/>
            <w:tcBorders/>
            <w:shd w:fill="E5FFFF" w:val="clear"/>
            <w:vAlign w:val="center"/>
          </w:tcPr>
          <w:p>
            <w:pPr>
              <w:pStyle w:val="TableContents"/>
              <w:bidi w:val="0"/>
              <w:spacing w:before="0" w:after="283"/>
              <w:jc w:val="right"/>
              <w:rPr/>
            </w:pPr>
            <w:r>
              <w:rPr/>
              <w:t>5,809</w:t>
            </w:r>
          </w:p>
        </w:tc>
        <w:tc>
          <w:tcPr>
            <w:tcW w:w="135" w:type="dxa"/>
            <w:tcBorders/>
            <w:shd w:fill="E5FF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Work in process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5,431</w:t>
            </w:r>
          </w:p>
        </w:tc>
        <w:tc>
          <w:tcPr>
            <w:tcW w:w="135" w:type="dxa"/>
            <w:tcBorders/>
            <w:vAlign w:val="center"/>
          </w:tcPr>
          <w:p>
            <w:pPr>
              <w:pStyle w:val="TableContents"/>
              <w:bidi w:val="0"/>
              <w:spacing w:before="0" w:after="283"/>
              <w:jc w:val="left"/>
              <w:rPr/>
            </w:pPr>
            <w:r>
              <w:rPr/>
              <w:t> </w:t>
            </w:r>
          </w:p>
        </w:tc>
      </w:tr>
      <w:tr>
        <w:trPr/>
        <w:tc>
          <w:tcPr>
            <w:tcW w:w="3185" w:type="dxa"/>
            <w:tcBorders/>
            <w:shd w:fill="E5FFFF" w:val="clear"/>
            <w:vAlign w:val="center"/>
          </w:tcPr>
          <w:p>
            <w:pPr>
              <w:pStyle w:val="TableContents"/>
              <w:bidi w:val="0"/>
              <w:spacing w:before="0" w:after="283"/>
              <w:jc w:val="left"/>
              <w:rPr/>
            </w:pPr>
            <w:r>
              <w:rPr/>
              <w:t>Corn and other raw materials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E5FFFF" w:val="clear"/>
            <w:tcMar>
              <w:bottom w:w="28" w:type="dxa"/>
            </w:tcMar>
            <w:vAlign w:val="center"/>
          </w:tcPr>
          <w:p>
            <w:pPr>
              <w:pStyle w:val="TableContents"/>
              <w:bidi w:val="0"/>
              <w:spacing w:before="0" w:after="283"/>
              <w:jc w:val="right"/>
              <w:rPr/>
            </w:pPr>
            <w:r>
              <w:rPr/>
              <w:t>18,102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44"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021" w:type="dxa"/>
            <w:tcBorders>
              <w:bottom w:val="single" w:sz="2" w:space="0" w:color="000000"/>
            </w:tcBorders>
            <w:shd w:fill="E5FFFF" w:val="clear"/>
            <w:tcMar>
              <w:bottom w:w="28" w:type="dxa"/>
            </w:tcMar>
            <w:vAlign w:val="center"/>
          </w:tcPr>
          <w:p>
            <w:pPr>
              <w:pStyle w:val="TableContents"/>
              <w:bidi w:val="0"/>
              <w:spacing w:before="0" w:after="283"/>
              <w:jc w:val="right"/>
              <w:rPr/>
            </w:pPr>
            <w:r>
              <w:rPr/>
              <w:t>17,182</w:t>
            </w:r>
          </w:p>
        </w:tc>
        <w:tc>
          <w:tcPr>
            <w:tcW w:w="135" w:type="dxa"/>
            <w:tcBorders/>
            <w:shd w:fill="E5FF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28,980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tcMar>
              <w:bottom w:w="28" w:type="dxa"/>
            </w:tcMar>
            <w:vAlign w:val="center"/>
          </w:tcPr>
          <w:p>
            <w:pPr>
              <w:pStyle w:val="TableContents"/>
              <w:bidi w:val="0"/>
              <w:spacing w:before="0" w:after="283"/>
              <w:jc w:val="right"/>
              <w:rPr/>
            </w:pPr>
            <w:r>
              <w:rPr/>
              <w:t>28,422</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Property and Equipment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40 years for fixtures and equipment.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accordance with ASC 360-10 “</w:t>
      </w:r>
      <w:r>
        <w:rPr>
          <w:rFonts w:ascii="Times New Roman;Times;Serif" w:hAnsi="Times New Roman;Times;Serif"/>
          <w:b w:val="false"/>
          <w:i/>
          <w:caps w:val="false"/>
          <w:smallCaps w:val="false"/>
          <w:sz w:val="24"/>
        </w:rPr>
        <w:t>Impairment or Disposal of Long-Lived Assets</w:t>
      </w:r>
      <w:r>
        <w:rPr>
          <w:rFonts w:ascii="Times New Roman;Times;Serif" w:hAnsi="Times New Roman;Times;Serif"/>
          <w:b w:val="false"/>
          <w:i w:val="false"/>
          <w:caps w:val="false"/>
          <w:smallCaps w:val="false"/>
          <w:sz w:val="24"/>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six months of fiscal year 2026 or fiscal year 2025.</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tests for recoverability of an asset group by comparing its carrying amount to its estimated undiscounted future cash flows. If the carrying amount exceeds its estimated undiscounted future</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14 </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cash flows, the Company recognizes an impairment charge for the amount by which the asset group’s carrying amount exceeds its fair value, if any.</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Investments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are met. The excess of the carrying value over the underlying equity in the net assets of equity method investees is allocated to specific assets and liabilities. Investments in businesses that the Company does not control but over which it has the ability to exercise significant influence over operating and financial matters are accounted for using the equity method. The Company accounts for its investment in Big River using the equity method of accounting and includes the results on a delayed basis of one month as Big River has a fiscal year end of December 31.</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Short-term investments, consisting of U.S. government obligations, are considered held to maturity, and therefore are carried at amortized historical cost.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Recently Issued Accounting Standards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November 2024, the FASB issued ASU 2024-03, “</w:t>
      </w:r>
      <w:r>
        <w:rPr>
          <w:rFonts w:ascii="Times New Roman;Times;Serif" w:hAnsi="Times New Roman;Times;Serif"/>
          <w:b w:val="false"/>
          <w:i/>
          <w:caps w:val="false"/>
          <w:smallCaps w:val="false"/>
          <w:sz w:val="24"/>
        </w:rPr>
        <w:t>Income Statement - Reporting Comprehensive Income - Expense Disaggregation Disclosures (Subtopic 220-40)</w:t>
      </w:r>
      <w:r>
        <w:rPr>
          <w:rFonts w:ascii="Times New Roman;Times;Serif" w:hAnsi="Times New Roman;Times;Serif"/>
          <w:b w:val="false"/>
          <w:i w:val="false"/>
          <w:caps w:val="false"/>
          <w:smallCaps w:val="false"/>
          <w:sz w:val="24"/>
        </w:rPr>
        <w:t>”, which provides clarity in assessing an entity’s performance and prospects for future cash flows by disclosure of more detailed information about the types of expenses in commonly presented expense captions. This ASU is effective for the Company’s fiscal year ended January 31, 2028. The Company is currently evaluating the impact of this ASU.</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May 2026, the FASB issued ASU 2026-02, “</w:t>
      </w:r>
      <w:r>
        <w:rPr>
          <w:rFonts w:ascii="Times New Roman;Times;Serif" w:hAnsi="Times New Roman;Times;Serif"/>
          <w:b w:val="false"/>
          <w:i/>
          <w:caps w:val="false"/>
          <w:smallCaps w:val="false"/>
          <w:sz w:val="24"/>
        </w:rPr>
        <w:t>Environmental Credits and Environmental Credit Obligations (Topic 818)”</w:t>
      </w:r>
      <w:r>
        <w:rPr>
          <w:rFonts w:ascii="Times New Roman;Times;Serif" w:hAnsi="Times New Roman;Times;Serif"/>
          <w:b w:val="false"/>
          <w:i w:val="false"/>
          <w:caps w:val="false"/>
          <w:smallCaps w:val="false"/>
          <w:sz w:val="24"/>
        </w:rPr>
        <w:t>, which establishes accounting and disclosure requirements for environmental credits and environmental credit obligations. The Company’s operations involve environmental credits, including RINs and EACs. This ASU is effective for the Company’s fiscal year ended January 31, 2029. The Company is currently evaluating the impact of the ASU on its accounting policies, financial statement presentation, and disclosures. The Company has not yet determined the impact that adoption of this standard will have on its consolidated financial statements and related disclosures.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15 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3. </w:t>
      </w:r>
      <w:r>
        <w:rPr>
          <w:rFonts w:ascii="Times New Roman;Times;Serif" w:hAnsi="Times New Roman;Times;Serif"/>
          <w:b/>
          <w:i/>
          <w:caps w:val="false"/>
          <w:smallCaps w:val="false"/>
          <w:sz w:val="24"/>
        </w:rPr>
        <w:t>Net Sales and Revenue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recognizes sales of products when obligations under the terms of the respective contracts with customers are satisfied. This occurs with the transfer of control of products, generally upon shipment from the ethanol plant or upon loading of the rail car or truck used to transport the products. Revenue is measured as the amount of consideration expected to be received in exchange for transferring goods. Sales, value added and other taxes the Company collects concurrently with revenue producing activities are excluded from net sales and revenue.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tables shows disaggregated revenue by product (amounts in thousands):</w:t>
      </w:r>
    </w:p>
    <w:p>
      <w:pPr>
        <w:pStyle w:val="TextBody"/>
        <w:bidi w:val="0"/>
        <w:ind w:left="0" w:right="0" w:firstLine="720"/>
        <w:jc w:val="left"/>
        <w:rPr>
          <w:caps w:val="false"/>
          <w:smallCaps w:val="false"/>
        </w:rPr>
      </w:pPr>
      <w:r>
        <w:rPr>
          <w:caps w:val="false"/>
          <w:smallCaps w:val="false"/>
        </w:rPr>
        <w:t> </w:t>
      </w:r>
    </w:p>
    <w:tbl>
      <w:tblPr>
        <w:tblW w:w="9266" w:type="dxa"/>
        <w:jc w:val="left"/>
        <w:tblInd w:w="0" w:type="dxa"/>
        <w:tblLayout w:type="fixed"/>
        <w:tblCellMar>
          <w:top w:w="0" w:type="dxa"/>
          <w:left w:w="0" w:type="dxa"/>
          <w:bottom w:w="0" w:type="dxa"/>
          <w:right w:w="0" w:type="dxa"/>
        </w:tblCellMar>
      </w:tblPr>
      <w:tblGrid>
        <w:gridCol w:w="4385"/>
        <w:gridCol w:w="90"/>
        <w:gridCol w:w="179"/>
        <w:gridCol w:w="875"/>
        <w:gridCol w:w="94"/>
        <w:gridCol w:w="94"/>
        <w:gridCol w:w="179"/>
        <w:gridCol w:w="875"/>
        <w:gridCol w:w="90"/>
        <w:gridCol w:w="90"/>
        <w:gridCol w:w="170"/>
        <w:gridCol w:w="830"/>
        <w:gridCol w:w="90"/>
        <w:gridCol w:w="90"/>
        <w:gridCol w:w="170"/>
        <w:gridCol w:w="830"/>
        <w:gridCol w:w="135"/>
      </w:tblGrid>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6" w:type="dxa"/>
            <w:gridSpan w:val="6"/>
            <w:tcBorders/>
            <w:vAlign w:val="center"/>
          </w:tcPr>
          <w:p>
            <w:pPr>
              <w:pStyle w:val="TableContents"/>
              <w:bidi w:val="0"/>
              <w:spacing w:before="0" w:after="283"/>
              <w:jc w:val="center"/>
              <w:rPr>
                <w:b/>
              </w:rPr>
            </w:pPr>
            <w:r>
              <w:rPr>
                <w:b/>
              </w:rPr>
              <w:t xml:space="preserve">Three Months Ended </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 xml:space="preserve">Six Months Ended </w:t>
              <w:br/>
              <w:t>July 31,</w:t>
            </w:r>
          </w:p>
        </w:tc>
        <w:tc>
          <w:tcPr>
            <w:tcW w:w="13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Ethanol</w:t>
            </w:r>
          </w:p>
        </w:tc>
        <w:tc>
          <w:tcPr>
            <w:tcW w:w="90" w:type="dxa"/>
            <w:tcBorders/>
            <w:shd w:fill="E5FFFF" w:val="clear"/>
            <w:vAlign w:val="center"/>
          </w:tcPr>
          <w:p>
            <w:pPr>
              <w:pStyle w:val="TableContents"/>
              <w:bidi w:val="0"/>
              <w:spacing w:before="0" w:after="283"/>
              <w:jc w:val="left"/>
              <w:rPr/>
            </w:pPr>
            <w:r>
              <w:rPr/>
              <w:t> </w:t>
            </w:r>
          </w:p>
        </w:tc>
        <w:tc>
          <w:tcPr>
            <w:tcW w:w="179" w:type="dxa"/>
            <w:tcBorders/>
            <w:shd w:fill="E5FFFF" w:val="clear"/>
            <w:vAlign w:val="center"/>
          </w:tcPr>
          <w:p>
            <w:pPr>
              <w:pStyle w:val="TableContents"/>
              <w:bidi w:val="0"/>
              <w:spacing w:before="0" w:after="283"/>
              <w:jc w:val="left"/>
              <w:rPr/>
            </w:pPr>
            <w:r>
              <w:rPr/>
              <w:t>$</w:t>
            </w:r>
          </w:p>
        </w:tc>
        <w:tc>
          <w:tcPr>
            <w:tcW w:w="875" w:type="dxa"/>
            <w:tcBorders/>
            <w:shd w:fill="E5FFFF" w:val="clear"/>
            <w:vAlign w:val="center"/>
          </w:tcPr>
          <w:p>
            <w:pPr>
              <w:pStyle w:val="TableContents"/>
              <w:bidi w:val="0"/>
              <w:spacing w:before="0" w:after="283"/>
              <w:jc w:val="right"/>
              <w:rPr/>
            </w:pPr>
            <w:r>
              <w:rPr/>
              <w:t>125,777</w:t>
            </w:r>
          </w:p>
        </w:tc>
        <w:tc>
          <w:tcPr>
            <w:tcW w:w="94" w:type="dxa"/>
            <w:tcBorders/>
            <w:shd w:fill="E5FFFF" w:val="clear"/>
            <w:vAlign w:val="center"/>
          </w:tcPr>
          <w:p>
            <w:pPr>
              <w:pStyle w:val="TableContents"/>
              <w:bidi w:val="0"/>
              <w:spacing w:before="0" w:after="283"/>
              <w:jc w:val="left"/>
              <w:rPr/>
            </w:pPr>
            <w:r>
              <w:rPr/>
              <w:t> </w:t>
            </w:r>
          </w:p>
        </w:tc>
        <w:tc>
          <w:tcPr>
            <w:tcW w:w="94" w:type="dxa"/>
            <w:tcBorders/>
            <w:shd w:fill="E5FFFF" w:val="clear"/>
            <w:vAlign w:val="center"/>
          </w:tcPr>
          <w:p>
            <w:pPr>
              <w:pStyle w:val="TableContents"/>
              <w:bidi w:val="0"/>
              <w:spacing w:before="0" w:after="283"/>
              <w:jc w:val="left"/>
              <w:rPr/>
            </w:pPr>
            <w:r>
              <w:rPr/>
              <w:t> </w:t>
            </w:r>
          </w:p>
        </w:tc>
        <w:tc>
          <w:tcPr>
            <w:tcW w:w="179" w:type="dxa"/>
            <w:tcBorders/>
            <w:shd w:fill="E5FFFF" w:val="clear"/>
            <w:vAlign w:val="center"/>
          </w:tcPr>
          <w:p>
            <w:pPr>
              <w:pStyle w:val="TableContents"/>
              <w:bidi w:val="0"/>
              <w:spacing w:before="0" w:after="283"/>
              <w:jc w:val="left"/>
              <w:rPr/>
            </w:pPr>
            <w:r>
              <w:rPr/>
              <w:t>$</w:t>
            </w:r>
          </w:p>
        </w:tc>
        <w:tc>
          <w:tcPr>
            <w:tcW w:w="875" w:type="dxa"/>
            <w:tcBorders/>
            <w:shd w:fill="E5FFFF" w:val="clear"/>
            <w:vAlign w:val="center"/>
          </w:tcPr>
          <w:p>
            <w:pPr>
              <w:pStyle w:val="TableContents"/>
              <w:bidi w:val="0"/>
              <w:spacing w:before="0" w:after="283"/>
              <w:jc w:val="right"/>
              <w:rPr/>
            </w:pPr>
            <w:r>
              <w:rPr/>
              <w:t>123,312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245,658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247,709</w:t>
            </w:r>
          </w:p>
        </w:tc>
        <w:tc>
          <w:tcPr>
            <w:tcW w:w="135" w:type="dxa"/>
            <w:tcBorders/>
            <w:shd w:fill="E5FF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Dried distillers grains</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24,163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21,260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48,326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43,546</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Distillers corn oil</w:t>
            </w:r>
          </w:p>
        </w:tc>
        <w:tc>
          <w:tcPr>
            <w:tcW w:w="90" w:type="dxa"/>
            <w:tcBorders/>
            <w:shd w:fill="E5FFFF" w:val="clear"/>
            <w:vAlign w:val="center"/>
          </w:tcPr>
          <w:p>
            <w:pPr>
              <w:pStyle w:val="TableContents"/>
              <w:bidi w:val="0"/>
              <w:spacing w:before="0" w:after="283"/>
              <w:jc w:val="left"/>
              <w:rPr/>
            </w:pPr>
            <w:r>
              <w:rPr/>
              <w:t> </w:t>
            </w:r>
          </w:p>
        </w:tc>
        <w:tc>
          <w:tcPr>
            <w:tcW w:w="179" w:type="dxa"/>
            <w:tcBorders/>
            <w:shd w:fill="E5FFFF" w:val="clear"/>
            <w:vAlign w:val="center"/>
          </w:tcPr>
          <w:p>
            <w:pPr>
              <w:pStyle w:val="TableContents"/>
              <w:bidi w:val="0"/>
              <w:spacing w:before="0" w:after="283"/>
              <w:jc w:val="left"/>
              <w:rPr/>
            </w:pPr>
            <w:r>
              <w:rPr/>
              <w:t> </w:t>
            </w:r>
          </w:p>
        </w:tc>
        <w:tc>
          <w:tcPr>
            <w:tcW w:w="875" w:type="dxa"/>
            <w:tcBorders/>
            <w:shd w:fill="E5FFFF" w:val="clear"/>
            <w:vAlign w:val="center"/>
          </w:tcPr>
          <w:p>
            <w:pPr>
              <w:pStyle w:val="TableContents"/>
              <w:bidi w:val="0"/>
              <w:spacing w:before="0" w:after="283"/>
              <w:jc w:val="right"/>
              <w:rPr/>
            </w:pPr>
            <w:r>
              <w:rPr/>
              <w:t>17,589</w:t>
            </w:r>
          </w:p>
        </w:tc>
        <w:tc>
          <w:tcPr>
            <w:tcW w:w="94" w:type="dxa"/>
            <w:tcBorders/>
            <w:shd w:fill="E5FFFF" w:val="clear"/>
            <w:vAlign w:val="center"/>
          </w:tcPr>
          <w:p>
            <w:pPr>
              <w:pStyle w:val="TableContents"/>
              <w:bidi w:val="0"/>
              <w:spacing w:before="0" w:after="283"/>
              <w:jc w:val="left"/>
              <w:rPr/>
            </w:pPr>
            <w:r>
              <w:rPr/>
              <w:t> </w:t>
            </w:r>
          </w:p>
        </w:tc>
        <w:tc>
          <w:tcPr>
            <w:tcW w:w="94" w:type="dxa"/>
            <w:tcBorders/>
            <w:shd w:fill="E5FFFF" w:val="clear"/>
            <w:vAlign w:val="center"/>
          </w:tcPr>
          <w:p>
            <w:pPr>
              <w:pStyle w:val="TableContents"/>
              <w:bidi w:val="0"/>
              <w:spacing w:before="0" w:after="283"/>
              <w:jc w:val="left"/>
              <w:rPr/>
            </w:pPr>
            <w:r>
              <w:rPr/>
              <w:t> </w:t>
            </w:r>
          </w:p>
        </w:tc>
        <w:tc>
          <w:tcPr>
            <w:tcW w:w="179" w:type="dxa"/>
            <w:tcBorders/>
            <w:shd w:fill="E5FFFF" w:val="clear"/>
            <w:vAlign w:val="center"/>
          </w:tcPr>
          <w:p>
            <w:pPr>
              <w:pStyle w:val="TableContents"/>
              <w:bidi w:val="0"/>
              <w:spacing w:before="0" w:after="283"/>
              <w:jc w:val="left"/>
              <w:rPr/>
            </w:pPr>
            <w:r>
              <w:rPr/>
              <w:t> </w:t>
            </w:r>
          </w:p>
        </w:tc>
        <w:tc>
          <w:tcPr>
            <w:tcW w:w="875" w:type="dxa"/>
            <w:tcBorders/>
            <w:shd w:fill="E5FFFF" w:val="clear"/>
            <w:vAlign w:val="center"/>
          </w:tcPr>
          <w:p>
            <w:pPr>
              <w:pStyle w:val="TableContents"/>
              <w:bidi w:val="0"/>
              <w:spacing w:before="0" w:after="283"/>
              <w:jc w:val="right"/>
              <w:rPr/>
            </w:pPr>
            <w:r>
              <w:rPr/>
              <w:t>12,509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30,545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22,388</w:t>
            </w:r>
          </w:p>
        </w:tc>
        <w:tc>
          <w:tcPr>
            <w:tcW w:w="135" w:type="dxa"/>
            <w:tcBorders/>
            <w:shd w:fill="E5FF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Modified distillers grains</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2,873</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Derivative financial instruments gains (losses)</w:t>
            </w:r>
          </w:p>
        </w:tc>
        <w:tc>
          <w:tcPr>
            <w:tcW w:w="90" w:type="dxa"/>
            <w:tcBorders/>
            <w:shd w:fill="E5FFFF" w:val="clear"/>
            <w:vAlign w:val="center"/>
          </w:tcPr>
          <w:p>
            <w:pPr>
              <w:pStyle w:val="TableContents"/>
              <w:bidi w:val="0"/>
              <w:spacing w:before="0" w:after="283"/>
              <w:jc w:val="left"/>
              <w:rPr/>
            </w:pPr>
            <w:r>
              <w:rPr/>
              <w:t> </w:t>
            </w:r>
          </w:p>
        </w:tc>
        <w:tc>
          <w:tcPr>
            <w:tcW w:w="179" w:type="dxa"/>
            <w:tcBorders/>
            <w:shd w:fill="E5FFFF" w:val="clear"/>
            <w:vAlign w:val="center"/>
          </w:tcPr>
          <w:p>
            <w:pPr>
              <w:pStyle w:val="TableContents"/>
              <w:bidi w:val="0"/>
              <w:spacing w:before="0" w:after="283"/>
              <w:jc w:val="left"/>
              <w:rPr/>
            </w:pPr>
            <w:r>
              <w:rPr/>
              <w:t> </w:t>
            </w:r>
          </w:p>
        </w:tc>
        <w:tc>
          <w:tcPr>
            <w:tcW w:w="875" w:type="dxa"/>
            <w:tcBorders/>
            <w:shd w:fill="E5FFFF" w:val="clear"/>
            <w:vAlign w:val="center"/>
          </w:tcPr>
          <w:p>
            <w:pPr>
              <w:pStyle w:val="TableContents"/>
              <w:bidi w:val="0"/>
              <w:spacing w:before="0" w:after="283"/>
              <w:jc w:val="right"/>
              <w:rPr/>
            </w:pPr>
            <w:r>
              <w:rPr/>
              <w:t>62</w:t>
            </w:r>
          </w:p>
        </w:tc>
        <w:tc>
          <w:tcPr>
            <w:tcW w:w="94" w:type="dxa"/>
            <w:tcBorders/>
            <w:shd w:fill="E5FFFF" w:val="clear"/>
            <w:vAlign w:val="center"/>
          </w:tcPr>
          <w:p>
            <w:pPr>
              <w:pStyle w:val="TableContents"/>
              <w:bidi w:val="0"/>
              <w:spacing w:before="0" w:after="283"/>
              <w:jc w:val="left"/>
              <w:rPr/>
            </w:pPr>
            <w:r>
              <w:rPr/>
              <w:t> </w:t>
            </w:r>
          </w:p>
        </w:tc>
        <w:tc>
          <w:tcPr>
            <w:tcW w:w="94" w:type="dxa"/>
            <w:tcBorders/>
            <w:shd w:fill="E5FFFF" w:val="clear"/>
            <w:vAlign w:val="center"/>
          </w:tcPr>
          <w:p>
            <w:pPr>
              <w:pStyle w:val="TableContents"/>
              <w:bidi w:val="0"/>
              <w:spacing w:before="0" w:after="283"/>
              <w:jc w:val="left"/>
              <w:rPr/>
            </w:pPr>
            <w:r>
              <w:rPr/>
              <w:t> </w:t>
            </w:r>
          </w:p>
        </w:tc>
        <w:tc>
          <w:tcPr>
            <w:tcW w:w="179" w:type="dxa"/>
            <w:tcBorders/>
            <w:shd w:fill="E5FFFF" w:val="clear"/>
            <w:vAlign w:val="center"/>
          </w:tcPr>
          <w:p>
            <w:pPr>
              <w:pStyle w:val="TableContents"/>
              <w:bidi w:val="0"/>
              <w:spacing w:before="0" w:after="283"/>
              <w:jc w:val="left"/>
              <w:rPr/>
            </w:pPr>
            <w:r>
              <w:rPr/>
              <w:t> </w:t>
            </w:r>
          </w:p>
        </w:tc>
        <w:tc>
          <w:tcPr>
            <w:tcW w:w="875" w:type="dxa"/>
            <w:tcBorders/>
            <w:shd w:fill="E5FFFF" w:val="clear"/>
            <w:vAlign w:val="center"/>
          </w:tcPr>
          <w:p>
            <w:pPr>
              <w:pStyle w:val="TableContents"/>
              <w:bidi w:val="0"/>
              <w:spacing w:before="0" w:after="283"/>
              <w:jc w:val="right"/>
              <w:rPr/>
            </w:pPr>
            <w:r>
              <w:rPr/>
              <w:t>201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(1,513)</w:t>
            </w:r>
          </w:p>
        </w:tc>
        <w:tc>
          <w:tcPr>
            <w:tcW w:w="90" w:type="dxa"/>
            <w:tcBorders/>
            <w:shd w:fill="E5FFFF" w:val="clear"/>
            <w:vAlign w:val="center"/>
          </w:tcPr>
          <w:p>
            <w:pPr>
              <w:pStyle w:val="TableContents"/>
              <w:bidi w:val="0"/>
              <w:spacing w:before="0" w:after="283"/>
              <w:jc w:val="left"/>
              <w:rPr>
                <w:sz w:val="4"/>
                <w:szCs w:val="4"/>
              </w:rPr>
            </w:pPr>
            <w:r>
              <w:rPr>
                <w:sz w:val="4"/>
                <w:szCs w:val="4"/>
              </w:rPr>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218</w:t>
            </w:r>
          </w:p>
        </w:tc>
        <w:tc>
          <w:tcPr>
            <w:tcW w:w="135" w:type="dxa"/>
            <w:tcBorders/>
            <w:shd w:fill="E5FF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9"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right"/>
              <w:rPr/>
            </w:pPr>
            <w:r>
              <w:rPr/>
              <w:t>91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right"/>
              <w:rPr/>
            </w:pPr>
            <w:r>
              <w:rPr/>
              <w:t>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169</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Total</w:t>
            </w:r>
          </w:p>
        </w:tc>
        <w:tc>
          <w:tcPr>
            <w:tcW w:w="90" w:type="dxa"/>
            <w:tcBorders/>
            <w:shd w:fill="E5FFFF" w:val="clear"/>
            <w:vAlign w:val="center"/>
          </w:tcPr>
          <w:p>
            <w:pPr>
              <w:pStyle w:val="TableContents"/>
              <w:bidi w:val="0"/>
              <w:spacing w:before="0" w:after="283"/>
              <w:jc w:val="left"/>
              <w:rPr/>
            </w:pPr>
            <w:r>
              <w:rPr/>
              <w:t> </w:t>
            </w:r>
          </w:p>
        </w:tc>
        <w:tc>
          <w:tcPr>
            <w:tcW w:w="179"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E5FFFF" w:val="clear"/>
            <w:tcMar>
              <w:bottom w:w="28" w:type="dxa"/>
            </w:tcMar>
            <w:vAlign w:val="center"/>
          </w:tcPr>
          <w:p>
            <w:pPr>
              <w:pStyle w:val="TableContents"/>
              <w:bidi w:val="0"/>
              <w:spacing w:before="0" w:after="283"/>
              <w:jc w:val="right"/>
              <w:rPr/>
            </w:pPr>
            <w:r>
              <w:rPr/>
              <w:t>168,493</w:t>
            </w:r>
          </w:p>
        </w:tc>
        <w:tc>
          <w:tcPr>
            <w:tcW w:w="94" w:type="dxa"/>
            <w:tcBorders/>
            <w:shd w:fill="E5FFFF" w:val="clear"/>
            <w:vAlign w:val="center"/>
          </w:tcPr>
          <w:p>
            <w:pPr>
              <w:pStyle w:val="TableContents"/>
              <w:bidi w:val="0"/>
              <w:spacing w:before="0" w:after="283"/>
              <w:jc w:val="left"/>
              <w:rPr/>
            </w:pPr>
            <w:r>
              <w:rPr/>
              <w:t> </w:t>
            </w:r>
          </w:p>
        </w:tc>
        <w:tc>
          <w:tcPr>
            <w:tcW w:w="94" w:type="dxa"/>
            <w:tcBorders/>
            <w:shd w:fill="E5FFFF" w:val="clear"/>
            <w:vAlign w:val="center"/>
          </w:tcPr>
          <w:p>
            <w:pPr>
              <w:pStyle w:val="TableContents"/>
              <w:bidi w:val="0"/>
              <w:spacing w:before="0" w:after="283"/>
              <w:jc w:val="left"/>
              <w:rPr/>
            </w:pPr>
            <w:r>
              <w:rPr/>
              <w:t> </w:t>
            </w:r>
          </w:p>
        </w:tc>
        <w:tc>
          <w:tcPr>
            <w:tcW w:w="179"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E5FFFF" w:val="clear"/>
            <w:tcMar>
              <w:bottom w:w="28" w:type="dxa"/>
            </w:tcMar>
            <w:vAlign w:val="center"/>
          </w:tcPr>
          <w:p>
            <w:pPr>
              <w:pStyle w:val="TableContents"/>
              <w:bidi w:val="0"/>
              <w:spacing w:before="0" w:after="283"/>
              <w:jc w:val="right"/>
              <w:rPr/>
            </w:pPr>
            <w:r>
              <w:rPr/>
              <w:t>158,563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324,992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316,903</w:t>
            </w:r>
          </w:p>
        </w:tc>
        <w:tc>
          <w:tcPr>
            <w:tcW w:w="135"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4. </w:t>
      </w:r>
      <w:r>
        <w:rPr>
          <w:rFonts w:ascii="Times New Roman;Times;Serif" w:hAnsi="Times New Roman;Times;Serif"/>
          <w:b/>
          <w:i/>
          <w:caps w:val="false"/>
          <w:smallCaps w:val="false"/>
          <w:sz w:val="24"/>
        </w:rPr>
        <w:t>Leases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Operating Leases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16 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components of lease expense, classified as SG&amp;A expenses on the Consolidated Statement of Operations and total cash paid for amounts included in the measurement of lease liabilities are as follows (amounts in thousands):</w:t>
      </w:r>
    </w:p>
    <w:p>
      <w:pPr>
        <w:pStyle w:val="TextBody"/>
        <w:bidi w:val="0"/>
        <w:ind w:left="0" w:right="0" w:firstLine="720"/>
        <w:jc w:val="left"/>
        <w:rPr>
          <w:caps w:val="false"/>
          <w:smallCaps w:val="false"/>
        </w:rPr>
      </w:pPr>
      <w:r>
        <w:rPr>
          <w:caps w:val="false"/>
          <w:smallCaps w:val="false"/>
        </w:rPr>
        <w:t> </w:t>
      </w:r>
    </w:p>
    <w:tbl>
      <w:tblPr>
        <w:tblW w:w="9176" w:type="dxa"/>
        <w:jc w:val="left"/>
        <w:tblInd w:w="0" w:type="dxa"/>
        <w:tblLayout w:type="fixed"/>
        <w:tblCellMar>
          <w:top w:w="0" w:type="dxa"/>
          <w:left w:w="0" w:type="dxa"/>
          <w:bottom w:w="0" w:type="dxa"/>
          <w:right w:w="0" w:type="dxa"/>
        </w:tblCellMar>
      </w:tblPr>
      <w:tblGrid>
        <w:gridCol w:w="4595"/>
        <w:gridCol w:w="90"/>
        <w:gridCol w:w="224"/>
        <w:gridCol w:w="777"/>
        <w:gridCol w:w="118"/>
        <w:gridCol w:w="118"/>
        <w:gridCol w:w="224"/>
        <w:gridCol w:w="777"/>
        <w:gridCol w:w="90"/>
        <w:gridCol w:w="90"/>
        <w:gridCol w:w="194"/>
        <w:gridCol w:w="673"/>
        <w:gridCol w:w="102"/>
        <w:gridCol w:w="102"/>
        <w:gridCol w:w="194"/>
        <w:gridCol w:w="673"/>
        <w:gridCol w:w="135"/>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vAlign w:val="center"/>
          </w:tcPr>
          <w:p>
            <w:pPr>
              <w:pStyle w:val="TableContents"/>
              <w:bidi w:val="0"/>
              <w:spacing w:before="0" w:after="283"/>
              <w:jc w:val="center"/>
              <w:rPr>
                <w:b/>
              </w:rPr>
            </w:pPr>
            <w:r>
              <w:rPr>
                <w:b/>
              </w:rPr>
              <w:t>Three Months Ended</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8" w:type="dxa"/>
            <w:gridSpan w:val="6"/>
            <w:tcBorders/>
            <w:vAlign w:val="center"/>
          </w:tcPr>
          <w:p>
            <w:pPr>
              <w:pStyle w:val="TableContents"/>
              <w:bidi w:val="0"/>
              <w:spacing w:before="0" w:after="283"/>
              <w:jc w:val="center"/>
              <w:rPr>
                <w:b/>
              </w:rPr>
            </w:pPr>
            <w:r>
              <w:rPr>
                <w:b/>
              </w:rPr>
              <w:t>Six Months Ended</w:t>
              <w:br/>
              <w:t>July 31,</w:t>
            </w:r>
          </w:p>
        </w:tc>
        <w:tc>
          <w:tcPr>
            <w:tcW w:w="13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595" w:type="dxa"/>
            <w:tcBorders/>
            <w:shd w:fill="E5FFFF" w:val="clear"/>
            <w:vAlign w:val="center"/>
          </w:tcPr>
          <w:p>
            <w:pPr>
              <w:pStyle w:val="TableContents"/>
              <w:bidi w:val="0"/>
              <w:spacing w:before="0" w:after="283"/>
              <w:jc w:val="left"/>
              <w:rPr/>
            </w:pPr>
            <w:r>
              <w:rPr/>
              <w:t>Operating lease expense</w:t>
            </w:r>
          </w:p>
        </w:tc>
        <w:tc>
          <w:tcPr>
            <w:tcW w:w="90" w:type="dxa"/>
            <w:tcBorders/>
            <w:shd w:fill="E5FFFF" w:val="clear"/>
            <w:vAlign w:val="center"/>
          </w:tcPr>
          <w:p>
            <w:pPr>
              <w:pStyle w:val="TableContents"/>
              <w:bidi w:val="0"/>
              <w:spacing w:before="0" w:after="283"/>
              <w:jc w:val="left"/>
              <w:rPr/>
            </w:pPr>
            <w:r>
              <w:rPr/>
              <w:t> </w:t>
            </w:r>
          </w:p>
        </w:tc>
        <w:tc>
          <w:tcPr>
            <w:tcW w:w="224" w:type="dxa"/>
            <w:tcBorders/>
            <w:shd w:fill="E5FFFF" w:val="clear"/>
            <w:vAlign w:val="center"/>
          </w:tcPr>
          <w:p>
            <w:pPr>
              <w:pStyle w:val="TableContents"/>
              <w:bidi w:val="0"/>
              <w:spacing w:before="0" w:after="283"/>
              <w:jc w:val="left"/>
              <w:rPr/>
            </w:pPr>
            <w:r>
              <w:rPr/>
              <w:t>$</w:t>
            </w:r>
          </w:p>
        </w:tc>
        <w:tc>
          <w:tcPr>
            <w:tcW w:w="777" w:type="dxa"/>
            <w:tcBorders/>
            <w:shd w:fill="E5FFFF" w:val="clear"/>
            <w:vAlign w:val="center"/>
          </w:tcPr>
          <w:p>
            <w:pPr>
              <w:pStyle w:val="TableContents"/>
              <w:bidi w:val="0"/>
              <w:spacing w:before="0" w:after="283"/>
              <w:jc w:val="right"/>
              <w:rPr/>
            </w:pPr>
            <w:r>
              <w:rPr/>
              <w:t>2,019</w:t>
            </w:r>
          </w:p>
        </w:tc>
        <w:tc>
          <w:tcPr>
            <w:tcW w:w="118" w:type="dxa"/>
            <w:tcBorders/>
            <w:shd w:fill="E5FFFF" w:val="clear"/>
            <w:vAlign w:val="center"/>
          </w:tcPr>
          <w:p>
            <w:pPr>
              <w:pStyle w:val="TableContents"/>
              <w:bidi w:val="0"/>
              <w:spacing w:before="0" w:after="283"/>
              <w:jc w:val="left"/>
              <w:rPr/>
            </w:pPr>
            <w:r>
              <w:rPr/>
              <w:t> </w:t>
            </w:r>
          </w:p>
        </w:tc>
        <w:tc>
          <w:tcPr>
            <w:tcW w:w="118" w:type="dxa"/>
            <w:tcBorders/>
            <w:shd w:fill="E5FFFF" w:val="clear"/>
            <w:vAlign w:val="center"/>
          </w:tcPr>
          <w:p>
            <w:pPr>
              <w:pStyle w:val="TableContents"/>
              <w:bidi w:val="0"/>
              <w:spacing w:before="0" w:after="283"/>
              <w:jc w:val="left"/>
              <w:rPr/>
            </w:pPr>
            <w:r>
              <w:rPr/>
              <w:t> </w:t>
            </w:r>
          </w:p>
        </w:tc>
        <w:tc>
          <w:tcPr>
            <w:tcW w:w="224" w:type="dxa"/>
            <w:tcBorders/>
            <w:shd w:fill="E5FFFF" w:val="clear"/>
            <w:vAlign w:val="center"/>
          </w:tcPr>
          <w:p>
            <w:pPr>
              <w:pStyle w:val="TableContents"/>
              <w:bidi w:val="0"/>
              <w:spacing w:before="0" w:after="283"/>
              <w:jc w:val="left"/>
              <w:rPr/>
            </w:pPr>
            <w:r>
              <w:rPr/>
              <w:t>$</w:t>
            </w:r>
          </w:p>
        </w:tc>
        <w:tc>
          <w:tcPr>
            <w:tcW w:w="777" w:type="dxa"/>
            <w:tcBorders/>
            <w:shd w:fill="E5FFFF" w:val="clear"/>
            <w:vAlign w:val="center"/>
          </w:tcPr>
          <w:p>
            <w:pPr>
              <w:pStyle w:val="TableContents"/>
              <w:bidi w:val="0"/>
              <w:spacing w:before="0" w:after="283"/>
              <w:jc w:val="right"/>
              <w:rPr/>
            </w:pPr>
            <w:r>
              <w:rPr/>
              <w:t>2,066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4" w:type="dxa"/>
            <w:tcBorders/>
            <w:shd w:fill="E5FFFF" w:val="clear"/>
            <w:vAlign w:val="center"/>
          </w:tcPr>
          <w:p>
            <w:pPr>
              <w:pStyle w:val="TableContents"/>
              <w:bidi w:val="0"/>
              <w:spacing w:before="0" w:after="283"/>
              <w:jc w:val="left"/>
              <w:rPr/>
            </w:pPr>
            <w:r>
              <w:rPr/>
              <w:t>$</w:t>
            </w:r>
          </w:p>
        </w:tc>
        <w:tc>
          <w:tcPr>
            <w:tcW w:w="673" w:type="dxa"/>
            <w:tcBorders/>
            <w:shd w:fill="E5FFFF" w:val="clear"/>
            <w:vAlign w:val="center"/>
          </w:tcPr>
          <w:p>
            <w:pPr>
              <w:pStyle w:val="TableContents"/>
              <w:bidi w:val="0"/>
              <w:spacing w:before="0" w:after="283"/>
              <w:jc w:val="right"/>
              <w:rPr/>
            </w:pPr>
            <w:r>
              <w:rPr/>
              <w:t>4,071</w:t>
            </w:r>
          </w:p>
        </w:tc>
        <w:tc>
          <w:tcPr>
            <w:tcW w:w="102" w:type="dxa"/>
            <w:tcBorders/>
            <w:shd w:fill="E5FFFF" w:val="clear"/>
            <w:vAlign w:val="center"/>
          </w:tcPr>
          <w:p>
            <w:pPr>
              <w:pStyle w:val="TableContents"/>
              <w:bidi w:val="0"/>
              <w:spacing w:before="0" w:after="283"/>
              <w:jc w:val="left"/>
              <w:rPr/>
            </w:pPr>
            <w:r>
              <w:rPr/>
              <w:t> </w:t>
            </w:r>
          </w:p>
        </w:tc>
        <w:tc>
          <w:tcPr>
            <w:tcW w:w="102" w:type="dxa"/>
            <w:tcBorders/>
            <w:shd w:fill="E5FFFF" w:val="clear"/>
            <w:vAlign w:val="center"/>
          </w:tcPr>
          <w:p>
            <w:pPr>
              <w:pStyle w:val="TableContents"/>
              <w:bidi w:val="0"/>
              <w:spacing w:before="0" w:after="283"/>
              <w:jc w:val="left"/>
              <w:rPr/>
            </w:pPr>
            <w:r>
              <w:rPr/>
              <w:t> </w:t>
            </w:r>
          </w:p>
        </w:tc>
        <w:tc>
          <w:tcPr>
            <w:tcW w:w="194" w:type="dxa"/>
            <w:tcBorders/>
            <w:shd w:fill="E5FFFF" w:val="clear"/>
            <w:vAlign w:val="center"/>
          </w:tcPr>
          <w:p>
            <w:pPr>
              <w:pStyle w:val="TableContents"/>
              <w:bidi w:val="0"/>
              <w:spacing w:before="0" w:after="283"/>
              <w:jc w:val="left"/>
              <w:rPr/>
            </w:pPr>
            <w:r>
              <w:rPr/>
              <w:t>$</w:t>
            </w:r>
          </w:p>
        </w:tc>
        <w:tc>
          <w:tcPr>
            <w:tcW w:w="673" w:type="dxa"/>
            <w:tcBorders/>
            <w:shd w:fill="E5FFFF" w:val="clear"/>
            <w:vAlign w:val="center"/>
          </w:tcPr>
          <w:p>
            <w:pPr>
              <w:pStyle w:val="TableContents"/>
              <w:bidi w:val="0"/>
              <w:spacing w:before="0" w:after="283"/>
              <w:jc w:val="right"/>
              <w:rPr/>
            </w:pPr>
            <w:r>
              <w:rPr/>
              <w:t>4,074</w:t>
            </w:r>
          </w:p>
        </w:tc>
        <w:tc>
          <w:tcPr>
            <w:tcW w:w="135" w:type="dxa"/>
            <w:tcBorders/>
            <w:shd w:fill="E5FF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Variable lease expense</w:t>
            </w:r>
          </w:p>
        </w:tc>
        <w:tc>
          <w:tcPr>
            <w:tcW w:w="90" w:type="dxa"/>
            <w:tcBorders/>
            <w:vAlign w:val="center"/>
          </w:tcPr>
          <w:p>
            <w:pPr>
              <w:pStyle w:val="TableContents"/>
              <w:bidi w:val="0"/>
              <w:spacing w:before="0" w:after="283"/>
              <w:jc w:val="left"/>
              <w:rPr/>
            </w:pPr>
            <w:r>
              <w:rPr/>
              <w:t> </w:t>
            </w:r>
          </w:p>
        </w:tc>
        <w:tc>
          <w:tcPr>
            <w:tcW w:w="224" w:type="dxa"/>
            <w:tcBorders>
              <w:bottom w:val="single" w:sz="2" w:space="0" w:color="000000"/>
            </w:tcBorders>
            <w:tcMar>
              <w:bottom w:w="28" w:type="dxa"/>
            </w:tcMar>
            <w:vAlign w:val="center"/>
          </w:tcPr>
          <w:p>
            <w:pPr>
              <w:pStyle w:val="TableContents"/>
              <w:bidi w:val="0"/>
              <w:spacing w:before="0" w:after="283"/>
              <w:jc w:val="left"/>
              <w:rPr/>
            </w:pPr>
            <w:r>
              <w:rPr/>
              <w:t> </w:t>
            </w:r>
          </w:p>
        </w:tc>
        <w:tc>
          <w:tcPr>
            <w:tcW w:w="777" w:type="dxa"/>
            <w:tcBorders>
              <w:bottom w:val="single" w:sz="2" w:space="0" w:color="000000"/>
            </w:tcBorders>
            <w:tcMar>
              <w:bottom w:w="28" w:type="dxa"/>
            </w:tcMar>
            <w:vAlign w:val="center"/>
          </w:tcPr>
          <w:p>
            <w:pPr>
              <w:pStyle w:val="TableContents"/>
              <w:bidi w:val="0"/>
              <w:spacing w:before="0" w:after="283"/>
              <w:jc w:val="right"/>
              <w:rPr/>
            </w:pPr>
            <w:r>
              <w:rPr/>
              <w:t>22</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single" w:sz="2" w:space="0" w:color="000000"/>
            </w:tcBorders>
            <w:tcMar>
              <w:bottom w:w="28" w:type="dxa"/>
            </w:tcMar>
            <w:vAlign w:val="center"/>
          </w:tcPr>
          <w:p>
            <w:pPr>
              <w:pStyle w:val="TableContents"/>
              <w:bidi w:val="0"/>
              <w:spacing w:before="0" w:after="283"/>
              <w:jc w:val="left"/>
              <w:rPr/>
            </w:pPr>
            <w:r>
              <w:rPr/>
              <w:t> </w:t>
            </w:r>
          </w:p>
        </w:tc>
        <w:tc>
          <w:tcPr>
            <w:tcW w:w="777" w:type="dxa"/>
            <w:tcBorders>
              <w:bottom w:val="single" w:sz="2" w:space="0" w:color="000000"/>
            </w:tcBorders>
            <w:tcMar>
              <w:bottom w:w="28" w:type="dxa"/>
            </w:tcMar>
            <w:vAlign w:val="center"/>
          </w:tcPr>
          <w:p>
            <w:pPr>
              <w:pStyle w:val="TableContents"/>
              <w:bidi w:val="0"/>
              <w:spacing w:before="0" w:after="283"/>
              <w:jc w:val="right"/>
              <w:rPr/>
            </w:pPr>
            <w:r>
              <w:rPr/>
              <w:t>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673" w:type="dxa"/>
            <w:tcBorders>
              <w:bottom w:val="single" w:sz="2" w:space="0" w:color="000000"/>
            </w:tcBorders>
            <w:tcMar>
              <w:bottom w:w="28" w:type="dxa"/>
            </w:tcMar>
            <w:vAlign w:val="center"/>
          </w:tcPr>
          <w:p>
            <w:pPr>
              <w:pStyle w:val="TableContents"/>
              <w:bidi w:val="0"/>
              <w:spacing w:before="0" w:after="283"/>
              <w:jc w:val="right"/>
              <w:rPr/>
            </w:pPr>
            <w:r>
              <w:rPr/>
              <w:t>68</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673" w:type="dxa"/>
            <w:tcBorders>
              <w:bottom w:val="single" w:sz="2" w:space="0" w:color="000000"/>
            </w:tcBorders>
            <w:tcMar>
              <w:bottom w:w="28" w:type="dxa"/>
            </w:tcMar>
            <w:vAlign w:val="center"/>
          </w:tcPr>
          <w:p>
            <w:pPr>
              <w:pStyle w:val="TableContents"/>
              <w:bidi w:val="0"/>
              <w:spacing w:before="0" w:after="283"/>
              <w:jc w:val="right"/>
              <w:rPr/>
            </w:pPr>
            <w:r>
              <w:rPr/>
              <w:t>104</w:t>
            </w:r>
          </w:p>
        </w:tc>
        <w:tc>
          <w:tcPr>
            <w:tcW w:w="135" w:type="dxa"/>
            <w:tcBorders/>
            <w:vAlign w:val="center"/>
          </w:tcPr>
          <w:p>
            <w:pPr>
              <w:pStyle w:val="TableContents"/>
              <w:bidi w:val="0"/>
              <w:spacing w:before="0" w:after="283"/>
              <w:jc w:val="left"/>
              <w:rPr/>
            </w:pPr>
            <w:r>
              <w:rPr/>
              <w:t> </w:t>
            </w:r>
          </w:p>
        </w:tc>
      </w:tr>
      <w:tr>
        <w:trPr/>
        <w:tc>
          <w:tcPr>
            <w:tcW w:w="4595" w:type="dxa"/>
            <w:tcBorders/>
            <w:shd w:fill="E5FFFF" w:val="clear"/>
            <w:vAlign w:val="center"/>
          </w:tcPr>
          <w:p>
            <w:pPr>
              <w:pStyle w:val="TableContents"/>
              <w:bidi w:val="0"/>
              <w:spacing w:before="0" w:after="283"/>
              <w:jc w:val="left"/>
              <w:rPr/>
            </w:pPr>
            <w:r>
              <w:rPr/>
              <w:t>Total lease expense</w:t>
            </w:r>
          </w:p>
        </w:tc>
        <w:tc>
          <w:tcPr>
            <w:tcW w:w="90" w:type="dxa"/>
            <w:tcBorders/>
            <w:shd w:fill="E5FFFF" w:val="clear"/>
            <w:vAlign w:val="center"/>
          </w:tcPr>
          <w:p>
            <w:pPr>
              <w:pStyle w:val="TableContents"/>
              <w:bidi w:val="0"/>
              <w:spacing w:before="0" w:after="283"/>
              <w:jc w:val="left"/>
              <w:rPr/>
            </w:pPr>
            <w:r>
              <w:rPr/>
              <w:t> </w:t>
            </w:r>
          </w:p>
        </w:tc>
        <w:tc>
          <w:tcPr>
            <w:tcW w:w="22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shd w:fill="E5FFFF" w:val="clear"/>
            <w:tcMar>
              <w:bottom w:w="28" w:type="dxa"/>
            </w:tcMar>
            <w:vAlign w:val="center"/>
          </w:tcPr>
          <w:p>
            <w:pPr>
              <w:pStyle w:val="TableContents"/>
              <w:bidi w:val="0"/>
              <w:spacing w:before="0" w:after="283"/>
              <w:jc w:val="right"/>
              <w:rPr/>
            </w:pPr>
            <w:r>
              <w:rPr/>
              <w:t>2,041</w:t>
            </w:r>
          </w:p>
        </w:tc>
        <w:tc>
          <w:tcPr>
            <w:tcW w:w="118" w:type="dxa"/>
            <w:tcBorders/>
            <w:shd w:fill="E5FFFF" w:val="clear"/>
            <w:vAlign w:val="center"/>
          </w:tcPr>
          <w:p>
            <w:pPr>
              <w:pStyle w:val="TableContents"/>
              <w:bidi w:val="0"/>
              <w:spacing w:before="0" w:after="283"/>
              <w:jc w:val="left"/>
              <w:rPr/>
            </w:pPr>
            <w:r>
              <w:rPr/>
              <w:t> </w:t>
            </w:r>
          </w:p>
        </w:tc>
        <w:tc>
          <w:tcPr>
            <w:tcW w:w="118" w:type="dxa"/>
            <w:tcBorders/>
            <w:shd w:fill="E5FFFF" w:val="clear"/>
            <w:vAlign w:val="center"/>
          </w:tcPr>
          <w:p>
            <w:pPr>
              <w:pStyle w:val="TableContents"/>
              <w:bidi w:val="0"/>
              <w:spacing w:before="0" w:after="283"/>
              <w:jc w:val="left"/>
              <w:rPr/>
            </w:pPr>
            <w:r>
              <w:rPr/>
              <w:t> </w:t>
            </w:r>
          </w:p>
        </w:tc>
        <w:tc>
          <w:tcPr>
            <w:tcW w:w="22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shd w:fill="E5FFFF" w:val="clear"/>
            <w:tcMar>
              <w:bottom w:w="28" w:type="dxa"/>
            </w:tcMar>
            <w:vAlign w:val="center"/>
          </w:tcPr>
          <w:p>
            <w:pPr>
              <w:pStyle w:val="TableContents"/>
              <w:bidi w:val="0"/>
              <w:spacing w:before="0" w:after="283"/>
              <w:jc w:val="right"/>
              <w:rPr/>
            </w:pPr>
            <w:r>
              <w:rPr/>
              <w:t>2,104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9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673" w:type="dxa"/>
            <w:tcBorders>
              <w:bottom w:val="double" w:sz="6" w:space="0" w:color="000000"/>
            </w:tcBorders>
            <w:shd w:fill="E5FFFF" w:val="clear"/>
            <w:tcMar>
              <w:bottom w:w="28" w:type="dxa"/>
            </w:tcMar>
            <w:vAlign w:val="center"/>
          </w:tcPr>
          <w:p>
            <w:pPr>
              <w:pStyle w:val="TableContents"/>
              <w:bidi w:val="0"/>
              <w:spacing w:before="0" w:after="283"/>
              <w:jc w:val="right"/>
              <w:rPr/>
            </w:pPr>
            <w:r>
              <w:rPr/>
              <w:t>4,139</w:t>
            </w:r>
          </w:p>
        </w:tc>
        <w:tc>
          <w:tcPr>
            <w:tcW w:w="102" w:type="dxa"/>
            <w:tcBorders/>
            <w:shd w:fill="E5FFFF" w:val="clear"/>
            <w:vAlign w:val="center"/>
          </w:tcPr>
          <w:p>
            <w:pPr>
              <w:pStyle w:val="TableContents"/>
              <w:bidi w:val="0"/>
              <w:spacing w:before="0" w:after="283"/>
              <w:jc w:val="left"/>
              <w:rPr/>
            </w:pPr>
            <w:r>
              <w:rPr/>
              <w:t> </w:t>
            </w:r>
          </w:p>
        </w:tc>
        <w:tc>
          <w:tcPr>
            <w:tcW w:w="102" w:type="dxa"/>
            <w:tcBorders/>
            <w:shd w:fill="E5FFFF" w:val="clear"/>
            <w:vAlign w:val="center"/>
          </w:tcPr>
          <w:p>
            <w:pPr>
              <w:pStyle w:val="TableContents"/>
              <w:bidi w:val="0"/>
              <w:spacing w:before="0" w:after="283"/>
              <w:jc w:val="left"/>
              <w:rPr/>
            </w:pPr>
            <w:r>
              <w:rPr/>
              <w:t> </w:t>
            </w:r>
          </w:p>
        </w:tc>
        <w:tc>
          <w:tcPr>
            <w:tcW w:w="19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673" w:type="dxa"/>
            <w:tcBorders>
              <w:bottom w:val="double" w:sz="6" w:space="0" w:color="000000"/>
            </w:tcBorders>
            <w:shd w:fill="E5FFFF" w:val="clear"/>
            <w:tcMar>
              <w:bottom w:w="28" w:type="dxa"/>
            </w:tcMar>
            <w:vAlign w:val="center"/>
          </w:tcPr>
          <w:p>
            <w:pPr>
              <w:pStyle w:val="TableContents"/>
              <w:bidi w:val="0"/>
              <w:spacing w:before="0" w:after="283"/>
              <w:jc w:val="right"/>
              <w:rPr/>
            </w:pPr>
            <w:r>
              <w:rPr/>
              <w:t>4,178</w:t>
            </w:r>
          </w:p>
        </w:tc>
        <w:tc>
          <w:tcPr>
            <w:tcW w:w="135" w:type="dxa"/>
            <w:tcBorders/>
            <w:shd w:fill="E5FF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cash paid in measurement of lease liability</w:t>
            </w:r>
          </w:p>
        </w:tc>
        <w:tc>
          <w:tcPr>
            <w:tcW w:w="90" w:type="dxa"/>
            <w:tcBorders/>
            <w:vAlign w:val="center"/>
          </w:tcPr>
          <w:p>
            <w:pPr>
              <w:pStyle w:val="TableContents"/>
              <w:bidi w:val="0"/>
              <w:spacing w:before="0" w:after="283"/>
              <w:jc w:val="left"/>
              <w:rPr/>
            </w:pPr>
            <w:r>
              <w:rPr/>
              <w:t> </w:t>
            </w:r>
          </w:p>
        </w:tc>
        <w:tc>
          <w:tcPr>
            <w:tcW w:w="224" w:type="dxa"/>
            <w:tcBorders>
              <w:bottom w:val="double" w:sz="6" w:space="0" w:color="000000"/>
            </w:tcBorders>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tcMar>
              <w:bottom w:w="28" w:type="dxa"/>
            </w:tcMar>
            <w:vAlign w:val="center"/>
          </w:tcPr>
          <w:p>
            <w:pPr>
              <w:pStyle w:val="TableContents"/>
              <w:bidi w:val="0"/>
              <w:spacing w:before="0" w:after="283"/>
              <w:jc w:val="right"/>
              <w:rPr/>
            </w:pPr>
            <w:r>
              <w:rPr/>
              <w:t>1,921</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double" w:sz="6" w:space="0" w:color="000000"/>
            </w:tcBorders>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tcMar>
              <w:bottom w:w="28" w:type="dxa"/>
            </w:tcMar>
            <w:vAlign w:val="center"/>
          </w:tcPr>
          <w:p>
            <w:pPr>
              <w:pStyle w:val="TableContents"/>
              <w:bidi w:val="0"/>
              <w:spacing w:before="0" w:after="283"/>
              <w:jc w:val="right"/>
              <w:rPr/>
            </w:pPr>
            <w:r>
              <w:rPr/>
              <w:t>1,680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673" w:type="dxa"/>
            <w:tcBorders>
              <w:bottom w:val="double" w:sz="6" w:space="0" w:color="000000"/>
            </w:tcBorders>
            <w:tcMar>
              <w:bottom w:w="28" w:type="dxa"/>
            </w:tcMar>
            <w:vAlign w:val="center"/>
          </w:tcPr>
          <w:p>
            <w:pPr>
              <w:pStyle w:val="TableContents"/>
              <w:bidi w:val="0"/>
              <w:spacing w:before="0" w:after="283"/>
              <w:jc w:val="right"/>
              <w:rPr/>
            </w:pPr>
            <w:r>
              <w:rPr/>
              <w:t>3,843</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673" w:type="dxa"/>
            <w:tcBorders>
              <w:bottom w:val="double" w:sz="6" w:space="0" w:color="000000"/>
            </w:tcBorders>
            <w:tcMar>
              <w:bottom w:w="28" w:type="dxa"/>
            </w:tcMar>
            <w:vAlign w:val="center"/>
          </w:tcPr>
          <w:p>
            <w:pPr>
              <w:pStyle w:val="TableContents"/>
              <w:bidi w:val="0"/>
              <w:spacing w:before="0" w:after="283"/>
              <w:jc w:val="right"/>
              <w:rPr/>
            </w:pPr>
            <w:r>
              <w:rPr/>
              <w:t>3,851</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is a summary of future minimum rentals on such leases at July 31, 2026 (amounts in thousands):</w:t>
      </w:r>
    </w:p>
    <w:p>
      <w:pPr>
        <w:pStyle w:val="TextBody"/>
        <w:bidi w:val="0"/>
        <w:ind w:left="0" w:right="0" w:firstLine="720"/>
        <w:jc w:val="left"/>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720"/>
        <w:gridCol w:w="330"/>
        <w:gridCol w:w="203"/>
        <w:gridCol w:w="852"/>
        <w:gridCol w:w="135"/>
      </w:tblGrid>
      <w:tr>
        <w:trPr/>
        <w:tc>
          <w:tcPr>
            <w:tcW w:w="2720" w:type="dxa"/>
            <w:tcBorders>
              <w:bottom w:val="single" w:sz="2" w:space="0" w:color="000000"/>
            </w:tcBorders>
            <w:vAlign w:val="center"/>
          </w:tcPr>
          <w:p>
            <w:pPr>
              <w:pStyle w:val="TableContents"/>
              <w:bidi w:val="0"/>
              <w:spacing w:before="0" w:after="283"/>
              <w:jc w:val="left"/>
              <w:rPr>
                <w:b/>
              </w:rPr>
            </w:pPr>
            <w:r>
              <w:rPr>
                <w:b/>
              </w:rPr>
              <w:t>Years Ended January 31,</w:t>
            </w:r>
          </w:p>
        </w:tc>
        <w:tc>
          <w:tcPr>
            <w:tcW w:w="33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2" w:space="0" w:color="000000"/>
            </w:tcBorders>
            <w:vAlign w:val="center"/>
          </w:tcPr>
          <w:p>
            <w:pPr>
              <w:pStyle w:val="TableContents"/>
              <w:bidi w:val="0"/>
              <w:spacing w:before="0" w:after="283"/>
              <w:jc w:val="right"/>
              <w:rPr>
                <w:b/>
              </w:rPr>
            </w:pPr>
            <w:r>
              <w:rPr>
                <w:b/>
              </w:rPr>
              <w:t>Minimum</w:t>
              <w:br/>
              <w:t>Rentals</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33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852"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Remainder of 2027</w:t>
            </w:r>
          </w:p>
        </w:tc>
        <w:tc>
          <w:tcPr>
            <w:tcW w:w="330" w:type="dxa"/>
            <w:tcBorders/>
            <w:shd w:fill="E5FFFF" w:val="clear"/>
            <w:tcMar>
              <w:bottom w:w="0" w:type="dxa"/>
            </w:tcMar>
            <w:vAlign w:val="center"/>
          </w:tcPr>
          <w:p>
            <w:pPr>
              <w:pStyle w:val="TableContents"/>
              <w:bidi w:val="0"/>
              <w:spacing w:before="0" w:after="283"/>
              <w:jc w:val="left"/>
              <w:rPr/>
            </w:pPr>
            <w:r>
              <w:rPr/>
              <w:t> </w:t>
            </w:r>
          </w:p>
        </w:tc>
        <w:tc>
          <w:tcPr>
            <w:tcW w:w="203" w:type="dxa"/>
            <w:tcBorders/>
            <w:shd w:fill="E5FFFF" w:val="clear"/>
            <w:tcMar>
              <w:bottom w:w="0" w:type="dxa"/>
            </w:tcMar>
            <w:vAlign w:val="center"/>
          </w:tcPr>
          <w:p>
            <w:pPr>
              <w:pStyle w:val="TableContents"/>
              <w:bidi w:val="0"/>
              <w:spacing w:before="0" w:after="283"/>
              <w:jc w:val="left"/>
              <w:rPr/>
            </w:pPr>
            <w:r>
              <w:rPr/>
              <w:t>$</w:t>
            </w:r>
          </w:p>
        </w:tc>
        <w:tc>
          <w:tcPr>
            <w:tcW w:w="852" w:type="dxa"/>
            <w:tcBorders/>
            <w:shd w:fill="E5FFFF" w:val="clear"/>
            <w:tcMar>
              <w:bottom w:w="0" w:type="dxa"/>
            </w:tcMar>
            <w:vAlign w:val="center"/>
          </w:tcPr>
          <w:p>
            <w:pPr>
              <w:pStyle w:val="TableContents"/>
              <w:bidi w:val="0"/>
              <w:spacing w:before="0" w:after="283"/>
              <w:jc w:val="right"/>
              <w:rPr/>
            </w:pPr>
            <w:r>
              <w:rPr/>
              <w:t>3,846</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2028</w:t>
            </w:r>
          </w:p>
        </w:tc>
        <w:tc>
          <w:tcPr>
            <w:tcW w:w="33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852" w:type="dxa"/>
            <w:tcBorders/>
            <w:tcMar>
              <w:bottom w:w="0" w:type="dxa"/>
            </w:tcMar>
            <w:vAlign w:val="center"/>
          </w:tcPr>
          <w:p>
            <w:pPr>
              <w:pStyle w:val="TableContents"/>
              <w:bidi w:val="0"/>
              <w:spacing w:before="0" w:after="283"/>
              <w:jc w:val="right"/>
              <w:rPr/>
            </w:pPr>
            <w:r>
              <w:rPr/>
              <w:t>6,382</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2029</w:t>
            </w:r>
          </w:p>
        </w:tc>
        <w:tc>
          <w:tcPr>
            <w:tcW w:w="330" w:type="dxa"/>
            <w:tcBorders/>
            <w:shd w:fill="E5FFFF" w:val="clear"/>
            <w:tcMar>
              <w:bottom w:w="0" w:type="dxa"/>
            </w:tcMar>
            <w:vAlign w:val="center"/>
          </w:tcPr>
          <w:p>
            <w:pPr>
              <w:pStyle w:val="TableContents"/>
              <w:bidi w:val="0"/>
              <w:spacing w:before="0" w:after="283"/>
              <w:jc w:val="left"/>
              <w:rPr/>
            </w:pPr>
            <w:r>
              <w:rPr/>
              <w:t> </w:t>
            </w:r>
          </w:p>
        </w:tc>
        <w:tc>
          <w:tcPr>
            <w:tcW w:w="203" w:type="dxa"/>
            <w:tcBorders/>
            <w:shd w:fill="E5FFFF" w:val="clear"/>
            <w:tcMar>
              <w:bottom w:w="0" w:type="dxa"/>
            </w:tcMar>
            <w:vAlign w:val="center"/>
          </w:tcPr>
          <w:p>
            <w:pPr>
              <w:pStyle w:val="TableContents"/>
              <w:bidi w:val="0"/>
              <w:spacing w:before="0" w:after="283"/>
              <w:jc w:val="left"/>
              <w:rPr/>
            </w:pPr>
            <w:r>
              <w:rPr/>
              <w:t> </w:t>
            </w:r>
          </w:p>
        </w:tc>
        <w:tc>
          <w:tcPr>
            <w:tcW w:w="852" w:type="dxa"/>
            <w:tcBorders/>
            <w:shd w:fill="E5FFFF" w:val="clear"/>
            <w:tcMar>
              <w:bottom w:w="0" w:type="dxa"/>
            </w:tcMar>
            <w:vAlign w:val="center"/>
          </w:tcPr>
          <w:p>
            <w:pPr>
              <w:pStyle w:val="TableContents"/>
              <w:bidi w:val="0"/>
              <w:spacing w:before="0" w:after="283"/>
              <w:jc w:val="right"/>
              <w:rPr/>
            </w:pPr>
            <w:r>
              <w:rPr/>
              <w:t>3,701</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2030</w:t>
            </w:r>
          </w:p>
        </w:tc>
        <w:tc>
          <w:tcPr>
            <w:tcW w:w="33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852" w:type="dxa"/>
            <w:tcBorders/>
            <w:tcMar>
              <w:bottom w:w="0" w:type="dxa"/>
            </w:tcMar>
            <w:vAlign w:val="center"/>
          </w:tcPr>
          <w:p>
            <w:pPr>
              <w:pStyle w:val="TableContents"/>
              <w:bidi w:val="0"/>
              <w:spacing w:before="0" w:after="283"/>
              <w:jc w:val="right"/>
              <w:rPr/>
            </w:pPr>
            <w:r>
              <w:rPr/>
              <w:t>2,028</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2031</w:t>
            </w:r>
          </w:p>
        </w:tc>
        <w:tc>
          <w:tcPr>
            <w:tcW w:w="330" w:type="dxa"/>
            <w:tcBorders/>
            <w:shd w:fill="E5FFFF" w:val="clear"/>
            <w:tcMar>
              <w:bottom w:w="0" w:type="dxa"/>
            </w:tcMar>
            <w:vAlign w:val="center"/>
          </w:tcPr>
          <w:p>
            <w:pPr>
              <w:pStyle w:val="TableContents"/>
              <w:bidi w:val="0"/>
              <w:spacing w:before="0" w:after="283"/>
              <w:jc w:val="left"/>
              <w:rPr/>
            </w:pPr>
            <w:r>
              <w:rPr/>
              <w:t> </w:t>
            </w:r>
          </w:p>
        </w:tc>
        <w:tc>
          <w:tcPr>
            <w:tcW w:w="203" w:type="dxa"/>
            <w:tcBorders>
              <w:bottom w:val="single" w:sz="2" w:space="0" w:color="000000"/>
            </w:tcBorders>
            <w:shd w:fill="E5FFFF" w:val="clear"/>
            <w:vAlign w:val="center"/>
          </w:tcPr>
          <w:p>
            <w:pPr>
              <w:pStyle w:val="TableContents"/>
              <w:bidi w:val="0"/>
              <w:spacing w:before="0" w:after="283"/>
              <w:jc w:val="left"/>
              <w:rPr/>
            </w:pPr>
            <w:r>
              <w:rPr/>
              <w:t> </w:t>
            </w:r>
          </w:p>
        </w:tc>
        <w:tc>
          <w:tcPr>
            <w:tcW w:w="852" w:type="dxa"/>
            <w:tcBorders>
              <w:bottom w:val="single" w:sz="2" w:space="0" w:color="000000"/>
            </w:tcBorders>
            <w:shd w:fill="E5FFFF" w:val="clear"/>
            <w:vAlign w:val="center"/>
          </w:tcPr>
          <w:p>
            <w:pPr>
              <w:pStyle w:val="TableContents"/>
              <w:bidi w:val="0"/>
              <w:spacing w:before="0" w:after="283"/>
              <w:jc w:val="right"/>
              <w:rPr/>
            </w:pPr>
            <w:r>
              <w:rPr/>
              <w:t>129</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Total</w:t>
            </w:r>
          </w:p>
        </w:tc>
        <w:tc>
          <w:tcPr>
            <w:tcW w:w="33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852" w:type="dxa"/>
            <w:tcBorders/>
            <w:tcMar>
              <w:bottom w:w="0" w:type="dxa"/>
            </w:tcMar>
            <w:vAlign w:val="center"/>
          </w:tcPr>
          <w:p>
            <w:pPr>
              <w:pStyle w:val="TableContents"/>
              <w:bidi w:val="0"/>
              <w:spacing w:before="0" w:after="283"/>
              <w:jc w:val="right"/>
              <w:rPr/>
            </w:pPr>
            <w:r>
              <w:rPr/>
              <w:t>16,086</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Less: present value discount</w:t>
            </w:r>
          </w:p>
        </w:tc>
        <w:tc>
          <w:tcPr>
            <w:tcW w:w="330" w:type="dxa"/>
            <w:tcBorders/>
            <w:shd w:fill="E5FFFF" w:val="clear"/>
            <w:tcMar>
              <w:bottom w:w="0" w:type="dxa"/>
            </w:tcMar>
            <w:vAlign w:val="center"/>
          </w:tcPr>
          <w:p>
            <w:pPr>
              <w:pStyle w:val="TableContents"/>
              <w:bidi w:val="0"/>
              <w:spacing w:before="0" w:after="283"/>
              <w:jc w:val="left"/>
              <w:rPr/>
            </w:pPr>
            <w:r>
              <w:rPr/>
              <w:t> </w:t>
            </w:r>
          </w:p>
        </w:tc>
        <w:tc>
          <w:tcPr>
            <w:tcW w:w="203" w:type="dxa"/>
            <w:tcBorders>
              <w:bottom w:val="single" w:sz="2" w:space="0" w:color="000000"/>
            </w:tcBorders>
            <w:shd w:fill="E5FFFF" w:val="clear"/>
            <w:vAlign w:val="center"/>
          </w:tcPr>
          <w:p>
            <w:pPr>
              <w:pStyle w:val="TableContents"/>
              <w:bidi w:val="0"/>
              <w:spacing w:before="0" w:after="283"/>
              <w:jc w:val="left"/>
              <w:rPr/>
            </w:pPr>
            <w:r>
              <w:rPr/>
              <w:t> </w:t>
            </w:r>
          </w:p>
        </w:tc>
        <w:tc>
          <w:tcPr>
            <w:tcW w:w="852" w:type="dxa"/>
            <w:tcBorders>
              <w:bottom w:val="single" w:sz="2" w:space="0" w:color="000000"/>
            </w:tcBorders>
            <w:shd w:fill="E5FFFF" w:val="clear"/>
            <w:vAlign w:val="center"/>
          </w:tcPr>
          <w:p>
            <w:pPr>
              <w:pStyle w:val="TableContents"/>
              <w:bidi w:val="0"/>
              <w:spacing w:before="0" w:after="283"/>
              <w:jc w:val="right"/>
              <w:rPr/>
            </w:pPr>
            <w:r>
              <w:rPr/>
              <w:t>1,342</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Operating lease liabilities</w:t>
            </w:r>
          </w:p>
        </w:tc>
        <w:tc>
          <w:tcPr>
            <w:tcW w:w="330" w:type="dxa"/>
            <w:tcBorders/>
            <w:tcMar>
              <w:bottom w:w="0" w:type="dxa"/>
            </w:tcMar>
            <w:vAlign w:val="center"/>
          </w:tcPr>
          <w:p>
            <w:pPr>
              <w:pStyle w:val="TableContents"/>
              <w:bidi w:val="0"/>
              <w:spacing w:before="0" w:after="283"/>
              <w:jc w:val="left"/>
              <w:rPr/>
            </w:pPr>
            <w:r>
              <w:rPr/>
              <w:t> </w:t>
            </w:r>
          </w:p>
        </w:tc>
        <w:tc>
          <w:tcPr>
            <w:tcW w:w="203" w:type="dxa"/>
            <w:tcBorders>
              <w:bottom w:val="double" w:sz="6" w:space="0" w:color="000000"/>
            </w:tcBorders>
            <w:vAlign w:val="center"/>
          </w:tcPr>
          <w:p>
            <w:pPr>
              <w:pStyle w:val="TableContents"/>
              <w:bidi w:val="0"/>
              <w:spacing w:before="0" w:after="283"/>
              <w:jc w:val="left"/>
              <w:rPr/>
            </w:pPr>
            <w:r>
              <w:rPr/>
              <w:t>$</w:t>
            </w:r>
          </w:p>
        </w:tc>
        <w:tc>
          <w:tcPr>
            <w:tcW w:w="852" w:type="dxa"/>
            <w:tcBorders>
              <w:bottom w:val="double" w:sz="6" w:space="0" w:color="000000"/>
            </w:tcBorders>
            <w:vAlign w:val="center"/>
          </w:tcPr>
          <w:p>
            <w:pPr>
              <w:pStyle w:val="TableContents"/>
              <w:bidi w:val="0"/>
              <w:spacing w:before="0" w:after="283"/>
              <w:jc w:val="right"/>
              <w:rPr/>
            </w:pPr>
            <w:r>
              <w:rPr/>
              <w:t>14,744</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At July 31, 2026, the weighted average remaining lease term is 2.3 years, and the weighted average discount rate is 6.63% for the outstanding leases.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At January 31, 2026, the weighted average remaining lease term was 2.7 years, and the weighted average discount rate was 6.61% for the outstanding leases.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Finance Lease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the Company had one lease agreement that was classified as a finance lease for an electrical substation facility. Prepayments totaling $15.6 million were made prior to fiscal year 2025. This balance was included in the finance lease right-of-use asset calculation upon lease commencement in fiscal year 2025 as a non-cash investing activity. The lease includes monthly payments of approximately $39,000 to be made over the term of the lease. The lease term for this lease includes the noncancelable period of the lease and any periods for which only the Company has the option to cancel but is reasonably expected to continue the lease. Based on this, the lease term was determined to be 10 years. Control of the facility’s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17 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output was transferred to the Company just before the end of the first quarter of fiscal year 2025, with monthly lease expense commencing in the second quarter of fiscal year 2025. Expense related to this lease was $0.5 million for each of the three month periods ended July 31, 2026 and 2025, which includes approximately $54,000 and $60,000 in interest expense, respectively. Expense was $1.1 million and $0.5 million for the six month periods ended July 31, 2026 and 2025, which includes approximately $109,000 and $60,000 in interest expense, respectively.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weighted average remaining lease term for the finance lease was 8.8 years and 9.3 years as of July 31, 2026 and January 31, 2026, respectively. A discount rate of 6.9% was deemed appropriate as an incremental borrowing rate for a 10-year term.</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is a summary of future minimum rentals on the lease at July 31, 2026 (amounts in thousands):</w:t>
      </w:r>
    </w:p>
    <w:p>
      <w:pPr>
        <w:pStyle w:val="TextBody"/>
        <w:bidi w:val="0"/>
        <w:ind w:left="0" w:right="0" w:firstLine="720"/>
        <w:jc w:val="left"/>
        <w:rPr>
          <w:caps w:val="false"/>
          <w:smallCaps w:val="false"/>
        </w:rPr>
      </w:pPr>
      <w:r>
        <w:rPr>
          <w:caps w:val="false"/>
          <w:smallCaps w:val="false"/>
        </w:rPr>
        <w:t> </w:t>
      </w:r>
    </w:p>
    <w:tbl>
      <w:tblPr>
        <w:tblW w:w="4180" w:type="dxa"/>
        <w:jc w:val="left"/>
        <w:tblInd w:w="0" w:type="dxa"/>
        <w:tblLayout w:type="fixed"/>
        <w:tblCellMar>
          <w:top w:w="0" w:type="dxa"/>
          <w:left w:w="0" w:type="dxa"/>
          <w:bottom w:w="28" w:type="dxa"/>
          <w:right w:w="0" w:type="dxa"/>
        </w:tblCellMar>
      </w:tblPr>
      <w:tblGrid>
        <w:gridCol w:w="2720"/>
        <w:gridCol w:w="270"/>
        <w:gridCol w:w="235"/>
        <w:gridCol w:w="820"/>
        <w:gridCol w:w="135"/>
      </w:tblGrid>
      <w:tr>
        <w:trPr/>
        <w:tc>
          <w:tcPr>
            <w:tcW w:w="2720" w:type="dxa"/>
            <w:tcBorders>
              <w:bottom w:val="single" w:sz="2" w:space="0" w:color="000000"/>
            </w:tcBorders>
            <w:vAlign w:val="center"/>
          </w:tcPr>
          <w:p>
            <w:pPr>
              <w:pStyle w:val="TableContents"/>
              <w:bidi w:val="0"/>
              <w:spacing w:before="0" w:after="283"/>
              <w:jc w:val="left"/>
              <w:rPr>
                <w:b/>
              </w:rPr>
            </w:pPr>
            <w:r>
              <w:rPr>
                <w:b/>
              </w:rPr>
              <w:t>Years Ended January 31,</w:t>
            </w:r>
          </w:p>
        </w:tc>
        <w:tc>
          <w:tcPr>
            <w:tcW w:w="27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2" w:space="0" w:color="000000"/>
            </w:tcBorders>
            <w:vAlign w:val="center"/>
          </w:tcPr>
          <w:p>
            <w:pPr>
              <w:pStyle w:val="TableContents"/>
              <w:bidi w:val="0"/>
              <w:spacing w:before="0" w:after="283"/>
              <w:jc w:val="right"/>
              <w:rPr>
                <w:b/>
              </w:rPr>
            </w:pPr>
            <w:r>
              <w:rPr>
                <w:b/>
              </w:rPr>
              <w:t>Minimum</w:t>
              <w:br/>
              <w:t>Rentals</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27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82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Remainder of 2027</w:t>
            </w:r>
          </w:p>
        </w:tc>
        <w:tc>
          <w:tcPr>
            <w:tcW w:w="270" w:type="dxa"/>
            <w:tcBorders/>
            <w:shd w:fill="E5FFFF" w:val="clear"/>
            <w:tcMar>
              <w:bottom w:w="0" w:type="dxa"/>
            </w:tcMar>
            <w:vAlign w:val="center"/>
          </w:tcPr>
          <w:p>
            <w:pPr>
              <w:pStyle w:val="TableContents"/>
              <w:bidi w:val="0"/>
              <w:spacing w:before="0" w:after="283"/>
              <w:jc w:val="left"/>
              <w:rPr/>
            </w:pPr>
            <w:r>
              <w:rPr/>
              <w:t> </w:t>
            </w:r>
          </w:p>
        </w:tc>
        <w:tc>
          <w:tcPr>
            <w:tcW w:w="235" w:type="dxa"/>
            <w:tcBorders/>
            <w:shd w:fill="E5FFFF" w:val="clear"/>
            <w:tcMar>
              <w:bottom w:w="0" w:type="dxa"/>
            </w:tcMar>
            <w:vAlign w:val="center"/>
          </w:tcPr>
          <w:p>
            <w:pPr>
              <w:pStyle w:val="TableContents"/>
              <w:bidi w:val="0"/>
              <w:spacing w:before="0" w:after="283"/>
              <w:jc w:val="left"/>
              <w:rPr/>
            </w:pPr>
            <w:r>
              <w:rPr/>
              <w:t>$</w:t>
            </w:r>
          </w:p>
        </w:tc>
        <w:tc>
          <w:tcPr>
            <w:tcW w:w="820" w:type="dxa"/>
            <w:tcBorders/>
            <w:shd w:fill="E5FFFF" w:val="clear"/>
            <w:tcMar>
              <w:bottom w:w="0" w:type="dxa"/>
            </w:tcMar>
            <w:vAlign w:val="center"/>
          </w:tcPr>
          <w:p>
            <w:pPr>
              <w:pStyle w:val="TableContents"/>
              <w:bidi w:val="0"/>
              <w:spacing w:before="0" w:after="283"/>
              <w:jc w:val="right"/>
              <w:rPr/>
            </w:pPr>
            <w:r>
              <w:rPr/>
              <w:t>235</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2028</w:t>
            </w:r>
          </w:p>
        </w:tc>
        <w:tc>
          <w:tcPr>
            <w:tcW w:w="27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820" w:type="dxa"/>
            <w:tcBorders/>
            <w:tcMar>
              <w:bottom w:w="0" w:type="dxa"/>
            </w:tcMar>
            <w:vAlign w:val="center"/>
          </w:tcPr>
          <w:p>
            <w:pPr>
              <w:pStyle w:val="TableContents"/>
              <w:bidi w:val="0"/>
              <w:spacing w:before="0" w:after="283"/>
              <w:jc w:val="right"/>
              <w:rPr/>
            </w:pPr>
            <w:r>
              <w:rPr/>
              <w:t>469</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2029</w:t>
            </w:r>
          </w:p>
        </w:tc>
        <w:tc>
          <w:tcPr>
            <w:tcW w:w="270" w:type="dxa"/>
            <w:tcBorders/>
            <w:shd w:fill="E5FFFF" w:val="clear"/>
            <w:tcMar>
              <w:bottom w:w="0" w:type="dxa"/>
            </w:tcMar>
            <w:vAlign w:val="center"/>
          </w:tcPr>
          <w:p>
            <w:pPr>
              <w:pStyle w:val="TableContents"/>
              <w:bidi w:val="0"/>
              <w:spacing w:before="0" w:after="283"/>
              <w:jc w:val="left"/>
              <w:rPr/>
            </w:pPr>
            <w:r>
              <w:rPr/>
              <w:t> </w:t>
            </w:r>
          </w:p>
        </w:tc>
        <w:tc>
          <w:tcPr>
            <w:tcW w:w="235" w:type="dxa"/>
            <w:tcBorders/>
            <w:shd w:fill="E5FFFF" w:val="clear"/>
            <w:tcMar>
              <w:bottom w:w="0" w:type="dxa"/>
            </w:tcMar>
            <w:vAlign w:val="center"/>
          </w:tcPr>
          <w:p>
            <w:pPr>
              <w:pStyle w:val="TableContents"/>
              <w:bidi w:val="0"/>
              <w:spacing w:before="0" w:after="283"/>
              <w:jc w:val="left"/>
              <w:rPr/>
            </w:pPr>
            <w:r>
              <w:rPr/>
              <w:t> </w:t>
            </w:r>
          </w:p>
        </w:tc>
        <w:tc>
          <w:tcPr>
            <w:tcW w:w="820" w:type="dxa"/>
            <w:tcBorders/>
            <w:shd w:fill="E5FFFF" w:val="clear"/>
            <w:tcMar>
              <w:bottom w:w="0" w:type="dxa"/>
            </w:tcMar>
            <w:vAlign w:val="center"/>
          </w:tcPr>
          <w:p>
            <w:pPr>
              <w:pStyle w:val="TableContents"/>
              <w:bidi w:val="0"/>
              <w:spacing w:before="0" w:after="283"/>
              <w:jc w:val="right"/>
              <w:rPr/>
            </w:pPr>
            <w:r>
              <w:rPr/>
              <w:t>469</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2030</w:t>
            </w:r>
          </w:p>
        </w:tc>
        <w:tc>
          <w:tcPr>
            <w:tcW w:w="27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820" w:type="dxa"/>
            <w:tcBorders/>
            <w:tcMar>
              <w:bottom w:w="0" w:type="dxa"/>
            </w:tcMar>
            <w:vAlign w:val="center"/>
          </w:tcPr>
          <w:p>
            <w:pPr>
              <w:pStyle w:val="TableContents"/>
              <w:bidi w:val="0"/>
              <w:spacing w:before="0" w:after="283"/>
              <w:jc w:val="right"/>
              <w:rPr/>
            </w:pPr>
            <w:r>
              <w:rPr/>
              <w:t>469</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2031</w:t>
            </w:r>
          </w:p>
        </w:tc>
        <w:tc>
          <w:tcPr>
            <w:tcW w:w="270" w:type="dxa"/>
            <w:tcBorders/>
            <w:shd w:fill="E5FFFF" w:val="clear"/>
            <w:tcMar>
              <w:bottom w:w="0" w:type="dxa"/>
            </w:tcMar>
            <w:vAlign w:val="center"/>
          </w:tcPr>
          <w:p>
            <w:pPr>
              <w:pStyle w:val="TableContents"/>
              <w:bidi w:val="0"/>
              <w:spacing w:before="0" w:after="283"/>
              <w:jc w:val="left"/>
              <w:rPr/>
            </w:pPr>
            <w:r>
              <w:rPr/>
              <w:t> </w:t>
            </w:r>
          </w:p>
        </w:tc>
        <w:tc>
          <w:tcPr>
            <w:tcW w:w="235" w:type="dxa"/>
            <w:tcBorders/>
            <w:shd w:fill="E5FFFF" w:val="clear"/>
            <w:tcMar>
              <w:bottom w:w="0" w:type="dxa"/>
            </w:tcMar>
            <w:vAlign w:val="center"/>
          </w:tcPr>
          <w:p>
            <w:pPr>
              <w:pStyle w:val="TableContents"/>
              <w:bidi w:val="0"/>
              <w:spacing w:before="0" w:after="283"/>
              <w:jc w:val="left"/>
              <w:rPr/>
            </w:pPr>
            <w:r>
              <w:rPr/>
              <w:t> </w:t>
            </w:r>
          </w:p>
        </w:tc>
        <w:tc>
          <w:tcPr>
            <w:tcW w:w="820" w:type="dxa"/>
            <w:tcBorders/>
            <w:shd w:fill="E5FFFF" w:val="clear"/>
            <w:tcMar>
              <w:bottom w:w="0" w:type="dxa"/>
            </w:tcMar>
            <w:vAlign w:val="center"/>
          </w:tcPr>
          <w:p>
            <w:pPr>
              <w:pStyle w:val="TableContents"/>
              <w:bidi w:val="0"/>
              <w:spacing w:before="0" w:after="283"/>
              <w:jc w:val="right"/>
              <w:rPr/>
            </w:pPr>
            <w:r>
              <w:rPr/>
              <w:t>469</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Thereafter</w:t>
            </w:r>
          </w:p>
        </w:tc>
        <w:tc>
          <w:tcPr>
            <w:tcW w:w="270" w:type="dxa"/>
            <w:tcBorders/>
            <w:tcMar>
              <w:bottom w:w="0" w:type="dxa"/>
            </w:tcMar>
            <w:vAlign w:val="center"/>
          </w:tcPr>
          <w:p>
            <w:pPr>
              <w:pStyle w:val="TableContents"/>
              <w:bidi w:val="0"/>
              <w:spacing w:before="0" w:after="283"/>
              <w:jc w:val="left"/>
              <w:rPr/>
            </w:pPr>
            <w:r>
              <w:rPr/>
              <w:t> </w:t>
            </w:r>
          </w:p>
        </w:tc>
        <w:tc>
          <w:tcPr>
            <w:tcW w:w="235" w:type="dxa"/>
            <w:tcBorders>
              <w:bottom w:val="single" w:sz="2" w:space="0" w:color="000000"/>
            </w:tcBorders>
            <w:vAlign w:val="center"/>
          </w:tcPr>
          <w:p>
            <w:pPr>
              <w:pStyle w:val="TableContents"/>
              <w:bidi w:val="0"/>
              <w:spacing w:before="0" w:after="283"/>
              <w:jc w:val="left"/>
              <w:rPr/>
            </w:pPr>
            <w:r>
              <w:rPr/>
              <w:t> </w:t>
            </w:r>
          </w:p>
        </w:tc>
        <w:tc>
          <w:tcPr>
            <w:tcW w:w="820" w:type="dxa"/>
            <w:tcBorders>
              <w:bottom w:val="single" w:sz="2" w:space="0" w:color="000000"/>
            </w:tcBorders>
            <w:vAlign w:val="center"/>
          </w:tcPr>
          <w:p>
            <w:pPr>
              <w:pStyle w:val="TableContents"/>
              <w:bidi w:val="0"/>
              <w:spacing w:before="0" w:after="283"/>
              <w:jc w:val="right"/>
              <w:rPr/>
            </w:pPr>
            <w:r>
              <w:rPr/>
              <w:t>1,993</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Total</w:t>
            </w:r>
          </w:p>
        </w:tc>
        <w:tc>
          <w:tcPr>
            <w:tcW w:w="270" w:type="dxa"/>
            <w:tcBorders/>
            <w:shd w:fill="E5FFFF" w:val="clear"/>
            <w:tcMar>
              <w:bottom w:w="0" w:type="dxa"/>
            </w:tcMar>
            <w:vAlign w:val="center"/>
          </w:tcPr>
          <w:p>
            <w:pPr>
              <w:pStyle w:val="TableContents"/>
              <w:bidi w:val="0"/>
              <w:spacing w:before="0" w:after="283"/>
              <w:jc w:val="left"/>
              <w:rPr/>
            </w:pPr>
            <w:r>
              <w:rPr/>
              <w:t> </w:t>
            </w:r>
          </w:p>
        </w:tc>
        <w:tc>
          <w:tcPr>
            <w:tcW w:w="235" w:type="dxa"/>
            <w:tcBorders/>
            <w:shd w:fill="E5FFFF" w:val="clear"/>
            <w:tcMar>
              <w:bottom w:w="0" w:type="dxa"/>
            </w:tcMar>
            <w:vAlign w:val="center"/>
          </w:tcPr>
          <w:p>
            <w:pPr>
              <w:pStyle w:val="TableContents"/>
              <w:bidi w:val="0"/>
              <w:spacing w:before="0" w:after="283"/>
              <w:jc w:val="left"/>
              <w:rPr/>
            </w:pPr>
            <w:r>
              <w:rPr/>
              <w:t> </w:t>
            </w:r>
          </w:p>
        </w:tc>
        <w:tc>
          <w:tcPr>
            <w:tcW w:w="820" w:type="dxa"/>
            <w:tcBorders/>
            <w:shd w:fill="E5FFFF" w:val="clear"/>
            <w:tcMar>
              <w:bottom w:w="0" w:type="dxa"/>
            </w:tcMar>
            <w:vAlign w:val="center"/>
          </w:tcPr>
          <w:p>
            <w:pPr>
              <w:pStyle w:val="TableContents"/>
              <w:bidi w:val="0"/>
              <w:spacing w:before="0" w:after="283"/>
              <w:jc w:val="right"/>
              <w:rPr/>
            </w:pPr>
            <w:r>
              <w:rPr/>
              <w:t>4,104</w:t>
            </w:r>
          </w:p>
        </w:tc>
        <w:tc>
          <w:tcPr>
            <w:tcW w:w="135" w:type="dxa"/>
            <w:tcBorders/>
            <w:shd w:fill="E5FF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Less: present value discount</w:t>
            </w:r>
          </w:p>
        </w:tc>
        <w:tc>
          <w:tcPr>
            <w:tcW w:w="270" w:type="dxa"/>
            <w:tcBorders/>
            <w:tcMar>
              <w:bottom w:w="0" w:type="dxa"/>
            </w:tcMar>
            <w:vAlign w:val="center"/>
          </w:tcPr>
          <w:p>
            <w:pPr>
              <w:pStyle w:val="TableContents"/>
              <w:bidi w:val="0"/>
              <w:spacing w:before="0" w:after="283"/>
              <w:jc w:val="left"/>
              <w:rPr/>
            </w:pPr>
            <w:r>
              <w:rPr/>
              <w:t> </w:t>
            </w:r>
          </w:p>
        </w:tc>
        <w:tc>
          <w:tcPr>
            <w:tcW w:w="235" w:type="dxa"/>
            <w:tcBorders>
              <w:bottom w:val="single" w:sz="2" w:space="0" w:color="000000"/>
            </w:tcBorders>
            <w:vAlign w:val="center"/>
          </w:tcPr>
          <w:p>
            <w:pPr>
              <w:pStyle w:val="TableContents"/>
              <w:bidi w:val="0"/>
              <w:spacing w:before="0" w:after="283"/>
              <w:jc w:val="left"/>
              <w:rPr/>
            </w:pPr>
            <w:r>
              <w:rPr/>
              <w:t> </w:t>
            </w:r>
          </w:p>
        </w:tc>
        <w:tc>
          <w:tcPr>
            <w:tcW w:w="820" w:type="dxa"/>
            <w:tcBorders>
              <w:bottom w:val="single" w:sz="2" w:space="0" w:color="000000"/>
            </w:tcBorders>
            <w:vAlign w:val="center"/>
          </w:tcPr>
          <w:p>
            <w:pPr>
              <w:pStyle w:val="TableContents"/>
              <w:bidi w:val="0"/>
              <w:spacing w:before="0" w:after="283"/>
              <w:jc w:val="right"/>
              <w:rPr/>
            </w:pPr>
            <w:r>
              <w:rPr/>
              <w:t>1,029</w:t>
            </w:r>
          </w:p>
        </w:tc>
        <w:tc>
          <w:tcPr>
            <w:tcW w:w="135" w:type="dxa"/>
            <w:tcBorders/>
            <w:tcMar>
              <w:bottom w:w="0" w:type="dxa"/>
            </w:tcMar>
            <w:vAlign w:val="center"/>
          </w:tcPr>
          <w:p>
            <w:pPr>
              <w:pStyle w:val="TableContents"/>
              <w:bidi w:val="0"/>
              <w:spacing w:before="0" w:after="283"/>
              <w:jc w:val="left"/>
              <w:rPr/>
            </w:pPr>
            <w:r>
              <w:rPr/>
              <w:t> </w:t>
            </w:r>
          </w:p>
        </w:tc>
      </w:tr>
      <w:tr>
        <w:trPr/>
        <w:tc>
          <w:tcPr>
            <w:tcW w:w="2720" w:type="dxa"/>
            <w:tcBorders/>
            <w:shd w:fill="E5FFFF" w:val="clear"/>
            <w:tcMar>
              <w:bottom w:w="0" w:type="dxa"/>
            </w:tcMar>
            <w:vAlign w:val="center"/>
          </w:tcPr>
          <w:p>
            <w:pPr>
              <w:pStyle w:val="TableContents"/>
              <w:bidi w:val="0"/>
              <w:spacing w:before="0" w:after="283"/>
              <w:jc w:val="left"/>
              <w:rPr/>
            </w:pPr>
            <w:r>
              <w:rPr/>
              <w:t>Finance lease liabilities</w:t>
            </w:r>
          </w:p>
        </w:tc>
        <w:tc>
          <w:tcPr>
            <w:tcW w:w="270" w:type="dxa"/>
            <w:tcBorders/>
            <w:shd w:fill="E5FFFF" w:val="clear"/>
            <w:tcMar>
              <w:bottom w:w="0" w:type="dxa"/>
            </w:tcMar>
            <w:vAlign w:val="center"/>
          </w:tcPr>
          <w:p>
            <w:pPr>
              <w:pStyle w:val="TableContents"/>
              <w:bidi w:val="0"/>
              <w:spacing w:before="0" w:after="283"/>
              <w:jc w:val="left"/>
              <w:rPr/>
            </w:pPr>
            <w:r>
              <w:rPr/>
              <w:t> </w:t>
            </w:r>
          </w:p>
        </w:tc>
        <w:tc>
          <w:tcPr>
            <w:tcW w:w="235" w:type="dxa"/>
            <w:tcBorders>
              <w:bottom w:val="double" w:sz="6" w:space="0" w:color="000000"/>
            </w:tcBorders>
            <w:shd w:fill="E5FFFF" w:val="clear"/>
            <w:vAlign w:val="center"/>
          </w:tcPr>
          <w:p>
            <w:pPr>
              <w:pStyle w:val="TableContents"/>
              <w:bidi w:val="0"/>
              <w:spacing w:before="0" w:after="283"/>
              <w:jc w:val="left"/>
              <w:rPr/>
            </w:pPr>
            <w:r>
              <w:rPr/>
              <w:t>$</w:t>
            </w:r>
          </w:p>
        </w:tc>
        <w:tc>
          <w:tcPr>
            <w:tcW w:w="820" w:type="dxa"/>
            <w:tcBorders>
              <w:bottom w:val="double" w:sz="6" w:space="0" w:color="000000"/>
            </w:tcBorders>
            <w:shd w:fill="E5FFFF" w:val="clear"/>
            <w:vAlign w:val="center"/>
          </w:tcPr>
          <w:p>
            <w:pPr>
              <w:pStyle w:val="TableContents"/>
              <w:bidi w:val="0"/>
              <w:spacing w:before="0" w:after="283"/>
              <w:jc w:val="right"/>
              <w:rPr/>
            </w:pPr>
            <w:r>
              <w:rPr/>
              <w:t>3,075</w:t>
            </w:r>
          </w:p>
        </w:tc>
        <w:tc>
          <w:tcPr>
            <w:tcW w:w="135" w:type="dxa"/>
            <w:tcBorders/>
            <w:shd w:fill="E5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5. </w:t>
      </w:r>
      <w:r>
        <w:rPr>
          <w:rFonts w:ascii="Times New Roman;Times;Serif" w:hAnsi="Times New Roman;Times;Serif"/>
          <w:b/>
          <w:i/>
          <w:caps w:val="false"/>
          <w:smallCaps w:val="false"/>
          <w:sz w:val="24"/>
        </w:rPr>
        <w:t>Fair Value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applies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18 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ensure the prudent application of estimates and management judgment in determining the fair value of derivative assets and liabilities, investments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Financial assets and liabilities measured at fair value on a recurring and nonrecurring basis at July 31, 2026 are summarized below (amounts in thousands):</w:t>
      </w:r>
    </w:p>
    <w:p>
      <w:pPr>
        <w:pStyle w:val="TextBody"/>
        <w:bidi w:val="0"/>
        <w:ind w:left="0" w:right="0" w:firstLine="720"/>
        <w:jc w:val="left"/>
        <w:rPr>
          <w:caps w:val="false"/>
          <w:smallCaps w:val="false"/>
        </w:rPr>
      </w:pPr>
      <w:r>
        <w:rPr>
          <w:caps w:val="false"/>
          <w:smallCaps w:val="false"/>
        </w:rPr>
        <w:t> </w:t>
      </w:r>
    </w:p>
    <w:tbl>
      <w:tblPr>
        <w:tblW w:w="8127" w:type="dxa"/>
        <w:jc w:val="left"/>
        <w:tblInd w:w="0" w:type="dxa"/>
        <w:tblLayout w:type="fixed"/>
        <w:tblCellMar>
          <w:top w:w="0" w:type="dxa"/>
          <w:left w:w="0" w:type="dxa"/>
          <w:bottom w:w="0" w:type="dxa"/>
          <w:right w:w="0" w:type="dxa"/>
        </w:tblCellMar>
      </w:tblPr>
      <w:tblGrid>
        <w:gridCol w:w="3770"/>
        <w:gridCol w:w="90"/>
        <w:gridCol w:w="175"/>
        <w:gridCol w:w="609"/>
        <w:gridCol w:w="90"/>
        <w:gridCol w:w="90"/>
        <w:gridCol w:w="175"/>
        <w:gridCol w:w="609"/>
        <w:gridCol w:w="90"/>
        <w:gridCol w:w="90"/>
        <w:gridCol w:w="170"/>
        <w:gridCol w:w="710"/>
        <w:gridCol w:w="90"/>
        <w:gridCol w:w="90"/>
        <w:gridCol w:w="221"/>
        <w:gridCol w:w="923"/>
        <w:gridCol w:w="135"/>
      </w:tblGrid>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770" w:type="dxa"/>
            <w:tcBorders/>
            <w:shd w:fill="E5FFFF" w:val="clear"/>
            <w:vAlign w:val="center"/>
          </w:tcPr>
          <w:p>
            <w:pPr>
              <w:pStyle w:val="TableContents"/>
              <w:bidi w:val="0"/>
              <w:spacing w:before="0" w:after="283"/>
              <w:jc w:val="left"/>
              <w:rPr/>
            </w:pPr>
            <w:r>
              <w:rPr/>
              <w:t>Forward purchase contracts asset (1)</w:t>
            </w:r>
          </w:p>
        </w:tc>
        <w:tc>
          <w:tcPr>
            <w:tcW w:w="90" w:type="dxa"/>
            <w:tcBorders/>
            <w:shd w:fill="E5FFFF" w:val="clear"/>
            <w:vAlign w:val="center"/>
          </w:tcPr>
          <w:p>
            <w:pPr>
              <w:pStyle w:val="TableContents"/>
              <w:bidi w:val="0"/>
              <w:spacing w:before="0" w:after="283"/>
              <w:jc w:val="left"/>
              <w:rPr/>
            </w:pPr>
            <w:r>
              <w:rPr/>
              <w:t> </w:t>
            </w:r>
          </w:p>
        </w:tc>
        <w:tc>
          <w:tcPr>
            <w:tcW w:w="175" w:type="dxa"/>
            <w:tcBorders/>
            <w:shd w:fill="E5FFFF" w:val="clear"/>
            <w:vAlign w:val="center"/>
          </w:tcPr>
          <w:p>
            <w:pPr>
              <w:pStyle w:val="TableContents"/>
              <w:bidi w:val="0"/>
              <w:spacing w:before="0" w:after="283"/>
              <w:jc w:val="left"/>
              <w:rPr/>
            </w:pPr>
            <w:r>
              <w:rPr/>
              <w:t>$</w:t>
            </w:r>
          </w:p>
        </w:tc>
        <w:tc>
          <w:tcPr>
            <w:tcW w:w="609"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shd w:fill="E5FFFF" w:val="clear"/>
            <w:vAlign w:val="center"/>
          </w:tcPr>
          <w:p>
            <w:pPr>
              <w:pStyle w:val="TableContents"/>
              <w:bidi w:val="0"/>
              <w:spacing w:before="0" w:after="283"/>
              <w:jc w:val="left"/>
              <w:rPr/>
            </w:pPr>
            <w:r>
              <w:rPr/>
              <w:t>$</w:t>
            </w:r>
          </w:p>
        </w:tc>
        <w:tc>
          <w:tcPr>
            <w:tcW w:w="609" w:type="dxa"/>
            <w:tcBorders/>
            <w:shd w:fill="E5FFFF" w:val="clear"/>
            <w:vAlign w:val="center"/>
          </w:tcPr>
          <w:p>
            <w:pPr>
              <w:pStyle w:val="TableContents"/>
              <w:bidi w:val="0"/>
              <w:spacing w:before="0" w:after="283"/>
              <w:jc w:val="right"/>
              <w:rPr/>
            </w:pPr>
            <w:r>
              <w:rPr/>
              <w:t>487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710"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21" w:type="dxa"/>
            <w:tcBorders/>
            <w:shd w:fill="E5FFFF" w:val="clear"/>
            <w:vAlign w:val="center"/>
          </w:tcPr>
          <w:p>
            <w:pPr>
              <w:pStyle w:val="TableContents"/>
              <w:bidi w:val="0"/>
              <w:spacing w:before="0" w:after="283"/>
              <w:jc w:val="left"/>
              <w:rPr/>
            </w:pPr>
            <w:r>
              <w:rPr/>
              <w:t>$</w:t>
            </w:r>
          </w:p>
        </w:tc>
        <w:tc>
          <w:tcPr>
            <w:tcW w:w="923" w:type="dxa"/>
            <w:tcBorders/>
            <w:shd w:fill="E5FFFF" w:val="clear"/>
            <w:vAlign w:val="center"/>
          </w:tcPr>
          <w:p>
            <w:pPr>
              <w:pStyle w:val="TableContents"/>
              <w:bidi w:val="0"/>
              <w:spacing w:before="0" w:after="283"/>
              <w:jc w:val="right"/>
              <w:rPr/>
            </w:pPr>
            <w:r>
              <w:rPr/>
              <w:t>487</w:t>
            </w:r>
          </w:p>
        </w:tc>
        <w:tc>
          <w:tcPr>
            <w:tcW w:w="135" w:type="dxa"/>
            <w:tcBorders/>
            <w:shd w:fill="E5FF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Commodity futures asset (2)</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1,339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1,339</w:t>
            </w:r>
          </w:p>
        </w:tc>
        <w:tc>
          <w:tcPr>
            <w:tcW w:w="135" w:type="dxa"/>
            <w:tcBorders/>
            <w:vAlign w:val="center"/>
          </w:tcPr>
          <w:p>
            <w:pPr>
              <w:pStyle w:val="TableContents"/>
              <w:bidi w:val="0"/>
              <w:spacing w:before="0" w:after="283"/>
              <w:jc w:val="left"/>
              <w:rPr/>
            </w:pPr>
            <w:r>
              <w:rPr/>
              <w:t> </w:t>
            </w:r>
          </w:p>
        </w:tc>
      </w:tr>
      <w:tr>
        <w:trPr/>
        <w:tc>
          <w:tcPr>
            <w:tcW w:w="3770" w:type="dxa"/>
            <w:tcBorders/>
            <w:shd w:fill="E5FFFF" w:val="clear"/>
            <w:vAlign w:val="center"/>
          </w:tcPr>
          <w:p>
            <w:pPr>
              <w:pStyle w:val="TableContents"/>
              <w:bidi w:val="0"/>
              <w:spacing w:before="0" w:after="283"/>
              <w:jc w:val="left"/>
              <w:rPr/>
            </w:pPr>
            <w:r>
              <w:rPr/>
              <w:t>Production tax credit asset (3)</w:t>
            </w:r>
          </w:p>
        </w:tc>
        <w:tc>
          <w:tcPr>
            <w:tcW w:w="90" w:type="dxa"/>
            <w:tcBorders/>
            <w:shd w:fill="E5FFFF" w:val="clear"/>
            <w:vAlign w:val="center"/>
          </w:tcPr>
          <w:p>
            <w:pPr>
              <w:pStyle w:val="TableContents"/>
              <w:bidi w:val="0"/>
              <w:spacing w:before="0" w:after="283"/>
              <w:jc w:val="left"/>
              <w:rPr/>
            </w:pPr>
            <w:r>
              <w:rPr/>
              <w:t> </w:t>
            </w:r>
          </w:p>
        </w:tc>
        <w:tc>
          <w:tcPr>
            <w:tcW w:w="17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609"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609"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E5FFFF" w:val="clear"/>
            <w:tcMar>
              <w:bottom w:w="28" w:type="dxa"/>
            </w:tcMar>
            <w:vAlign w:val="center"/>
          </w:tcPr>
          <w:p>
            <w:pPr>
              <w:pStyle w:val="TableContents"/>
              <w:bidi w:val="0"/>
              <w:spacing w:before="0" w:after="283"/>
              <w:jc w:val="right"/>
              <w:rPr/>
            </w:pPr>
            <w:r>
              <w:rPr/>
              <w:t>25,978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21"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23" w:type="dxa"/>
            <w:tcBorders>
              <w:bottom w:val="single" w:sz="2" w:space="0" w:color="000000"/>
            </w:tcBorders>
            <w:shd w:fill="E5FFFF" w:val="clear"/>
            <w:tcMar>
              <w:bottom w:w="28" w:type="dxa"/>
            </w:tcMar>
            <w:vAlign w:val="center"/>
          </w:tcPr>
          <w:p>
            <w:pPr>
              <w:pStyle w:val="TableContents"/>
              <w:bidi w:val="0"/>
              <w:spacing w:before="0" w:after="283"/>
              <w:jc w:val="right"/>
              <w:rPr/>
            </w:pPr>
            <w:r>
              <w:rPr/>
              <w:t>25,978</w:t>
            </w:r>
          </w:p>
        </w:tc>
        <w:tc>
          <w:tcPr>
            <w:tcW w:w="135" w:type="dxa"/>
            <w:tcBorders/>
            <w:shd w:fill="E5FF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609" w:type="dxa"/>
            <w:tcBorders>
              <w:bottom w:val="double" w:sz="6" w:space="0" w:color="000000"/>
            </w:tcBorders>
            <w:tcMar>
              <w:bottom w:w="28" w:type="dxa"/>
            </w:tcMar>
            <w:vAlign w:val="center"/>
          </w:tcPr>
          <w:p>
            <w:pPr>
              <w:pStyle w:val="TableContents"/>
              <w:bidi w:val="0"/>
              <w:spacing w:before="0" w:after="283"/>
              <w:jc w:val="right"/>
              <w:rPr/>
            </w:pPr>
            <w:r>
              <w:rPr/>
              <w:t>1,339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609" w:type="dxa"/>
            <w:tcBorders>
              <w:bottom w:val="double" w:sz="6" w:space="0" w:color="000000"/>
            </w:tcBorders>
            <w:tcMar>
              <w:bottom w:w="28" w:type="dxa"/>
            </w:tcMar>
            <w:vAlign w:val="center"/>
          </w:tcPr>
          <w:p>
            <w:pPr>
              <w:pStyle w:val="TableContents"/>
              <w:bidi w:val="0"/>
              <w:spacing w:before="0" w:after="283"/>
              <w:jc w:val="right"/>
              <w:rPr/>
            </w:pPr>
            <w:r>
              <w:rPr/>
              <w:t>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25,978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6" w:space="0" w:color="000000"/>
            </w:tcBorders>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tcMar>
              <w:bottom w:w="28" w:type="dxa"/>
            </w:tcMar>
            <w:vAlign w:val="center"/>
          </w:tcPr>
          <w:p>
            <w:pPr>
              <w:pStyle w:val="TableContents"/>
              <w:bidi w:val="0"/>
              <w:spacing w:before="0" w:after="283"/>
              <w:jc w:val="right"/>
              <w:rPr/>
            </w:pPr>
            <w:r>
              <w:rPr/>
              <w:t>27,804</w:t>
            </w:r>
          </w:p>
        </w:tc>
        <w:tc>
          <w:tcPr>
            <w:tcW w:w="13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770" w:type="dxa"/>
            <w:tcBorders/>
            <w:shd w:fill="E5FFFF" w:val="clear"/>
            <w:vAlign w:val="center"/>
          </w:tcPr>
          <w:p>
            <w:pPr>
              <w:pStyle w:val="TableContents"/>
              <w:bidi w:val="0"/>
              <w:spacing w:before="0" w:after="283"/>
              <w:jc w:val="left"/>
              <w:rPr/>
            </w:pPr>
            <w:r>
              <w:rPr/>
              <w:t>Forward purchase contracts liability (4)</w:t>
            </w:r>
          </w:p>
        </w:tc>
        <w:tc>
          <w:tcPr>
            <w:tcW w:w="90" w:type="dxa"/>
            <w:tcBorders/>
            <w:shd w:fill="E5FFFF" w:val="clear"/>
            <w:vAlign w:val="center"/>
          </w:tcPr>
          <w:p>
            <w:pPr>
              <w:pStyle w:val="TableContents"/>
              <w:bidi w:val="0"/>
              <w:spacing w:before="0" w:after="283"/>
              <w:jc w:val="left"/>
              <w:rPr/>
            </w:pPr>
            <w:r>
              <w:rPr/>
              <w:t> </w:t>
            </w:r>
          </w:p>
        </w:tc>
        <w:tc>
          <w:tcPr>
            <w:tcW w:w="175"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609"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5"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609" w:type="dxa"/>
            <w:tcBorders>
              <w:bottom w:val="double" w:sz="6" w:space="0" w:color="000000"/>
            </w:tcBorders>
            <w:shd w:fill="E5FFFF" w:val="clear"/>
            <w:tcMar>
              <w:bottom w:w="28" w:type="dxa"/>
            </w:tcMar>
            <w:vAlign w:val="center"/>
          </w:tcPr>
          <w:p>
            <w:pPr>
              <w:pStyle w:val="TableContents"/>
              <w:bidi w:val="0"/>
              <w:spacing w:before="0" w:after="283"/>
              <w:jc w:val="right"/>
              <w:rPr/>
            </w:pPr>
            <w:r>
              <w:rPr/>
              <w:t>2,540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21"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shd w:fill="E5FFFF" w:val="clear"/>
            <w:tcMar>
              <w:bottom w:w="28" w:type="dxa"/>
            </w:tcMar>
            <w:vAlign w:val="center"/>
          </w:tcPr>
          <w:p>
            <w:pPr>
              <w:pStyle w:val="TableContents"/>
              <w:bidi w:val="0"/>
              <w:spacing w:before="0" w:after="283"/>
              <w:jc w:val="right"/>
              <w:rPr/>
            </w:pPr>
            <w:r>
              <w:rPr/>
              <w:t>2,540</w:t>
            </w:r>
          </w:p>
        </w:tc>
        <w:tc>
          <w:tcPr>
            <w:tcW w:w="135"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Financial assets and liabilities measured at fair value on a recurring basis at January 31, 2026 are summarized below (amounts in thousands):</w:t>
      </w:r>
    </w:p>
    <w:p>
      <w:pPr>
        <w:pStyle w:val="TextBody"/>
        <w:bidi w:val="0"/>
        <w:ind w:left="0" w:right="0" w:firstLine="720"/>
        <w:jc w:val="left"/>
        <w:rPr>
          <w:caps w:val="false"/>
          <w:smallCaps w:val="false"/>
        </w:rPr>
      </w:pPr>
      <w:r>
        <w:rPr>
          <w:caps w:val="false"/>
          <w:smallCaps w:val="false"/>
        </w:rPr>
        <w:t> </w:t>
      </w:r>
    </w:p>
    <w:tbl>
      <w:tblPr>
        <w:tblW w:w="8031" w:type="dxa"/>
        <w:jc w:val="left"/>
        <w:tblInd w:w="0" w:type="dxa"/>
        <w:tblLayout w:type="fixed"/>
        <w:tblCellMar>
          <w:top w:w="0" w:type="dxa"/>
          <w:left w:w="0" w:type="dxa"/>
          <w:bottom w:w="0" w:type="dxa"/>
          <w:right w:w="0" w:type="dxa"/>
        </w:tblCellMar>
      </w:tblPr>
      <w:tblGrid>
        <w:gridCol w:w="3770"/>
        <w:gridCol w:w="90"/>
        <w:gridCol w:w="229"/>
        <w:gridCol w:w="555"/>
        <w:gridCol w:w="90"/>
        <w:gridCol w:w="90"/>
        <w:gridCol w:w="229"/>
        <w:gridCol w:w="555"/>
        <w:gridCol w:w="90"/>
        <w:gridCol w:w="90"/>
        <w:gridCol w:w="451"/>
        <w:gridCol w:w="333"/>
        <w:gridCol w:w="90"/>
        <w:gridCol w:w="90"/>
        <w:gridCol w:w="334"/>
        <w:gridCol w:w="810"/>
        <w:gridCol w:w="135"/>
      </w:tblGrid>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770" w:type="dxa"/>
            <w:tcBorders/>
            <w:shd w:fill="E5FFFF" w:val="clear"/>
            <w:vAlign w:val="center"/>
          </w:tcPr>
          <w:p>
            <w:pPr>
              <w:pStyle w:val="TableContents"/>
              <w:bidi w:val="0"/>
              <w:spacing w:before="0" w:after="283"/>
              <w:jc w:val="left"/>
              <w:rPr/>
            </w:pPr>
            <w:r>
              <w:rPr/>
              <w:t>Forward purchase contracts asset (1)</w:t>
            </w:r>
          </w:p>
        </w:tc>
        <w:tc>
          <w:tcPr>
            <w:tcW w:w="90" w:type="dxa"/>
            <w:tcBorders/>
            <w:shd w:fill="E5FFFF" w:val="clear"/>
            <w:vAlign w:val="center"/>
          </w:tcPr>
          <w:p>
            <w:pPr>
              <w:pStyle w:val="TableContents"/>
              <w:bidi w:val="0"/>
              <w:spacing w:before="0" w:after="283"/>
              <w:jc w:val="left"/>
              <w:rPr/>
            </w:pPr>
            <w:r>
              <w:rPr/>
              <w:t> </w:t>
            </w:r>
          </w:p>
        </w:tc>
        <w:tc>
          <w:tcPr>
            <w:tcW w:w="229" w:type="dxa"/>
            <w:tcBorders/>
            <w:shd w:fill="E5FFFF" w:val="clear"/>
            <w:vAlign w:val="center"/>
          </w:tcPr>
          <w:p>
            <w:pPr>
              <w:pStyle w:val="TableContents"/>
              <w:bidi w:val="0"/>
              <w:spacing w:before="0" w:after="283"/>
              <w:jc w:val="left"/>
              <w:rPr/>
            </w:pPr>
            <w:r>
              <w:rPr/>
              <w:t>$</w:t>
            </w:r>
          </w:p>
        </w:tc>
        <w:tc>
          <w:tcPr>
            <w:tcW w:w="555"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29" w:type="dxa"/>
            <w:tcBorders/>
            <w:shd w:fill="E5FFFF" w:val="clear"/>
            <w:vAlign w:val="center"/>
          </w:tcPr>
          <w:p>
            <w:pPr>
              <w:pStyle w:val="TableContents"/>
              <w:bidi w:val="0"/>
              <w:spacing w:before="0" w:after="283"/>
              <w:jc w:val="left"/>
              <w:rPr/>
            </w:pPr>
            <w:r>
              <w:rPr/>
              <w:t>$</w:t>
            </w:r>
          </w:p>
        </w:tc>
        <w:tc>
          <w:tcPr>
            <w:tcW w:w="555" w:type="dxa"/>
            <w:tcBorders/>
            <w:shd w:fill="E5FFFF" w:val="clear"/>
            <w:vAlign w:val="center"/>
          </w:tcPr>
          <w:p>
            <w:pPr>
              <w:pStyle w:val="TableContents"/>
              <w:bidi w:val="0"/>
              <w:spacing w:before="0" w:after="283"/>
              <w:jc w:val="right"/>
              <w:rPr/>
            </w:pPr>
            <w:r>
              <w:rPr/>
              <w:t>280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51" w:type="dxa"/>
            <w:tcBorders/>
            <w:shd w:fill="E5FFFF" w:val="clear"/>
            <w:vAlign w:val="center"/>
          </w:tcPr>
          <w:p>
            <w:pPr>
              <w:pStyle w:val="TableContents"/>
              <w:bidi w:val="0"/>
              <w:spacing w:before="0" w:after="283"/>
              <w:jc w:val="left"/>
              <w:rPr/>
            </w:pPr>
            <w:r>
              <w:rPr/>
              <w:t>$</w:t>
            </w:r>
          </w:p>
        </w:tc>
        <w:tc>
          <w:tcPr>
            <w:tcW w:w="333"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34" w:type="dxa"/>
            <w:tcBorders/>
            <w:shd w:fill="E5FFFF" w:val="clear"/>
            <w:vAlign w:val="center"/>
          </w:tcPr>
          <w:p>
            <w:pPr>
              <w:pStyle w:val="TableContents"/>
              <w:bidi w:val="0"/>
              <w:spacing w:before="0" w:after="283"/>
              <w:jc w:val="left"/>
              <w:rPr/>
            </w:pPr>
            <w:r>
              <w:rPr/>
              <w:t>$</w:t>
            </w:r>
          </w:p>
        </w:tc>
        <w:tc>
          <w:tcPr>
            <w:tcW w:w="810" w:type="dxa"/>
            <w:tcBorders/>
            <w:shd w:fill="E5FFFF" w:val="clear"/>
            <w:vAlign w:val="center"/>
          </w:tcPr>
          <w:p>
            <w:pPr>
              <w:pStyle w:val="TableContents"/>
              <w:bidi w:val="0"/>
              <w:spacing w:before="0" w:after="283"/>
              <w:jc w:val="right"/>
              <w:rPr/>
            </w:pPr>
            <w:r>
              <w:rPr/>
              <w:t>280</w:t>
            </w:r>
          </w:p>
        </w:tc>
        <w:tc>
          <w:tcPr>
            <w:tcW w:w="135" w:type="dxa"/>
            <w:tcBorders/>
            <w:shd w:fill="E5FF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Commodity futures asset (2)</w:t>
            </w:r>
          </w:p>
        </w:tc>
        <w:tc>
          <w:tcPr>
            <w:tcW w:w="90" w:type="dxa"/>
            <w:tcBorders/>
            <w:vAlign w:val="center"/>
          </w:tcPr>
          <w:p>
            <w:pPr>
              <w:pStyle w:val="TableContents"/>
              <w:bidi w:val="0"/>
              <w:spacing w:before="0" w:after="283"/>
              <w:jc w:val="left"/>
              <w:rPr/>
            </w:pPr>
            <w:r>
              <w:rPr/>
              <w:t> </w:t>
            </w:r>
          </w:p>
        </w:tc>
        <w:tc>
          <w:tcPr>
            <w:tcW w:w="229" w:type="dxa"/>
            <w:tcBorders>
              <w:bottom w:val="single" w:sz="2" w:space="0" w:color="000000"/>
            </w:tcBorders>
            <w:tcMar>
              <w:bottom w:w="28" w:type="dxa"/>
            </w:tcMar>
            <w:vAlign w:val="center"/>
          </w:tcPr>
          <w:p>
            <w:pPr>
              <w:pStyle w:val="TableContents"/>
              <w:bidi w:val="0"/>
              <w:spacing w:before="0" w:after="283"/>
              <w:jc w:val="left"/>
              <w:rPr/>
            </w:pPr>
            <w:r>
              <w:rPr/>
              <w:t> </w:t>
            </w:r>
          </w:p>
        </w:tc>
        <w:tc>
          <w:tcPr>
            <w:tcW w:w="555" w:type="dxa"/>
            <w:tcBorders>
              <w:bottom w:val="single" w:sz="2" w:space="0" w:color="000000"/>
            </w:tcBorders>
            <w:tcMar>
              <w:bottom w:w="28" w:type="dxa"/>
            </w:tcMar>
            <w:vAlign w:val="center"/>
          </w:tcPr>
          <w:p>
            <w:pPr>
              <w:pStyle w:val="TableContents"/>
              <w:bidi w:val="0"/>
              <w:spacing w:before="0" w:after="283"/>
              <w:jc w:val="right"/>
              <w:rPr/>
            </w:pPr>
            <w:r>
              <w:rPr/>
              <w:t>433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bottom w:val="single" w:sz="2" w:space="0" w:color="000000"/>
            </w:tcBorders>
            <w:tcMar>
              <w:bottom w:w="28" w:type="dxa"/>
            </w:tcMar>
            <w:vAlign w:val="center"/>
          </w:tcPr>
          <w:p>
            <w:pPr>
              <w:pStyle w:val="TableContents"/>
              <w:bidi w:val="0"/>
              <w:spacing w:before="0" w:after="283"/>
              <w:jc w:val="left"/>
              <w:rPr/>
            </w:pPr>
            <w:r>
              <w:rPr/>
              <w:t> </w:t>
            </w:r>
          </w:p>
        </w:tc>
        <w:tc>
          <w:tcPr>
            <w:tcW w:w="55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bottom w:val="single" w:sz="2" w:space="0" w:color="000000"/>
            </w:tcBorders>
            <w:tcMar>
              <w:bottom w:w="28" w:type="dxa"/>
            </w:tcMar>
            <w:vAlign w:val="center"/>
          </w:tcPr>
          <w:p>
            <w:pPr>
              <w:pStyle w:val="TableContents"/>
              <w:bidi w:val="0"/>
              <w:spacing w:before="0" w:after="283"/>
              <w:jc w:val="left"/>
              <w:rPr/>
            </w:pPr>
            <w:r>
              <w:rPr/>
              <w:t> </w:t>
            </w:r>
          </w:p>
        </w:tc>
        <w:tc>
          <w:tcPr>
            <w:tcW w:w="333"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4" w:type="dxa"/>
            <w:tcBorders>
              <w:bottom w:val="single" w:sz="2" w:space="0" w:color="000000"/>
            </w:tcBorders>
            <w:tcMar>
              <w:bottom w:w="28" w:type="dxa"/>
            </w:tcMar>
            <w:vAlign w:val="center"/>
          </w:tcPr>
          <w:p>
            <w:pPr>
              <w:pStyle w:val="TableContents"/>
              <w:bidi w:val="0"/>
              <w:spacing w:before="0" w:after="283"/>
              <w:jc w:val="left"/>
              <w:rPr/>
            </w:pPr>
            <w:r>
              <w:rPr/>
              <w:t> </w:t>
            </w:r>
          </w:p>
        </w:tc>
        <w:tc>
          <w:tcPr>
            <w:tcW w:w="810" w:type="dxa"/>
            <w:tcBorders>
              <w:bottom w:val="single" w:sz="2" w:space="0" w:color="000000"/>
            </w:tcBorders>
            <w:tcMar>
              <w:bottom w:w="28" w:type="dxa"/>
            </w:tcMar>
            <w:vAlign w:val="center"/>
          </w:tcPr>
          <w:p>
            <w:pPr>
              <w:pStyle w:val="TableContents"/>
              <w:bidi w:val="0"/>
              <w:spacing w:before="0" w:after="283"/>
              <w:jc w:val="right"/>
              <w:rPr/>
            </w:pPr>
            <w:r>
              <w:rPr/>
              <w:t>433</w:t>
            </w:r>
          </w:p>
        </w:tc>
        <w:tc>
          <w:tcPr>
            <w:tcW w:w="135" w:type="dxa"/>
            <w:tcBorders/>
            <w:vAlign w:val="center"/>
          </w:tcPr>
          <w:p>
            <w:pPr>
              <w:pStyle w:val="TableContents"/>
              <w:bidi w:val="0"/>
              <w:spacing w:before="0" w:after="283"/>
              <w:jc w:val="left"/>
              <w:rPr/>
            </w:pPr>
            <w:r>
              <w:rPr/>
              <w:t> </w:t>
            </w:r>
          </w:p>
        </w:tc>
      </w:tr>
      <w:tr>
        <w:trPr/>
        <w:tc>
          <w:tcPr>
            <w:tcW w:w="3770" w:type="dxa"/>
            <w:tcBorders/>
            <w:shd w:fill="E5FFFF" w:val="clear"/>
            <w:vAlign w:val="center"/>
          </w:tcPr>
          <w:p>
            <w:pPr>
              <w:pStyle w:val="TableContents"/>
              <w:bidi w:val="0"/>
              <w:spacing w:before="0" w:after="283"/>
              <w:jc w:val="left"/>
              <w:rPr/>
            </w:pPr>
            <w:r>
              <w:rPr/>
              <w:t>Total assets</w:t>
            </w:r>
          </w:p>
        </w:tc>
        <w:tc>
          <w:tcPr>
            <w:tcW w:w="90" w:type="dxa"/>
            <w:tcBorders/>
            <w:shd w:fill="E5FFFF" w:val="clear"/>
            <w:vAlign w:val="center"/>
          </w:tcPr>
          <w:p>
            <w:pPr>
              <w:pStyle w:val="TableContents"/>
              <w:bidi w:val="0"/>
              <w:spacing w:before="0" w:after="283"/>
              <w:jc w:val="left"/>
              <w:rPr/>
            </w:pPr>
            <w:r>
              <w:rPr/>
              <w:t> </w:t>
            </w:r>
          </w:p>
        </w:tc>
        <w:tc>
          <w:tcPr>
            <w:tcW w:w="229"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55" w:type="dxa"/>
            <w:tcBorders>
              <w:bottom w:val="double" w:sz="6" w:space="0" w:color="000000"/>
            </w:tcBorders>
            <w:shd w:fill="E5FFFF" w:val="clear"/>
            <w:tcMar>
              <w:bottom w:w="28" w:type="dxa"/>
            </w:tcMar>
            <w:vAlign w:val="center"/>
          </w:tcPr>
          <w:p>
            <w:pPr>
              <w:pStyle w:val="TableContents"/>
              <w:bidi w:val="0"/>
              <w:spacing w:before="0" w:after="283"/>
              <w:jc w:val="right"/>
              <w:rPr/>
            </w:pPr>
            <w:r>
              <w:rPr/>
              <w:t>433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29"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55" w:type="dxa"/>
            <w:tcBorders>
              <w:bottom w:val="double" w:sz="6" w:space="0" w:color="000000"/>
            </w:tcBorders>
            <w:shd w:fill="E5FFFF" w:val="clear"/>
            <w:tcMar>
              <w:bottom w:w="28" w:type="dxa"/>
            </w:tcMar>
            <w:vAlign w:val="center"/>
          </w:tcPr>
          <w:p>
            <w:pPr>
              <w:pStyle w:val="TableContents"/>
              <w:bidi w:val="0"/>
              <w:spacing w:before="0" w:after="283"/>
              <w:jc w:val="right"/>
              <w:rPr/>
            </w:pPr>
            <w:r>
              <w:rPr/>
              <w:t>280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451"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333"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3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E5FFFF" w:val="clear"/>
            <w:tcMar>
              <w:bottom w:w="28" w:type="dxa"/>
            </w:tcMar>
            <w:vAlign w:val="center"/>
          </w:tcPr>
          <w:p>
            <w:pPr>
              <w:pStyle w:val="TableContents"/>
              <w:bidi w:val="0"/>
              <w:spacing w:before="0" w:after="283"/>
              <w:jc w:val="right"/>
              <w:rPr/>
            </w:pPr>
            <w:r>
              <w:rPr/>
              <w:t>713</w:t>
            </w:r>
          </w:p>
        </w:tc>
        <w:tc>
          <w:tcPr>
            <w:tcW w:w="135" w:type="dxa"/>
            <w:tcBorders/>
            <w:shd w:fill="E5FF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Forward purchase contracts liability (4)</w:t>
            </w:r>
          </w:p>
        </w:tc>
        <w:tc>
          <w:tcPr>
            <w:tcW w:w="90" w:type="dxa"/>
            <w:tcBorders/>
            <w:vAlign w:val="center"/>
          </w:tcPr>
          <w:p>
            <w:pPr>
              <w:pStyle w:val="TableContents"/>
              <w:bidi w:val="0"/>
              <w:spacing w:before="0" w:after="283"/>
              <w:jc w:val="left"/>
              <w:rPr/>
            </w:pPr>
            <w:r>
              <w:rPr/>
              <w:t> </w:t>
            </w:r>
          </w:p>
        </w:tc>
        <w:tc>
          <w:tcPr>
            <w:tcW w:w="229" w:type="dxa"/>
            <w:tcBorders>
              <w:bottom w:val="double" w:sz="6" w:space="0" w:color="000000"/>
            </w:tcBorders>
            <w:tcMar>
              <w:bottom w:w="28" w:type="dxa"/>
            </w:tcMar>
            <w:vAlign w:val="center"/>
          </w:tcPr>
          <w:p>
            <w:pPr>
              <w:pStyle w:val="TableContents"/>
              <w:bidi w:val="0"/>
              <w:spacing w:before="0" w:after="283"/>
              <w:jc w:val="left"/>
              <w:rPr/>
            </w:pPr>
            <w:r>
              <w:rPr/>
              <w:t>$</w:t>
            </w:r>
          </w:p>
        </w:tc>
        <w:tc>
          <w:tcPr>
            <w:tcW w:w="555"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bottom w:val="double" w:sz="6" w:space="0" w:color="000000"/>
            </w:tcBorders>
            <w:tcMar>
              <w:bottom w:w="28" w:type="dxa"/>
            </w:tcMar>
            <w:vAlign w:val="center"/>
          </w:tcPr>
          <w:p>
            <w:pPr>
              <w:pStyle w:val="TableContents"/>
              <w:bidi w:val="0"/>
              <w:spacing w:before="0" w:after="283"/>
              <w:jc w:val="left"/>
              <w:rPr/>
            </w:pPr>
            <w:r>
              <w:rPr/>
              <w:t>$</w:t>
            </w:r>
          </w:p>
        </w:tc>
        <w:tc>
          <w:tcPr>
            <w:tcW w:w="555" w:type="dxa"/>
            <w:tcBorders>
              <w:bottom w:val="double" w:sz="6" w:space="0" w:color="000000"/>
            </w:tcBorders>
            <w:tcMar>
              <w:bottom w:w="28" w:type="dxa"/>
            </w:tcMar>
            <w:vAlign w:val="center"/>
          </w:tcPr>
          <w:p>
            <w:pPr>
              <w:pStyle w:val="TableContents"/>
              <w:bidi w:val="0"/>
              <w:spacing w:before="0" w:after="283"/>
              <w:jc w:val="right"/>
              <w:rPr/>
            </w:pPr>
            <w:r>
              <w:rPr/>
              <w:t>529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1" w:type="dxa"/>
            <w:tcBorders>
              <w:bottom w:val="double" w:sz="6" w:space="0" w:color="000000"/>
            </w:tcBorders>
            <w:tcMar>
              <w:bottom w:w="28" w:type="dxa"/>
            </w:tcMar>
            <w:vAlign w:val="center"/>
          </w:tcPr>
          <w:p>
            <w:pPr>
              <w:pStyle w:val="TableContents"/>
              <w:bidi w:val="0"/>
              <w:spacing w:before="0" w:after="283"/>
              <w:jc w:val="left"/>
              <w:rPr/>
            </w:pPr>
            <w:r>
              <w:rPr/>
              <w:t>$</w:t>
            </w:r>
          </w:p>
        </w:tc>
        <w:tc>
          <w:tcPr>
            <w:tcW w:w="333"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4" w:type="dxa"/>
            <w:tcBorders>
              <w:bottom w:val="double" w:sz="6" w:space="0" w:color="000000"/>
            </w:tcBorders>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tcMar>
              <w:bottom w:w="28" w:type="dxa"/>
            </w:tcMar>
            <w:vAlign w:val="center"/>
          </w:tcPr>
          <w:p>
            <w:pPr>
              <w:pStyle w:val="TableContents"/>
              <w:bidi w:val="0"/>
              <w:spacing w:before="0" w:after="283"/>
              <w:jc w:val="right"/>
              <w:rPr/>
            </w:pPr>
            <w:r>
              <w:rPr/>
              <w:t>529</w:t>
            </w:r>
          </w:p>
        </w:tc>
        <w:tc>
          <w:tcPr>
            <w:tcW w:w="135"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
        <w:gridCol w:w="285"/>
        <w:gridCol w:w="9830"/>
      </w:tblGrid>
      <w:tr>
        <w:trPr/>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(1)  </w:t>
            </w:r>
          </w:p>
        </w:tc>
        <w:tc>
          <w:tcPr>
            <w:tcW w:w="9830" w:type="dxa"/>
            <w:tcBorders/>
            <w:vAlign w:val="center"/>
          </w:tcPr>
          <w:p>
            <w:pPr>
              <w:pStyle w:val="TableContents"/>
              <w:bidi w:val="0"/>
              <w:spacing w:before="0" w:after="283"/>
              <w:jc w:val="left"/>
              <w:rPr/>
            </w:pPr>
            <w:r>
              <w:rPr/>
              <w:t>The forward purchase contracts asset is included in “Prepaid expenses and other” on the accompanying Consolidated Balance Sheets.</w:t>
            </w:r>
          </w:p>
        </w:tc>
      </w:tr>
      <w:tr>
        <w:trPr/>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(2)  </w:t>
            </w:r>
          </w:p>
        </w:tc>
        <w:tc>
          <w:tcPr>
            <w:tcW w:w="9830" w:type="dxa"/>
            <w:tcBorders/>
            <w:vAlign w:val="center"/>
          </w:tcPr>
          <w:p>
            <w:pPr>
              <w:pStyle w:val="TableContents"/>
              <w:bidi w:val="0"/>
              <w:spacing w:before="0" w:after="283"/>
              <w:jc w:val="left"/>
              <w:rPr/>
            </w:pPr>
            <w:r>
              <w:rPr/>
              <w:t>The commodity futures assets and liabilities are netted with cash collateral due from broker and included in “Prepaid expenses and other” on the accompanying Consolidated Balance Sheets.</w:t>
            </w:r>
          </w:p>
        </w:tc>
      </w:tr>
      <w:tr>
        <w:trPr/>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(3)  </w:t>
            </w:r>
          </w:p>
        </w:tc>
        <w:tc>
          <w:tcPr>
            <w:tcW w:w="9830" w:type="dxa"/>
            <w:tcBorders/>
            <w:vAlign w:val="center"/>
          </w:tcPr>
          <w:p>
            <w:pPr>
              <w:pStyle w:val="TableContents"/>
              <w:bidi w:val="0"/>
              <w:spacing w:before="0" w:after="283"/>
              <w:jc w:val="left"/>
              <w:rPr/>
            </w:pPr>
            <w:r>
              <w:rPr/>
              <w:t>Production tax credit assets are included in “Other assets” on the Consolidated Balance Sheets and represent the Company’s estimated net proceeds from the future sale of the credits. The fair value is measured on a nonrecurring basis and is based on estimates such as the expected qualified gallons sold, the gross credit achieved per gallon, sales discount, broker fees and potential insurance costs. As such, disclosure as Level 3 is appropriate.</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19 </w:t>
      </w:r>
    </w:p>
    <w:tbl>
      <w:tblPr>
        <w:tblW w:w="10205" w:type="dxa"/>
        <w:jc w:val="left"/>
        <w:tblInd w:w="0" w:type="dxa"/>
        <w:tblLayout w:type="fixed"/>
        <w:tblCellMar>
          <w:top w:w="0" w:type="dxa"/>
          <w:left w:w="0" w:type="dxa"/>
          <w:bottom w:w="0" w:type="dxa"/>
          <w:right w:w="0" w:type="dxa"/>
        </w:tblCellMar>
      </w:tblPr>
      <w:tblGrid>
        <w:gridCol w:w="90"/>
        <w:gridCol w:w="367"/>
        <w:gridCol w:w="9748"/>
      </w:tblGrid>
      <w:tr>
        <w:trPr/>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(4)  </w:t>
            </w:r>
          </w:p>
        </w:tc>
        <w:tc>
          <w:tcPr>
            <w:tcW w:w="9748" w:type="dxa"/>
            <w:tcBorders/>
            <w:vAlign w:val="center"/>
          </w:tcPr>
          <w:p>
            <w:pPr>
              <w:pStyle w:val="TableContents"/>
              <w:bidi w:val="0"/>
              <w:spacing w:before="0" w:after="283"/>
              <w:jc w:val="left"/>
              <w:rPr/>
            </w:pPr>
            <w:r>
              <w:rPr/>
              <w:t>The forward purchase contracts liability is included in “Accrued expenses and other current liabilities” on the accompanying Consolidated Balance Sheets.</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There were no Level 3 fair value measurements as of April 30, 2026, as the Company’s intent at the time was to utilize the tax credits and as such, the credits did not include any estimated discounts or selling expenses. The Company has since concluded it intends to monetize the transferable tax credits earned in fiscal year 2026. The following table summarizes the roll-forward of Level 3 fair value measurements as of July 31, 2026 (in thousands):</w:t>
      </w:r>
    </w:p>
    <w:p>
      <w:pPr>
        <w:pStyle w:val="TextBody"/>
        <w:bidi w:val="0"/>
        <w:jc w:val="left"/>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3215"/>
        <w:gridCol w:w="90"/>
        <w:gridCol w:w="170"/>
        <w:gridCol w:w="710"/>
        <w:gridCol w:w="135"/>
      </w:tblGrid>
      <w:tr>
        <w:trPr/>
        <w:tc>
          <w:tcPr>
            <w:tcW w:w="3215" w:type="dxa"/>
            <w:tcBorders/>
            <w:shd w:fill="E5FFFF" w:val="clear"/>
            <w:vAlign w:val="center"/>
          </w:tcPr>
          <w:p>
            <w:pPr>
              <w:pStyle w:val="TableContents"/>
              <w:bidi w:val="0"/>
              <w:spacing w:before="0" w:after="283"/>
              <w:jc w:val="left"/>
              <w:rPr/>
            </w:pPr>
            <w:r>
              <w:rPr/>
              <w:t>Fair Value as of April 30, 2026</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710" w:type="dxa"/>
            <w:tcBorders/>
            <w:shd w:fill="E5FFFF" w:val="clear"/>
            <w:vAlign w:val="center"/>
          </w:tcPr>
          <w:p>
            <w:pPr>
              <w:pStyle w:val="TableContents"/>
              <w:bidi w:val="0"/>
              <w:spacing w:before="0" w:after="283"/>
              <w:jc w:val="right"/>
              <w:rPr/>
            </w:pPr>
            <w:r>
              <w:rPr/>
              <w:t>-</w:t>
            </w:r>
          </w:p>
        </w:tc>
        <w:tc>
          <w:tcPr>
            <w:tcW w:w="135" w:type="dxa"/>
            <w:tcBorders/>
            <w:shd w:fill="E5FF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Generated transferable tax credits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25,978</w:t>
            </w:r>
          </w:p>
        </w:tc>
        <w:tc>
          <w:tcPr>
            <w:tcW w:w="135" w:type="dxa"/>
            <w:tcBorders/>
            <w:vAlign w:val="center"/>
          </w:tcPr>
          <w:p>
            <w:pPr>
              <w:pStyle w:val="TableContents"/>
              <w:bidi w:val="0"/>
              <w:spacing w:before="0" w:after="283"/>
              <w:jc w:val="left"/>
              <w:rPr/>
            </w:pPr>
            <w:r>
              <w:rPr/>
              <w:t> </w:t>
            </w:r>
          </w:p>
        </w:tc>
      </w:tr>
      <w:tr>
        <w:trPr/>
        <w:tc>
          <w:tcPr>
            <w:tcW w:w="3215" w:type="dxa"/>
            <w:tcBorders/>
            <w:shd w:fill="E5FFFF" w:val="clear"/>
            <w:vAlign w:val="center"/>
          </w:tcPr>
          <w:p>
            <w:pPr>
              <w:pStyle w:val="TableContents"/>
              <w:bidi w:val="0"/>
              <w:spacing w:before="0" w:after="283"/>
              <w:jc w:val="left"/>
              <w:rPr/>
            </w:pPr>
            <w:r>
              <w:rPr/>
              <w:t>Fair value as of July 31, 2026</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E5FFFF" w:val="clear"/>
            <w:tcMar>
              <w:bottom w:w="28" w:type="dxa"/>
            </w:tcMar>
            <w:vAlign w:val="center"/>
          </w:tcPr>
          <w:p>
            <w:pPr>
              <w:pStyle w:val="TableContents"/>
              <w:bidi w:val="0"/>
              <w:spacing w:before="0" w:after="283"/>
              <w:jc w:val="right"/>
              <w:rPr/>
            </w:pPr>
            <w:r>
              <w:rPr/>
              <w:t>25,978</w:t>
            </w:r>
          </w:p>
        </w:tc>
        <w:tc>
          <w:tcPr>
            <w:tcW w:w="135"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6. </w:t>
      </w:r>
      <w:r>
        <w:rPr>
          <w:rFonts w:ascii="Times New Roman;Times;Serif" w:hAnsi="Times New Roman;Times;Serif"/>
          <w:b/>
          <w:i/>
          <w:caps w:val="false"/>
          <w:smallCaps w:val="false"/>
          <w:sz w:val="24"/>
        </w:rPr>
        <w:t>Property and Equipment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components of property and equipment are as follows for the periods presented (amounts in thousands):</w:t>
      </w:r>
    </w:p>
    <w:p>
      <w:pPr>
        <w:pStyle w:val="TextBody"/>
        <w:bidi w:val="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3425"/>
        <w:gridCol w:w="90"/>
        <w:gridCol w:w="170"/>
        <w:gridCol w:w="980"/>
        <w:gridCol w:w="90"/>
        <w:gridCol w:w="90"/>
        <w:gridCol w:w="200"/>
        <w:gridCol w:w="1065"/>
        <w:gridCol w:w="135"/>
      </w:tblGrid>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w:t>
              <w:br/>
              <w:t>2026</w:t>
            </w:r>
          </w:p>
        </w:tc>
        <w:tc>
          <w:tcPr>
            <w:tcW w:w="13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425" w:type="dxa"/>
            <w:tcBorders/>
            <w:shd w:fill="E5FFFF" w:val="clear"/>
            <w:vAlign w:val="center"/>
          </w:tcPr>
          <w:p>
            <w:pPr>
              <w:pStyle w:val="TableContents"/>
              <w:bidi w:val="0"/>
              <w:spacing w:before="0" w:after="283"/>
              <w:jc w:val="left"/>
              <w:rPr/>
            </w:pPr>
            <w:r>
              <w:rPr/>
              <w:t>Land and improvements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980" w:type="dxa"/>
            <w:tcBorders/>
            <w:shd w:fill="E5FFFF" w:val="clear"/>
            <w:vAlign w:val="center"/>
          </w:tcPr>
          <w:p>
            <w:pPr>
              <w:pStyle w:val="TableContents"/>
              <w:bidi w:val="0"/>
              <w:spacing w:before="0" w:after="283"/>
              <w:jc w:val="right"/>
              <w:rPr/>
            </w:pPr>
            <w:r>
              <w:rPr/>
              <w:t>42,636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00" w:type="dxa"/>
            <w:tcBorders/>
            <w:shd w:fill="E5FFFF" w:val="clear"/>
            <w:vAlign w:val="center"/>
          </w:tcPr>
          <w:p>
            <w:pPr>
              <w:pStyle w:val="TableContents"/>
              <w:bidi w:val="0"/>
              <w:spacing w:before="0" w:after="283"/>
              <w:jc w:val="left"/>
              <w:rPr/>
            </w:pPr>
            <w:r>
              <w:rPr/>
              <w:t>$</w:t>
            </w:r>
          </w:p>
        </w:tc>
        <w:tc>
          <w:tcPr>
            <w:tcW w:w="1065" w:type="dxa"/>
            <w:tcBorders/>
            <w:shd w:fill="E5FFFF" w:val="clear"/>
            <w:vAlign w:val="center"/>
          </w:tcPr>
          <w:p>
            <w:pPr>
              <w:pStyle w:val="TableContents"/>
              <w:bidi w:val="0"/>
              <w:spacing w:before="0" w:after="283"/>
              <w:jc w:val="right"/>
              <w:rPr/>
            </w:pPr>
            <w:r>
              <w:rPr/>
              <w:t>42,840</w:t>
            </w:r>
          </w:p>
        </w:tc>
        <w:tc>
          <w:tcPr>
            <w:tcW w:w="135" w:type="dxa"/>
            <w:tcBorders/>
            <w:shd w:fill="E5FF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Buildings and improvements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32,839</w:t>
            </w:r>
          </w:p>
        </w:tc>
        <w:tc>
          <w:tcPr>
            <w:tcW w:w="135" w:type="dxa"/>
            <w:tcBorders/>
            <w:vAlign w:val="center"/>
          </w:tcPr>
          <w:p>
            <w:pPr>
              <w:pStyle w:val="TableContents"/>
              <w:bidi w:val="0"/>
              <w:spacing w:before="0" w:after="283"/>
              <w:jc w:val="left"/>
              <w:rPr/>
            </w:pPr>
            <w:r>
              <w:rPr/>
              <w:t> </w:t>
            </w:r>
          </w:p>
        </w:tc>
      </w:tr>
      <w:tr>
        <w:trPr/>
        <w:tc>
          <w:tcPr>
            <w:tcW w:w="3425" w:type="dxa"/>
            <w:tcBorders/>
            <w:shd w:fill="E5FFFF" w:val="clear"/>
            <w:vAlign w:val="center"/>
          </w:tcPr>
          <w:p>
            <w:pPr>
              <w:pStyle w:val="TableContents"/>
              <w:bidi w:val="0"/>
              <w:spacing w:before="0" w:after="283"/>
              <w:jc w:val="left"/>
              <w:rPr/>
            </w:pPr>
            <w:r>
              <w:rPr/>
              <w:t>Machinery, equipment, and fixtures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80" w:type="dxa"/>
            <w:tcBorders/>
            <w:shd w:fill="E5FFFF" w:val="clear"/>
            <w:vAlign w:val="center"/>
          </w:tcPr>
          <w:p>
            <w:pPr>
              <w:pStyle w:val="TableContents"/>
              <w:bidi w:val="0"/>
              <w:spacing w:before="0" w:after="283"/>
              <w:jc w:val="right"/>
              <w:rPr/>
            </w:pPr>
            <w:r>
              <w:rPr/>
              <w:t>373,452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00" w:type="dxa"/>
            <w:tcBorders/>
            <w:shd w:fill="E5FFFF" w:val="clear"/>
            <w:vAlign w:val="center"/>
          </w:tcPr>
          <w:p>
            <w:pPr>
              <w:pStyle w:val="TableContents"/>
              <w:bidi w:val="0"/>
              <w:spacing w:before="0" w:after="283"/>
              <w:jc w:val="left"/>
              <w:rPr/>
            </w:pPr>
            <w:r>
              <w:rPr/>
              <w:t> </w:t>
            </w:r>
          </w:p>
        </w:tc>
        <w:tc>
          <w:tcPr>
            <w:tcW w:w="1065" w:type="dxa"/>
            <w:tcBorders/>
            <w:shd w:fill="E5FFFF" w:val="clear"/>
            <w:vAlign w:val="center"/>
          </w:tcPr>
          <w:p>
            <w:pPr>
              <w:pStyle w:val="TableContents"/>
              <w:bidi w:val="0"/>
              <w:spacing w:before="0" w:after="283"/>
              <w:jc w:val="right"/>
              <w:rPr/>
            </w:pPr>
            <w:r>
              <w:rPr/>
              <w:t>371,405</w:t>
            </w:r>
          </w:p>
        </w:tc>
        <w:tc>
          <w:tcPr>
            <w:tcW w:w="135" w:type="dxa"/>
            <w:tcBorders/>
            <w:shd w:fill="E5FF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Construction in progress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pPr>
            <w:r>
              <w:rPr/>
              <w:t>125,968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c>
          <w:tcPr>
            <w:tcW w:w="1065" w:type="dxa"/>
            <w:tcBorders>
              <w:bottom w:val="single" w:sz="2" w:space="0" w:color="000000"/>
            </w:tcBorders>
            <w:tcMar>
              <w:bottom w:w="28" w:type="dxa"/>
            </w:tcMar>
            <w:vAlign w:val="center"/>
          </w:tcPr>
          <w:p>
            <w:pPr>
              <w:pStyle w:val="TableContents"/>
              <w:bidi w:val="0"/>
              <w:spacing w:before="0" w:after="283"/>
              <w:jc w:val="right"/>
              <w:rPr/>
            </w:pPr>
            <w:r>
              <w:rPr/>
              <w:t>98,722</w:t>
            </w:r>
          </w:p>
        </w:tc>
        <w:tc>
          <w:tcPr>
            <w:tcW w:w="135" w:type="dxa"/>
            <w:tcBorders/>
            <w:vAlign w:val="center"/>
          </w:tcPr>
          <w:p>
            <w:pPr>
              <w:pStyle w:val="TableContents"/>
              <w:bidi w:val="0"/>
              <w:spacing w:before="0" w:after="283"/>
              <w:jc w:val="left"/>
              <w:rPr/>
            </w:pPr>
            <w:r>
              <w:rPr/>
              <w:t> </w:t>
            </w:r>
          </w:p>
        </w:tc>
      </w:tr>
      <w:tr>
        <w:trPr/>
        <w:tc>
          <w:tcPr>
            <w:tcW w:w="3425" w:type="dxa"/>
            <w:tcBorders/>
            <w:shd w:fill="E5FFFF" w:val="clear"/>
            <w:vAlign w:val="center"/>
          </w:tcPr>
          <w:p>
            <w:pPr>
              <w:pStyle w:val="TableContents"/>
              <w:bidi w:val="0"/>
              <w:spacing w:before="0" w:after="283"/>
              <w:jc w:val="left"/>
              <w:rPr/>
            </w:pPr>
            <w:r>
              <w:rPr/>
              <w:t>Total property and equipment</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80" w:type="dxa"/>
            <w:tcBorders/>
            <w:shd w:fill="E5FFFF" w:val="clear"/>
            <w:vAlign w:val="center"/>
          </w:tcPr>
          <w:p>
            <w:pPr>
              <w:pStyle w:val="TableContents"/>
              <w:bidi w:val="0"/>
              <w:spacing w:before="0" w:after="283"/>
              <w:jc w:val="right"/>
              <w:rPr/>
            </w:pPr>
            <w:r>
              <w:rPr/>
              <w:t>575,287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00" w:type="dxa"/>
            <w:tcBorders/>
            <w:shd w:fill="E5FFFF" w:val="clear"/>
            <w:vAlign w:val="center"/>
          </w:tcPr>
          <w:p>
            <w:pPr>
              <w:pStyle w:val="TableContents"/>
              <w:bidi w:val="0"/>
              <w:spacing w:before="0" w:after="283"/>
              <w:jc w:val="left"/>
              <w:rPr/>
            </w:pPr>
            <w:r>
              <w:rPr/>
              <w:t> </w:t>
            </w:r>
          </w:p>
        </w:tc>
        <w:tc>
          <w:tcPr>
            <w:tcW w:w="1065" w:type="dxa"/>
            <w:tcBorders/>
            <w:shd w:fill="E5FFFF" w:val="clear"/>
            <w:vAlign w:val="center"/>
          </w:tcPr>
          <w:p>
            <w:pPr>
              <w:pStyle w:val="TableContents"/>
              <w:bidi w:val="0"/>
              <w:spacing w:before="0" w:after="283"/>
              <w:jc w:val="right"/>
              <w:rPr/>
            </w:pPr>
            <w:r>
              <w:rPr/>
              <w:t>545,806</w:t>
            </w:r>
          </w:p>
        </w:tc>
        <w:tc>
          <w:tcPr>
            <w:tcW w:w="135" w:type="dxa"/>
            <w:tcBorders/>
            <w:shd w:fill="E5FF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pPr>
            <w:r>
              <w:rPr/>
              <w:t>(281,325)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c>
          <w:tcPr>
            <w:tcW w:w="1065" w:type="dxa"/>
            <w:tcBorders>
              <w:bottom w:val="single" w:sz="2" w:space="0" w:color="000000"/>
            </w:tcBorders>
            <w:tcMar>
              <w:bottom w:w="28" w:type="dxa"/>
            </w:tcMar>
            <w:vAlign w:val="center"/>
          </w:tcPr>
          <w:p>
            <w:pPr>
              <w:pStyle w:val="TableContents"/>
              <w:bidi w:val="0"/>
              <w:spacing w:before="0" w:after="283"/>
              <w:jc w:val="right"/>
              <w:rPr/>
            </w:pPr>
            <w:r>
              <w:rPr/>
              <w:t>(273,777)</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E5FFFF" w:val="clear"/>
            <w:vAlign w:val="center"/>
          </w:tcPr>
          <w:p>
            <w:pPr>
              <w:pStyle w:val="TableContents"/>
              <w:bidi w:val="0"/>
              <w:spacing w:before="0" w:after="283"/>
              <w:jc w:val="left"/>
              <w:rPr/>
            </w:pPr>
            <w:r>
              <w:rPr/>
              <w:t>Total</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5FFFF" w:val="clear"/>
            <w:tcMar>
              <w:bottom w:w="28" w:type="dxa"/>
            </w:tcMar>
            <w:vAlign w:val="center"/>
          </w:tcPr>
          <w:p>
            <w:pPr>
              <w:pStyle w:val="TableContents"/>
              <w:bidi w:val="0"/>
              <w:spacing w:before="0" w:after="283"/>
              <w:jc w:val="right"/>
              <w:rPr/>
            </w:pPr>
            <w:r>
              <w:rPr/>
              <w:t>293,962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0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E5FFFF" w:val="clear"/>
            <w:tcMar>
              <w:bottom w:w="28" w:type="dxa"/>
            </w:tcMar>
            <w:vAlign w:val="center"/>
          </w:tcPr>
          <w:p>
            <w:pPr>
              <w:pStyle w:val="TableContents"/>
              <w:bidi w:val="0"/>
              <w:spacing w:before="0" w:after="283"/>
              <w:jc w:val="right"/>
              <w:rPr/>
            </w:pPr>
            <w:r>
              <w:rPr/>
              <w:t>272,029</w:t>
            </w:r>
          </w:p>
        </w:tc>
        <w:tc>
          <w:tcPr>
            <w:tcW w:w="135"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7. </w:t>
      </w:r>
      <w:r>
        <w:rPr>
          <w:rFonts w:ascii="Times New Roman;Times;Serif" w:hAnsi="Times New Roman;Times;Serif"/>
          <w:b/>
          <w:i/>
          <w:caps w:val="false"/>
          <w:smallCaps w:val="false"/>
          <w:sz w:val="24"/>
        </w:rPr>
        <w:t>Other Assets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components of other assets are as follows for the periods presented (amounts in thousands):</w:t>
      </w:r>
    </w:p>
    <w:p>
      <w:pPr>
        <w:pStyle w:val="TextBody"/>
        <w:bidi w:val="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2030"/>
        <w:gridCol w:w="90"/>
        <w:gridCol w:w="170"/>
        <w:gridCol w:w="890"/>
        <w:gridCol w:w="90"/>
        <w:gridCol w:w="90"/>
        <w:gridCol w:w="282"/>
        <w:gridCol w:w="983"/>
        <w:gridCol w:w="135"/>
      </w:tblGrid>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w:t>
              <w:br/>
              <w:t>2026</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030" w:type="dxa"/>
            <w:tcBorders/>
            <w:shd w:fill="E5FFFF" w:val="clear"/>
            <w:vAlign w:val="center"/>
          </w:tcPr>
          <w:p>
            <w:pPr>
              <w:pStyle w:val="TableContents"/>
              <w:bidi w:val="0"/>
              <w:spacing w:before="0" w:after="283"/>
              <w:jc w:val="left"/>
              <w:rPr/>
            </w:pPr>
            <w:r>
              <w:rPr/>
              <w:t>Deferred taxes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90"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82" w:type="dxa"/>
            <w:tcBorders/>
            <w:shd w:fill="E5FFFF" w:val="clear"/>
            <w:vAlign w:val="center"/>
          </w:tcPr>
          <w:p>
            <w:pPr>
              <w:pStyle w:val="TableContents"/>
              <w:bidi w:val="0"/>
              <w:spacing w:before="0" w:after="283"/>
              <w:jc w:val="left"/>
              <w:rPr/>
            </w:pPr>
            <w:r>
              <w:rPr/>
              <w:t>$</w:t>
            </w:r>
          </w:p>
        </w:tc>
        <w:tc>
          <w:tcPr>
            <w:tcW w:w="983" w:type="dxa"/>
            <w:tcBorders/>
            <w:shd w:fill="E5FFFF" w:val="clear"/>
            <w:vAlign w:val="center"/>
          </w:tcPr>
          <w:p>
            <w:pPr>
              <w:pStyle w:val="TableContents"/>
              <w:bidi w:val="0"/>
              <w:spacing w:before="0" w:after="283"/>
              <w:jc w:val="right"/>
              <w:rPr/>
            </w:pPr>
            <w:r>
              <w:rPr/>
              <w:t>3,974</w:t>
            </w:r>
          </w:p>
        </w:tc>
        <w:tc>
          <w:tcPr>
            <w:tcW w:w="135" w:type="dxa"/>
            <w:tcBorders/>
            <w:shd w:fill="E5FF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Production tax credit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r>
              <w:rPr/>
              <w:t>25,978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030" w:type="dxa"/>
            <w:tcBorders/>
            <w:shd w:fill="E5FFFF" w:val="clear"/>
            <w:vAlign w:val="center"/>
          </w:tcPr>
          <w:p>
            <w:pPr>
              <w:pStyle w:val="TableContents"/>
              <w:bidi w:val="0"/>
              <w:spacing w:before="0" w:after="283"/>
              <w:jc w:val="left"/>
              <w:rPr/>
            </w:pPr>
            <w:r>
              <w:rPr/>
              <w:t>Other</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E5FFFF" w:val="clear"/>
            <w:tcMar>
              <w:bottom w:w="28" w:type="dxa"/>
            </w:tcMar>
            <w:vAlign w:val="center"/>
          </w:tcPr>
          <w:p>
            <w:pPr>
              <w:pStyle w:val="TableContents"/>
              <w:bidi w:val="0"/>
              <w:spacing w:before="0" w:after="283"/>
              <w:jc w:val="right"/>
              <w:rPr/>
            </w:pPr>
            <w:r>
              <w:rPr/>
              <w:t>1,240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82"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83" w:type="dxa"/>
            <w:tcBorders>
              <w:bottom w:val="single" w:sz="2" w:space="0" w:color="000000"/>
            </w:tcBorders>
            <w:shd w:fill="E5FFFF" w:val="clear"/>
            <w:tcMar>
              <w:bottom w:w="28" w:type="dxa"/>
            </w:tcMar>
            <w:vAlign w:val="center"/>
          </w:tcPr>
          <w:p>
            <w:pPr>
              <w:pStyle w:val="TableContents"/>
              <w:bidi w:val="0"/>
              <w:spacing w:before="0" w:after="283"/>
              <w:jc w:val="right"/>
              <w:rPr/>
            </w:pPr>
            <w:r>
              <w:rPr/>
              <w:t>989</w:t>
            </w:r>
          </w:p>
        </w:tc>
        <w:tc>
          <w:tcPr>
            <w:tcW w:w="135" w:type="dxa"/>
            <w:tcBorders/>
            <w:shd w:fill="E5FF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tcMar>
              <w:bottom w:w="28" w:type="dxa"/>
            </w:tcMar>
            <w:vAlign w:val="center"/>
          </w:tcPr>
          <w:p>
            <w:pPr>
              <w:pStyle w:val="TableContents"/>
              <w:bidi w:val="0"/>
              <w:spacing w:before="0" w:after="283"/>
              <w:jc w:val="right"/>
              <w:rPr/>
            </w:pPr>
            <w:r>
              <w:rPr/>
              <w:t>27,218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bottom w:val="double" w:sz="6" w:space="0" w:color="000000"/>
            </w:tcBorders>
            <w:tcMar>
              <w:bottom w:w="28" w:type="dxa"/>
            </w:tcMar>
            <w:vAlign w:val="center"/>
          </w:tcPr>
          <w:p>
            <w:pPr>
              <w:pStyle w:val="TableContents"/>
              <w:bidi w:val="0"/>
              <w:spacing w:before="0" w:after="283"/>
              <w:jc w:val="left"/>
              <w:rPr/>
            </w:pPr>
            <w:r>
              <w:rPr/>
              <w:t>$</w:t>
            </w:r>
          </w:p>
        </w:tc>
        <w:tc>
          <w:tcPr>
            <w:tcW w:w="983" w:type="dxa"/>
            <w:tcBorders>
              <w:bottom w:val="double" w:sz="6" w:space="0" w:color="000000"/>
            </w:tcBorders>
            <w:tcMar>
              <w:bottom w:w="28" w:type="dxa"/>
            </w:tcMar>
            <w:vAlign w:val="center"/>
          </w:tcPr>
          <w:p>
            <w:pPr>
              <w:pStyle w:val="TableContents"/>
              <w:bidi w:val="0"/>
              <w:spacing w:before="0" w:after="283"/>
              <w:jc w:val="right"/>
              <w:rPr/>
            </w:pPr>
            <w:r>
              <w:rPr/>
              <w:t>4,963</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20 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8. </w:t>
      </w:r>
      <w:r>
        <w:rPr>
          <w:rFonts w:ascii="Times New Roman;Times;Serif" w:hAnsi="Times New Roman;Times;Serif"/>
          <w:b/>
          <w:i/>
          <w:caps w:val="false"/>
          <w:smallCaps w:val="false"/>
          <w:sz w:val="24"/>
        </w:rPr>
        <w:t>Accrued Expenses and Other Current Liabilities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components of accrued expenses and other current liabilities are as follows for the periods presented (amounts in thousands):</w:t>
      </w:r>
    </w:p>
    <w:p>
      <w:pPr>
        <w:pStyle w:val="TextBody"/>
        <w:bidi w:val="0"/>
        <w:jc w:val="left"/>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3470"/>
        <w:gridCol w:w="90"/>
        <w:gridCol w:w="230"/>
        <w:gridCol w:w="710"/>
        <w:gridCol w:w="90"/>
        <w:gridCol w:w="90"/>
        <w:gridCol w:w="244"/>
        <w:gridCol w:w="1021"/>
        <w:gridCol w:w="135"/>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w:t>
              <w:br/>
              <w:t>2026</w:t>
            </w:r>
          </w:p>
        </w:tc>
        <w:tc>
          <w:tcPr>
            <w:tcW w:w="13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470" w:type="dxa"/>
            <w:tcBorders/>
            <w:shd w:fill="E5FFFF" w:val="clear"/>
            <w:vAlign w:val="center"/>
          </w:tcPr>
          <w:p>
            <w:pPr>
              <w:pStyle w:val="TableContents"/>
              <w:bidi w:val="0"/>
              <w:spacing w:before="0" w:after="283"/>
              <w:jc w:val="left"/>
              <w:rPr/>
            </w:pPr>
            <w:r>
              <w:rPr/>
              <w:t>Accrued payroll and related items</w:t>
            </w:r>
          </w:p>
        </w:tc>
        <w:tc>
          <w:tcPr>
            <w:tcW w:w="90" w:type="dxa"/>
            <w:tcBorders/>
            <w:shd w:fill="E5FFFF" w:val="clear"/>
            <w:vAlign w:val="center"/>
          </w:tcPr>
          <w:p>
            <w:pPr>
              <w:pStyle w:val="TableContents"/>
              <w:bidi w:val="0"/>
              <w:spacing w:before="0" w:after="283"/>
              <w:jc w:val="left"/>
              <w:rPr/>
            </w:pPr>
            <w:r>
              <w:rPr/>
              <w:t> </w:t>
            </w:r>
          </w:p>
        </w:tc>
        <w:tc>
          <w:tcPr>
            <w:tcW w:w="230" w:type="dxa"/>
            <w:tcBorders/>
            <w:shd w:fill="E5FFFF" w:val="clear"/>
            <w:vAlign w:val="center"/>
          </w:tcPr>
          <w:p>
            <w:pPr>
              <w:pStyle w:val="TableContents"/>
              <w:bidi w:val="0"/>
              <w:spacing w:before="0" w:after="283"/>
              <w:jc w:val="left"/>
              <w:rPr/>
            </w:pPr>
            <w:r>
              <w:rPr/>
              <w:t>$</w:t>
            </w:r>
          </w:p>
        </w:tc>
        <w:tc>
          <w:tcPr>
            <w:tcW w:w="710" w:type="dxa"/>
            <w:tcBorders/>
            <w:shd w:fill="E5FFFF" w:val="clear"/>
            <w:vAlign w:val="center"/>
          </w:tcPr>
          <w:p>
            <w:pPr>
              <w:pStyle w:val="TableContents"/>
              <w:bidi w:val="0"/>
              <w:spacing w:before="0" w:after="283"/>
              <w:jc w:val="right"/>
              <w:rPr/>
            </w:pPr>
            <w:r>
              <w:rPr/>
              <w:t>9,615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44" w:type="dxa"/>
            <w:tcBorders/>
            <w:shd w:fill="E5FFFF" w:val="clear"/>
            <w:vAlign w:val="center"/>
          </w:tcPr>
          <w:p>
            <w:pPr>
              <w:pStyle w:val="TableContents"/>
              <w:bidi w:val="0"/>
              <w:spacing w:before="0" w:after="283"/>
              <w:jc w:val="left"/>
              <w:rPr/>
            </w:pPr>
            <w:r>
              <w:rPr/>
              <w:t>$</w:t>
            </w:r>
          </w:p>
        </w:tc>
        <w:tc>
          <w:tcPr>
            <w:tcW w:w="1021" w:type="dxa"/>
            <w:tcBorders/>
            <w:shd w:fill="E5FFFF" w:val="clear"/>
            <w:vAlign w:val="center"/>
          </w:tcPr>
          <w:p>
            <w:pPr>
              <w:pStyle w:val="TableContents"/>
              <w:bidi w:val="0"/>
              <w:spacing w:before="0" w:after="283"/>
              <w:jc w:val="right"/>
              <w:rPr/>
            </w:pPr>
            <w:r>
              <w:rPr/>
              <w:t>15,056</w:t>
            </w:r>
          </w:p>
        </w:tc>
        <w:tc>
          <w:tcPr>
            <w:tcW w:w="135" w:type="dxa"/>
            <w:tcBorders/>
            <w:shd w:fill="E5FF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Accrued utility charges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2,778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3,870</w:t>
            </w:r>
          </w:p>
        </w:tc>
        <w:tc>
          <w:tcPr>
            <w:tcW w:w="135" w:type="dxa"/>
            <w:tcBorders/>
            <w:vAlign w:val="center"/>
          </w:tcPr>
          <w:p>
            <w:pPr>
              <w:pStyle w:val="TableContents"/>
              <w:bidi w:val="0"/>
              <w:spacing w:before="0" w:after="283"/>
              <w:jc w:val="left"/>
              <w:rPr/>
            </w:pPr>
            <w:r>
              <w:rPr/>
              <w:t> </w:t>
            </w:r>
          </w:p>
        </w:tc>
      </w:tr>
      <w:tr>
        <w:trPr/>
        <w:tc>
          <w:tcPr>
            <w:tcW w:w="3470" w:type="dxa"/>
            <w:tcBorders/>
            <w:shd w:fill="E5FFFF" w:val="clear"/>
            <w:vAlign w:val="center"/>
          </w:tcPr>
          <w:p>
            <w:pPr>
              <w:pStyle w:val="TableContents"/>
              <w:bidi w:val="0"/>
              <w:spacing w:before="0" w:after="283"/>
              <w:jc w:val="left"/>
              <w:rPr/>
            </w:pPr>
            <w:r>
              <w:rPr/>
              <w:t>Accrued capital expenditures</w:t>
            </w:r>
          </w:p>
        </w:tc>
        <w:tc>
          <w:tcPr>
            <w:tcW w:w="90" w:type="dxa"/>
            <w:tcBorders/>
            <w:shd w:fill="E5FFFF" w:val="clear"/>
            <w:vAlign w:val="center"/>
          </w:tcPr>
          <w:p>
            <w:pPr>
              <w:pStyle w:val="TableContents"/>
              <w:bidi w:val="0"/>
              <w:spacing w:before="0" w:after="283"/>
              <w:jc w:val="left"/>
              <w:rPr/>
            </w:pPr>
            <w:r>
              <w:rPr/>
              <w:t> </w:t>
            </w:r>
          </w:p>
        </w:tc>
        <w:tc>
          <w:tcPr>
            <w:tcW w:w="230" w:type="dxa"/>
            <w:tcBorders/>
            <w:shd w:fill="E5FFFF" w:val="clear"/>
            <w:vAlign w:val="center"/>
          </w:tcPr>
          <w:p>
            <w:pPr>
              <w:pStyle w:val="TableContents"/>
              <w:bidi w:val="0"/>
              <w:spacing w:before="0" w:after="283"/>
              <w:jc w:val="left"/>
              <w:rPr/>
            </w:pPr>
            <w:r>
              <w:rPr/>
              <w:t> </w:t>
            </w:r>
          </w:p>
        </w:tc>
        <w:tc>
          <w:tcPr>
            <w:tcW w:w="710" w:type="dxa"/>
            <w:tcBorders/>
            <w:shd w:fill="E5FFFF" w:val="clear"/>
            <w:vAlign w:val="center"/>
          </w:tcPr>
          <w:p>
            <w:pPr>
              <w:pStyle w:val="TableContents"/>
              <w:bidi w:val="0"/>
              <w:spacing w:before="0" w:after="283"/>
              <w:jc w:val="right"/>
              <w:rPr/>
            </w:pPr>
            <w:r>
              <w:rPr/>
              <w:t>2,230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44" w:type="dxa"/>
            <w:tcBorders/>
            <w:shd w:fill="E5FFFF" w:val="clear"/>
            <w:vAlign w:val="center"/>
          </w:tcPr>
          <w:p>
            <w:pPr>
              <w:pStyle w:val="TableContents"/>
              <w:bidi w:val="0"/>
              <w:spacing w:before="0" w:after="283"/>
              <w:jc w:val="left"/>
              <w:rPr/>
            </w:pPr>
            <w:r>
              <w:rPr/>
              <w:t> </w:t>
            </w:r>
          </w:p>
        </w:tc>
        <w:tc>
          <w:tcPr>
            <w:tcW w:w="1021" w:type="dxa"/>
            <w:tcBorders/>
            <w:shd w:fill="E5FFFF" w:val="clear"/>
            <w:vAlign w:val="center"/>
          </w:tcPr>
          <w:p>
            <w:pPr>
              <w:pStyle w:val="TableContents"/>
              <w:bidi w:val="0"/>
              <w:spacing w:before="0" w:after="283"/>
              <w:jc w:val="right"/>
              <w:rPr/>
            </w:pPr>
            <w:r>
              <w:rPr/>
              <w:t>5,563</w:t>
            </w:r>
          </w:p>
        </w:tc>
        <w:tc>
          <w:tcPr>
            <w:tcW w:w="135" w:type="dxa"/>
            <w:tcBorders/>
            <w:shd w:fill="E5FF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Accrued transportation related items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2,239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286</w:t>
            </w:r>
          </w:p>
        </w:tc>
        <w:tc>
          <w:tcPr>
            <w:tcW w:w="135" w:type="dxa"/>
            <w:tcBorders/>
            <w:vAlign w:val="center"/>
          </w:tcPr>
          <w:p>
            <w:pPr>
              <w:pStyle w:val="TableContents"/>
              <w:bidi w:val="0"/>
              <w:spacing w:before="0" w:after="283"/>
              <w:jc w:val="left"/>
              <w:rPr/>
            </w:pPr>
            <w:r>
              <w:rPr/>
              <w:t> </w:t>
            </w:r>
          </w:p>
        </w:tc>
      </w:tr>
      <w:tr>
        <w:trPr/>
        <w:tc>
          <w:tcPr>
            <w:tcW w:w="3470" w:type="dxa"/>
            <w:tcBorders/>
            <w:shd w:fill="E5FFFF" w:val="clear"/>
            <w:vAlign w:val="center"/>
          </w:tcPr>
          <w:p>
            <w:pPr>
              <w:pStyle w:val="TableContents"/>
              <w:bidi w:val="0"/>
              <w:spacing w:before="0" w:after="283"/>
              <w:jc w:val="left"/>
              <w:rPr/>
            </w:pPr>
            <w:r>
              <w:rPr/>
              <w:t>Accrued real estate taxes</w:t>
            </w:r>
          </w:p>
        </w:tc>
        <w:tc>
          <w:tcPr>
            <w:tcW w:w="90" w:type="dxa"/>
            <w:tcBorders/>
            <w:shd w:fill="E5FFFF" w:val="clear"/>
            <w:vAlign w:val="center"/>
          </w:tcPr>
          <w:p>
            <w:pPr>
              <w:pStyle w:val="TableContents"/>
              <w:bidi w:val="0"/>
              <w:spacing w:before="0" w:after="283"/>
              <w:jc w:val="left"/>
              <w:rPr/>
            </w:pPr>
            <w:r>
              <w:rPr/>
              <w:t> </w:t>
            </w:r>
          </w:p>
        </w:tc>
        <w:tc>
          <w:tcPr>
            <w:tcW w:w="230" w:type="dxa"/>
            <w:tcBorders/>
            <w:shd w:fill="E5FFFF" w:val="clear"/>
            <w:vAlign w:val="center"/>
          </w:tcPr>
          <w:p>
            <w:pPr>
              <w:pStyle w:val="TableContents"/>
              <w:bidi w:val="0"/>
              <w:spacing w:before="0" w:after="283"/>
              <w:jc w:val="left"/>
              <w:rPr/>
            </w:pPr>
            <w:r>
              <w:rPr/>
              <w:t> </w:t>
            </w:r>
          </w:p>
        </w:tc>
        <w:tc>
          <w:tcPr>
            <w:tcW w:w="710" w:type="dxa"/>
            <w:tcBorders/>
            <w:shd w:fill="E5FFFF" w:val="clear"/>
            <w:vAlign w:val="center"/>
          </w:tcPr>
          <w:p>
            <w:pPr>
              <w:pStyle w:val="TableContents"/>
              <w:bidi w:val="0"/>
              <w:spacing w:before="0" w:after="283"/>
              <w:jc w:val="right"/>
              <w:rPr/>
            </w:pPr>
            <w:r>
              <w:rPr/>
              <w:t>1,127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44" w:type="dxa"/>
            <w:tcBorders/>
            <w:shd w:fill="E5FFFF" w:val="clear"/>
            <w:vAlign w:val="center"/>
          </w:tcPr>
          <w:p>
            <w:pPr>
              <w:pStyle w:val="TableContents"/>
              <w:bidi w:val="0"/>
              <w:spacing w:before="0" w:after="283"/>
              <w:jc w:val="left"/>
              <w:rPr/>
            </w:pPr>
            <w:r>
              <w:rPr/>
              <w:t> </w:t>
            </w:r>
          </w:p>
        </w:tc>
        <w:tc>
          <w:tcPr>
            <w:tcW w:w="1021" w:type="dxa"/>
            <w:tcBorders/>
            <w:shd w:fill="E5FFFF" w:val="clear"/>
            <w:vAlign w:val="center"/>
          </w:tcPr>
          <w:p>
            <w:pPr>
              <w:pStyle w:val="TableContents"/>
              <w:bidi w:val="0"/>
              <w:spacing w:before="0" w:after="283"/>
              <w:jc w:val="right"/>
              <w:rPr/>
            </w:pPr>
            <w:r>
              <w:rPr/>
              <w:t>1,581</w:t>
            </w:r>
          </w:p>
        </w:tc>
        <w:tc>
          <w:tcPr>
            <w:tcW w:w="135" w:type="dxa"/>
            <w:tcBorders/>
            <w:shd w:fill="E5FF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Forward purchase contracts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2,540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529</w:t>
            </w:r>
          </w:p>
        </w:tc>
        <w:tc>
          <w:tcPr>
            <w:tcW w:w="135" w:type="dxa"/>
            <w:tcBorders/>
            <w:vAlign w:val="center"/>
          </w:tcPr>
          <w:p>
            <w:pPr>
              <w:pStyle w:val="TableContents"/>
              <w:bidi w:val="0"/>
              <w:spacing w:before="0" w:after="283"/>
              <w:jc w:val="left"/>
              <w:rPr/>
            </w:pPr>
            <w:r>
              <w:rPr/>
              <w:t> </w:t>
            </w:r>
          </w:p>
        </w:tc>
      </w:tr>
      <w:tr>
        <w:trPr/>
        <w:tc>
          <w:tcPr>
            <w:tcW w:w="3470" w:type="dxa"/>
            <w:tcBorders/>
            <w:shd w:fill="E5FFFF" w:val="clear"/>
            <w:vAlign w:val="center"/>
          </w:tcPr>
          <w:p>
            <w:pPr>
              <w:pStyle w:val="TableContents"/>
              <w:bidi w:val="0"/>
              <w:spacing w:before="0" w:after="283"/>
              <w:jc w:val="left"/>
              <w:rPr/>
            </w:pPr>
            <w:r>
              <w:rPr/>
              <w:t>Other</w:t>
            </w:r>
          </w:p>
        </w:tc>
        <w:tc>
          <w:tcPr>
            <w:tcW w:w="90" w:type="dxa"/>
            <w:tcBorders/>
            <w:shd w:fill="E5FFFF" w:val="clear"/>
            <w:vAlign w:val="center"/>
          </w:tcPr>
          <w:p>
            <w:pPr>
              <w:pStyle w:val="TableContents"/>
              <w:bidi w:val="0"/>
              <w:spacing w:before="0" w:after="283"/>
              <w:jc w:val="left"/>
              <w:rPr/>
            </w:pPr>
            <w:r>
              <w:rPr/>
              <w:t> </w:t>
            </w:r>
          </w:p>
        </w:tc>
        <w:tc>
          <w:tcPr>
            <w:tcW w:w="23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E5FFFF" w:val="clear"/>
            <w:tcMar>
              <w:bottom w:w="28" w:type="dxa"/>
            </w:tcMar>
            <w:vAlign w:val="center"/>
          </w:tcPr>
          <w:p>
            <w:pPr>
              <w:pStyle w:val="TableContents"/>
              <w:bidi w:val="0"/>
              <w:spacing w:before="0" w:after="283"/>
              <w:jc w:val="right"/>
              <w:rPr/>
            </w:pPr>
            <w:r>
              <w:rPr/>
              <w:t>1,839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44"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021" w:type="dxa"/>
            <w:tcBorders>
              <w:bottom w:val="single" w:sz="2" w:space="0" w:color="000000"/>
            </w:tcBorders>
            <w:shd w:fill="E5FFFF" w:val="clear"/>
            <w:tcMar>
              <w:bottom w:w="28" w:type="dxa"/>
            </w:tcMar>
            <w:vAlign w:val="center"/>
          </w:tcPr>
          <w:p>
            <w:pPr>
              <w:pStyle w:val="TableContents"/>
              <w:bidi w:val="0"/>
              <w:spacing w:before="0" w:after="283"/>
              <w:jc w:val="right"/>
              <w:rPr/>
            </w:pPr>
            <w:r>
              <w:rPr/>
              <w:t>2,702</w:t>
            </w:r>
          </w:p>
        </w:tc>
        <w:tc>
          <w:tcPr>
            <w:tcW w:w="135" w:type="dxa"/>
            <w:tcBorders/>
            <w:shd w:fill="E5FF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22,368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tcMar>
              <w:bottom w:w="28" w:type="dxa"/>
            </w:tcMar>
            <w:vAlign w:val="center"/>
          </w:tcPr>
          <w:p>
            <w:pPr>
              <w:pStyle w:val="TableContents"/>
              <w:bidi w:val="0"/>
              <w:spacing w:before="0" w:after="283"/>
              <w:jc w:val="right"/>
              <w:rPr/>
            </w:pPr>
            <w:r>
              <w:rPr/>
              <w:t>29,587</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9. </w:t>
      </w:r>
      <w:r>
        <w:rPr>
          <w:rFonts w:ascii="Times New Roman;Times;Serif" w:hAnsi="Times New Roman;Times;Serif"/>
          <w:b/>
          <w:i/>
          <w:caps w:val="false"/>
          <w:smallCaps w:val="false"/>
          <w:sz w:val="24"/>
        </w:rPr>
        <w:t xml:space="preserve">Derivative Financial Instruments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(amounts in table in thousands):</w:t>
      </w:r>
    </w:p>
    <w:p>
      <w:pPr>
        <w:pStyle w:val="TextBody"/>
        <w:bidi w:val="0"/>
        <w:jc w:val="left"/>
        <w:rPr>
          <w:caps w:val="false"/>
          <w:smallCaps w:val="false"/>
        </w:rPr>
      </w:pPr>
      <w:r>
        <w:rPr>
          <w:caps w:val="false"/>
          <w:smallCaps w:val="false"/>
        </w:rPr>
        <w:t> </w:t>
      </w:r>
    </w:p>
    <w:tbl>
      <w:tblPr>
        <w:tblW w:w="9422" w:type="dxa"/>
        <w:jc w:val="left"/>
        <w:tblInd w:w="0" w:type="dxa"/>
        <w:tblLayout w:type="fixed"/>
        <w:tblCellMar>
          <w:top w:w="0" w:type="dxa"/>
          <w:left w:w="0" w:type="dxa"/>
          <w:bottom w:w="0" w:type="dxa"/>
          <w:right w:w="0" w:type="dxa"/>
        </w:tblCellMar>
      </w:tblPr>
      <w:tblGrid>
        <w:gridCol w:w="3005"/>
        <w:gridCol w:w="90"/>
        <w:gridCol w:w="200"/>
        <w:gridCol w:w="694"/>
        <w:gridCol w:w="105"/>
        <w:gridCol w:w="105"/>
        <w:gridCol w:w="528"/>
        <w:gridCol w:w="1276"/>
        <w:gridCol w:w="90"/>
        <w:gridCol w:w="90"/>
        <w:gridCol w:w="235"/>
        <w:gridCol w:w="817"/>
        <w:gridCol w:w="124"/>
        <w:gridCol w:w="124"/>
        <w:gridCol w:w="528"/>
        <w:gridCol w:w="1276"/>
        <w:gridCol w:w="135"/>
      </w:tblGrid>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8" w:type="dxa"/>
            <w:gridSpan w:val="6"/>
            <w:tcBorders/>
            <w:vAlign w:val="center"/>
          </w:tcPr>
          <w:p>
            <w:pPr>
              <w:pStyle w:val="TableContents"/>
              <w:bidi w:val="0"/>
              <w:spacing w:before="0" w:after="283"/>
              <w:jc w:val="center"/>
              <w:rPr>
                <w:b/>
              </w:rPr>
            </w:pPr>
            <w:r>
              <w:rPr>
                <w:b/>
              </w:rPr>
              <w:t>Asset Derivatives</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4" w:type="dxa"/>
            <w:gridSpan w:val="6"/>
            <w:tcBorders/>
            <w:vAlign w:val="center"/>
          </w:tcPr>
          <w:p>
            <w:pPr>
              <w:pStyle w:val="TableContents"/>
              <w:bidi w:val="0"/>
              <w:spacing w:before="0" w:after="283"/>
              <w:jc w:val="center"/>
              <w:rPr>
                <w:b/>
              </w:rPr>
            </w:pPr>
            <w:r>
              <w:rPr>
                <w:b/>
              </w:rPr>
              <w:t>Liability Derivatives</w:t>
              <w:br/>
              <w:t>Fair Value</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80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80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 2026</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005" w:type="dxa"/>
            <w:tcBorders/>
            <w:shd w:fill="E5FFFF" w:val="clear"/>
            <w:vAlign w:val="center"/>
          </w:tcPr>
          <w:p>
            <w:pPr>
              <w:pStyle w:val="TableContents"/>
              <w:bidi w:val="0"/>
              <w:spacing w:before="0" w:after="283"/>
              <w:jc w:val="left"/>
              <w:rPr/>
            </w:pPr>
            <w:r>
              <w:rPr/>
              <w:t>Forward purchase contracts (1)</w:t>
            </w:r>
          </w:p>
        </w:tc>
        <w:tc>
          <w:tcPr>
            <w:tcW w:w="90" w:type="dxa"/>
            <w:tcBorders/>
            <w:shd w:fill="E5FFFF" w:val="clear"/>
            <w:vAlign w:val="center"/>
          </w:tcPr>
          <w:p>
            <w:pPr>
              <w:pStyle w:val="TableContents"/>
              <w:bidi w:val="0"/>
              <w:spacing w:before="0" w:after="283"/>
              <w:jc w:val="left"/>
              <w:rPr/>
            </w:pPr>
            <w:r>
              <w:rPr/>
              <w:t> </w:t>
            </w:r>
          </w:p>
        </w:tc>
        <w:tc>
          <w:tcPr>
            <w:tcW w:w="200" w:type="dxa"/>
            <w:tcBorders/>
            <w:shd w:fill="E5FFFF" w:val="clear"/>
            <w:vAlign w:val="center"/>
          </w:tcPr>
          <w:p>
            <w:pPr>
              <w:pStyle w:val="TableContents"/>
              <w:bidi w:val="0"/>
              <w:spacing w:before="0" w:after="283"/>
              <w:jc w:val="left"/>
              <w:rPr/>
            </w:pPr>
            <w:r>
              <w:rPr/>
              <w:t>$</w:t>
            </w:r>
          </w:p>
        </w:tc>
        <w:tc>
          <w:tcPr>
            <w:tcW w:w="694" w:type="dxa"/>
            <w:tcBorders/>
            <w:shd w:fill="E5FFFF" w:val="clear"/>
            <w:vAlign w:val="center"/>
          </w:tcPr>
          <w:p>
            <w:pPr>
              <w:pStyle w:val="TableContents"/>
              <w:bidi w:val="0"/>
              <w:spacing w:before="0" w:after="283"/>
              <w:jc w:val="right"/>
              <w:rPr/>
            </w:pPr>
            <w:r>
              <w:rPr/>
              <w:t>487</w:t>
            </w:r>
          </w:p>
        </w:tc>
        <w:tc>
          <w:tcPr>
            <w:tcW w:w="105" w:type="dxa"/>
            <w:tcBorders/>
            <w:shd w:fill="E5FFFF" w:val="clear"/>
            <w:vAlign w:val="center"/>
          </w:tcPr>
          <w:p>
            <w:pPr>
              <w:pStyle w:val="TableContents"/>
              <w:bidi w:val="0"/>
              <w:spacing w:before="0" w:after="283"/>
              <w:jc w:val="left"/>
              <w:rPr/>
            </w:pPr>
            <w:r>
              <w:rPr/>
              <w:t> </w:t>
            </w:r>
          </w:p>
        </w:tc>
        <w:tc>
          <w:tcPr>
            <w:tcW w:w="105" w:type="dxa"/>
            <w:tcBorders/>
            <w:shd w:fill="E5FFFF" w:val="clear"/>
            <w:vAlign w:val="center"/>
          </w:tcPr>
          <w:p>
            <w:pPr>
              <w:pStyle w:val="TableContents"/>
              <w:bidi w:val="0"/>
              <w:spacing w:before="0" w:after="283"/>
              <w:jc w:val="left"/>
              <w:rPr/>
            </w:pPr>
            <w:r>
              <w:rPr/>
              <w:t> </w:t>
            </w:r>
          </w:p>
        </w:tc>
        <w:tc>
          <w:tcPr>
            <w:tcW w:w="528" w:type="dxa"/>
            <w:tcBorders/>
            <w:shd w:fill="E5FFFF" w:val="clear"/>
            <w:vAlign w:val="center"/>
          </w:tcPr>
          <w:p>
            <w:pPr>
              <w:pStyle w:val="TableContents"/>
              <w:bidi w:val="0"/>
              <w:spacing w:before="0" w:after="283"/>
              <w:jc w:val="left"/>
              <w:rPr/>
            </w:pPr>
            <w:r>
              <w:rPr/>
              <w:t>$</w:t>
            </w:r>
          </w:p>
        </w:tc>
        <w:tc>
          <w:tcPr>
            <w:tcW w:w="1276" w:type="dxa"/>
            <w:tcBorders/>
            <w:shd w:fill="E5FFFF" w:val="clear"/>
            <w:vAlign w:val="center"/>
          </w:tcPr>
          <w:p>
            <w:pPr>
              <w:pStyle w:val="TableContents"/>
              <w:bidi w:val="0"/>
              <w:spacing w:before="0" w:after="283"/>
              <w:jc w:val="right"/>
              <w:rPr/>
            </w:pPr>
            <w:r>
              <w:rPr/>
              <w:t>280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35" w:type="dxa"/>
            <w:tcBorders/>
            <w:shd w:fill="E5FFFF" w:val="clear"/>
            <w:vAlign w:val="center"/>
          </w:tcPr>
          <w:p>
            <w:pPr>
              <w:pStyle w:val="TableContents"/>
              <w:bidi w:val="0"/>
              <w:spacing w:before="0" w:after="283"/>
              <w:jc w:val="left"/>
              <w:rPr/>
            </w:pPr>
            <w:r>
              <w:rPr/>
              <w:t>$</w:t>
            </w:r>
          </w:p>
        </w:tc>
        <w:tc>
          <w:tcPr>
            <w:tcW w:w="817" w:type="dxa"/>
            <w:tcBorders/>
            <w:shd w:fill="E5FFFF" w:val="clear"/>
            <w:vAlign w:val="center"/>
          </w:tcPr>
          <w:p>
            <w:pPr>
              <w:pStyle w:val="TableContents"/>
              <w:bidi w:val="0"/>
              <w:spacing w:before="0" w:after="283"/>
              <w:jc w:val="right"/>
              <w:rPr/>
            </w:pPr>
            <w:r>
              <w:rPr/>
              <w:t>2,540</w:t>
            </w:r>
          </w:p>
        </w:tc>
        <w:tc>
          <w:tcPr>
            <w:tcW w:w="124" w:type="dxa"/>
            <w:tcBorders/>
            <w:shd w:fill="E5FFFF" w:val="clear"/>
            <w:vAlign w:val="center"/>
          </w:tcPr>
          <w:p>
            <w:pPr>
              <w:pStyle w:val="TableContents"/>
              <w:bidi w:val="0"/>
              <w:spacing w:before="0" w:after="283"/>
              <w:jc w:val="left"/>
              <w:rPr/>
            </w:pPr>
            <w:r>
              <w:rPr/>
              <w:t> </w:t>
            </w:r>
          </w:p>
        </w:tc>
        <w:tc>
          <w:tcPr>
            <w:tcW w:w="124" w:type="dxa"/>
            <w:tcBorders/>
            <w:shd w:fill="E5FFFF" w:val="clear"/>
            <w:vAlign w:val="center"/>
          </w:tcPr>
          <w:p>
            <w:pPr>
              <w:pStyle w:val="TableContents"/>
              <w:bidi w:val="0"/>
              <w:spacing w:before="0" w:after="283"/>
              <w:jc w:val="left"/>
              <w:rPr/>
            </w:pPr>
            <w:r>
              <w:rPr/>
              <w:t> </w:t>
            </w:r>
          </w:p>
        </w:tc>
        <w:tc>
          <w:tcPr>
            <w:tcW w:w="528" w:type="dxa"/>
            <w:tcBorders/>
            <w:shd w:fill="E5FFFF" w:val="clear"/>
            <w:vAlign w:val="center"/>
          </w:tcPr>
          <w:p>
            <w:pPr>
              <w:pStyle w:val="TableContents"/>
              <w:bidi w:val="0"/>
              <w:spacing w:before="0" w:after="283"/>
              <w:jc w:val="left"/>
              <w:rPr/>
            </w:pPr>
            <w:r>
              <w:rPr/>
              <w:t>$</w:t>
            </w:r>
          </w:p>
        </w:tc>
        <w:tc>
          <w:tcPr>
            <w:tcW w:w="1276" w:type="dxa"/>
            <w:tcBorders/>
            <w:shd w:fill="E5FFFF" w:val="clear"/>
            <w:vAlign w:val="center"/>
          </w:tcPr>
          <w:p>
            <w:pPr>
              <w:pStyle w:val="TableContents"/>
              <w:bidi w:val="0"/>
              <w:spacing w:before="0" w:after="283"/>
              <w:jc w:val="right"/>
              <w:rPr/>
            </w:pPr>
            <w:r>
              <w:rPr/>
              <w:t>529</w:t>
            </w:r>
          </w:p>
        </w:tc>
        <w:tc>
          <w:tcPr>
            <w:tcW w:w="135" w:type="dxa"/>
            <w:tcBorders/>
            <w:shd w:fill="E5FF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Cash collateral balance (2)</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4" w:type="dxa"/>
            <w:tcBorders/>
            <w:vAlign w:val="center"/>
          </w:tcPr>
          <w:p>
            <w:pPr>
              <w:pStyle w:val="TableContents"/>
              <w:bidi w:val="0"/>
              <w:spacing w:before="0" w:after="283"/>
              <w:jc w:val="right"/>
              <w:rPr/>
            </w:pPr>
            <w:r>
              <w:rPr/>
              <w:t>46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817" w:type="dxa"/>
            <w:tcBorders/>
            <w:vAlign w:val="center"/>
          </w:tcPr>
          <w:p>
            <w:pPr>
              <w:pStyle w:val="TableContents"/>
              <w:bidi w:val="0"/>
              <w:spacing w:before="0" w:after="283"/>
              <w:jc w:val="right"/>
              <w:rPr/>
            </w:pPr>
            <w:r>
              <w:rPr/>
              <w:t>-</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005" w:type="dxa"/>
            <w:tcBorders/>
            <w:shd w:fill="E5FFFF" w:val="clear"/>
            <w:vAlign w:val="center"/>
          </w:tcPr>
          <w:p>
            <w:pPr>
              <w:pStyle w:val="TableContents"/>
              <w:bidi w:val="0"/>
              <w:spacing w:before="0" w:after="283"/>
              <w:jc w:val="left"/>
              <w:rPr/>
            </w:pPr>
            <w:r>
              <w:rPr/>
              <w:t>Commodity futures (3)</w:t>
            </w:r>
          </w:p>
        </w:tc>
        <w:tc>
          <w:tcPr>
            <w:tcW w:w="90" w:type="dxa"/>
            <w:tcBorders/>
            <w:shd w:fill="E5FFFF" w:val="clear"/>
            <w:vAlign w:val="center"/>
          </w:tcPr>
          <w:p>
            <w:pPr>
              <w:pStyle w:val="TableContents"/>
              <w:bidi w:val="0"/>
              <w:spacing w:before="0" w:after="283"/>
              <w:jc w:val="left"/>
              <w:rPr/>
            </w:pPr>
            <w:r>
              <w:rPr/>
              <w:t> </w:t>
            </w:r>
          </w:p>
        </w:tc>
        <w:tc>
          <w:tcPr>
            <w:tcW w:w="20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694" w:type="dxa"/>
            <w:tcBorders>
              <w:bottom w:val="single" w:sz="2" w:space="0" w:color="000000"/>
            </w:tcBorders>
            <w:shd w:fill="E5FFFF" w:val="clear"/>
            <w:tcMar>
              <w:bottom w:w="28" w:type="dxa"/>
            </w:tcMar>
            <w:vAlign w:val="center"/>
          </w:tcPr>
          <w:p>
            <w:pPr>
              <w:pStyle w:val="TableContents"/>
              <w:bidi w:val="0"/>
              <w:spacing w:before="0" w:after="283"/>
              <w:jc w:val="right"/>
              <w:rPr/>
            </w:pPr>
            <w:r>
              <w:rPr/>
              <w:t>1,339</w:t>
            </w:r>
          </w:p>
        </w:tc>
        <w:tc>
          <w:tcPr>
            <w:tcW w:w="105" w:type="dxa"/>
            <w:tcBorders/>
            <w:shd w:fill="E5FFFF" w:val="clear"/>
            <w:vAlign w:val="center"/>
          </w:tcPr>
          <w:p>
            <w:pPr>
              <w:pStyle w:val="TableContents"/>
              <w:bidi w:val="0"/>
              <w:spacing w:before="0" w:after="283"/>
              <w:jc w:val="left"/>
              <w:rPr/>
            </w:pPr>
            <w:r>
              <w:rPr/>
              <w:t> </w:t>
            </w:r>
          </w:p>
        </w:tc>
        <w:tc>
          <w:tcPr>
            <w:tcW w:w="105" w:type="dxa"/>
            <w:tcBorders/>
            <w:shd w:fill="E5FFFF" w:val="clear"/>
            <w:vAlign w:val="center"/>
          </w:tcPr>
          <w:p>
            <w:pPr>
              <w:pStyle w:val="TableContents"/>
              <w:bidi w:val="0"/>
              <w:spacing w:before="0" w:after="283"/>
              <w:jc w:val="left"/>
              <w:rPr/>
            </w:pPr>
            <w:r>
              <w:rPr/>
              <w:t> </w:t>
            </w:r>
          </w:p>
        </w:tc>
        <w:tc>
          <w:tcPr>
            <w:tcW w:w="52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276" w:type="dxa"/>
            <w:tcBorders>
              <w:bottom w:val="single" w:sz="2" w:space="0" w:color="000000"/>
            </w:tcBorders>
            <w:shd w:fill="E5FFFF" w:val="clear"/>
            <w:tcMar>
              <w:bottom w:w="28" w:type="dxa"/>
            </w:tcMar>
            <w:vAlign w:val="center"/>
          </w:tcPr>
          <w:p>
            <w:pPr>
              <w:pStyle w:val="TableContents"/>
              <w:bidi w:val="0"/>
              <w:spacing w:before="0" w:after="283"/>
              <w:jc w:val="right"/>
              <w:rPr/>
            </w:pPr>
            <w:r>
              <w:rPr/>
              <w:t>433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3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17"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124" w:type="dxa"/>
            <w:tcBorders/>
            <w:shd w:fill="E5FFFF" w:val="clear"/>
            <w:vAlign w:val="center"/>
          </w:tcPr>
          <w:p>
            <w:pPr>
              <w:pStyle w:val="TableContents"/>
              <w:bidi w:val="0"/>
              <w:spacing w:before="0" w:after="283"/>
              <w:jc w:val="left"/>
              <w:rPr/>
            </w:pPr>
            <w:r>
              <w:rPr/>
              <w:t> </w:t>
            </w:r>
          </w:p>
        </w:tc>
        <w:tc>
          <w:tcPr>
            <w:tcW w:w="124" w:type="dxa"/>
            <w:tcBorders/>
            <w:shd w:fill="E5FFFF" w:val="clear"/>
            <w:vAlign w:val="center"/>
          </w:tcPr>
          <w:p>
            <w:pPr>
              <w:pStyle w:val="TableContents"/>
              <w:bidi w:val="0"/>
              <w:spacing w:before="0" w:after="283"/>
              <w:jc w:val="left"/>
              <w:rPr/>
            </w:pPr>
            <w:r>
              <w:rPr/>
              <w:t> </w:t>
            </w:r>
          </w:p>
        </w:tc>
        <w:tc>
          <w:tcPr>
            <w:tcW w:w="52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276"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135" w:type="dxa"/>
            <w:tcBorders/>
            <w:shd w:fill="E5FF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Net position with broker</w:t>
            </w:r>
          </w:p>
        </w:tc>
        <w:tc>
          <w:tcPr>
            <w:tcW w:w="90" w:type="dxa"/>
            <w:tcBorders/>
            <w:vAlign w:val="center"/>
          </w:tcPr>
          <w:p>
            <w:pPr>
              <w:pStyle w:val="TableContents"/>
              <w:bidi w:val="0"/>
              <w:spacing w:before="0" w:after="283"/>
              <w:jc w:val="left"/>
              <w:rPr/>
            </w:pPr>
            <w:r>
              <w:rPr/>
              <w:t> </w:t>
            </w:r>
          </w:p>
        </w:tc>
        <w:tc>
          <w:tcPr>
            <w:tcW w:w="200" w:type="dxa"/>
            <w:tcBorders>
              <w:bottom w:val="single" w:sz="2" w:space="0" w:color="000000"/>
            </w:tcBorders>
            <w:tcMar>
              <w:bottom w:w="28" w:type="dxa"/>
            </w:tcMar>
            <w:vAlign w:val="center"/>
          </w:tcPr>
          <w:p>
            <w:pPr>
              <w:pStyle w:val="TableContents"/>
              <w:bidi w:val="0"/>
              <w:spacing w:before="0" w:after="283"/>
              <w:jc w:val="left"/>
              <w:rPr/>
            </w:pPr>
            <w:r>
              <w:rPr/>
              <w:t>$</w:t>
            </w:r>
          </w:p>
        </w:tc>
        <w:tc>
          <w:tcPr>
            <w:tcW w:w="694" w:type="dxa"/>
            <w:tcBorders>
              <w:bottom w:val="single" w:sz="2" w:space="0" w:color="000000"/>
            </w:tcBorders>
            <w:tcMar>
              <w:bottom w:w="28" w:type="dxa"/>
            </w:tcMar>
            <w:vAlign w:val="center"/>
          </w:tcPr>
          <w:p>
            <w:pPr>
              <w:pStyle w:val="TableContents"/>
              <w:bidi w:val="0"/>
              <w:spacing w:before="0" w:after="283"/>
              <w:jc w:val="right"/>
              <w:rPr/>
            </w:pPr>
            <w:r>
              <w:rPr/>
              <w:t>1,385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28" w:type="dxa"/>
            <w:tcBorders>
              <w:bottom w:val="single" w:sz="2" w:space="0" w:color="000000"/>
            </w:tcBorders>
            <w:tcMar>
              <w:bottom w:w="28" w:type="dxa"/>
            </w:tcMar>
            <w:vAlign w:val="center"/>
          </w:tcPr>
          <w:p>
            <w:pPr>
              <w:pStyle w:val="TableContents"/>
              <w:bidi w:val="0"/>
              <w:spacing w:before="0" w:after="283"/>
              <w:jc w:val="left"/>
              <w:rPr/>
            </w:pPr>
            <w:r>
              <w:rPr/>
              <w:t>$</w:t>
            </w:r>
          </w:p>
        </w:tc>
        <w:tc>
          <w:tcPr>
            <w:tcW w:w="1276" w:type="dxa"/>
            <w:tcBorders>
              <w:bottom w:val="single" w:sz="2" w:space="0" w:color="000000"/>
            </w:tcBorders>
            <w:tcMar>
              <w:bottom w:w="28" w:type="dxa"/>
            </w:tcMar>
            <w:vAlign w:val="center"/>
          </w:tcPr>
          <w:p>
            <w:pPr>
              <w:pStyle w:val="TableContents"/>
              <w:bidi w:val="0"/>
              <w:spacing w:before="0" w:after="283"/>
              <w:jc w:val="right"/>
              <w:rPr/>
            </w:pPr>
            <w:r>
              <w:rPr/>
              <w:t>613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bottom w:val="single" w:sz="2" w:space="0" w:color="000000"/>
            </w:tcBorders>
            <w:tcMar>
              <w:bottom w:w="28" w:type="dxa"/>
            </w:tcMar>
            <w:vAlign w:val="center"/>
          </w:tcPr>
          <w:p>
            <w:pPr>
              <w:pStyle w:val="TableContents"/>
              <w:bidi w:val="0"/>
              <w:spacing w:before="0" w:after="283"/>
              <w:jc w:val="left"/>
              <w:rPr/>
            </w:pPr>
            <w:r>
              <w:rPr/>
              <w:t>$</w:t>
            </w:r>
          </w:p>
        </w:tc>
        <w:tc>
          <w:tcPr>
            <w:tcW w:w="817" w:type="dxa"/>
            <w:tcBorders>
              <w:bottom w:val="single" w:sz="2" w:space="0" w:color="000000"/>
            </w:tcBorders>
            <w:tcMar>
              <w:bottom w:w="28" w:type="dxa"/>
            </w:tcMar>
            <w:vAlign w:val="center"/>
          </w:tcPr>
          <w:p>
            <w:pPr>
              <w:pStyle w:val="TableContents"/>
              <w:bidi w:val="0"/>
              <w:spacing w:before="0" w:after="283"/>
              <w:jc w:val="right"/>
              <w:rPr/>
            </w:pPr>
            <w:r>
              <w:rPr/>
              <w:t>-</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28" w:type="dxa"/>
            <w:tcBorders>
              <w:bottom w:val="single" w:sz="2" w:space="0" w:color="000000"/>
            </w:tcBorders>
            <w:tcMar>
              <w:bottom w:w="28" w:type="dxa"/>
            </w:tcMar>
            <w:vAlign w:val="center"/>
          </w:tcPr>
          <w:p>
            <w:pPr>
              <w:pStyle w:val="TableContents"/>
              <w:bidi w:val="0"/>
              <w:spacing w:before="0" w:after="283"/>
              <w:jc w:val="left"/>
              <w:rPr/>
            </w:pPr>
            <w:r>
              <w:rPr/>
              <w:t>$</w:t>
            </w:r>
          </w:p>
        </w:tc>
        <w:tc>
          <w:tcPr>
            <w:tcW w:w="1276"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005" w:type="dxa"/>
            <w:tcBorders/>
            <w:shd w:fill="E5FFFF" w:val="clear"/>
            <w:vAlign w:val="center"/>
          </w:tcPr>
          <w:p>
            <w:pPr>
              <w:pStyle w:val="TableContents"/>
              <w:bidi w:val="0"/>
              <w:spacing w:before="0" w:after="283"/>
              <w:jc w:val="left"/>
              <w:rPr/>
            </w:pPr>
            <w:r>
              <w:rPr/>
              <w:t>Total</w:t>
            </w:r>
          </w:p>
        </w:tc>
        <w:tc>
          <w:tcPr>
            <w:tcW w:w="90" w:type="dxa"/>
            <w:tcBorders/>
            <w:shd w:fill="E5FFFF" w:val="clear"/>
            <w:vAlign w:val="center"/>
          </w:tcPr>
          <w:p>
            <w:pPr>
              <w:pStyle w:val="TableContents"/>
              <w:bidi w:val="0"/>
              <w:spacing w:before="0" w:after="283"/>
              <w:jc w:val="left"/>
              <w:rPr/>
            </w:pPr>
            <w:r>
              <w:rPr/>
              <w:t> </w:t>
            </w:r>
          </w:p>
        </w:tc>
        <w:tc>
          <w:tcPr>
            <w:tcW w:w="20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694" w:type="dxa"/>
            <w:tcBorders>
              <w:bottom w:val="double" w:sz="6" w:space="0" w:color="000000"/>
            </w:tcBorders>
            <w:shd w:fill="E5FFFF" w:val="clear"/>
            <w:tcMar>
              <w:bottom w:w="28" w:type="dxa"/>
            </w:tcMar>
            <w:vAlign w:val="center"/>
          </w:tcPr>
          <w:p>
            <w:pPr>
              <w:pStyle w:val="TableContents"/>
              <w:bidi w:val="0"/>
              <w:spacing w:before="0" w:after="283"/>
              <w:jc w:val="right"/>
              <w:rPr/>
            </w:pPr>
            <w:r>
              <w:rPr/>
              <w:t>1,872</w:t>
            </w:r>
          </w:p>
        </w:tc>
        <w:tc>
          <w:tcPr>
            <w:tcW w:w="105" w:type="dxa"/>
            <w:tcBorders/>
            <w:shd w:fill="E5FFFF" w:val="clear"/>
            <w:vAlign w:val="center"/>
          </w:tcPr>
          <w:p>
            <w:pPr>
              <w:pStyle w:val="TableContents"/>
              <w:bidi w:val="0"/>
              <w:spacing w:before="0" w:after="283"/>
              <w:jc w:val="left"/>
              <w:rPr/>
            </w:pPr>
            <w:r>
              <w:rPr/>
              <w:t> </w:t>
            </w:r>
          </w:p>
        </w:tc>
        <w:tc>
          <w:tcPr>
            <w:tcW w:w="105" w:type="dxa"/>
            <w:tcBorders/>
            <w:shd w:fill="E5FFFF" w:val="clear"/>
            <w:vAlign w:val="center"/>
          </w:tcPr>
          <w:p>
            <w:pPr>
              <w:pStyle w:val="TableContents"/>
              <w:bidi w:val="0"/>
              <w:spacing w:before="0" w:after="283"/>
              <w:jc w:val="left"/>
              <w:rPr/>
            </w:pPr>
            <w:r>
              <w:rPr/>
              <w:t> </w:t>
            </w:r>
          </w:p>
        </w:tc>
        <w:tc>
          <w:tcPr>
            <w:tcW w:w="528"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276" w:type="dxa"/>
            <w:tcBorders>
              <w:bottom w:val="double" w:sz="6" w:space="0" w:color="000000"/>
            </w:tcBorders>
            <w:shd w:fill="E5FFFF" w:val="clear"/>
            <w:tcMar>
              <w:bottom w:w="28" w:type="dxa"/>
            </w:tcMar>
            <w:vAlign w:val="center"/>
          </w:tcPr>
          <w:p>
            <w:pPr>
              <w:pStyle w:val="TableContents"/>
              <w:bidi w:val="0"/>
              <w:spacing w:before="0" w:after="283"/>
              <w:jc w:val="right"/>
              <w:rPr/>
            </w:pPr>
            <w:r>
              <w:rPr/>
              <w:t>893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35"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E5FFFF" w:val="clear"/>
            <w:tcMar>
              <w:bottom w:w="28" w:type="dxa"/>
            </w:tcMar>
            <w:vAlign w:val="center"/>
          </w:tcPr>
          <w:p>
            <w:pPr>
              <w:pStyle w:val="TableContents"/>
              <w:bidi w:val="0"/>
              <w:spacing w:before="0" w:after="283"/>
              <w:jc w:val="right"/>
              <w:rPr/>
            </w:pPr>
            <w:r>
              <w:rPr/>
              <w:t>2,540</w:t>
            </w:r>
          </w:p>
        </w:tc>
        <w:tc>
          <w:tcPr>
            <w:tcW w:w="124" w:type="dxa"/>
            <w:tcBorders/>
            <w:shd w:fill="E5FFFF" w:val="clear"/>
            <w:vAlign w:val="center"/>
          </w:tcPr>
          <w:p>
            <w:pPr>
              <w:pStyle w:val="TableContents"/>
              <w:bidi w:val="0"/>
              <w:spacing w:before="0" w:after="283"/>
              <w:jc w:val="left"/>
              <w:rPr/>
            </w:pPr>
            <w:r>
              <w:rPr/>
              <w:t> </w:t>
            </w:r>
          </w:p>
        </w:tc>
        <w:tc>
          <w:tcPr>
            <w:tcW w:w="124" w:type="dxa"/>
            <w:tcBorders/>
            <w:shd w:fill="E5FFFF" w:val="clear"/>
            <w:vAlign w:val="center"/>
          </w:tcPr>
          <w:p>
            <w:pPr>
              <w:pStyle w:val="TableContents"/>
              <w:bidi w:val="0"/>
              <w:spacing w:before="0" w:after="283"/>
              <w:jc w:val="left"/>
              <w:rPr/>
            </w:pPr>
            <w:r>
              <w:rPr/>
              <w:t> </w:t>
            </w:r>
          </w:p>
        </w:tc>
        <w:tc>
          <w:tcPr>
            <w:tcW w:w="528"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276" w:type="dxa"/>
            <w:tcBorders>
              <w:bottom w:val="double" w:sz="6" w:space="0" w:color="000000"/>
            </w:tcBorders>
            <w:shd w:fill="E5FFFF" w:val="clear"/>
            <w:tcMar>
              <w:bottom w:w="28" w:type="dxa"/>
            </w:tcMar>
            <w:vAlign w:val="center"/>
          </w:tcPr>
          <w:p>
            <w:pPr>
              <w:pStyle w:val="TableContents"/>
              <w:bidi w:val="0"/>
              <w:spacing w:before="0" w:after="283"/>
              <w:jc w:val="right"/>
              <w:rPr/>
            </w:pPr>
            <w:r>
              <w:rPr/>
              <w:t>529</w:t>
            </w:r>
          </w:p>
        </w:tc>
        <w:tc>
          <w:tcPr>
            <w:tcW w:w="135" w:type="dxa"/>
            <w:tcBorders/>
            <w:shd w:fill="E5FFFF" w:val="cle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21 </w:t>
      </w:r>
    </w:p>
    <w:tbl>
      <w:tblPr>
        <w:tblW w:w="10205" w:type="dxa"/>
        <w:jc w:val="left"/>
        <w:tblInd w:w="0" w:type="dxa"/>
        <w:tblLayout w:type="fixed"/>
        <w:tblCellMar>
          <w:top w:w="0" w:type="dxa"/>
          <w:left w:w="0" w:type="dxa"/>
          <w:bottom w:w="0" w:type="dxa"/>
          <w:right w:w="0" w:type="dxa"/>
        </w:tblCellMar>
      </w:tblPr>
      <w:tblGrid>
        <w:gridCol w:w="105"/>
        <w:gridCol w:w="255"/>
        <w:gridCol w:w="9845"/>
      </w:tblGrid>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(1)</w:t>
            </w:r>
          </w:p>
        </w:tc>
        <w:tc>
          <w:tcPr>
            <w:tcW w:w="9845" w:type="dxa"/>
            <w:tcBorders/>
            <w:vAlign w:val="center"/>
          </w:tcPr>
          <w:p>
            <w:pPr>
              <w:pStyle w:val="TableContents"/>
              <w:bidi w:val="0"/>
              <w:spacing w:before="0" w:after="283"/>
              <w:jc w:val="left"/>
              <w:rPr/>
            </w:pPr>
            <w:r>
              <w:rPr/>
              <w:t xml:space="preserve">Forward purchase contracts assets are included in “Prepaid expenses and other” on the accompanying Consolidated Balance Sheets. These contracts are for purchases of approximately 3.4 million and 8.8 million bushels of corn at July 31, 2026 and January 31, 2026, respectively. </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Forward purchase contracts liabilities are included in “Accrued expenses and other current liabilities” on the accompanying Consolidated Balance Sheets. These contracts are for purchases of approximately 12.1 million and 9.6 million bushels of corn at July 31, 2026 and January 31, 2026, respectively.</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(2)</w:t>
            </w:r>
          </w:p>
        </w:tc>
        <w:tc>
          <w:tcPr>
            <w:tcW w:w="9845" w:type="dxa"/>
            <w:tcBorders/>
            <w:vAlign w:val="center"/>
          </w:tcPr>
          <w:p>
            <w:pPr>
              <w:pStyle w:val="TableContents"/>
              <w:bidi w:val="0"/>
              <w:spacing w:before="0" w:after="283"/>
              <w:jc w:val="left"/>
              <w:rPr/>
            </w:pPr>
            <w:r>
              <w:rPr/>
              <w:t>As of July 31, 2026 and January 31, 2026,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July 31, 2026 and January 31, 2026, the Company recorded this collateral balance within “Prepaid expenses and other” on the accompanying Consolidated Balance Sheets.</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(3)</w:t>
            </w:r>
          </w:p>
        </w:tc>
        <w:tc>
          <w:tcPr>
            <w:tcW w:w="9845" w:type="dxa"/>
            <w:tcBorders/>
            <w:vAlign w:val="center"/>
          </w:tcPr>
          <w:p>
            <w:pPr>
              <w:pStyle w:val="TableContents"/>
              <w:bidi w:val="0"/>
              <w:spacing w:before="0" w:after="283"/>
              <w:jc w:val="left"/>
              <w:rPr/>
            </w:pPr>
            <w:r>
              <w:rPr/>
              <w:t>Commodity futures assets and liabilities are included in “Prepaid expenses and other” on the accompanying Consolidated Balance Sheets. These contracts included short/sell positions and long/buy positions for approximately 4.6 million and 0.6 million bushels of corn, respectively, at July 31, 2026. These contracts included short/sell positions and long/buy positions for approximately 2.4 million and 1.8 million bushels of corn, respectively, at January 31, 2026.</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See Note 5 which contains fair value information related to derivative financial instruments.</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provides information about gains (losses) recognized in income from the Company’s derivative financial instruments and the line items on the accompanying Consolidated Statements of Operations in which the fair values are reflected for the three and six months ended July 31, 2026 and 2025 (amounts in thousands):</w:t>
      </w:r>
    </w:p>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265"/>
        <w:gridCol w:w="90"/>
        <w:gridCol w:w="255"/>
        <w:gridCol w:w="841"/>
        <w:gridCol w:w="135"/>
        <w:gridCol w:w="135"/>
        <w:gridCol w:w="255"/>
        <w:gridCol w:w="616"/>
        <w:gridCol w:w="90"/>
        <w:gridCol w:w="90"/>
        <w:gridCol w:w="178"/>
        <w:gridCol w:w="776"/>
        <w:gridCol w:w="94"/>
        <w:gridCol w:w="94"/>
        <w:gridCol w:w="178"/>
        <w:gridCol w:w="618"/>
        <w:gridCol w:w="135"/>
      </w:tblGrid>
      <w:tr>
        <w:trPr/>
        <w:tc>
          <w:tcPr>
            <w:tcW w:w="12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vAlign w:val="center"/>
          </w:tcPr>
          <w:p>
            <w:pPr>
              <w:pStyle w:val="TableContents"/>
              <w:bidi w:val="0"/>
              <w:spacing w:before="0" w:after="283"/>
              <w:jc w:val="center"/>
              <w:rPr>
                <w:b/>
              </w:rPr>
            </w:pPr>
            <w:r>
              <w:rPr>
                <w:b/>
              </w:rPr>
              <w:t>Three Months Ended</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8" w:type="dxa"/>
            <w:gridSpan w:val="6"/>
            <w:tcBorders/>
            <w:vAlign w:val="center"/>
          </w:tcPr>
          <w:p>
            <w:pPr>
              <w:pStyle w:val="TableContents"/>
              <w:bidi w:val="0"/>
              <w:spacing w:before="0" w:after="283"/>
              <w:jc w:val="center"/>
              <w:rPr>
                <w:b/>
              </w:rPr>
            </w:pPr>
            <w:r>
              <w:rPr>
                <w:b/>
              </w:rPr>
              <w:t>Six Months Ended</w:t>
              <w:br/>
              <w:t>July 31,</w:t>
            </w:r>
          </w:p>
        </w:tc>
        <w:tc>
          <w:tcPr>
            <w:tcW w:w="13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both"/>
              <w:rPr/>
            </w:pPr>
            <w:r>
              <w:rPr/>
              <w:t>Net sales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62</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283"/>
              <w:jc w:val="right"/>
              <w:rPr/>
            </w:pPr>
            <w:r>
              <w:rPr/>
              <w:t>(1,513)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283"/>
              <w:jc w:val="right"/>
              <w:rPr/>
            </w:pPr>
            <w:r>
              <w:rPr/>
              <w:t>218</w:t>
            </w:r>
          </w:p>
        </w:tc>
        <w:tc>
          <w:tcPr>
            <w:tcW w:w="13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both"/>
              <w:rPr/>
            </w:pPr>
            <w:r>
              <w:rPr/>
              <w:t>Cost of sales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(119)</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283"/>
              <w:jc w:val="right"/>
              <w:rPr/>
            </w:pPr>
            <w:r>
              <w:rPr/>
              <w:t>(478)</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283"/>
              <w:jc w:val="right"/>
              <w:rPr/>
            </w:pPr>
            <w:r>
              <w:rPr/>
              <w:t>2,285</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22 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10. </w:t>
      </w:r>
      <w:r>
        <w:rPr>
          <w:rFonts w:ascii="Times New Roman;Times;Serif" w:hAnsi="Times New Roman;Times;Serif"/>
          <w:b/>
          <w:i/>
          <w:caps w:val="false"/>
          <w:smallCaps w:val="false"/>
          <w:sz w:val="24"/>
        </w:rPr>
        <w:t xml:space="preserve">Investments </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Short-term Investments</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the Company owned United States Treasury Bills (classified as short-term investments) that had an amortized cost, or carrying value, of approximately $288.2 million. The contractual maturity of these investments was less than one year. The weighted average yield to maturity rate was approximately 3.8%. Unrecognized holding losses at July 31, 2026 were approximately $275,000.</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January 31, 2026, the Company owned United States Treasury Bills (classified as short-term investments) that had an amortized cost, or carrying value, of approximately $187.0 million. The contractual maturity of these investments was less than one year. The weighted average yield to maturity rate was approximately 3.8%. Unrecognized holding losses at January 31, 2026 were approximately $52,000.</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Equity Method Investment in Big River</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summarizes the Company’s equity method investment at July 31, 2026 and January 31, 2026 (dollars in thousands):</w:t>
      </w:r>
    </w:p>
    <w:p>
      <w:pPr>
        <w:pStyle w:val="TextBody"/>
        <w:bidi w:val="0"/>
        <w:jc w:val="left"/>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995"/>
        <w:gridCol w:w="90"/>
        <w:gridCol w:w="2360"/>
        <w:gridCol w:w="90"/>
        <w:gridCol w:w="135"/>
        <w:gridCol w:w="1250"/>
        <w:gridCol w:w="90"/>
        <w:gridCol w:w="90"/>
        <w:gridCol w:w="176"/>
        <w:gridCol w:w="1629"/>
        <w:gridCol w:w="135"/>
      </w:tblGrid>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370" w:type="dxa"/>
            <w:gridSpan w:val="6"/>
            <w:tcBorders/>
            <w:vAlign w:val="center"/>
          </w:tcPr>
          <w:p>
            <w:pPr>
              <w:pStyle w:val="TableContents"/>
              <w:bidi w:val="0"/>
              <w:spacing w:before="0" w:after="283"/>
              <w:jc w:val="center"/>
              <w:rPr>
                <w:b/>
              </w:rPr>
            </w:pPr>
            <w:r>
              <w:rPr>
                <w:b/>
              </w:rPr>
              <w:t>Carrying Amount</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b/>
                <w:bdr w:val="single" w:sz="2" w:space="1" w:color="000000"/>
              </w:rPr>
            </w:pPr>
            <w:r>
              <w:rPr>
                <w:b/>
                <w:bdr w:val="single" w:sz="2" w:space="1" w:color="000000"/>
              </w:rPr>
              <w:t>Entity  </w:t>
            </w:r>
          </w:p>
        </w:tc>
        <w:tc>
          <w:tcPr>
            <w:tcW w:w="90" w:type="dxa"/>
            <w:tcBorders/>
            <w:vAlign w:val="center"/>
          </w:tcPr>
          <w:p>
            <w:pPr>
              <w:pStyle w:val="TableContents"/>
              <w:bidi w:val="0"/>
              <w:spacing w:before="0" w:after="283"/>
              <w:jc w:val="left"/>
              <w:rPr/>
            </w:pPr>
            <w:r>
              <w:rPr/>
              <w:t> </w:t>
            </w:r>
          </w:p>
        </w:tc>
        <w:tc>
          <w:tcPr>
            <w:tcW w:w="2360" w:type="dxa"/>
            <w:tcBorders>
              <w:bottom w:val="single" w:sz="2" w:space="0" w:color="000000"/>
            </w:tcBorders>
            <w:tcMar>
              <w:bottom w:w="28" w:type="dxa"/>
            </w:tcMar>
            <w:vAlign w:val="center"/>
          </w:tcPr>
          <w:p>
            <w:pPr>
              <w:pStyle w:val="TableContents"/>
              <w:bidi w:val="0"/>
              <w:spacing w:before="0" w:after="283"/>
              <w:jc w:val="center"/>
              <w:rPr>
                <w:b/>
              </w:rPr>
            </w:pPr>
            <w:r>
              <w:rPr>
                <w:b/>
              </w:rPr>
              <w:t>Ownership Percentage</w:t>
            </w:r>
          </w:p>
        </w:tc>
        <w:tc>
          <w:tcPr>
            <w:tcW w:w="90" w:type="dxa"/>
            <w:tcBorders/>
            <w:vAlign w:val="center"/>
          </w:tcPr>
          <w:p>
            <w:pPr>
              <w:pStyle w:val="TableContents"/>
              <w:bidi w:val="0"/>
              <w:spacing w:before="0" w:after="283"/>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 2026</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Big River</w:t>
            </w:r>
          </w:p>
        </w:tc>
        <w:tc>
          <w:tcPr>
            <w:tcW w:w="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10.3%</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$46,515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$37,759</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Undistributed earnings of the Company’s equity method investee totaled approximately $26.5 million and approximately $17.7 million at July 31, 2026 and January 31, 2026, respectively. The Company received dividends from its equity method investee of approximately $2.0 million and $2.5 million in the first six months of fiscal years 2026 and 2025, respectively.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Summarized financial information for the Company’s equity method investee is presented in the following table for the periods presented (amounts in thousands):</w:t>
      </w:r>
    </w:p>
    <w:p>
      <w:pPr>
        <w:pStyle w:val="TextBody"/>
        <w:bidi w:val="0"/>
        <w:jc w:val="left"/>
        <w:rPr>
          <w:caps w:val="false"/>
          <w:smallCaps w:val="false"/>
        </w:rPr>
      </w:pPr>
      <w:r>
        <w:rPr>
          <w:caps w:val="false"/>
          <w:smallCaps w:val="false"/>
        </w:rPr>
        <w:t> </w:t>
      </w:r>
    </w:p>
    <w:tbl>
      <w:tblPr>
        <w:tblW w:w="8246" w:type="dxa"/>
        <w:jc w:val="left"/>
        <w:tblInd w:w="0" w:type="dxa"/>
        <w:tblLayout w:type="fixed"/>
        <w:tblCellMar>
          <w:top w:w="0" w:type="dxa"/>
          <w:left w:w="0" w:type="dxa"/>
          <w:bottom w:w="0" w:type="dxa"/>
          <w:right w:w="0" w:type="dxa"/>
        </w:tblCellMar>
      </w:tblPr>
      <w:tblGrid>
        <w:gridCol w:w="3425"/>
        <w:gridCol w:w="90"/>
        <w:gridCol w:w="174"/>
        <w:gridCol w:w="852"/>
        <w:gridCol w:w="92"/>
        <w:gridCol w:w="92"/>
        <w:gridCol w:w="174"/>
        <w:gridCol w:w="852"/>
        <w:gridCol w:w="90"/>
        <w:gridCol w:w="90"/>
        <w:gridCol w:w="170"/>
        <w:gridCol w:w="830"/>
        <w:gridCol w:w="90"/>
        <w:gridCol w:w="90"/>
        <w:gridCol w:w="170"/>
        <w:gridCol w:w="830"/>
        <w:gridCol w:w="135"/>
      </w:tblGrid>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center"/>
              <w:rPr>
                <w:b/>
              </w:rPr>
            </w:pPr>
            <w:r>
              <w:rPr>
                <w:b/>
              </w:rPr>
              <w:t>Three Months Ended</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Six Months Ended</w:t>
              <w:br/>
              <w:t>July 31,</w:t>
            </w:r>
          </w:p>
        </w:tc>
        <w:tc>
          <w:tcPr>
            <w:tcW w:w="13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425" w:type="dxa"/>
            <w:tcBorders/>
            <w:shd w:fill="E5FFFF" w:val="clear"/>
            <w:vAlign w:val="center"/>
          </w:tcPr>
          <w:p>
            <w:pPr>
              <w:pStyle w:val="TableContents"/>
              <w:bidi w:val="0"/>
              <w:spacing w:before="0" w:after="283"/>
              <w:jc w:val="left"/>
              <w:rPr/>
            </w:pPr>
            <w:r>
              <w:rPr/>
              <w:t>Net sales and revenue</w:t>
            </w:r>
          </w:p>
        </w:tc>
        <w:tc>
          <w:tcPr>
            <w:tcW w:w="90"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333,296</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229,876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603,006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502,179</w:t>
            </w:r>
          </w:p>
        </w:tc>
        <w:tc>
          <w:tcPr>
            <w:tcW w:w="135" w:type="dxa"/>
            <w:tcBorders/>
            <w:shd w:fill="E5FF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Production tax credit income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20,327</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40,219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425" w:type="dxa"/>
            <w:tcBorders/>
            <w:shd w:fill="E5FFFF" w:val="clear"/>
            <w:vAlign w:val="center"/>
          </w:tcPr>
          <w:p>
            <w:pPr>
              <w:pStyle w:val="TableContents"/>
              <w:bidi w:val="0"/>
              <w:spacing w:before="0" w:after="283"/>
              <w:jc w:val="left"/>
              <w:rPr/>
            </w:pPr>
            <w:r>
              <w:rPr/>
              <w:t>Gross profit</w:t>
            </w:r>
          </w:p>
        </w:tc>
        <w:tc>
          <w:tcPr>
            <w:tcW w:w="90"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82,701</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13,238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127,806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27,488</w:t>
            </w:r>
          </w:p>
        </w:tc>
        <w:tc>
          <w:tcPr>
            <w:tcW w:w="135" w:type="dxa"/>
            <w:tcBorders/>
            <w:shd w:fill="E5FF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Depreciation expense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4,463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3,907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8,796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7,769</w:t>
            </w:r>
          </w:p>
        </w:tc>
        <w:tc>
          <w:tcPr>
            <w:tcW w:w="135" w:type="dxa"/>
            <w:tcBorders/>
            <w:vAlign w:val="center"/>
          </w:tcPr>
          <w:p>
            <w:pPr>
              <w:pStyle w:val="TableContents"/>
              <w:bidi w:val="0"/>
              <w:spacing w:before="0" w:after="283"/>
              <w:jc w:val="left"/>
              <w:rPr/>
            </w:pPr>
            <w:r>
              <w:rPr/>
              <w:t> </w:t>
            </w:r>
          </w:p>
        </w:tc>
      </w:tr>
      <w:tr>
        <w:trPr/>
        <w:tc>
          <w:tcPr>
            <w:tcW w:w="3425" w:type="dxa"/>
            <w:tcBorders/>
            <w:shd w:fill="E5FFFF" w:val="clear"/>
            <w:vAlign w:val="center"/>
          </w:tcPr>
          <w:p>
            <w:pPr>
              <w:pStyle w:val="TableContents"/>
              <w:bidi w:val="0"/>
              <w:spacing w:before="0" w:after="283"/>
              <w:jc w:val="left"/>
              <w:rPr/>
            </w:pPr>
            <w:r>
              <w:rPr/>
              <w:t>Net income</w:t>
            </w:r>
          </w:p>
        </w:tc>
        <w:tc>
          <w:tcPr>
            <w:tcW w:w="90"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77,781</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9,320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120,468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21,056</w:t>
            </w:r>
          </w:p>
        </w:tc>
        <w:tc>
          <w:tcPr>
            <w:tcW w:w="135" w:type="dxa"/>
            <w:tcBorders/>
            <w:shd w:fill="E5FF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Net income attributable to members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67,975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6,102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105,405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15,777</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23 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11. </w:t>
      </w:r>
      <w:r>
        <w:rPr>
          <w:rFonts w:ascii="Times New Roman;Times;Serif" w:hAnsi="Times New Roman;Times;Serif"/>
          <w:b/>
          <w:i/>
          <w:caps w:val="false"/>
          <w:smallCaps w:val="false"/>
          <w:sz w:val="24"/>
        </w:rPr>
        <w:t>Employee Benefits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Until its expiration on June 1, 2025, the Company maintained the REX American Resources Corporation 2015 Incentive Plan, approved by its shareholders, which reserved a total of 3,300,000 split-adjusted shares of common stock for issuance pursuant to its terms. At its time of expiration, 1,065,809 shares (pre-2025 split) remained available for issuance under the plan.</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May 28, 2026, shareholders approved the REX American Resources Corporation 2026 Incentive Plan, which reserves a total of 1,500,000 shares of common stock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July 31, 2026, 1,225,277 shares remain available for issuance under the Plan, excluding the impact of the 69,816 restricted stock units that may vest between zero and 139,632 shares of stock depending on certain performance metrics being achieved.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Restricted Stock Awards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a component of their compensation, restricted stock has been granted in the past to directors and certain employees at the closing market price of REX common stock on the grant date. In addition, one quarter of executives’ incentive compensation is payable by an award of restricted stock based on the then closing market price of REX common stock on the grant date. The Company’s board of directors has determined that the grant date will be June 15</w:t>
      </w:r>
      <w:r>
        <w:rPr>
          <w:rFonts w:ascii="Times New Roman;Times;Serif" w:hAnsi="Times New Roman;Times;Serif"/>
          <w:b w:val="false"/>
          <w:i w:val="false"/>
          <w:caps w:val="false"/>
          <w:smallCaps w:val="false"/>
          <w:position w:val="8"/>
          <w:sz w:val="19"/>
          <w:sz w:val="24"/>
        </w:rPr>
        <w:t>th</w:t>
      </w:r>
      <w:r>
        <w:rPr>
          <w:rFonts w:ascii="Times New Roman;Times;Serif" w:hAnsi="Times New Roman;Times;Serif"/>
          <w:b w:val="false"/>
          <w:i w:val="false"/>
          <w:caps w:val="false"/>
          <w:smallCaps w:val="false"/>
          <w:sz w:val="24"/>
        </w:rPr>
        <w:t>, or the next business day if June 15</w:t>
      </w:r>
      <w:r>
        <w:rPr>
          <w:rFonts w:ascii="Times New Roman;Times;Serif" w:hAnsi="Times New Roman;Times;Serif"/>
          <w:b w:val="false"/>
          <w:i w:val="false"/>
          <w:caps w:val="false"/>
          <w:smallCaps w:val="false"/>
          <w:position w:val="8"/>
          <w:sz w:val="19"/>
          <w:sz w:val="24"/>
        </w:rPr>
        <w:t>th</w:t>
      </w:r>
      <w:r>
        <w:rPr>
          <w:rFonts w:ascii="Times New Roman;Times;Serif" w:hAnsi="Times New Roman;Times;Serif"/>
          <w:b w:val="false"/>
          <w:i w:val="false"/>
          <w:caps w:val="false"/>
          <w:smallCaps w:val="false"/>
          <w:sz w:val="24"/>
        </w:rPr>
        <w:t xml:space="preserve"> is not a business day, for all grants of restricted stock.</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Based on retirement eligibility provisions, a portion of restricted stock grants were expensed at grant date, based on grant date fair value, thus considered vested for accounting purposes. At July 31, 2026, 38,717 shares were unvested for accounting purposes and unrecognized compensation cost related to these nonvested restricted stock awards was approximately $1.3 million, to be recognized over a weighted average vesting term of 1.9 years.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24 </w:t>
      </w:r>
    </w:p>
    <w:p>
      <w:pPr>
        <w:pStyle w:val="TextBody"/>
        <w:bidi w:val="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tables summarize legally unvested restricted stock award activity for the periods presented:</w:t>
      </w:r>
    </w:p>
    <w:p>
      <w:pPr>
        <w:pStyle w:val="TextBody"/>
        <w:bidi w:val="0"/>
        <w:ind w:left="0" w:right="0" w:hanging="0"/>
        <w:jc w:val="both"/>
        <w:rPr>
          <w:caps w:val="false"/>
          <w:smallCaps w:val="false"/>
        </w:rPr>
      </w:pPr>
      <w:r>
        <w:rPr>
          <w:caps w:val="false"/>
          <w:smallCaps w:val="false"/>
        </w:rPr>
        <w:t> </w:t>
      </w:r>
    </w:p>
    <w:tbl>
      <w:tblPr>
        <w:tblW w:w="8728" w:type="dxa"/>
        <w:jc w:val="left"/>
        <w:tblInd w:w="0" w:type="dxa"/>
        <w:tblLayout w:type="fixed"/>
        <w:tblCellMar>
          <w:top w:w="0" w:type="dxa"/>
          <w:left w:w="0" w:type="dxa"/>
          <w:bottom w:w="0" w:type="dxa"/>
          <w:right w:w="0" w:type="dxa"/>
        </w:tblCellMar>
      </w:tblPr>
      <w:tblGrid>
        <w:gridCol w:w="3080"/>
        <w:gridCol w:w="90"/>
        <w:gridCol w:w="123"/>
        <w:gridCol w:w="1138"/>
        <w:gridCol w:w="123"/>
        <w:gridCol w:w="123"/>
        <w:gridCol w:w="325"/>
        <w:gridCol w:w="1360"/>
        <w:gridCol w:w="123"/>
        <w:gridCol w:w="123"/>
        <w:gridCol w:w="625"/>
        <w:gridCol w:w="1495"/>
      </w:tblGrid>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58" w:type="dxa"/>
            <w:gridSpan w:val="10"/>
            <w:tcBorders/>
            <w:vAlign w:val="center"/>
          </w:tcPr>
          <w:p>
            <w:pPr>
              <w:pStyle w:val="TableContents"/>
              <w:bidi w:val="0"/>
              <w:spacing w:before="0" w:after="283"/>
              <w:jc w:val="center"/>
              <w:rPr>
                <w:b/>
              </w:rPr>
            </w:pPr>
            <w:r>
              <w:rPr>
                <w:b/>
              </w:rPr>
              <w:t>Six Months Ended July 31, 2026</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58" w:type="dxa"/>
            <w:gridSpan w:val="10"/>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283"/>
              <w:jc w:val="center"/>
              <w:rPr>
                <w:b/>
              </w:rPr>
            </w:pPr>
            <w:r>
              <w:rPr>
                <w:b/>
              </w:rPr>
              <w:t>Shares</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Weighted</w:t>
              <w:br/>
              <w:t>Average Grant</w:t>
              <w:br/>
              <w:t>Date Fair Value</w:t>
              <w:br/>
              <w:t>(000’s)</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12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Weighted</w:t>
              <w:br/>
              <w:t>Average Remaining</w:t>
              <w:br/>
              <w:t>Vesting Term</w:t>
              <w:br/>
              <w:t>(in years)</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shd w:fill="E5FFFF" w:val="clear"/>
            <w:vAlign w:val="center"/>
          </w:tcPr>
          <w:p>
            <w:pPr>
              <w:pStyle w:val="TableContents"/>
              <w:bidi w:val="0"/>
              <w:spacing w:before="0" w:after="283"/>
              <w:jc w:val="left"/>
              <w:rPr/>
            </w:pPr>
            <w:r>
              <w:rPr/>
              <w:t>Non-vested at January 31, 2026</w:t>
            </w:r>
          </w:p>
        </w:tc>
        <w:tc>
          <w:tcPr>
            <w:tcW w:w="90"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1138" w:type="dxa"/>
            <w:tcBorders/>
            <w:shd w:fill="E5FFFF" w:val="clear"/>
            <w:vAlign w:val="center"/>
          </w:tcPr>
          <w:p>
            <w:pPr>
              <w:pStyle w:val="TableContents"/>
              <w:bidi w:val="0"/>
              <w:spacing w:before="0" w:after="283"/>
              <w:jc w:val="right"/>
              <w:rPr/>
            </w:pPr>
            <w:r>
              <w:rPr/>
              <w:t>160,364</w:t>
            </w:r>
          </w:p>
        </w:tc>
        <w:tc>
          <w:tcPr>
            <w:tcW w:w="123"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325" w:type="dxa"/>
            <w:tcBorders/>
            <w:shd w:fill="E5FFFF" w:val="clear"/>
            <w:vAlign w:val="center"/>
          </w:tcPr>
          <w:p>
            <w:pPr>
              <w:pStyle w:val="TableContents"/>
              <w:bidi w:val="0"/>
              <w:spacing w:before="0" w:after="283"/>
              <w:jc w:val="left"/>
              <w:rPr/>
            </w:pPr>
            <w:r>
              <w:rPr/>
              <w:t>$</w:t>
            </w:r>
          </w:p>
        </w:tc>
        <w:tc>
          <w:tcPr>
            <w:tcW w:w="1360" w:type="dxa"/>
            <w:tcBorders/>
            <w:shd w:fill="E5FFFF" w:val="clear"/>
            <w:vAlign w:val="center"/>
          </w:tcPr>
          <w:p>
            <w:pPr>
              <w:pStyle w:val="TableContents"/>
              <w:bidi w:val="0"/>
              <w:spacing w:before="0" w:after="283"/>
              <w:jc w:val="right"/>
              <w:rPr/>
            </w:pPr>
            <w:r>
              <w:rPr/>
              <w:t>3,244</w:t>
            </w:r>
          </w:p>
        </w:tc>
        <w:tc>
          <w:tcPr>
            <w:tcW w:w="123"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625" w:type="dxa"/>
            <w:tcBorders/>
            <w:shd w:fill="E5FFFF" w:val="clear"/>
            <w:vAlign w:val="center"/>
          </w:tcPr>
          <w:p>
            <w:pPr>
              <w:pStyle w:val="TableContents"/>
              <w:bidi w:val="0"/>
              <w:spacing w:before="0" w:after="283"/>
              <w:jc w:val="left"/>
              <w:rPr/>
            </w:pPr>
            <w:r>
              <w:rPr/>
              <w:t> </w:t>
            </w:r>
          </w:p>
        </w:tc>
        <w:tc>
          <w:tcPr>
            <w:tcW w:w="1495" w:type="dxa"/>
            <w:tcBorders/>
            <w:shd w:fill="E5FFFF" w:val="clear"/>
            <w:vAlign w:val="center"/>
          </w:tcPr>
          <w:p>
            <w:pPr>
              <w:pStyle w:val="TableContents"/>
              <w:bidi w:val="0"/>
              <w:spacing w:before="0" w:after="283"/>
              <w:jc w:val="right"/>
              <w:rPr/>
            </w:pPr>
            <w:r>
              <w:rPr/>
              <w:t>1</w:t>
            </w:r>
          </w:p>
        </w:tc>
      </w:tr>
      <w:tr>
        <w:trPr/>
        <w:tc>
          <w:tcPr>
            <w:tcW w:w="308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274,723</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11,805</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shd w:fill="E5FFFF" w:val="clear"/>
            <w:vAlign w:val="center"/>
          </w:tcPr>
          <w:p>
            <w:pPr>
              <w:pStyle w:val="TableContents"/>
              <w:bidi w:val="0"/>
              <w:spacing w:before="0" w:after="283"/>
              <w:jc w:val="left"/>
              <w:rPr/>
            </w:pPr>
            <w:r>
              <w:rPr/>
              <w:t>Forfeited</w:t>
            </w:r>
          </w:p>
        </w:tc>
        <w:tc>
          <w:tcPr>
            <w:tcW w:w="90"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1138" w:type="dxa"/>
            <w:tcBorders/>
            <w:shd w:fill="E5FFFF" w:val="clear"/>
            <w:vAlign w:val="center"/>
          </w:tcPr>
          <w:p>
            <w:pPr>
              <w:pStyle w:val="TableContents"/>
              <w:bidi w:val="0"/>
              <w:spacing w:before="0" w:after="283"/>
              <w:jc w:val="right"/>
              <w:rPr/>
            </w:pPr>
            <w:r>
              <w:rPr/>
              <w:t>-</w:t>
            </w:r>
          </w:p>
        </w:tc>
        <w:tc>
          <w:tcPr>
            <w:tcW w:w="123"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325" w:type="dxa"/>
            <w:tcBorders/>
            <w:shd w:fill="E5FFFF" w:val="clear"/>
            <w:vAlign w:val="center"/>
          </w:tcPr>
          <w:p>
            <w:pPr>
              <w:pStyle w:val="TableContents"/>
              <w:bidi w:val="0"/>
              <w:spacing w:before="0" w:after="283"/>
              <w:jc w:val="left"/>
              <w:rPr/>
            </w:pPr>
            <w:r>
              <w:rPr/>
              <w:t> </w:t>
            </w:r>
          </w:p>
        </w:tc>
        <w:tc>
          <w:tcPr>
            <w:tcW w:w="1360" w:type="dxa"/>
            <w:tcBorders/>
            <w:shd w:fill="E5FFFF" w:val="clear"/>
            <w:vAlign w:val="center"/>
          </w:tcPr>
          <w:p>
            <w:pPr>
              <w:pStyle w:val="TableContents"/>
              <w:bidi w:val="0"/>
              <w:spacing w:before="0" w:after="283"/>
              <w:jc w:val="right"/>
              <w:rPr/>
            </w:pPr>
            <w:r>
              <w:rPr/>
              <w:t>-</w:t>
            </w:r>
          </w:p>
        </w:tc>
        <w:tc>
          <w:tcPr>
            <w:tcW w:w="123"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625" w:type="dxa"/>
            <w:tcBorders/>
            <w:shd w:fill="E5FFFF" w:val="clear"/>
            <w:vAlign w:val="center"/>
          </w:tcPr>
          <w:p>
            <w:pPr>
              <w:pStyle w:val="TableContents"/>
              <w:bidi w:val="0"/>
              <w:spacing w:before="0" w:after="283"/>
              <w:jc w:val="left"/>
              <w:rPr/>
            </w:pPr>
            <w:r>
              <w:rPr/>
              <w:t> </w:t>
            </w:r>
          </w:p>
        </w:tc>
        <w:tc>
          <w:tcPr>
            <w:tcW w:w="1495" w:type="dxa"/>
            <w:tcBorders/>
            <w:shd w:fill="E5FFFF" w:val="clear"/>
            <w:vAlign w:val="center"/>
          </w:tcPr>
          <w:p>
            <w:pPr>
              <w:pStyle w:val="TableContents"/>
              <w:bidi w:val="0"/>
              <w:spacing w:before="0" w:after="283"/>
              <w:jc w:val="right"/>
              <w:rPr/>
            </w:pPr>
            <w:r>
              <w:rPr/>
              <w:t> </w:t>
            </w:r>
          </w:p>
        </w:tc>
      </w:tr>
      <w:tr>
        <w:trPr/>
        <w:tc>
          <w:tcPr>
            <w:tcW w:w="3080" w:type="dxa"/>
            <w:tcBorders/>
            <w:vAlign w:val="center"/>
          </w:tcPr>
          <w:p>
            <w:pPr>
              <w:pStyle w:val="TableContents"/>
              <w:bidi w:val="0"/>
              <w:spacing w:before="0" w:after="283"/>
              <w:jc w:val="left"/>
              <w:rPr/>
            </w:pPr>
            <w:r>
              <w:rPr/>
              <w:t>Vested</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38" w:type="dxa"/>
            <w:tcBorders>
              <w:bottom w:val="single" w:sz="2" w:space="0" w:color="000000"/>
            </w:tcBorders>
            <w:tcMar>
              <w:bottom w:w="28" w:type="dxa"/>
            </w:tcMar>
            <w:vAlign w:val="center"/>
          </w:tcPr>
          <w:p>
            <w:pPr>
              <w:pStyle w:val="TableContents"/>
              <w:bidi w:val="0"/>
              <w:spacing w:before="0" w:after="283"/>
              <w:jc w:val="right"/>
              <w:rPr/>
            </w:pPr>
            <w:r>
              <w:rPr/>
              <w:t>158,037</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25" w:type="dxa"/>
            <w:tcBorders>
              <w:bottom w:val="single" w:sz="2" w:space="0" w:color="000000"/>
            </w:tcBorders>
            <w:tcMar>
              <w:bottom w:w="28" w:type="dxa"/>
            </w:tcMar>
            <w:vAlign w:val="center"/>
          </w:tcPr>
          <w:p>
            <w:pPr>
              <w:pStyle w:val="TableContents"/>
              <w:bidi w:val="0"/>
              <w:spacing w:before="0" w:after="283"/>
              <w:jc w:val="left"/>
              <w:rPr/>
            </w:pPr>
            <w:r>
              <w:rPr/>
              <w:t> </w:t>
            </w:r>
          </w:p>
        </w:tc>
        <w:tc>
          <w:tcPr>
            <w:tcW w:w="1360" w:type="dxa"/>
            <w:tcBorders>
              <w:bottom w:val="single" w:sz="2" w:space="0" w:color="000000"/>
            </w:tcBorders>
            <w:tcMar>
              <w:bottom w:w="28" w:type="dxa"/>
            </w:tcMar>
            <w:vAlign w:val="center"/>
          </w:tcPr>
          <w:p>
            <w:pPr>
              <w:pStyle w:val="TableContents"/>
              <w:bidi w:val="0"/>
              <w:spacing w:before="0" w:after="283"/>
              <w:jc w:val="right"/>
              <w:rPr/>
            </w:pPr>
            <w:r>
              <w:rPr/>
              <w:t>3,996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shd w:fill="E5FFFF" w:val="clear"/>
            <w:vAlign w:val="center"/>
          </w:tcPr>
          <w:p>
            <w:pPr>
              <w:pStyle w:val="TableContents"/>
              <w:bidi w:val="0"/>
              <w:spacing w:before="0" w:after="283"/>
              <w:jc w:val="left"/>
              <w:rPr/>
            </w:pPr>
            <w:r>
              <w:rPr/>
              <w:t>Non-vested at July 31, 2026</w:t>
            </w:r>
          </w:p>
        </w:tc>
        <w:tc>
          <w:tcPr>
            <w:tcW w:w="90"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1138" w:type="dxa"/>
            <w:tcBorders>
              <w:bottom w:val="double" w:sz="6" w:space="0" w:color="000000"/>
            </w:tcBorders>
            <w:shd w:fill="E5FFFF" w:val="clear"/>
            <w:tcMar>
              <w:bottom w:w="28" w:type="dxa"/>
            </w:tcMar>
            <w:vAlign w:val="center"/>
          </w:tcPr>
          <w:p>
            <w:pPr>
              <w:pStyle w:val="TableContents"/>
              <w:bidi w:val="0"/>
              <w:spacing w:before="0" w:after="283"/>
              <w:jc w:val="right"/>
              <w:rPr/>
            </w:pPr>
            <w:r>
              <w:rPr/>
              <w:t>277,050</w:t>
            </w:r>
          </w:p>
        </w:tc>
        <w:tc>
          <w:tcPr>
            <w:tcW w:w="123"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325"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360" w:type="dxa"/>
            <w:tcBorders>
              <w:bottom w:val="double" w:sz="6" w:space="0" w:color="000000"/>
            </w:tcBorders>
            <w:shd w:fill="E5FFFF" w:val="clear"/>
            <w:tcMar>
              <w:bottom w:w="28" w:type="dxa"/>
            </w:tcMar>
            <w:vAlign w:val="center"/>
          </w:tcPr>
          <w:p>
            <w:pPr>
              <w:pStyle w:val="TableContents"/>
              <w:bidi w:val="0"/>
              <w:spacing w:before="0" w:after="283"/>
              <w:jc w:val="right"/>
              <w:rPr/>
            </w:pPr>
            <w:r>
              <w:rPr/>
              <w:t>11,053</w:t>
            </w:r>
          </w:p>
        </w:tc>
        <w:tc>
          <w:tcPr>
            <w:tcW w:w="123" w:type="dxa"/>
            <w:tcBorders/>
            <w:shd w:fill="E5FFFF" w:val="clear"/>
            <w:vAlign w:val="center"/>
          </w:tcPr>
          <w:p>
            <w:pPr>
              <w:pStyle w:val="TableContents"/>
              <w:bidi w:val="0"/>
              <w:spacing w:before="0" w:after="283"/>
              <w:jc w:val="left"/>
              <w:rPr/>
            </w:pPr>
            <w:r>
              <w:rPr/>
              <w:t> </w:t>
            </w:r>
          </w:p>
        </w:tc>
        <w:tc>
          <w:tcPr>
            <w:tcW w:w="123" w:type="dxa"/>
            <w:tcBorders/>
            <w:shd w:fill="E5FFFF" w:val="clear"/>
            <w:vAlign w:val="center"/>
          </w:tcPr>
          <w:p>
            <w:pPr>
              <w:pStyle w:val="TableContents"/>
              <w:bidi w:val="0"/>
              <w:spacing w:before="0" w:after="283"/>
              <w:jc w:val="left"/>
              <w:rPr/>
            </w:pPr>
            <w:r>
              <w:rPr/>
              <w:t> </w:t>
            </w:r>
          </w:p>
        </w:tc>
        <w:tc>
          <w:tcPr>
            <w:tcW w:w="625" w:type="dxa"/>
            <w:tcBorders/>
            <w:shd w:fill="E5FFFF" w:val="clear"/>
            <w:vAlign w:val="center"/>
          </w:tcPr>
          <w:p>
            <w:pPr>
              <w:pStyle w:val="TableContents"/>
              <w:bidi w:val="0"/>
              <w:spacing w:before="0" w:after="283"/>
              <w:jc w:val="left"/>
              <w:rPr/>
            </w:pPr>
            <w:r>
              <w:rPr/>
              <w:t> </w:t>
            </w:r>
          </w:p>
        </w:tc>
        <w:tc>
          <w:tcPr>
            <w:tcW w:w="1495" w:type="dxa"/>
            <w:tcBorders/>
            <w:shd w:fill="E5FFFF" w:val="clear"/>
            <w:vAlign w:val="center"/>
          </w:tcPr>
          <w:p>
            <w:pPr>
              <w:pStyle w:val="TableContents"/>
              <w:bidi w:val="0"/>
              <w:spacing w:before="0" w:after="283"/>
              <w:jc w:val="right"/>
              <w:rPr/>
            </w:pPr>
            <w:r>
              <w:rPr/>
              <w:t>2</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tbl>
      <w:tblPr>
        <w:tblW w:w="8816" w:type="dxa"/>
        <w:jc w:val="left"/>
        <w:tblInd w:w="0" w:type="dxa"/>
        <w:tblLayout w:type="fixed"/>
        <w:tblCellMar>
          <w:top w:w="0" w:type="dxa"/>
          <w:left w:w="0" w:type="dxa"/>
          <w:bottom w:w="0" w:type="dxa"/>
          <w:right w:w="0" w:type="dxa"/>
        </w:tblCellMar>
      </w:tblPr>
      <w:tblGrid>
        <w:gridCol w:w="3080"/>
        <w:gridCol w:w="90"/>
        <w:gridCol w:w="129"/>
        <w:gridCol w:w="1196"/>
        <w:gridCol w:w="129"/>
        <w:gridCol w:w="129"/>
        <w:gridCol w:w="376"/>
        <w:gridCol w:w="1309"/>
        <w:gridCol w:w="129"/>
        <w:gridCol w:w="129"/>
        <w:gridCol w:w="625"/>
        <w:gridCol w:w="1495"/>
      </w:tblGrid>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46" w:type="dxa"/>
            <w:gridSpan w:val="10"/>
            <w:tcBorders/>
            <w:vAlign w:val="center"/>
          </w:tcPr>
          <w:p>
            <w:pPr>
              <w:pStyle w:val="TableContents"/>
              <w:bidi w:val="0"/>
              <w:spacing w:before="0" w:after="283"/>
              <w:jc w:val="center"/>
              <w:rPr>
                <w:b/>
              </w:rPr>
            </w:pPr>
            <w:r>
              <w:rPr>
                <w:b/>
              </w:rPr>
              <w:t>Six Months Ended July 31, 2025</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46" w:type="dxa"/>
            <w:gridSpan w:val="10"/>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Shares</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Weighted</w:t>
              <w:br/>
              <w:t>Average Grant</w:t>
              <w:br/>
              <w:t>Date Fair Value</w:t>
              <w:br/>
              <w:t>(000’s)</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12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Weighted</w:t>
              <w:br/>
              <w:t>Average Remaining</w:t>
              <w:br/>
              <w:t>Vesting Term</w:t>
              <w:br/>
              <w:t>(in years)</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shd w:fill="E5FFFF" w:val="clear"/>
            <w:vAlign w:val="center"/>
          </w:tcPr>
          <w:p>
            <w:pPr>
              <w:pStyle w:val="TableContents"/>
              <w:bidi w:val="0"/>
              <w:spacing w:before="0" w:after="283"/>
              <w:jc w:val="left"/>
              <w:rPr/>
            </w:pPr>
            <w:r>
              <w:rPr/>
              <w:t>Non-vested at January 31, 2025</w:t>
            </w:r>
          </w:p>
        </w:tc>
        <w:tc>
          <w:tcPr>
            <w:tcW w:w="90"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1196" w:type="dxa"/>
            <w:tcBorders/>
            <w:shd w:fill="E5FFFF" w:val="clear"/>
            <w:vAlign w:val="center"/>
          </w:tcPr>
          <w:p>
            <w:pPr>
              <w:pStyle w:val="TableContents"/>
              <w:bidi w:val="0"/>
              <w:spacing w:before="0" w:after="283"/>
              <w:jc w:val="right"/>
              <w:rPr/>
            </w:pPr>
            <w:r>
              <w:rPr/>
              <w:t>324,784</w:t>
            </w:r>
          </w:p>
        </w:tc>
        <w:tc>
          <w:tcPr>
            <w:tcW w:w="129"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376" w:type="dxa"/>
            <w:tcBorders/>
            <w:shd w:fill="E5FFFF" w:val="clear"/>
            <w:vAlign w:val="center"/>
          </w:tcPr>
          <w:p>
            <w:pPr>
              <w:pStyle w:val="TableContents"/>
              <w:bidi w:val="0"/>
              <w:spacing w:before="0" w:after="283"/>
              <w:jc w:val="left"/>
              <w:rPr/>
            </w:pPr>
            <w:r>
              <w:rPr/>
              <w:t>$</w:t>
            </w:r>
          </w:p>
        </w:tc>
        <w:tc>
          <w:tcPr>
            <w:tcW w:w="1309" w:type="dxa"/>
            <w:tcBorders/>
            <w:shd w:fill="E5FFFF" w:val="clear"/>
            <w:vAlign w:val="center"/>
          </w:tcPr>
          <w:p>
            <w:pPr>
              <w:pStyle w:val="TableContents"/>
              <w:bidi w:val="0"/>
              <w:spacing w:before="0" w:after="283"/>
              <w:jc w:val="right"/>
              <w:rPr/>
            </w:pPr>
            <w:r>
              <w:rPr/>
              <w:t>6,190</w:t>
            </w:r>
          </w:p>
        </w:tc>
        <w:tc>
          <w:tcPr>
            <w:tcW w:w="129"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625" w:type="dxa"/>
            <w:tcBorders/>
            <w:shd w:fill="E5FFFF" w:val="clear"/>
            <w:vAlign w:val="center"/>
          </w:tcPr>
          <w:p>
            <w:pPr>
              <w:pStyle w:val="TableContents"/>
              <w:bidi w:val="0"/>
              <w:spacing w:before="0" w:after="283"/>
              <w:jc w:val="left"/>
              <w:rPr/>
            </w:pPr>
            <w:r>
              <w:rPr/>
              <w:t> </w:t>
            </w:r>
          </w:p>
        </w:tc>
        <w:tc>
          <w:tcPr>
            <w:tcW w:w="1495" w:type="dxa"/>
            <w:tcBorders/>
            <w:shd w:fill="E5FFFF" w:val="clear"/>
            <w:vAlign w:val="center"/>
          </w:tcPr>
          <w:p>
            <w:pPr>
              <w:pStyle w:val="TableContents"/>
              <w:bidi w:val="0"/>
              <w:spacing w:before="0" w:after="283"/>
              <w:jc w:val="right"/>
              <w:rPr/>
            </w:pPr>
            <w:r>
              <w:rPr/>
              <w:t>2</w:t>
            </w:r>
          </w:p>
        </w:tc>
      </w:tr>
      <w:tr>
        <w:trPr/>
        <w:tc>
          <w:tcPr>
            <w:tcW w:w="308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119,856</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2,860</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shd w:fill="E5FFFF" w:val="clear"/>
            <w:vAlign w:val="center"/>
          </w:tcPr>
          <w:p>
            <w:pPr>
              <w:pStyle w:val="TableContents"/>
              <w:bidi w:val="0"/>
              <w:spacing w:before="0" w:after="283"/>
              <w:jc w:val="left"/>
              <w:rPr/>
            </w:pPr>
            <w:r>
              <w:rPr/>
              <w:t>Forfeited</w:t>
            </w:r>
          </w:p>
        </w:tc>
        <w:tc>
          <w:tcPr>
            <w:tcW w:w="90"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1196" w:type="dxa"/>
            <w:tcBorders/>
            <w:shd w:fill="E5FFFF" w:val="clear"/>
            <w:vAlign w:val="center"/>
          </w:tcPr>
          <w:p>
            <w:pPr>
              <w:pStyle w:val="TableContents"/>
              <w:bidi w:val="0"/>
              <w:spacing w:before="0" w:after="283"/>
              <w:jc w:val="right"/>
              <w:rPr/>
            </w:pPr>
            <w:r>
              <w:rPr/>
              <w:t>-</w:t>
            </w:r>
          </w:p>
        </w:tc>
        <w:tc>
          <w:tcPr>
            <w:tcW w:w="129"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376" w:type="dxa"/>
            <w:tcBorders/>
            <w:shd w:fill="E5FFFF" w:val="clear"/>
            <w:vAlign w:val="center"/>
          </w:tcPr>
          <w:p>
            <w:pPr>
              <w:pStyle w:val="TableContents"/>
              <w:bidi w:val="0"/>
              <w:spacing w:before="0" w:after="283"/>
              <w:jc w:val="left"/>
              <w:rPr/>
            </w:pPr>
            <w:r>
              <w:rPr/>
              <w:t> </w:t>
            </w:r>
          </w:p>
        </w:tc>
        <w:tc>
          <w:tcPr>
            <w:tcW w:w="1309" w:type="dxa"/>
            <w:tcBorders/>
            <w:shd w:fill="E5FFFF" w:val="clear"/>
            <w:vAlign w:val="center"/>
          </w:tcPr>
          <w:p>
            <w:pPr>
              <w:pStyle w:val="TableContents"/>
              <w:bidi w:val="0"/>
              <w:spacing w:before="0" w:after="283"/>
              <w:jc w:val="right"/>
              <w:rPr/>
            </w:pPr>
            <w:r>
              <w:rPr/>
              <w:t>-</w:t>
            </w:r>
          </w:p>
        </w:tc>
        <w:tc>
          <w:tcPr>
            <w:tcW w:w="129"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625" w:type="dxa"/>
            <w:tcBorders/>
            <w:shd w:fill="E5FFFF" w:val="clear"/>
            <w:vAlign w:val="center"/>
          </w:tcPr>
          <w:p>
            <w:pPr>
              <w:pStyle w:val="TableContents"/>
              <w:bidi w:val="0"/>
              <w:spacing w:before="0" w:after="283"/>
              <w:jc w:val="left"/>
              <w:rPr/>
            </w:pPr>
            <w:r>
              <w:rPr/>
              <w:t> </w:t>
            </w:r>
          </w:p>
        </w:tc>
        <w:tc>
          <w:tcPr>
            <w:tcW w:w="1495" w:type="dxa"/>
            <w:tcBorders/>
            <w:shd w:fill="E5FFFF" w:val="clear"/>
            <w:vAlign w:val="center"/>
          </w:tcPr>
          <w:p>
            <w:pPr>
              <w:pStyle w:val="TableContents"/>
              <w:bidi w:val="0"/>
              <w:spacing w:before="0" w:after="283"/>
              <w:jc w:val="right"/>
              <w:rPr/>
            </w:pPr>
            <w:r>
              <w:rPr/>
              <w:t> </w:t>
            </w:r>
          </w:p>
        </w:tc>
      </w:tr>
      <w:tr>
        <w:trPr/>
        <w:tc>
          <w:tcPr>
            <w:tcW w:w="3080" w:type="dxa"/>
            <w:tcBorders/>
            <w:vAlign w:val="center"/>
          </w:tcPr>
          <w:p>
            <w:pPr>
              <w:pStyle w:val="TableContents"/>
              <w:bidi w:val="0"/>
              <w:spacing w:before="0" w:after="283"/>
              <w:jc w:val="left"/>
              <w:rPr/>
            </w:pPr>
            <w:r>
              <w:rPr/>
              <w:t>Vested</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bottom w:val="single" w:sz="2" w:space="0" w:color="000000"/>
            </w:tcBorders>
            <w:tcMar>
              <w:bottom w:w="28" w:type="dxa"/>
            </w:tcMar>
            <w:vAlign w:val="center"/>
          </w:tcPr>
          <w:p>
            <w:pPr>
              <w:pStyle w:val="TableContents"/>
              <w:bidi w:val="0"/>
              <w:spacing w:before="0" w:after="283"/>
              <w:jc w:val="right"/>
              <w:rPr/>
            </w:pPr>
            <w:r>
              <w:rPr/>
              <w:t>164,420</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76" w:type="dxa"/>
            <w:tcBorders>
              <w:bottom w:val="single" w:sz="2" w:space="0" w:color="000000"/>
            </w:tcBorders>
            <w:tcMar>
              <w:bottom w:w="28" w:type="dxa"/>
            </w:tcMar>
            <w:vAlign w:val="center"/>
          </w:tcPr>
          <w:p>
            <w:pPr>
              <w:pStyle w:val="TableContents"/>
              <w:bidi w:val="0"/>
              <w:spacing w:before="0" w:after="283"/>
              <w:jc w:val="left"/>
              <w:rPr/>
            </w:pPr>
            <w:r>
              <w:rPr/>
              <w:t> </w:t>
            </w:r>
          </w:p>
        </w:tc>
        <w:tc>
          <w:tcPr>
            <w:tcW w:w="1309" w:type="dxa"/>
            <w:tcBorders>
              <w:bottom w:val="single" w:sz="2" w:space="0" w:color="000000"/>
            </w:tcBorders>
            <w:tcMar>
              <w:bottom w:w="28" w:type="dxa"/>
            </w:tcMar>
            <w:vAlign w:val="center"/>
          </w:tcPr>
          <w:p>
            <w:pPr>
              <w:pStyle w:val="TableContents"/>
              <w:bidi w:val="0"/>
              <w:spacing w:before="0" w:after="283"/>
              <w:jc w:val="right"/>
              <w:rPr/>
            </w:pPr>
            <w:r>
              <w:rPr/>
              <w:t>2,946</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 </w:t>
            </w:r>
          </w:p>
        </w:tc>
      </w:tr>
      <w:tr>
        <w:trPr/>
        <w:tc>
          <w:tcPr>
            <w:tcW w:w="3080" w:type="dxa"/>
            <w:tcBorders/>
            <w:shd w:fill="E5FFFF" w:val="clear"/>
            <w:vAlign w:val="center"/>
          </w:tcPr>
          <w:p>
            <w:pPr>
              <w:pStyle w:val="TableContents"/>
              <w:bidi w:val="0"/>
              <w:spacing w:before="0" w:after="283"/>
              <w:jc w:val="left"/>
              <w:rPr/>
            </w:pPr>
            <w:r>
              <w:rPr/>
              <w:t>Non-vested at July 31, 2025</w:t>
            </w:r>
          </w:p>
        </w:tc>
        <w:tc>
          <w:tcPr>
            <w:tcW w:w="90"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1196" w:type="dxa"/>
            <w:tcBorders>
              <w:bottom w:val="double" w:sz="6" w:space="0" w:color="000000"/>
            </w:tcBorders>
            <w:shd w:fill="E5FFFF" w:val="clear"/>
            <w:tcMar>
              <w:bottom w:w="28" w:type="dxa"/>
            </w:tcMar>
            <w:vAlign w:val="center"/>
          </w:tcPr>
          <w:p>
            <w:pPr>
              <w:pStyle w:val="TableContents"/>
              <w:bidi w:val="0"/>
              <w:spacing w:before="0" w:after="283"/>
              <w:jc w:val="right"/>
              <w:rPr/>
            </w:pPr>
            <w:r>
              <w:rPr/>
              <w:t>280,220</w:t>
            </w:r>
          </w:p>
        </w:tc>
        <w:tc>
          <w:tcPr>
            <w:tcW w:w="129"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376"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E5FFFF" w:val="clear"/>
            <w:tcMar>
              <w:bottom w:w="28" w:type="dxa"/>
            </w:tcMar>
            <w:vAlign w:val="center"/>
          </w:tcPr>
          <w:p>
            <w:pPr>
              <w:pStyle w:val="TableContents"/>
              <w:bidi w:val="0"/>
              <w:spacing w:before="0" w:after="283"/>
              <w:jc w:val="right"/>
              <w:rPr/>
            </w:pPr>
            <w:r>
              <w:rPr/>
              <w:t>6,104</w:t>
            </w:r>
          </w:p>
        </w:tc>
        <w:tc>
          <w:tcPr>
            <w:tcW w:w="129" w:type="dxa"/>
            <w:tcBorders/>
            <w:shd w:fill="E5FFFF" w:val="clear"/>
            <w:vAlign w:val="center"/>
          </w:tcPr>
          <w:p>
            <w:pPr>
              <w:pStyle w:val="TableContents"/>
              <w:bidi w:val="0"/>
              <w:spacing w:before="0" w:after="283"/>
              <w:jc w:val="left"/>
              <w:rPr/>
            </w:pPr>
            <w:r>
              <w:rPr/>
              <w:t> </w:t>
            </w:r>
          </w:p>
        </w:tc>
        <w:tc>
          <w:tcPr>
            <w:tcW w:w="129" w:type="dxa"/>
            <w:tcBorders/>
            <w:shd w:fill="E5FFFF" w:val="clear"/>
            <w:vAlign w:val="center"/>
          </w:tcPr>
          <w:p>
            <w:pPr>
              <w:pStyle w:val="TableContents"/>
              <w:bidi w:val="0"/>
              <w:spacing w:before="0" w:after="283"/>
              <w:jc w:val="left"/>
              <w:rPr/>
            </w:pPr>
            <w:r>
              <w:rPr/>
              <w:t> </w:t>
            </w:r>
          </w:p>
        </w:tc>
        <w:tc>
          <w:tcPr>
            <w:tcW w:w="625" w:type="dxa"/>
            <w:tcBorders/>
            <w:shd w:fill="E5FFFF" w:val="clear"/>
            <w:vAlign w:val="center"/>
          </w:tcPr>
          <w:p>
            <w:pPr>
              <w:pStyle w:val="TableContents"/>
              <w:bidi w:val="0"/>
              <w:spacing w:before="0" w:after="283"/>
              <w:jc w:val="left"/>
              <w:rPr/>
            </w:pPr>
            <w:r>
              <w:rPr/>
              <w:t> </w:t>
            </w:r>
          </w:p>
        </w:tc>
        <w:tc>
          <w:tcPr>
            <w:tcW w:w="1495" w:type="dxa"/>
            <w:tcBorders/>
            <w:shd w:fill="E5FFFF" w:val="clear"/>
            <w:vAlign w:val="center"/>
          </w:tcPr>
          <w:p>
            <w:pPr>
              <w:pStyle w:val="TableContents"/>
              <w:bidi w:val="0"/>
              <w:spacing w:before="0" w:after="283"/>
              <w:jc w:val="right"/>
              <w:rPr/>
            </w:pPr>
            <w:r>
              <w:rPr/>
              <w:t>2</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Restricted Stock Units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May 2022, the Company issued a total of 135,000 RSUs to certain officers with a performance period that ended on December 31, 2024. The number of RSUs eligible to vest ranged from zero percent to two hundred percent and was determined based on how the Company’s TSR compared to the TSR of companies that comprised the Russell 2000 Index during the performance period. The calculated payout of the RSUs that vested was 148%, or 199,800 shares of REX common stock, and the shares were issued on February 26, 2025.</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June 2026, the Company issued a total of 69,816 RSUs to certain officers. The number of RSUs eligible to vest will be determined based on the average annual 45Q and 45Z tax credits earned attributable</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25 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the Company during the three year performance period ending January 31, 2029. The number of RSUs eligible to vest ranges from zero percent to two hundred percent, depending on actual performance during the performance period. The shares are valued using the grant date share price using an estimate as of July 31, 2026 for the value of 45Z and 45Q credits anticipated to be earned.</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of July 31, 2026, the Company estimates the RSUs will vest at two hundred percent. For both the three and six month periods ended July 31, 2026, the Company recognized compensation cost of approximately $375,000. Unrecognized compensation cost as of July 31, 2026 was approximately $5.6 million, to be recognized over a weighted average vesting term of 2.5 years.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determined there to be no dilutive impact on earnings per share for the three and six month periods ended July 31, 2026.</w:t>
      </w:r>
    </w:p>
    <w:p>
      <w:pPr>
        <w:pStyle w:val="TextBody"/>
        <w:bidi w:val="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Note 12</w:t>
      </w:r>
      <w:r>
        <w:rPr>
          <w:rFonts w:ascii="Times New Roman;Times;Serif" w:hAnsi="Times New Roman;Times;Serif"/>
          <w:b/>
          <w:i/>
          <w:caps w:val="false"/>
          <w:smallCaps w:val="false"/>
          <w:sz w:val="24"/>
        </w:rPr>
        <w:t>. Income Taxes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Company’s income tax provision was approximately $7.5 million and $2.8 million for the three months ended July 31, 2026 and 2025, respectively. The effective tax rate was 15.5% and 22.9% for the three months ended July 31, 2026 and 2025, respectively. The Company’s income tax provision was approximately $11.9 million and $5.7 million for the six months ended July 31, 2026 and 2025, respectively. The effective tax rate was 16.0% and 22.2% for the six months ended July 31, 2026 and 2025, respectively. The primary causes for the difference between the statutory tax rate and our effective tax rate are the impact from nontaxable income associated with 45Z tax credits, as well as the impact from noncontrolling interests.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July 4, 2025, the OBBBA was signed into law. The OBBBA contains various tax reform provisions affecting businesses, such as the extension of bonus depreciation for assets placed in service after January 19, 2025 and immediate expensing of domestic research and development costs, to result in current deductions that allowed for lower cash paid for income taxes for 2025. The OBBBA made changes to the 45Z and 45Q tax credits that the Company intends to take advantage of which materially impact our financial results. The Section 45Z clean fuel production credit is a general business credit that is allowed with respect to clean transportation fuel produced domestically after December 31, 2024, and before December 31, 2029. This credit, which was part of the IRA, and subsequently extended by the OBBBA, incentivizes the production of clean fuels at our plants that reduce GHG emissions below a CI score of 50. The tax credit utilizes a sliding scale where credits can be earned incrementally between $0.02 and $0.20 ($0.10 and $1.00 if prevailing wage and apprenticeship requirements are met) per gallon of non-SAF fuels based on an ethanol plant’s GHG reduction below a 50 CI score threshold, with the first $0.02 or $0.10 earned upon achieving a CI score below 47.5, subject to annual inflation adjustments. The Company believes that it is more-likely-than-not that applicable prevailing wage requirements will be met for 2025 and 2026 for its consolidated ethanol plants and has calculated the credit at the applicable credit rate based on its CI score for fiscal 2025 and its estimated CI score for the first six months of fiscal 2026, after the purchase of EACs.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26 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Effective February 1, 2026, the Company elected to early adopt ASU 2025-10 and changed its accounting policy for Section 45Z tax credits. The Company determined the income model under ASU 2025-10 is preferable to better align with monetization opportunities in the future. The Company will record the tax credits earned under the income model of ASU 2025-10 as “Production tax credit income”, included within gross profit on the Consolidated Statements of Operations and within “Other assets” on the Consolidated Balance Sheets.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files a U.S. federal income tax return and income tax returns in various states. In general, the Company is no longer subject to U.S. federal, state or local income tax examinations by tax authorities for years ended January 31, 2014 and prior. The Company is currently finalizing, as an agreement in principle has been reached, a federal income tax examination for the years ended January 31, 2015 through January 31, 2022 related to tax credits claimed on returns during those years.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reconciliation of the beginning and ending amount of unrecognized tax benefits, including interest and penalties, is as follows (amounts in thousands):</w:t>
      </w:r>
    </w:p>
    <w:p>
      <w:pPr>
        <w:pStyle w:val="TextBody"/>
        <w:bidi w:val="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4520"/>
        <w:gridCol w:w="90"/>
        <w:gridCol w:w="200"/>
        <w:gridCol w:w="482"/>
        <w:gridCol w:w="106"/>
        <w:gridCol w:w="106"/>
        <w:gridCol w:w="200"/>
        <w:gridCol w:w="891"/>
      </w:tblGrid>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5" w:type="dxa"/>
            <w:gridSpan w:val="6"/>
            <w:tcBorders/>
            <w:vAlign w:val="center"/>
          </w:tcPr>
          <w:p>
            <w:pPr>
              <w:pStyle w:val="TableContents"/>
              <w:bidi w:val="0"/>
              <w:spacing w:before="0" w:after="283"/>
              <w:jc w:val="center"/>
              <w:rPr>
                <w:b/>
              </w:rPr>
            </w:pPr>
            <w:r>
              <w:rPr>
                <w:b/>
              </w:rPr>
              <w:t>Six Months Ended</w:t>
              <w:br/>
              <w:t>July 31,</w:t>
            </w:r>
          </w:p>
        </w:tc>
      </w:tr>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2"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r>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r>
      <w:tr>
        <w:trPr/>
        <w:tc>
          <w:tcPr>
            <w:tcW w:w="4520" w:type="dxa"/>
            <w:tcBorders/>
            <w:shd w:fill="E5FFFF" w:val="clear"/>
            <w:vAlign w:val="center"/>
          </w:tcPr>
          <w:p>
            <w:pPr>
              <w:pStyle w:val="TableContents"/>
              <w:bidi w:val="0"/>
              <w:spacing w:before="0" w:after="283"/>
              <w:jc w:val="left"/>
              <w:rPr/>
            </w:pPr>
            <w:r>
              <w:rPr/>
              <w:t>Unrecognized tax benefits, beginning of period</w:t>
            </w:r>
          </w:p>
        </w:tc>
        <w:tc>
          <w:tcPr>
            <w:tcW w:w="90" w:type="dxa"/>
            <w:tcBorders/>
            <w:shd w:fill="E5FFFF" w:val="clear"/>
            <w:vAlign w:val="center"/>
          </w:tcPr>
          <w:p>
            <w:pPr>
              <w:pStyle w:val="TableContents"/>
              <w:bidi w:val="0"/>
              <w:spacing w:before="0" w:after="283"/>
              <w:jc w:val="left"/>
              <w:rPr/>
            </w:pPr>
            <w:r>
              <w:rPr/>
              <w:t> </w:t>
            </w:r>
          </w:p>
        </w:tc>
        <w:tc>
          <w:tcPr>
            <w:tcW w:w="200" w:type="dxa"/>
            <w:tcBorders/>
            <w:shd w:fill="E5FFFF" w:val="clear"/>
            <w:vAlign w:val="center"/>
          </w:tcPr>
          <w:p>
            <w:pPr>
              <w:pStyle w:val="TableContents"/>
              <w:bidi w:val="0"/>
              <w:spacing w:before="0" w:after="283"/>
              <w:jc w:val="left"/>
              <w:rPr/>
            </w:pPr>
            <w:r>
              <w:rPr/>
              <w:t>$</w:t>
            </w:r>
          </w:p>
        </w:tc>
        <w:tc>
          <w:tcPr>
            <w:tcW w:w="482" w:type="dxa"/>
            <w:tcBorders/>
            <w:shd w:fill="E5FFFF" w:val="clear"/>
            <w:vAlign w:val="center"/>
          </w:tcPr>
          <w:p>
            <w:pPr>
              <w:pStyle w:val="TableContents"/>
              <w:bidi w:val="0"/>
              <w:spacing w:before="0" w:after="283"/>
              <w:jc w:val="right"/>
              <w:rPr/>
            </w:pPr>
            <w:r>
              <w:rPr/>
              <w:t>383</w:t>
            </w:r>
          </w:p>
        </w:tc>
        <w:tc>
          <w:tcPr>
            <w:tcW w:w="106" w:type="dxa"/>
            <w:tcBorders/>
            <w:shd w:fill="E5FFFF" w:val="clear"/>
            <w:vAlign w:val="center"/>
          </w:tcPr>
          <w:p>
            <w:pPr>
              <w:pStyle w:val="TableContents"/>
              <w:bidi w:val="0"/>
              <w:spacing w:before="0" w:after="283"/>
              <w:jc w:val="left"/>
              <w:rPr/>
            </w:pPr>
            <w:r>
              <w:rPr/>
              <w:t> </w:t>
            </w:r>
          </w:p>
        </w:tc>
        <w:tc>
          <w:tcPr>
            <w:tcW w:w="106" w:type="dxa"/>
            <w:tcBorders/>
            <w:shd w:fill="E5FFFF" w:val="clear"/>
            <w:vAlign w:val="center"/>
          </w:tcPr>
          <w:p>
            <w:pPr>
              <w:pStyle w:val="TableContents"/>
              <w:bidi w:val="0"/>
              <w:spacing w:before="0" w:after="283"/>
              <w:jc w:val="left"/>
              <w:rPr/>
            </w:pPr>
            <w:r>
              <w:rPr/>
              <w:t> </w:t>
            </w:r>
          </w:p>
        </w:tc>
        <w:tc>
          <w:tcPr>
            <w:tcW w:w="200" w:type="dxa"/>
            <w:tcBorders/>
            <w:shd w:fill="E5FFFF" w:val="clear"/>
            <w:vAlign w:val="center"/>
          </w:tcPr>
          <w:p>
            <w:pPr>
              <w:pStyle w:val="TableContents"/>
              <w:bidi w:val="0"/>
              <w:spacing w:before="0" w:after="283"/>
              <w:jc w:val="left"/>
              <w:rPr/>
            </w:pPr>
            <w:r>
              <w:rPr/>
              <w:t>$</w:t>
            </w:r>
          </w:p>
        </w:tc>
        <w:tc>
          <w:tcPr>
            <w:tcW w:w="891" w:type="dxa"/>
            <w:tcBorders/>
            <w:shd w:fill="E5FFFF" w:val="clear"/>
            <w:vAlign w:val="center"/>
          </w:tcPr>
          <w:p>
            <w:pPr>
              <w:pStyle w:val="TableContents"/>
              <w:bidi w:val="0"/>
              <w:spacing w:before="0" w:after="283"/>
              <w:jc w:val="right"/>
              <w:rPr/>
            </w:pPr>
            <w:r>
              <w:rPr/>
              <w:t>18,978</w:t>
            </w:r>
          </w:p>
        </w:tc>
      </w:tr>
      <w:tr>
        <w:trPr/>
        <w:tc>
          <w:tcPr>
            <w:tcW w:w="4520" w:type="dxa"/>
            <w:tcBorders/>
            <w:vAlign w:val="center"/>
          </w:tcPr>
          <w:p>
            <w:pPr>
              <w:pStyle w:val="TableContents"/>
              <w:bidi w:val="0"/>
              <w:spacing w:before="0" w:after="283"/>
              <w:jc w:val="left"/>
              <w:rPr/>
            </w:pPr>
            <w:r>
              <w:rPr/>
              <w:t>Changes for prior years’ tax positions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13</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13</w:t>
            </w:r>
          </w:p>
        </w:tc>
      </w:tr>
      <w:tr>
        <w:trPr/>
        <w:tc>
          <w:tcPr>
            <w:tcW w:w="4520" w:type="dxa"/>
            <w:tcBorders/>
            <w:shd w:fill="E5FFFF" w:val="clear"/>
            <w:vAlign w:val="center"/>
          </w:tcPr>
          <w:p>
            <w:pPr>
              <w:pStyle w:val="TableContents"/>
              <w:bidi w:val="0"/>
              <w:spacing w:before="0" w:after="283"/>
              <w:jc w:val="left"/>
              <w:rPr/>
            </w:pPr>
            <w:r>
              <w:rPr/>
              <w:t>Changes for current year tax positions</w:t>
            </w:r>
          </w:p>
        </w:tc>
        <w:tc>
          <w:tcPr>
            <w:tcW w:w="90" w:type="dxa"/>
            <w:tcBorders/>
            <w:shd w:fill="E5FFFF" w:val="clear"/>
            <w:vAlign w:val="center"/>
          </w:tcPr>
          <w:p>
            <w:pPr>
              <w:pStyle w:val="TableContents"/>
              <w:bidi w:val="0"/>
              <w:spacing w:before="0" w:after="283"/>
              <w:jc w:val="left"/>
              <w:rPr/>
            </w:pPr>
            <w:r>
              <w:rPr/>
              <w:t> </w:t>
            </w:r>
          </w:p>
        </w:tc>
        <w:tc>
          <w:tcPr>
            <w:tcW w:w="20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482"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106" w:type="dxa"/>
            <w:tcBorders/>
            <w:shd w:fill="E5FFFF" w:val="clear"/>
            <w:vAlign w:val="center"/>
          </w:tcPr>
          <w:p>
            <w:pPr>
              <w:pStyle w:val="TableContents"/>
              <w:bidi w:val="0"/>
              <w:spacing w:before="0" w:after="283"/>
              <w:jc w:val="left"/>
              <w:rPr/>
            </w:pPr>
            <w:r>
              <w:rPr/>
              <w:t> </w:t>
            </w:r>
          </w:p>
        </w:tc>
        <w:tc>
          <w:tcPr>
            <w:tcW w:w="106" w:type="dxa"/>
            <w:tcBorders/>
            <w:shd w:fill="E5FFFF" w:val="clear"/>
            <w:vAlign w:val="center"/>
          </w:tcPr>
          <w:p>
            <w:pPr>
              <w:pStyle w:val="TableContents"/>
              <w:bidi w:val="0"/>
              <w:spacing w:before="0" w:after="283"/>
              <w:jc w:val="left"/>
              <w:rPr/>
            </w:pPr>
            <w:r>
              <w:rPr/>
              <w:t> </w:t>
            </w:r>
          </w:p>
        </w:tc>
        <w:tc>
          <w:tcPr>
            <w:tcW w:w="20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91"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r>
      <w:tr>
        <w:trPr/>
        <w:tc>
          <w:tcPr>
            <w:tcW w:w="4520" w:type="dxa"/>
            <w:tcBorders/>
            <w:vAlign w:val="center"/>
          </w:tcPr>
          <w:p>
            <w:pPr>
              <w:pStyle w:val="TableContents"/>
              <w:bidi w:val="0"/>
              <w:spacing w:before="0" w:after="283"/>
              <w:jc w:val="left"/>
              <w:rPr/>
            </w:pPr>
            <w:r>
              <w:rPr/>
              <w:t>Unrecognized tax benefits, end of period</w:t>
            </w:r>
          </w:p>
        </w:tc>
        <w:tc>
          <w:tcPr>
            <w:tcW w:w="90" w:type="dxa"/>
            <w:tcBorders/>
            <w:vAlign w:val="center"/>
          </w:tcPr>
          <w:p>
            <w:pPr>
              <w:pStyle w:val="TableContents"/>
              <w:bidi w:val="0"/>
              <w:spacing w:before="0" w:after="283"/>
              <w:jc w:val="left"/>
              <w:rPr/>
            </w:pPr>
            <w:r>
              <w:rPr/>
              <w:t> </w:t>
            </w:r>
          </w:p>
        </w:tc>
        <w:tc>
          <w:tcPr>
            <w:tcW w:w="200" w:type="dxa"/>
            <w:tcBorders>
              <w:bottom w:val="double" w:sz="6" w:space="0" w:color="000000"/>
            </w:tcBorders>
            <w:tcMar>
              <w:bottom w:w="28" w:type="dxa"/>
            </w:tcMar>
            <w:vAlign w:val="center"/>
          </w:tcPr>
          <w:p>
            <w:pPr>
              <w:pStyle w:val="TableContents"/>
              <w:bidi w:val="0"/>
              <w:spacing w:before="0" w:after="283"/>
              <w:jc w:val="left"/>
              <w:rPr/>
            </w:pPr>
            <w:r>
              <w:rPr/>
              <w:t>$</w:t>
            </w:r>
          </w:p>
        </w:tc>
        <w:tc>
          <w:tcPr>
            <w:tcW w:w="482" w:type="dxa"/>
            <w:tcBorders>
              <w:bottom w:val="double" w:sz="6" w:space="0" w:color="000000"/>
            </w:tcBorders>
            <w:tcMar>
              <w:bottom w:w="28" w:type="dxa"/>
            </w:tcMar>
            <w:vAlign w:val="center"/>
          </w:tcPr>
          <w:p>
            <w:pPr>
              <w:pStyle w:val="TableContents"/>
              <w:bidi w:val="0"/>
              <w:spacing w:before="0" w:after="283"/>
              <w:jc w:val="right"/>
              <w:rPr/>
            </w:pPr>
            <w:r>
              <w:rPr/>
              <w:t>396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0" w:type="dxa"/>
            <w:tcBorders>
              <w:bottom w:val="double" w:sz="6" w:space="0" w:color="000000"/>
            </w:tcBorders>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tcMar>
              <w:bottom w:w="28" w:type="dxa"/>
            </w:tcMar>
            <w:vAlign w:val="center"/>
          </w:tcPr>
          <w:p>
            <w:pPr>
              <w:pStyle w:val="TableContents"/>
              <w:bidi w:val="0"/>
              <w:spacing w:before="0" w:after="283"/>
              <w:jc w:val="right"/>
              <w:rPr/>
            </w:pPr>
            <w:r>
              <w:rPr/>
              <w:t>18,991</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and January 31, 2026 the unrecognized tax benefits were included within the following lines on the accompanying Consolidated Balance Sheets (amounts in thousands):</w:t>
      </w:r>
    </w:p>
    <w:p>
      <w:pPr>
        <w:pStyle w:val="TextBody"/>
        <w:bidi w:val="0"/>
        <w:jc w:val="left"/>
        <w:rPr>
          <w:caps w:val="false"/>
          <w:smallCaps w:val="false"/>
        </w:rPr>
      </w:pPr>
      <w:r>
        <w:rPr>
          <w:caps w:val="false"/>
          <w:smallCaps w:val="false"/>
        </w:rPr>
        <w:t> </w:t>
      </w:r>
    </w:p>
    <w:tbl>
      <w:tblPr>
        <w:tblW w:w="6503" w:type="dxa"/>
        <w:jc w:val="left"/>
        <w:tblInd w:w="0" w:type="dxa"/>
        <w:tblLayout w:type="fixed"/>
        <w:tblCellMar>
          <w:top w:w="0" w:type="dxa"/>
          <w:left w:w="0" w:type="dxa"/>
          <w:bottom w:w="0" w:type="dxa"/>
          <w:right w:w="0" w:type="dxa"/>
        </w:tblCellMar>
      </w:tblPr>
      <w:tblGrid>
        <w:gridCol w:w="3920"/>
        <w:gridCol w:w="90"/>
        <w:gridCol w:w="247"/>
        <w:gridCol w:w="597"/>
        <w:gridCol w:w="125"/>
        <w:gridCol w:w="90"/>
        <w:gridCol w:w="370"/>
        <w:gridCol w:w="894"/>
        <w:gridCol w:w="170"/>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w:t>
              <w:br/>
              <w:t>2026</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920" w:type="dxa"/>
            <w:tcBorders/>
            <w:shd w:fill="E5FFFF" w:val="clear"/>
            <w:vAlign w:val="center"/>
          </w:tcPr>
          <w:p>
            <w:pPr>
              <w:pStyle w:val="TableContents"/>
              <w:bidi w:val="0"/>
              <w:spacing w:before="0" w:after="283"/>
              <w:jc w:val="left"/>
              <w:rPr/>
            </w:pPr>
            <w:r>
              <w:rPr/>
              <w:t>Refundable income taxes</w:t>
            </w:r>
          </w:p>
        </w:tc>
        <w:tc>
          <w:tcPr>
            <w:tcW w:w="90" w:type="dxa"/>
            <w:tcBorders/>
            <w:shd w:fill="E5FFFF" w:val="clear"/>
            <w:vAlign w:val="center"/>
          </w:tcPr>
          <w:p>
            <w:pPr>
              <w:pStyle w:val="TableContents"/>
              <w:bidi w:val="0"/>
              <w:spacing w:before="0" w:after="283"/>
              <w:jc w:val="left"/>
              <w:rPr/>
            </w:pPr>
            <w:r>
              <w:rPr/>
              <w:t> </w:t>
            </w:r>
          </w:p>
        </w:tc>
        <w:tc>
          <w:tcPr>
            <w:tcW w:w="247" w:type="dxa"/>
            <w:tcBorders/>
            <w:shd w:fill="E5FFFF" w:val="clear"/>
            <w:vAlign w:val="center"/>
          </w:tcPr>
          <w:p>
            <w:pPr>
              <w:pStyle w:val="TableContents"/>
              <w:bidi w:val="0"/>
              <w:spacing w:before="0" w:after="283"/>
              <w:jc w:val="left"/>
              <w:rPr/>
            </w:pPr>
            <w:r>
              <w:rPr/>
              <w:t>$</w:t>
            </w:r>
          </w:p>
        </w:tc>
        <w:tc>
          <w:tcPr>
            <w:tcW w:w="597" w:type="dxa"/>
            <w:tcBorders/>
            <w:shd w:fill="E5FFFF" w:val="clear"/>
            <w:vAlign w:val="center"/>
          </w:tcPr>
          <w:p>
            <w:pPr>
              <w:pStyle w:val="TableContents"/>
              <w:bidi w:val="0"/>
              <w:spacing w:before="0" w:after="283"/>
              <w:jc w:val="right"/>
              <w:rPr/>
            </w:pPr>
            <w:r>
              <w:rPr/>
              <w:t>(88</w:t>
            </w:r>
          </w:p>
        </w:tc>
        <w:tc>
          <w:tcPr>
            <w:tcW w:w="125" w:type="dxa"/>
            <w:tcBorders/>
            <w:shd w:fill="E5FFFF" w:val="cle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370" w:type="dxa"/>
            <w:tcBorders/>
            <w:shd w:fill="E5FFFF" w:val="clear"/>
            <w:vAlign w:val="center"/>
          </w:tcPr>
          <w:p>
            <w:pPr>
              <w:pStyle w:val="TableContents"/>
              <w:bidi w:val="0"/>
              <w:spacing w:before="0" w:after="283"/>
              <w:jc w:val="left"/>
              <w:rPr/>
            </w:pPr>
            <w:r>
              <w:rPr/>
              <w:t>$</w:t>
            </w:r>
          </w:p>
        </w:tc>
        <w:tc>
          <w:tcPr>
            <w:tcW w:w="894" w:type="dxa"/>
            <w:tcBorders/>
            <w:shd w:fill="E5FFFF" w:val="clear"/>
            <w:vAlign w:val="center"/>
          </w:tcPr>
          <w:p>
            <w:pPr>
              <w:pStyle w:val="TableContents"/>
              <w:bidi w:val="0"/>
              <w:spacing w:before="0" w:after="283"/>
              <w:jc w:val="right"/>
              <w:rPr/>
            </w:pPr>
            <w:r>
              <w:rPr/>
              <w:t>(88</w:t>
            </w:r>
          </w:p>
        </w:tc>
        <w:tc>
          <w:tcPr>
            <w:tcW w:w="170" w:type="dxa"/>
            <w:tcBorders/>
            <w:shd w:fill="E5FF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247" w:type="dxa"/>
            <w:tcBorders>
              <w:bottom w:val="single" w:sz="2" w:space="0" w:color="000000"/>
            </w:tcBorders>
            <w:tcMar>
              <w:bottom w:w="28" w:type="dxa"/>
            </w:tcMar>
            <w:vAlign w:val="center"/>
          </w:tcPr>
          <w:p>
            <w:pPr>
              <w:pStyle w:val="TableContents"/>
              <w:bidi w:val="0"/>
              <w:spacing w:before="0" w:after="283"/>
              <w:jc w:val="left"/>
              <w:rPr/>
            </w:pPr>
            <w:r>
              <w:rPr/>
              <w:t> </w:t>
            </w:r>
          </w:p>
        </w:tc>
        <w:tc>
          <w:tcPr>
            <w:tcW w:w="597" w:type="dxa"/>
            <w:tcBorders>
              <w:bottom w:val="single" w:sz="2" w:space="0" w:color="000000"/>
            </w:tcBorders>
            <w:tcMar>
              <w:bottom w:w="28" w:type="dxa"/>
            </w:tcMar>
            <w:vAlign w:val="center"/>
          </w:tcPr>
          <w:p>
            <w:pPr>
              <w:pStyle w:val="TableContents"/>
              <w:bidi w:val="0"/>
              <w:spacing w:before="0" w:after="283"/>
              <w:jc w:val="right"/>
              <w:rPr/>
            </w:pPr>
            <w:r>
              <w:rPr/>
              <w:t>484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bottom w:val="single" w:sz="2" w:space="0" w:color="000000"/>
            </w:tcBorders>
            <w:tcMar>
              <w:bottom w:w="28" w:type="dxa"/>
            </w:tcMar>
            <w:vAlign w:val="center"/>
          </w:tcPr>
          <w:p>
            <w:pPr>
              <w:pStyle w:val="TableContents"/>
              <w:bidi w:val="0"/>
              <w:spacing w:before="0" w:after="283"/>
              <w:jc w:val="left"/>
              <w:rPr/>
            </w:pPr>
            <w:r>
              <w:rPr/>
              <w:t> </w:t>
            </w:r>
          </w:p>
        </w:tc>
        <w:tc>
          <w:tcPr>
            <w:tcW w:w="894" w:type="dxa"/>
            <w:tcBorders>
              <w:bottom w:val="single" w:sz="2" w:space="0" w:color="000000"/>
            </w:tcBorders>
            <w:tcMar>
              <w:bottom w:w="28" w:type="dxa"/>
            </w:tcMar>
            <w:vAlign w:val="center"/>
          </w:tcPr>
          <w:p>
            <w:pPr>
              <w:pStyle w:val="TableContents"/>
              <w:bidi w:val="0"/>
              <w:spacing w:before="0" w:after="283"/>
              <w:jc w:val="right"/>
              <w:rPr/>
            </w:pPr>
            <w:r>
              <w:rPr/>
              <w:t>471</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20" w:type="dxa"/>
            <w:tcBorders/>
            <w:shd w:fill="E5FFFF" w:val="clear"/>
            <w:vAlign w:val="center"/>
          </w:tcPr>
          <w:p>
            <w:pPr>
              <w:pStyle w:val="TableContents"/>
              <w:bidi w:val="0"/>
              <w:spacing w:before="0" w:after="283"/>
              <w:jc w:val="left"/>
              <w:rPr/>
            </w:pPr>
            <w:r>
              <w:rPr/>
              <w:t>Unrecognized tax benefits, end of period</w:t>
            </w:r>
          </w:p>
        </w:tc>
        <w:tc>
          <w:tcPr>
            <w:tcW w:w="90" w:type="dxa"/>
            <w:tcBorders/>
            <w:shd w:fill="E5FFFF" w:val="clear"/>
            <w:vAlign w:val="center"/>
          </w:tcPr>
          <w:p>
            <w:pPr>
              <w:pStyle w:val="TableContents"/>
              <w:bidi w:val="0"/>
              <w:spacing w:before="0" w:after="283"/>
              <w:jc w:val="left"/>
              <w:rPr/>
            </w:pPr>
            <w:r>
              <w:rPr/>
              <w:t> </w:t>
            </w:r>
          </w:p>
        </w:tc>
        <w:tc>
          <w:tcPr>
            <w:tcW w:w="247"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97" w:type="dxa"/>
            <w:tcBorders>
              <w:bottom w:val="double" w:sz="6" w:space="0" w:color="000000"/>
            </w:tcBorders>
            <w:shd w:fill="E5FFFF" w:val="clear"/>
            <w:tcMar>
              <w:bottom w:w="28" w:type="dxa"/>
            </w:tcMar>
            <w:vAlign w:val="center"/>
          </w:tcPr>
          <w:p>
            <w:pPr>
              <w:pStyle w:val="TableContents"/>
              <w:bidi w:val="0"/>
              <w:spacing w:before="0" w:after="283"/>
              <w:jc w:val="right"/>
              <w:rPr/>
            </w:pPr>
            <w:r>
              <w:rPr/>
              <w:t>396</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3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94" w:type="dxa"/>
            <w:tcBorders>
              <w:bottom w:val="double" w:sz="6" w:space="0" w:color="000000"/>
            </w:tcBorders>
            <w:shd w:fill="E5FFFF" w:val="clear"/>
            <w:tcMar>
              <w:bottom w:w="28" w:type="dxa"/>
            </w:tcMar>
            <w:vAlign w:val="center"/>
          </w:tcPr>
          <w:p>
            <w:pPr>
              <w:pStyle w:val="TableContents"/>
              <w:bidi w:val="0"/>
              <w:spacing w:before="0" w:after="283"/>
              <w:jc w:val="right"/>
              <w:rPr/>
            </w:pPr>
            <w:r>
              <w:rPr/>
              <w:t>383</w:t>
            </w:r>
          </w:p>
        </w:tc>
        <w:tc>
          <w:tcPr>
            <w:tcW w:w="170" w:type="dxa"/>
            <w:tcBorders/>
            <w:shd w:fill="E5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13. </w:t>
      </w:r>
      <w:r>
        <w:rPr>
          <w:rFonts w:ascii="Times New Roman;Times;Serif" w:hAnsi="Times New Roman;Times;Serif"/>
          <w:b/>
          <w:i/>
          <w:caps w:val="false"/>
          <w:smallCaps w:val="false"/>
          <w:sz w:val="24"/>
        </w:rPr>
        <w:t>Commitments and Contingencies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may be involved in various legal actions arising in the normal course of business, from time to time. After taking into consideration legal counsel’s evaluations of any such action(s),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27 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management is of the opinion that their outcome will not have a material adverse effect on the Company’s Consolidated Financial Statements. There were no material liabilities recorded for legal actions at July 31, 2026 as the Company did not believe that there was a probable and reasonably estimable significant loss associated with any legal contingencies.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One Earth and NuGen had combined forward purchase contracts for approximately 15.6 million bushels of corn, the principal raw material for their ethanol plants, and they had combined forward purchase contracts for approximately 1.7 million MmBtu (million British thermal unit) of natural gas.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One Earth and NuGen had combined sales commitments for approximately 51.7 million gallons of ethanol, approximately 106,400 tons of distillers grains and approximately 19.7 million pounds of distillers corn oil.</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One Earth entered into a 15-year agreement, effective February 1, 2019, with an unrelated party for the use of a portion of that party’s natural gas pipeline, with monthly payments of $29,250. One Earth paid approximately $88,000 in the three month periods ended July 31, 2026 and 2025 and $176,000 in the six month periods ended July 31, 2026 and 2025, pursuant to the agreement.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One Earth had signed non-cancelable contracts for capital projects with approximately $6.0 million remaining in future payments.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14. </w:t>
      </w:r>
      <w:r>
        <w:rPr>
          <w:rFonts w:ascii="Times New Roman;Times;Serif" w:hAnsi="Times New Roman;Times;Serif"/>
          <w:b/>
          <w:i/>
          <w:caps w:val="false"/>
          <w:smallCaps w:val="false"/>
          <w:sz w:val="24"/>
        </w:rPr>
        <w:t>Related-Party Transactions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During the second quarter of fiscal years 2026 and 2025, One Earth and NuGen purchased approximately $21.2 million and $29.0 million, respectively, of corn (and other supplies) from minority equity investors and board members of those affiliates. Such purchases totaled approximately $40.1 million and $53.9 million for the six months ended July 31, 2026 and 2025, respectively. The Company had amounts payable to related parties of approximately $1.0 million and $1.2 million at July 31, 2026 and January 31, 2026, respectively.</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28 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Note 15. </w:t>
      </w:r>
      <w:r>
        <w:rPr>
          <w:rFonts w:ascii="Times New Roman;Times;Serif" w:hAnsi="Times New Roman;Times;Serif"/>
          <w:b/>
          <w:i/>
          <w:caps w:val="false"/>
          <w:smallCaps w:val="false"/>
          <w:sz w:val="24"/>
        </w:rPr>
        <w:t>Segment Reporting</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has one reportable segment, ethanol and by-products. Within the ethanol and by-products segment, the Company has equity investments in three ethanol limited liability companies, two of which are majority ownership interests and are consolidated in the financial statements presented.</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members of the Executive Committee, consisting of the Executive Chairman of the Board and the Chief Executive Officer, are the Company’s chief operating decision maker. The chief operating decision maker uses net income generated from operating segments in determining the allocation of resources and making assessment of Company performance.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applying the criteria set forth in ASC 280, the Company determined that based on the nature of the products and production process and the expected financial results, the Company’s operations at its ethanol plants are aggregated into one reporting segment, each of which is reviewed in the same manner by the chief operating decision maker. Aggregation into one reporting segment is appropriate based upon the similarity of economic characteristics of the operating segments, including the markets for identical revenue sources and the primary input, corn. The plants in all locations operate in a similar manner to produce ethanol and by-products. The types of customers and how the products are distributed to the customers are similar across each operating entity, consisting of a combination of rail and truck shipments. Finally, the regulatory environment is largely impacted by guidance from the federal level, impacting each operating segment the same.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measure of segment assets is reported on the balance sheet as total consolidated assets.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29 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tables set forth certain financial data for the Company’s reportable segment for the three and six month periods ended July 31, 2026 and 2025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0"/>
        <w:gridCol w:w="90"/>
        <w:gridCol w:w="170"/>
        <w:gridCol w:w="905"/>
        <w:gridCol w:w="125"/>
        <w:gridCol w:w="90"/>
        <w:gridCol w:w="170"/>
        <w:gridCol w:w="905"/>
        <w:gridCol w:w="125"/>
        <w:gridCol w:w="90"/>
        <w:gridCol w:w="170"/>
        <w:gridCol w:w="905"/>
        <w:gridCol w:w="125"/>
        <w:gridCol w:w="90"/>
        <w:gridCol w:w="170"/>
        <w:gridCol w:w="905"/>
        <w:gridCol w:w="170"/>
      </w:tblGrid>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vAlign w:val="center"/>
          </w:tcPr>
          <w:p>
            <w:pPr>
              <w:pStyle w:val="TableContents"/>
              <w:bidi w:val="0"/>
              <w:spacing w:before="0" w:after="283"/>
              <w:jc w:val="center"/>
              <w:rPr>
                <w:b/>
              </w:rPr>
            </w:pPr>
            <w:r>
              <w:rPr>
                <w:b/>
              </w:rPr>
              <w:t>Three Months Ended</w:t>
              <w:br/>
              <w:t>July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vAlign w:val="center"/>
          </w:tcPr>
          <w:p>
            <w:pPr>
              <w:pStyle w:val="TableContents"/>
              <w:bidi w:val="0"/>
              <w:spacing w:before="0" w:after="283"/>
              <w:jc w:val="center"/>
              <w:rPr>
                <w:b/>
              </w:rPr>
            </w:pPr>
            <w:r>
              <w:rPr>
                <w:b/>
              </w:rPr>
              <w:t>Six Months Ended</w:t>
              <w:br/>
              <w:t>July 31,</w:t>
            </w:r>
          </w:p>
        </w:tc>
        <w:tc>
          <w:tcPr>
            <w:tcW w:w="17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Net sales and revenue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70" w:type="dxa"/>
            <w:tcBorders/>
            <w:shd w:fill="E5FF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Ethanol and by-products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501,789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388,439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927,998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819,082</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Reconciling Item: Equity method ethanol investment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(333,296</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(229,876</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(603,006</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(502,179</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Total consolidated net sales and revenue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168,493</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158,563</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324,992</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316,903</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Production tax credit income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70" w:type="dxa"/>
            <w:tcBorders/>
            <w:shd w:fill="E5FF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Ethanol and by-products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38,737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66,178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Reconciling Item: Equity method ethanol investment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(20,327</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(40,219</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Total consolidated production tax credit income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18,410</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25,959</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Cost of sales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70" w:type="dxa"/>
            <w:tcBorders/>
            <w:shd w:fill="E5FF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Ethanol and by-products: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Cost of corn</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905" w:type="dxa"/>
            <w:tcBorders/>
            <w:shd w:fill="E5FFFF" w:val="clear"/>
            <w:vAlign w:val="center"/>
          </w:tcPr>
          <w:p>
            <w:pPr>
              <w:pStyle w:val="TableContents"/>
              <w:bidi w:val="0"/>
              <w:spacing w:before="0" w:after="283"/>
              <w:jc w:val="right"/>
              <w:rPr/>
            </w:pPr>
            <w:r>
              <w:rPr/>
              <w:t>293,021</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905" w:type="dxa"/>
            <w:tcBorders/>
            <w:shd w:fill="E5FFFF" w:val="clear"/>
            <w:vAlign w:val="center"/>
          </w:tcPr>
          <w:p>
            <w:pPr>
              <w:pStyle w:val="TableContents"/>
              <w:bidi w:val="0"/>
              <w:spacing w:before="0" w:after="283"/>
              <w:jc w:val="right"/>
              <w:rPr/>
            </w:pPr>
            <w:r>
              <w:rPr/>
              <w:t>253,382</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905" w:type="dxa"/>
            <w:tcBorders/>
            <w:shd w:fill="E5FFFF" w:val="clear"/>
            <w:vAlign w:val="center"/>
          </w:tcPr>
          <w:p>
            <w:pPr>
              <w:pStyle w:val="TableContents"/>
              <w:bidi w:val="0"/>
              <w:spacing w:before="0" w:after="283"/>
              <w:jc w:val="right"/>
              <w:rPr/>
            </w:pPr>
            <w:r>
              <w:rPr/>
              <w:t>557,620</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905" w:type="dxa"/>
            <w:tcBorders/>
            <w:shd w:fill="E5FFFF" w:val="clear"/>
            <w:vAlign w:val="center"/>
          </w:tcPr>
          <w:p>
            <w:pPr>
              <w:pStyle w:val="TableContents"/>
              <w:bidi w:val="0"/>
              <w:spacing w:before="0" w:after="283"/>
              <w:jc w:val="right"/>
              <w:rPr/>
            </w:pPr>
            <w:r>
              <w:rPr/>
              <w:t>533,747</w:t>
            </w:r>
          </w:p>
        </w:tc>
        <w:tc>
          <w:tcPr>
            <w:tcW w:w="170" w:type="dxa"/>
            <w:tcBorders/>
            <w:shd w:fill="E5FF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Other cost of sales (1)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111,504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107,500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226,379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229,186</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Reconciling Item: Equity method ethanol investment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(270,922</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(216,638</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(515,419</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(474,691</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Total cost of sales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133,603</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144,244</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268,580</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288,242</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Gross profit</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70" w:type="dxa"/>
            <w:tcBorders/>
            <w:shd w:fill="E5FF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Ethanol and by-products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136,001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27,557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210,177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56,149</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Reconciling Item: Equity method ethanol investment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(82,701</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(13,238</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(127,806</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(27,488</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Total consolidated gross profit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53,300</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14,319</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82,371</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28,661</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Depreciation and amortization expense</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70" w:type="dxa"/>
            <w:tcBorders/>
            <w:shd w:fill="E5FF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Ethanol and by-products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13,282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11,724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26,478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21,963</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Reconciling Item: Equity method ethanol investment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(6,642</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(5,970</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(13,128</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(11,190</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Total consolidated depreciation and amortization expense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6,640</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5,754</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13,350</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10,773</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Income before taxes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25"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905" w:type="dxa"/>
            <w:tcBorders/>
            <w:shd w:fill="E5FFFF" w:val="clear"/>
            <w:vAlign w:val="center"/>
          </w:tcPr>
          <w:p>
            <w:pPr>
              <w:pStyle w:val="TableContents"/>
              <w:bidi w:val="0"/>
              <w:spacing w:before="0" w:after="283"/>
              <w:jc w:val="right"/>
              <w:rPr/>
            </w:pPr>
            <w:r>
              <w:rPr/>
              <w:t> </w:t>
            </w:r>
          </w:p>
        </w:tc>
        <w:tc>
          <w:tcPr>
            <w:tcW w:w="170" w:type="dxa"/>
            <w:tcBorders/>
            <w:shd w:fill="E5FF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Ethanol and by-products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125,899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21,417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194,701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46,779</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Reconciling Item: Equity method ethanol investment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(77,781</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(9,320</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(120,468</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(21,056</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Total consolidated income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48,118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12,097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74,233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25,723</w:t>
            </w:r>
          </w:p>
        </w:tc>
        <w:tc>
          <w:tcPr>
            <w:tcW w:w="170" w:type="dxa"/>
            <w:tcBorders/>
            <w:vAlign w:val="center"/>
          </w:tcPr>
          <w:p>
            <w:pPr>
              <w:pStyle w:val="TableContents"/>
              <w:bidi w:val="0"/>
              <w:spacing w:before="0" w:after="283"/>
              <w:jc w:val="left"/>
              <w:rPr/>
            </w:pPr>
            <w:r>
              <w:rPr/>
              <w:t> </w:t>
            </w:r>
          </w:p>
        </w:tc>
      </w:tr>
      <w:tr>
        <w:trPr/>
        <w:tc>
          <w:tcPr>
            <w:tcW w:w="5000" w:type="dxa"/>
            <w:tcBorders/>
            <w:shd w:fill="E5FFFF" w:val="clear"/>
            <w:vAlign w:val="center"/>
          </w:tcPr>
          <w:p>
            <w:pPr>
              <w:pStyle w:val="TableContents"/>
              <w:bidi w:val="0"/>
              <w:spacing w:before="0" w:after="283"/>
              <w:jc w:val="left"/>
              <w:rPr/>
            </w:pPr>
            <w:r>
              <w:rPr/>
              <w:t>Provision for income taxes</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(7,472</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(2,769</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(11,909</w:t>
            </w:r>
          </w:p>
        </w:tc>
        <w:tc>
          <w:tcPr>
            <w:tcW w:w="125"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E5FFFF" w:val="clear"/>
            <w:tcMar>
              <w:bottom w:w="28" w:type="dxa"/>
            </w:tcMar>
            <w:vAlign w:val="center"/>
          </w:tcPr>
          <w:p>
            <w:pPr>
              <w:pStyle w:val="TableContents"/>
              <w:bidi w:val="0"/>
              <w:spacing w:before="0" w:after="283"/>
              <w:jc w:val="right"/>
              <w:rPr/>
            </w:pPr>
            <w:r>
              <w:rPr/>
              <w:t>(5,723</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Total consolidated net income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40,646</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9,328</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62,324</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20,000</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6"/>
        <w:gridCol w:w="9834"/>
      </w:tblGrid>
      <w:tr>
        <w:trPr/>
        <w:tc>
          <w:tcPr>
            <w:tcW w:w="10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(1)</w:t>
            </w:r>
          </w:p>
        </w:tc>
        <w:tc>
          <w:tcPr>
            <w:tcW w:w="9834" w:type="dxa"/>
            <w:tcBorders/>
            <w:vAlign w:val="center"/>
          </w:tcPr>
          <w:p>
            <w:pPr>
              <w:pStyle w:val="TableContents"/>
              <w:bidi w:val="0"/>
              <w:spacing w:before="0" w:after="283"/>
              <w:jc w:val="left"/>
              <w:rPr/>
            </w:pPr>
            <w:r>
              <w:rPr/>
              <w:t>Expenses within “Other cost of sales” consist primarily of depreciation, other raw materials, third-party freight charges, purchasing and receiving costs, inspection costs, other distribution expenses, warehousing costs, plant repair and maintenance costs, production labor and related payroll costs, and general facility overhead charges.</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30 </w:t>
      </w:r>
    </w:p>
    <w:p>
      <w:pPr>
        <w:pStyle w:val="TextBody"/>
        <w:bidi w:val="0"/>
        <w:ind w:left="0" w:right="0" w:hanging="0"/>
        <w:jc w:val="left"/>
        <w:rPr>
          <w:rFonts w:ascii="Times New Roman;Times;Serif" w:hAnsi="Times New Roman;Times;Serif"/>
          <w:b/>
          <w:i w:val="false"/>
          <w:caps w:val="false"/>
          <w:smallCaps w:val="false"/>
          <w:sz w:val="24"/>
        </w:rPr>
      </w:pPr>
      <w:bookmarkStart w:id="9" w:name="x1_c117568a008"/>
      <w:bookmarkEnd w:id="9"/>
      <w:r>
        <w:rPr>
          <w:rFonts w:ascii="Times New Roman;Times;Serif" w:hAnsi="Times New Roman;Times;Serif"/>
          <w:b/>
          <w:i w:val="false"/>
          <w:caps w:val="false"/>
          <w:smallCaps w:val="false"/>
          <w:sz w:val="24"/>
        </w:rPr>
        <w:t xml:space="preserve">Item 2. </w:t>
      </w:r>
      <w:r>
        <w:rPr>
          <w:rFonts w:ascii="Times New Roman;Times;Serif" w:hAnsi="Times New Roman;Times;Serif"/>
          <w:b/>
          <w:i/>
          <w:caps w:val="false"/>
          <w:smallCaps w:val="false"/>
          <w:sz w:val="24"/>
        </w:rPr>
        <w:t>Management’s Discussion and Analysis of Financial Condition and Results of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Ethanol and By-Products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we had investments in three ethanol limited liability companies, in two of which we have a majority ownership interest. The following table is a summary of ethanol entity ownership interests at July 31, 2026:</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28" w:type="dxa"/>
          <w:left w:w="100" w:type="dxa"/>
          <w:bottom w:w="28" w:type="dxa"/>
          <w:right w:w="0" w:type="dxa"/>
        </w:tblCellMar>
      </w:tblPr>
      <w:tblGrid>
        <w:gridCol w:w="3980"/>
        <w:gridCol w:w="1790"/>
        <w:gridCol w:w="2060"/>
      </w:tblGrid>
      <w:tr>
        <w:trPr/>
        <w:tc>
          <w:tcPr>
            <w:tcW w:w="398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b/>
              </w:rPr>
            </w:pPr>
            <w:r>
              <w:rPr>
                <w:b/>
              </w:rPr>
              <w:t>Entity</w:t>
            </w:r>
          </w:p>
        </w:tc>
        <w:tc>
          <w:tcPr>
            <w:tcW w:w="1790" w:type="dxa"/>
            <w:tcBorders>
              <w:top w:val="single" w:sz="2" w:space="0" w:color="000000"/>
              <w:left w:val="single" w:sz="2" w:space="0" w:color="000000"/>
              <w:bottom w:val="single" w:sz="2" w:space="0" w:color="000000"/>
              <w:right w:val="single" w:sz="2" w:space="0" w:color="000000"/>
            </w:tcBorders>
            <w:tcMar>
              <w:left w:w="28" w:type="dxa"/>
              <w:right w:w="100" w:type="dxa"/>
            </w:tcMar>
            <w:vAlign w:val="center"/>
          </w:tcPr>
          <w:p>
            <w:pPr>
              <w:pStyle w:val="TableContents"/>
              <w:bidi w:val="0"/>
              <w:spacing w:before="0" w:after="283"/>
              <w:jc w:val="center"/>
              <w:rPr>
                <w:b/>
              </w:rPr>
            </w:pPr>
            <w:r>
              <w:rPr>
                <w:b/>
              </w:rPr>
              <w:t>Location</w:t>
            </w:r>
          </w:p>
        </w:tc>
        <w:tc>
          <w:tcPr>
            <w:tcW w:w="2060" w:type="dxa"/>
            <w:tcBorders>
              <w:top w:val="single" w:sz="2" w:space="0" w:color="000000"/>
              <w:bottom w:val="single" w:sz="2" w:space="0" w:color="000000"/>
              <w:right w:val="single" w:sz="2" w:space="0" w:color="000000"/>
            </w:tcBorders>
            <w:tcMar>
              <w:left w:w="0" w:type="dxa"/>
              <w:right w:w="100" w:type="dxa"/>
            </w:tcMar>
            <w:vAlign w:val="center"/>
          </w:tcPr>
          <w:p>
            <w:pPr>
              <w:pStyle w:val="TableContents"/>
              <w:bidi w:val="0"/>
              <w:spacing w:before="0" w:after="283"/>
              <w:jc w:val="center"/>
              <w:rPr>
                <w:b/>
              </w:rPr>
            </w:pPr>
            <w:r>
              <w:rPr>
                <w:b/>
              </w:rPr>
              <w:t>REX’s Current</w:t>
              <w:br/>
              <w:t>Ownership Interest</w:t>
            </w:r>
          </w:p>
        </w:tc>
      </w:tr>
      <w:tr>
        <w:trPr/>
        <w:tc>
          <w:tcPr>
            <w:tcW w:w="3980" w:type="dxa"/>
            <w:tcBorders>
              <w:left w:val="single" w:sz="2" w:space="0" w:color="000000"/>
            </w:tcBorders>
            <w:tcMar>
              <w:top w:w="0" w:type="dxa"/>
              <w:bottom w:w="0" w:type="dxa"/>
            </w:tcMar>
            <w:vAlign w:val="center"/>
          </w:tcPr>
          <w:p>
            <w:pPr>
              <w:pStyle w:val="TableContents"/>
              <w:bidi w:val="0"/>
              <w:spacing w:before="0" w:after="283"/>
              <w:jc w:val="left"/>
              <w:rPr/>
            </w:pPr>
            <w:r>
              <w:rPr/>
              <w:t>One Earth Energy, LLC</w:t>
            </w:r>
          </w:p>
        </w:tc>
        <w:tc>
          <w:tcPr>
            <w:tcW w:w="1790" w:type="dxa"/>
            <w:tcBorders>
              <w:left w:val="single" w:sz="2" w:space="0" w:color="000000"/>
              <w:right w:val="single" w:sz="2" w:space="0" w:color="000000"/>
            </w:tcBorders>
            <w:tcMar>
              <w:top w:w="0" w:type="dxa"/>
              <w:left w:w="28" w:type="dxa"/>
              <w:bottom w:w="0" w:type="dxa"/>
              <w:right w:w="100" w:type="dxa"/>
            </w:tcMar>
            <w:vAlign w:val="center"/>
          </w:tcPr>
          <w:p>
            <w:pPr>
              <w:pStyle w:val="TableContents"/>
              <w:bidi w:val="0"/>
              <w:spacing w:before="0" w:after="283"/>
              <w:jc w:val="right"/>
              <w:rPr/>
            </w:pPr>
            <w:r>
              <w:rPr/>
              <w:t>Gibson City, IL</w:t>
            </w:r>
          </w:p>
        </w:tc>
        <w:tc>
          <w:tcPr>
            <w:tcW w:w="2060" w:type="dxa"/>
            <w:tcBorders>
              <w:right w:val="single" w:sz="2" w:space="0" w:color="000000"/>
            </w:tcBorders>
            <w:tcMar>
              <w:top w:w="0" w:type="dxa"/>
              <w:left w:w="0" w:type="dxa"/>
              <w:bottom w:w="0" w:type="dxa"/>
              <w:right w:w="100" w:type="dxa"/>
            </w:tcMar>
            <w:vAlign w:val="center"/>
          </w:tcPr>
          <w:p>
            <w:pPr>
              <w:pStyle w:val="TableContents"/>
              <w:bidi w:val="0"/>
              <w:spacing w:before="0" w:after="283"/>
              <w:jc w:val="right"/>
              <w:rPr/>
            </w:pPr>
            <w:r>
              <w:rPr/>
              <w:t>76.1%</w:t>
            </w:r>
          </w:p>
        </w:tc>
      </w:tr>
      <w:tr>
        <w:trPr/>
        <w:tc>
          <w:tcPr>
            <w:tcW w:w="398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NuGen Energy, LLC</w:t>
            </w:r>
          </w:p>
        </w:tc>
        <w:tc>
          <w:tcPr>
            <w:tcW w:w="1790" w:type="dxa"/>
            <w:tcBorders>
              <w:top w:val="single" w:sz="2" w:space="0" w:color="000000"/>
              <w:left w:val="single" w:sz="2" w:space="0" w:color="000000"/>
              <w:bottom w:val="single" w:sz="2" w:space="0" w:color="000000"/>
              <w:right w:val="single" w:sz="2" w:space="0" w:color="000000"/>
            </w:tcBorders>
            <w:tcMar>
              <w:left w:w="28" w:type="dxa"/>
              <w:right w:w="100" w:type="dxa"/>
            </w:tcMar>
            <w:vAlign w:val="center"/>
          </w:tcPr>
          <w:p>
            <w:pPr>
              <w:pStyle w:val="TableContents"/>
              <w:bidi w:val="0"/>
              <w:spacing w:before="0" w:after="283"/>
              <w:jc w:val="right"/>
              <w:rPr/>
            </w:pPr>
            <w:r>
              <w:rPr/>
              <w:t>Marion, SD</w:t>
            </w:r>
          </w:p>
        </w:tc>
        <w:tc>
          <w:tcPr>
            <w:tcW w:w="2060" w:type="dxa"/>
            <w:tcBorders>
              <w:top w:val="single" w:sz="2" w:space="0" w:color="000000"/>
              <w:bottom w:val="single" w:sz="2" w:space="0" w:color="000000"/>
              <w:right w:val="single" w:sz="2" w:space="0" w:color="000000"/>
            </w:tcBorders>
            <w:tcMar>
              <w:left w:w="0" w:type="dxa"/>
              <w:right w:w="100" w:type="dxa"/>
            </w:tcMar>
            <w:vAlign w:val="center"/>
          </w:tcPr>
          <w:p>
            <w:pPr>
              <w:pStyle w:val="TableContents"/>
              <w:bidi w:val="0"/>
              <w:spacing w:before="0" w:after="283"/>
              <w:jc w:val="right"/>
              <w:rPr/>
            </w:pPr>
            <w:r>
              <w:rPr/>
              <w:t>99.7%</w:t>
            </w:r>
          </w:p>
        </w:tc>
      </w:tr>
      <w:tr>
        <w:trPr/>
        <w:tc>
          <w:tcPr>
            <w:tcW w:w="3980" w:type="dxa"/>
            <w:tcBorders>
              <w:left w:val="single" w:sz="2" w:space="0" w:color="000000"/>
            </w:tcBorders>
            <w:tcMar>
              <w:top w:w="0" w:type="dxa"/>
              <w:bottom w:w="0" w:type="dxa"/>
            </w:tcMar>
            <w:vAlign w:val="center"/>
          </w:tcPr>
          <w:p>
            <w:pPr>
              <w:pStyle w:val="TableContents"/>
              <w:bidi w:val="0"/>
              <w:spacing w:before="0" w:after="283"/>
              <w:jc w:val="left"/>
              <w:rPr/>
            </w:pPr>
            <w:r>
              <w:rPr/>
              <w:t>Big River Resources, LLC:</w:t>
            </w:r>
          </w:p>
        </w:tc>
        <w:tc>
          <w:tcPr>
            <w:tcW w:w="1790" w:type="dxa"/>
            <w:tcBorders>
              <w:left w:val="single" w:sz="2" w:space="0" w:color="000000"/>
              <w:right w:val="single" w:sz="2" w:space="0" w:color="000000"/>
            </w:tcBorders>
            <w:tcMar>
              <w:top w:w="0" w:type="dxa"/>
              <w:left w:w="28" w:type="dxa"/>
              <w:bottom w:w="0" w:type="dxa"/>
              <w:right w:w="100" w:type="dxa"/>
            </w:tcMar>
            <w:vAlign w:val="center"/>
          </w:tcPr>
          <w:p>
            <w:pPr>
              <w:pStyle w:val="TableContents"/>
              <w:bidi w:val="0"/>
              <w:spacing w:before="0" w:after="283"/>
              <w:jc w:val="right"/>
              <w:rPr/>
            </w:pPr>
            <w:r>
              <w:rPr/>
              <w:t> </w:t>
            </w:r>
          </w:p>
        </w:tc>
        <w:tc>
          <w:tcPr>
            <w:tcW w:w="2060" w:type="dxa"/>
            <w:tcBorders>
              <w:right w:val="single" w:sz="2" w:space="0" w:color="000000"/>
            </w:tcBorders>
            <w:tcMar>
              <w:top w:w="0" w:type="dxa"/>
              <w:left w:w="0" w:type="dxa"/>
              <w:bottom w:w="0" w:type="dxa"/>
              <w:right w:w="100" w:type="dxa"/>
            </w:tcMar>
            <w:vAlign w:val="center"/>
          </w:tcPr>
          <w:p>
            <w:pPr>
              <w:pStyle w:val="TableContents"/>
              <w:bidi w:val="0"/>
              <w:spacing w:before="0" w:after="283"/>
              <w:jc w:val="right"/>
              <w:rPr/>
            </w:pPr>
            <w:r>
              <w:rPr/>
              <w:t> </w:t>
            </w:r>
          </w:p>
        </w:tc>
      </w:tr>
      <w:tr>
        <w:trPr/>
        <w:tc>
          <w:tcPr>
            <w:tcW w:w="3980" w:type="dxa"/>
            <w:tcBorders>
              <w:left w:val="single" w:sz="2" w:space="0" w:color="000000"/>
            </w:tcBorders>
            <w:tcMar>
              <w:top w:w="0" w:type="dxa"/>
              <w:left w:w="300" w:type="dxa"/>
              <w:bottom w:w="0" w:type="dxa"/>
            </w:tcMar>
            <w:vAlign w:val="center"/>
          </w:tcPr>
          <w:p>
            <w:pPr>
              <w:pStyle w:val="TableContents"/>
              <w:bidi w:val="0"/>
              <w:spacing w:before="0" w:after="283"/>
              <w:jc w:val="left"/>
              <w:rPr/>
            </w:pPr>
            <w:r>
              <w:rPr/>
              <w:t>Big River Resources W Burlington, LLC</w:t>
            </w:r>
          </w:p>
        </w:tc>
        <w:tc>
          <w:tcPr>
            <w:tcW w:w="1790" w:type="dxa"/>
            <w:tcBorders>
              <w:left w:val="single" w:sz="2" w:space="0" w:color="000000"/>
              <w:right w:val="single" w:sz="2" w:space="0" w:color="000000"/>
            </w:tcBorders>
            <w:tcMar>
              <w:top w:w="0" w:type="dxa"/>
              <w:left w:w="28" w:type="dxa"/>
              <w:bottom w:w="0" w:type="dxa"/>
              <w:right w:w="100" w:type="dxa"/>
            </w:tcMar>
            <w:vAlign w:val="center"/>
          </w:tcPr>
          <w:p>
            <w:pPr>
              <w:pStyle w:val="TableContents"/>
              <w:bidi w:val="0"/>
              <w:spacing w:before="0" w:after="283"/>
              <w:jc w:val="right"/>
              <w:rPr/>
            </w:pPr>
            <w:r>
              <w:rPr/>
              <w:t>W. Burlington, IA</w:t>
            </w:r>
          </w:p>
        </w:tc>
        <w:tc>
          <w:tcPr>
            <w:tcW w:w="2060" w:type="dxa"/>
            <w:tcBorders>
              <w:right w:val="single" w:sz="2" w:space="0" w:color="000000"/>
            </w:tcBorders>
            <w:tcMar>
              <w:top w:w="0" w:type="dxa"/>
              <w:left w:w="0" w:type="dxa"/>
              <w:bottom w:w="0" w:type="dxa"/>
              <w:right w:w="100" w:type="dxa"/>
            </w:tcMar>
            <w:vAlign w:val="center"/>
          </w:tcPr>
          <w:p>
            <w:pPr>
              <w:pStyle w:val="TableContents"/>
              <w:bidi w:val="0"/>
              <w:spacing w:before="0" w:after="283"/>
              <w:jc w:val="right"/>
              <w:rPr/>
            </w:pPr>
            <w:r>
              <w:rPr/>
              <w:t>10.3%</w:t>
            </w:r>
          </w:p>
        </w:tc>
      </w:tr>
      <w:tr>
        <w:trPr/>
        <w:tc>
          <w:tcPr>
            <w:tcW w:w="3980" w:type="dxa"/>
            <w:tcBorders>
              <w:left w:val="single" w:sz="2" w:space="0" w:color="000000"/>
            </w:tcBorders>
            <w:tcMar>
              <w:top w:w="0" w:type="dxa"/>
              <w:left w:w="300" w:type="dxa"/>
              <w:bottom w:w="0" w:type="dxa"/>
            </w:tcMar>
            <w:vAlign w:val="center"/>
          </w:tcPr>
          <w:p>
            <w:pPr>
              <w:pStyle w:val="TableContents"/>
              <w:bidi w:val="0"/>
              <w:spacing w:before="0" w:after="283"/>
              <w:jc w:val="left"/>
              <w:rPr/>
            </w:pPr>
            <w:r>
              <w:rPr/>
              <w:t>Big River Resources Galva, LLC</w:t>
            </w:r>
          </w:p>
        </w:tc>
        <w:tc>
          <w:tcPr>
            <w:tcW w:w="1790" w:type="dxa"/>
            <w:tcBorders>
              <w:left w:val="single" w:sz="2" w:space="0" w:color="000000"/>
              <w:right w:val="single" w:sz="2" w:space="0" w:color="000000"/>
            </w:tcBorders>
            <w:tcMar>
              <w:top w:w="0" w:type="dxa"/>
              <w:left w:w="28" w:type="dxa"/>
              <w:bottom w:w="0" w:type="dxa"/>
              <w:right w:w="100" w:type="dxa"/>
            </w:tcMar>
            <w:vAlign w:val="center"/>
          </w:tcPr>
          <w:p>
            <w:pPr>
              <w:pStyle w:val="TableContents"/>
              <w:bidi w:val="0"/>
              <w:spacing w:before="0" w:after="283"/>
              <w:jc w:val="right"/>
              <w:rPr/>
            </w:pPr>
            <w:r>
              <w:rPr/>
              <w:t>Galva, IL</w:t>
            </w:r>
          </w:p>
        </w:tc>
        <w:tc>
          <w:tcPr>
            <w:tcW w:w="2060" w:type="dxa"/>
            <w:tcBorders>
              <w:right w:val="single" w:sz="2" w:space="0" w:color="000000"/>
            </w:tcBorders>
            <w:tcMar>
              <w:top w:w="0" w:type="dxa"/>
              <w:left w:w="0" w:type="dxa"/>
              <w:bottom w:w="0" w:type="dxa"/>
              <w:right w:w="100" w:type="dxa"/>
            </w:tcMar>
            <w:vAlign w:val="center"/>
          </w:tcPr>
          <w:p>
            <w:pPr>
              <w:pStyle w:val="TableContents"/>
              <w:bidi w:val="0"/>
              <w:spacing w:before="0" w:after="283"/>
              <w:jc w:val="right"/>
              <w:rPr/>
            </w:pPr>
            <w:r>
              <w:rPr/>
              <w:t>10.3%</w:t>
            </w:r>
          </w:p>
        </w:tc>
      </w:tr>
      <w:tr>
        <w:trPr/>
        <w:tc>
          <w:tcPr>
            <w:tcW w:w="3980" w:type="dxa"/>
            <w:tcBorders>
              <w:left w:val="single" w:sz="2" w:space="0" w:color="000000"/>
            </w:tcBorders>
            <w:tcMar>
              <w:top w:w="0" w:type="dxa"/>
              <w:left w:w="300" w:type="dxa"/>
              <w:bottom w:w="0" w:type="dxa"/>
            </w:tcMar>
            <w:vAlign w:val="center"/>
          </w:tcPr>
          <w:p>
            <w:pPr>
              <w:pStyle w:val="TableContents"/>
              <w:bidi w:val="0"/>
              <w:spacing w:before="0" w:after="283"/>
              <w:jc w:val="left"/>
              <w:rPr/>
            </w:pPr>
            <w:r>
              <w:rPr/>
              <w:t>Big River United Energy, LLC</w:t>
            </w:r>
          </w:p>
        </w:tc>
        <w:tc>
          <w:tcPr>
            <w:tcW w:w="1790" w:type="dxa"/>
            <w:tcBorders>
              <w:left w:val="single" w:sz="2" w:space="0" w:color="000000"/>
              <w:right w:val="single" w:sz="2" w:space="0" w:color="000000"/>
            </w:tcBorders>
            <w:tcMar>
              <w:top w:w="0" w:type="dxa"/>
              <w:left w:w="28" w:type="dxa"/>
              <w:bottom w:w="0" w:type="dxa"/>
              <w:right w:w="100" w:type="dxa"/>
            </w:tcMar>
            <w:vAlign w:val="center"/>
          </w:tcPr>
          <w:p>
            <w:pPr>
              <w:pStyle w:val="TableContents"/>
              <w:bidi w:val="0"/>
              <w:spacing w:before="0" w:after="283"/>
              <w:jc w:val="right"/>
              <w:rPr/>
            </w:pPr>
            <w:r>
              <w:rPr/>
              <w:t>Dyersville, IA</w:t>
            </w:r>
          </w:p>
        </w:tc>
        <w:tc>
          <w:tcPr>
            <w:tcW w:w="2060" w:type="dxa"/>
            <w:tcBorders>
              <w:right w:val="single" w:sz="2" w:space="0" w:color="000000"/>
            </w:tcBorders>
            <w:tcMar>
              <w:top w:w="0" w:type="dxa"/>
              <w:left w:w="0" w:type="dxa"/>
              <w:bottom w:w="0" w:type="dxa"/>
              <w:right w:w="100" w:type="dxa"/>
            </w:tcMar>
            <w:vAlign w:val="center"/>
          </w:tcPr>
          <w:p>
            <w:pPr>
              <w:pStyle w:val="TableContents"/>
              <w:bidi w:val="0"/>
              <w:spacing w:before="0" w:after="283"/>
              <w:jc w:val="right"/>
              <w:rPr/>
            </w:pPr>
            <w:r>
              <w:rPr/>
              <w:t>5.7%</w:t>
            </w:r>
          </w:p>
        </w:tc>
      </w:tr>
      <w:tr>
        <w:trPr/>
        <w:tc>
          <w:tcPr>
            <w:tcW w:w="3980" w:type="dxa"/>
            <w:tcBorders>
              <w:left w:val="single" w:sz="2" w:space="0" w:color="000000"/>
              <w:bottom w:val="single" w:sz="2" w:space="0" w:color="000000"/>
            </w:tcBorders>
            <w:tcMar>
              <w:top w:w="0" w:type="dxa"/>
              <w:left w:w="300" w:type="dxa"/>
            </w:tcMar>
            <w:vAlign w:val="center"/>
          </w:tcPr>
          <w:p>
            <w:pPr>
              <w:pStyle w:val="TableContents"/>
              <w:bidi w:val="0"/>
              <w:spacing w:before="0" w:after="283"/>
              <w:jc w:val="left"/>
              <w:rPr/>
            </w:pPr>
            <w:r>
              <w:rPr/>
              <w:t>Big River Resources Boyceville, LLC</w:t>
            </w:r>
          </w:p>
        </w:tc>
        <w:tc>
          <w:tcPr>
            <w:tcW w:w="1790" w:type="dxa"/>
            <w:tcBorders>
              <w:left w:val="single" w:sz="2" w:space="0" w:color="000000"/>
              <w:bottom w:val="single" w:sz="2" w:space="0" w:color="000000"/>
              <w:right w:val="single" w:sz="2" w:space="0" w:color="000000"/>
            </w:tcBorders>
            <w:tcMar>
              <w:top w:w="0" w:type="dxa"/>
              <w:left w:w="28" w:type="dxa"/>
              <w:right w:w="100" w:type="dxa"/>
            </w:tcMar>
            <w:vAlign w:val="center"/>
          </w:tcPr>
          <w:p>
            <w:pPr>
              <w:pStyle w:val="TableContents"/>
              <w:bidi w:val="0"/>
              <w:spacing w:before="0" w:after="283"/>
              <w:jc w:val="right"/>
              <w:rPr/>
            </w:pPr>
            <w:r>
              <w:rPr/>
              <w:t>Boyceville, WI</w:t>
            </w:r>
          </w:p>
        </w:tc>
        <w:tc>
          <w:tcPr>
            <w:tcW w:w="206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right"/>
              <w:rPr/>
            </w:pPr>
            <w:r>
              <w:rPr/>
              <w:t>10.3%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31 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One Earth Energy, LLC Carbon Sequestration and Plant Expansion</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One Earth Sequestration, LLC, a wholly owned subsidiary of One Earth, is in the developmental stage of a carbon sequestration project near the One Earth ethanol plant. In October 2022, we applied to the EPA for a Class VI injection well permit for three wells. The EPA issued a draft permit on August 17, 2026. This opens the public comment period through September 23, 2026. We also must obtain certain state and county permits for the sequestration site and connector pipeline. We have completed the construction of the capture and compression facility to capture, dehydrate, and compress carbon dioxide from the One Earth ethanol plant to a state suitable for sequestration. Testing has not yet been completed and we cannot begin construction of the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connector pipeline between the One Earth compression facility and the sequestration well until further permits and approvals are received.</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 Also see the discussion under “Trends and Uncertainties” relating to the impact of certain recently adopted legislation and certain recently proposed legislation that, if enacted, could affect our carbon sequestration project.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are also expanding the One Earth ethanol plant. We received a construction permit from the EPA to increase production from 150 million gallons of ethanol per year to 175 million gallons of ethanol per year. Once we achieve that level of production, we intend to apply for another permit to increase production to 200 million gallons per year. We continue to work to identify ways to further reduce our CI score at the One Earth plant with the intention of maximizing tax credits available under the IRA and OBBBA.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of July 31, 2026, we had spent $59.1 million since inception toward the carbon sequestration project and were contractually obligated to spend an additional $0.3 million. If the carbon sequestration project is successful, we believe we will qualify for tax credits under section 45Q, based on tons of carbon sequestered, and section 45Z, based on gallons of ethanol produced, as outlined in the IRA and OBBBA. Companies may elect either the 45Q credit or the 45Z credit in periods in which both tax credits are available. As of July 31, 2026, we had spent $132.1 million since inception and were contractually committed to spend an additional $3.9 million toward plant capacity expansion at One Earth. We plan to pay for all expenditures from available cash.</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32 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IRA, as amended by the OBBBA, created a new Clean Fuel Production Credit, available for calendar years 2025 – 2029 which, based on proposed rulemaking by the U.S. Department of Treasury, established a tax credit that utilizes a sliding scale where credits can be earned incrementally between $0.02 and $0.20 ($0.10 and $1.00 if prevailing wage and apprenticeship requirements are met) per gallon of non-SAF fuels based on an ethanol plant’s GHG reduction below a 50 CI score threshold, with the first $0.02 or $0.10 credit earned upon achieving a CI score below 47.5, to incentivize further increases in plant efficiencies within the industry. The U.S. Department of the Treasury issued proposed rules on February 3, 2026 on qualification for 45Z tax credits. Based on proposed regulations, we recognized approximately $31.7 million and $26.0 million in 45Z tax credits through our consolidated subsidiaries for fiscal year 2025 and the first six months of fiscal year 2026, respectively. Public hearings were held on the proposed rules in 2026 and have yet to be finalized. Changes or clarifications to the proposed regulations, administrative guidance, or interpretations could result in an adjustment to management’s estimate of 45Z tax credits recognized. On June 12, 2026, the U.S. Department of Energy released an updated version of its 45ZCF-GREET model, removing indirect land-use change (“ILUC”) from the calculation.</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May 2023, NuGen,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output of its ethanol production facility for sequestration, as well as to reduce its net carbon emissions. In March 2025, South Dakota enacted a law that bans the use of eminent domain in connection with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pipelines. In addition, in March 2026, a North Dakota Court voided the permits issued to Summit Carbon Solutions for underground storage of carbon dioxide as the Court has deemed the law under which the permits were issued to be unconstitutional. Summit Carbon Solutions is analyzing the decision and is contemplating next steps. These actions have delayed and could make the sequestration project for the NuGen facility more difficult for Summit Carbon Solutions to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Refined Coal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The approximately $58.2 million in federal production tax credits received through the ownership of this facility remain under IRS audit. That audit is in the process of being finalized, with the Company expecting to retain all federal production credits claimed for this project.</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33 </w:t>
      </w:r>
    </w:p>
    <w:p>
      <w:pPr>
        <w:pStyle w:val="TextBody"/>
        <w:bidi w:val="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Critical Accounting Estimates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During the six months ended July 31, 2026, we did not change any of our critical accounting estimates as disclosed in our 2025 Annual Report on Form 10-K as filed with the Securities and Exchange Commission on March 30,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Fiscal Year</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references in this report to a particular fiscal year are to REX’s fiscal year ended January 31. The Company refers to its fiscal year by reference to the year immediately preceding the January 31 fiscal year end date. For example, “fiscal year 2026” means the period February 1, 2026 to January 31, 2027. The Company includes the results of operations of One Earth and the equity investment income of Big River in its Consolidated Statements of Operations on a delayed basis of one month as One Earth and Big River have fiscal year ends of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Results of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Trends and Uncertainties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Renewable Fuel Standard II, established in October 2010, has been an important factor in the growth of ethanol usage in the United States.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waiving of a refiner’s obligation effectively lowers the amount of renewable fuels required to be blended, and by extension the amount of RINs that need to be retired, which can impact their values and ultimately blending levels of renewable fuels. There are multiple ongoing legal challenges to how the EPA has handled SREs and RFS rulemaking. On August 22, 2025, the EPA ruled on much of the backlog of SREs, issuing 63 full exemptions, 77 partial exemptions of 50%, 28 denials and 7 ruled as ineligible. On November 7, 2025, the EPA issued two 100% waivers, twelve 50% waivers and two denials. On August 3, 2026, the EPA issued one 100% waiver, two 50% waivers and determined three petitions to be ineligible from compliance years 2023 and 2024. On August 31, 2026, the remainder of the open SRE petitions from compliance year 2025, 34 in total, were decided with 18 full exemptions, 11 partial exemptions of 50% and five either denied or ruled ineligible, representing 1.8 billion RINs exempted. The EPA has proposed that 100% of the difference between previously projected and actual exempted volumes from the August 31, 2026 release be reallocated into the 2026 and 2027 RVOs. As a result of this announcement, the EPA has extended the 2025 RVO compliance date by 30 days to October 1, 2026. As of August 31, 2026, there were 8 SRE petitions pending from compliance years 2026-2027.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RVO volumes from conventional biofuels (which includes corn-based ethanol) were 15.0 billion gallons for 2023 through 2025. Additionally, in 2023, the EPA restored 250 million gallons previously waived. On March 27, 2026, the EPA issued total RVOs for 2026 and 2027 of 15.0 billion gallons of conventional ethanol for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EPA issued emergency waivers allowing the sale of E-15 gasoline for the 2026 summer months. 2026 represents the fifth consecutive year for these emergency waivers. The EPA has not granted</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34 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E-15 the same Reid vapor pressure waiver as E-10, so absent the emergency waivers, E-15 may not be sold in most states from June 1 to September 15. Efforts continue to pass legislation allowing for the sale of E-15 gasoline year-round. On May 13, 2026, House Resolution 1346 was passed by the House of Representative which would allow for year-round E-15 sales, but there is no set timeline for consideration in the Senate.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IRA, signed into law on August 16, 2022, created a new Clean Fuel Production Credit, Section 45Z, originally available for years 2025 to 2027. Based on proposed rulemaking by the United States Department of Treasury, the Clean Fuel Production Credit will be established utilizing a sliding scale where tax credits may be earned incrementally between $0.02 and $0.20 ($0.10 and $1.00 if prevailing wage and apprenticeship requirements are met) per gallon of non-SAF fuels based on a plant’s GHG reduction below a 50 CI score threshold, with the first $0.02 or $0.10 credit earned upon achieving a CI score below 47.5. The IRA also raises the carbon capture tax credit under Section 45Q from $50 per metric ton to $85 per metric ton. Companies may elect either the 45Q credit or the 45Z credit in periods in which both tax credits are available.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OBBBA introduced major revisions to clean energy tax credits. Key provisions include extending the 45Z credit through December 31, 2029, removing the indirect land-use change penalty for crop-based feedstocks beginning in 2026, limiting eligibility to feedstocks under the USMCA, imposing FEOC restrictions, and prohibiting negative emissions rates except from animal manure. It also modified the 45Q tax credit for facilities placed in service after the bill enactment but maintained the $85 per ton tax credit if the prevailing wage and apprenticeship requirements are met. 45Q credits are available for 12 years from the time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injection begins. On June 12, 2026, the U.S. Department of Energy released an updated version of its 45ZCF-GREET model to incorporate changes included in the OBBBA.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have secured land easements from all necessary landowners to allow the construction of the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connector pipeline on their land from the ethanol plant to the first two injection wells for our carbon sequestration project near the One Earth ethanol facility. We also have landowner subsurface easements for the first injection well with capacity sufficient to allow for carbon sequestration for our One Earth plant for an estimated 15 years. The Illinois Safety and Aid for the Environment in Carbon Capture and Sequestration Act (SB 1289), enacted in 2024, imposes additional safety, environmental and other requirements on obtaining permits and approvals for carbon capture and sequestration facilities in Illinois, including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pipelines. Further, the legislation imposed a moratorium on the issuance of new certificates of authority for the construction of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pipelines until the earlier of the date new federal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pipeline safety standards are finalized by the federal PHMSA or, subject to certain other conditions, July 1, 2026. Following the expiration of the moratorium, we have begun preparing our application for submission to the Illinois Commerce Commission for our CO</w:t>
      </w:r>
      <w:r>
        <w:rPr>
          <w:rFonts w:ascii="Times New Roman;Times;Serif" w:hAnsi="Times New Roman;Times;Serif"/>
          <w:b w:val="false"/>
          <w:i w:val="false"/>
          <w:caps w:val="false"/>
          <w:smallCaps w:val="false"/>
          <w:position w:val="-2"/>
          <w:sz w:val="19"/>
          <w:sz w:val="24"/>
        </w:rPr>
        <w:t>2</w:t>
      </w:r>
      <w:r>
        <w:rPr>
          <w:rFonts w:ascii="Times New Roman;Times;Serif" w:hAnsi="Times New Roman;Times;Serif"/>
          <w:b w:val="false"/>
          <w:i w:val="false"/>
          <w:caps w:val="false"/>
          <w:smallCaps w:val="false"/>
          <w:sz w:val="24"/>
        </w:rPr>
        <w:t xml:space="preserve"> connector pipeline to the first injection well.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Illinois Senate Bill 1723, enacted in 2025, prohibits carbon sequestration activities over, under, or through the aquifer as defined by the EPA. The proposed injection wells for our carbon sequestration project are located outside of these areas.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35 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United States exported an estimated 2.2 billion gallons of ethanol in 2025, up from approximately 1.9 billion and 1.4 billion gallons in 2024 and 2023, respectively. Ethanol exports for the first six months of calendar year 2026 totaled 1.2 billion gallons, an increase of approximately 14% over the similar period of 2025, according to figures from the USDA Foreign Agricultural Services. In 2025 and 2024, an estimated 11.6 million and 12.1 million metric tons, respectively, of distillers grains were exported from the United States, which represented approximately 36% and 37% in 2025 and 2024, respectively, of U.S production. Distillers grains exports for the first six months of calendar year 2026 totaled 6.2 million metric tons, an increase of approximately 15% over the similar period of 2025. There has been much discussion around proposed and recently enacted tariffs by the United States and counter-tariffs and other trade restriction involving countries which have been large purchasers from our industry in the United States.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Based on the August 2026 report from the USDA, corn production is forecasted to be approximately 16.0 billion bushels in 2026. The average corn yield is forecasted to be 180.7 bushels per acre, with planted acres projected to be 96.7 million and harvested acres projected to be 88.6 million. The final 2025 USDA report estimated a record 2025 corn production of 17.0 billion bushels with an estimated 186.5 bushels per acre, on an estimated 91.3 million acres harvested.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trends and uncertainties mentioned above could impact our future operating results in both positive and negative ways.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Comparison of Three and Six Months Ended July 31, 2026 and 2025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summarizes our results from operations (amounts in thousands):</w:t>
      </w:r>
    </w:p>
    <w:p>
      <w:pPr>
        <w:pStyle w:val="TextBody"/>
        <w:bidi w:val="0"/>
        <w:spacing w:before="0" w:after="0"/>
        <w:ind w:left="0" w:right="0" w:hanging="0"/>
        <w:jc w:val="left"/>
        <w:rPr>
          <w:caps w:val="false"/>
          <w:smallCaps w:val="false"/>
        </w:rPr>
      </w:pPr>
      <w:r>
        <w:rPr>
          <w:caps w:val="false"/>
          <w:smallCaps w:val="false"/>
        </w:rPr>
        <w:t> </w:t>
      </w:r>
    </w:p>
    <w:tbl>
      <w:tblPr>
        <w:tblW w:w="10046" w:type="dxa"/>
        <w:jc w:val="left"/>
        <w:tblInd w:w="0" w:type="dxa"/>
        <w:tblLayout w:type="fixed"/>
        <w:tblCellMar>
          <w:top w:w="0" w:type="dxa"/>
          <w:left w:w="0" w:type="dxa"/>
          <w:bottom w:w="0" w:type="dxa"/>
          <w:right w:w="0" w:type="dxa"/>
        </w:tblCellMar>
      </w:tblPr>
      <w:tblGrid>
        <w:gridCol w:w="5195"/>
        <w:gridCol w:w="90"/>
        <w:gridCol w:w="174"/>
        <w:gridCol w:w="852"/>
        <w:gridCol w:w="92"/>
        <w:gridCol w:w="92"/>
        <w:gridCol w:w="174"/>
        <w:gridCol w:w="852"/>
        <w:gridCol w:w="90"/>
        <w:gridCol w:w="90"/>
        <w:gridCol w:w="170"/>
        <w:gridCol w:w="860"/>
        <w:gridCol w:w="90"/>
        <w:gridCol w:w="90"/>
        <w:gridCol w:w="170"/>
        <w:gridCol w:w="830"/>
        <w:gridCol w:w="135"/>
      </w:tblGrid>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center"/>
              <w:rPr>
                <w:b/>
              </w:rPr>
            </w:pPr>
            <w:r>
              <w:rPr>
                <w:b/>
              </w:rPr>
              <w:t>Three Months Ended</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283"/>
              <w:jc w:val="center"/>
              <w:rPr>
                <w:b/>
              </w:rPr>
            </w:pPr>
            <w:r>
              <w:rPr>
                <w:b/>
              </w:rPr>
              <w:t>Six Months Ended</w:t>
              <w:br/>
              <w:t>July 31,</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Net sales and revenue</w:t>
            </w:r>
          </w:p>
        </w:tc>
        <w:tc>
          <w:tcPr>
            <w:tcW w:w="90"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168,493</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158,563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60" w:type="dxa"/>
            <w:tcBorders/>
            <w:shd w:fill="E5FFFF" w:val="clear"/>
            <w:vAlign w:val="center"/>
          </w:tcPr>
          <w:p>
            <w:pPr>
              <w:pStyle w:val="TableContents"/>
              <w:bidi w:val="0"/>
              <w:spacing w:before="0" w:after="283"/>
              <w:jc w:val="right"/>
              <w:rPr/>
            </w:pPr>
            <w:r>
              <w:rPr/>
              <w:t>324,992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316,903</w:t>
            </w:r>
          </w:p>
        </w:tc>
        <w:tc>
          <w:tcPr>
            <w:tcW w:w="135" w:type="dxa"/>
            <w:tcBorders/>
            <w:shd w:fill="E5FF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Production tax credit income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18,410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25,959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Cost of sales</w:t>
            </w:r>
          </w:p>
        </w:tc>
        <w:tc>
          <w:tcPr>
            <w:tcW w:w="90" w:type="dxa"/>
            <w:tcBorders/>
            <w:shd w:fill="E5FFFF" w:val="clear"/>
            <w:vAlign w:val="center"/>
          </w:tcPr>
          <w:p>
            <w:pPr>
              <w:pStyle w:val="TableContents"/>
              <w:bidi w:val="0"/>
              <w:spacing w:before="0" w:after="283"/>
              <w:jc w:val="left"/>
              <w:rPr/>
            </w:pPr>
            <w:r>
              <w:rPr/>
              <w:t> </w:t>
            </w:r>
          </w:p>
        </w:tc>
        <w:tc>
          <w:tcPr>
            <w:tcW w:w="174"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52" w:type="dxa"/>
            <w:tcBorders>
              <w:bottom w:val="single" w:sz="2" w:space="0" w:color="000000"/>
            </w:tcBorders>
            <w:shd w:fill="E5FFFF" w:val="clear"/>
            <w:tcMar>
              <w:bottom w:w="28" w:type="dxa"/>
            </w:tcMar>
            <w:vAlign w:val="center"/>
          </w:tcPr>
          <w:p>
            <w:pPr>
              <w:pStyle w:val="TableContents"/>
              <w:bidi w:val="0"/>
              <w:spacing w:before="0" w:after="283"/>
              <w:jc w:val="right"/>
              <w:rPr/>
            </w:pPr>
            <w:r>
              <w:rPr/>
              <w:t>133,603</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52" w:type="dxa"/>
            <w:tcBorders>
              <w:bottom w:val="single" w:sz="2" w:space="0" w:color="000000"/>
            </w:tcBorders>
            <w:shd w:fill="E5FFFF" w:val="clear"/>
            <w:tcMar>
              <w:bottom w:w="28" w:type="dxa"/>
            </w:tcMar>
            <w:vAlign w:val="center"/>
          </w:tcPr>
          <w:p>
            <w:pPr>
              <w:pStyle w:val="TableContents"/>
              <w:bidi w:val="0"/>
              <w:spacing w:before="0" w:after="283"/>
              <w:jc w:val="right"/>
              <w:rPr/>
            </w:pPr>
            <w:r>
              <w:rPr/>
              <w:t>144,244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E5FFFF" w:val="clear"/>
            <w:tcMar>
              <w:bottom w:w="28" w:type="dxa"/>
            </w:tcMar>
            <w:vAlign w:val="center"/>
          </w:tcPr>
          <w:p>
            <w:pPr>
              <w:pStyle w:val="TableContents"/>
              <w:bidi w:val="0"/>
              <w:spacing w:before="0" w:after="283"/>
              <w:jc w:val="right"/>
              <w:rPr/>
            </w:pPr>
            <w:r>
              <w:rPr/>
              <w:t>268,580</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288,242</w:t>
            </w:r>
          </w:p>
        </w:tc>
        <w:tc>
          <w:tcPr>
            <w:tcW w:w="135" w:type="dxa"/>
            <w:tcBorders/>
            <w:shd w:fill="E5FF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53,300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14,319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82,371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28,661</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Income before income taxes</w:t>
            </w:r>
          </w:p>
        </w:tc>
        <w:tc>
          <w:tcPr>
            <w:tcW w:w="90" w:type="dxa"/>
            <w:tcBorders/>
            <w:shd w:fill="E5FFFF" w:val="clear"/>
            <w:vAlign w:val="center"/>
          </w:tcPr>
          <w:p>
            <w:pPr>
              <w:pStyle w:val="TableContents"/>
              <w:bidi w:val="0"/>
              <w:spacing w:before="0" w:after="283"/>
              <w:jc w:val="left"/>
              <w:rPr/>
            </w:pPr>
            <w:r>
              <w:rPr/>
              <w:t> </w:t>
            </w:r>
          </w:p>
        </w:tc>
        <w:tc>
          <w:tcPr>
            <w:tcW w:w="17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E5FFFF" w:val="clear"/>
            <w:tcMar>
              <w:bottom w:w="28" w:type="dxa"/>
            </w:tcMar>
            <w:vAlign w:val="center"/>
          </w:tcPr>
          <w:p>
            <w:pPr>
              <w:pStyle w:val="TableContents"/>
              <w:bidi w:val="0"/>
              <w:spacing w:before="0" w:after="283"/>
              <w:jc w:val="right"/>
              <w:rPr/>
            </w:pPr>
            <w:r>
              <w:rPr/>
              <w:t>48,118</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E5FFFF" w:val="clear"/>
            <w:tcMar>
              <w:bottom w:w="28" w:type="dxa"/>
            </w:tcMar>
            <w:vAlign w:val="center"/>
          </w:tcPr>
          <w:p>
            <w:pPr>
              <w:pStyle w:val="TableContents"/>
              <w:bidi w:val="0"/>
              <w:spacing w:before="0" w:after="283"/>
              <w:jc w:val="right"/>
              <w:rPr/>
            </w:pPr>
            <w:r>
              <w:rPr/>
              <w:t>12,097</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E5FFFF" w:val="clear"/>
            <w:tcMar>
              <w:bottom w:w="28" w:type="dxa"/>
            </w:tcMar>
            <w:vAlign w:val="center"/>
          </w:tcPr>
          <w:p>
            <w:pPr>
              <w:pStyle w:val="TableContents"/>
              <w:bidi w:val="0"/>
              <w:spacing w:before="0" w:after="283"/>
              <w:jc w:val="right"/>
              <w:rPr/>
            </w:pPr>
            <w:r>
              <w:rPr/>
              <w:t>74,233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25,723</w:t>
            </w:r>
          </w:p>
        </w:tc>
        <w:tc>
          <w:tcPr>
            <w:tcW w:w="135" w:type="dxa"/>
            <w:tcBorders/>
            <w:shd w:fill="E5FF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Provision for income taxes</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(7,472)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(2,769)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(11,909)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(5,723)</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195" w:type="dxa"/>
            <w:tcBorders/>
            <w:shd w:fill="E5FFFF" w:val="clear"/>
            <w:vAlign w:val="center"/>
          </w:tcPr>
          <w:p>
            <w:pPr>
              <w:pStyle w:val="TableContents"/>
              <w:bidi w:val="0"/>
              <w:spacing w:before="0" w:after="283"/>
              <w:jc w:val="left"/>
              <w:rPr/>
            </w:pPr>
            <w:r>
              <w:rPr/>
              <w:t>Net income attributable to REX common shareholders</w:t>
            </w:r>
          </w:p>
        </w:tc>
        <w:tc>
          <w:tcPr>
            <w:tcW w:w="90" w:type="dxa"/>
            <w:tcBorders/>
            <w:shd w:fill="E5FFFF" w:val="clear"/>
            <w:vAlign w:val="center"/>
          </w:tcPr>
          <w:p>
            <w:pPr>
              <w:pStyle w:val="TableContents"/>
              <w:bidi w:val="0"/>
              <w:spacing w:before="0" w:after="283"/>
              <w:jc w:val="left"/>
              <w:rPr/>
            </w:pPr>
            <w:r>
              <w:rPr/>
              <w:t> </w:t>
            </w:r>
          </w:p>
        </w:tc>
        <w:tc>
          <w:tcPr>
            <w:tcW w:w="17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E5FFFF" w:val="clear"/>
            <w:tcMar>
              <w:bottom w:w="28" w:type="dxa"/>
            </w:tcMar>
            <w:vAlign w:val="center"/>
          </w:tcPr>
          <w:p>
            <w:pPr>
              <w:pStyle w:val="TableContents"/>
              <w:bidi w:val="0"/>
              <w:spacing w:before="0" w:after="283"/>
              <w:jc w:val="right"/>
              <w:rPr/>
            </w:pPr>
            <w:r>
              <w:rPr/>
              <w:t>34,944</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E5FFFF" w:val="clear"/>
            <w:tcMar>
              <w:bottom w:w="28" w:type="dxa"/>
            </w:tcMar>
            <w:vAlign w:val="center"/>
          </w:tcPr>
          <w:p>
            <w:pPr>
              <w:pStyle w:val="TableContents"/>
              <w:bidi w:val="0"/>
              <w:spacing w:before="0" w:after="283"/>
              <w:jc w:val="right"/>
              <w:rPr/>
            </w:pPr>
            <w:r>
              <w:rPr/>
              <w:t>7,111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E5FFFF" w:val="clear"/>
            <w:tcMar>
              <w:bottom w:w="28" w:type="dxa"/>
            </w:tcMar>
            <w:vAlign w:val="center"/>
          </w:tcPr>
          <w:p>
            <w:pPr>
              <w:pStyle w:val="TableContents"/>
              <w:bidi w:val="0"/>
              <w:spacing w:before="0" w:after="283"/>
              <w:jc w:val="right"/>
              <w:rPr/>
            </w:pPr>
            <w:r>
              <w:rPr/>
              <w:t>53,396</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15,789</w:t>
            </w:r>
          </w:p>
        </w:tc>
        <w:tc>
          <w:tcPr>
            <w:tcW w:w="135" w:type="dxa"/>
            <w:tcBorders/>
            <w:shd w:fill="E5FFFF" w:val="cle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36 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summarizes net sales and revenue by product group (amounts in thousands):</w:t>
      </w:r>
    </w:p>
    <w:p>
      <w:pPr>
        <w:pStyle w:val="TextBody"/>
        <w:bidi w:val="0"/>
        <w:spacing w:before="0" w:after="0"/>
        <w:ind w:left="0" w:right="0" w:hanging="0"/>
        <w:jc w:val="left"/>
        <w:rPr>
          <w:caps w:val="false"/>
          <w:smallCaps w:val="false"/>
        </w:rPr>
      </w:pPr>
      <w:r>
        <w:rPr>
          <w:caps w:val="false"/>
          <w:smallCaps w:val="false"/>
        </w:rPr>
        <w:t> </w:t>
      </w:r>
    </w:p>
    <w:tbl>
      <w:tblPr>
        <w:tblW w:w="9206" w:type="dxa"/>
        <w:jc w:val="left"/>
        <w:tblInd w:w="0" w:type="dxa"/>
        <w:tblLayout w:type="fixed"/>
        <w:tblCellMar>
          <w:top w:w="0" w:type="dxa"/>
          <w:left w:w="0" w:type="dxa"/>
          <w:bottom w:w="0" w:type="dxa"/>
          <w:right w:w="0" w:type="dxa"/>
        </w:tblCellMar>
      </w:tblPr>
      <w:tblGrid>
        <w:gridCol w:w="4385"/>
        <w:gridCol w:w="90"/>
        <w:gridCol w:w="174"/>
        <w:gridCol w:w="852"/>
        <w:gridCol w:w="92"/>
        <w:gridCol w:w="92"/>
        <w:gridCol w:w="174"/>
        <w:gridCol w:w="852"/>
        <w:gridCol w:w="90"/>
        <w:gridCol w:w="90"/>
        <w:gridCol w:w="170"/>
        <w:gridCol w:w="830"/>
        <w:gridCol w:w="90"/>
        <w:gridCol w:w="90"/>
        <w:gridCol w:w="170"/>
        <w:gridCol w:w="830"/>
        <w:gridCol w:w="135"/>
      </w:tblGrid>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center"/>
              <w:rPr>
                <w:b/>
              </w:rPr>
            </w:pPr>
            <w:r>
              <w:rPr>
                <w:b/>
              </w:rPr>
              <w:t>Three Months Ended</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Six Months Ended</w:t>
              <w:br/>
              <w:t>July 31,</w:t>
            </w:r>
          </w:p>
        </w:tc>
        <w:tc>
          <w:tcPr>
            <w:tcW w:w="13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Ethanol</w:t>
            </w:r>
          </w:p>
        </w:tc>
        <w:tc>
          <w:tcPr>
            <w:tcW w:w="90"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125,777</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w:t>
            </w:r>
          </w:p>
        </w:tc>
        <w:tc>
          <w:tcPr>
            <w:tcW w:w="852" w:type="dxa"/>
            <w:tcBorders/>
            <w:shd w:fill="E5FFFF" w:val="clear"/>
            <w:vAlign w:val="center"/>
          </w:tcPr>
          <w:p>
            <w:pPr>
              <w:pStyle w:val="TableContents"/>
              <w:bidi w:val="0"/>
              <w:spacing w:before="0" w:after="283"/>
              <w:jc w:val="right"/>
              <w:rPr/>
            </w:pPr>
            <w:r>
              <w:rPr/>
              <w:t>123,312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245,658</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247,709</w:t>
            </w:r>
          </w:p>
        </w:tc>
        <w:tc>
          <w:tcPr>
            <w:tcW w:w="135" w:type="dxa"/>
            <w:tcBorders/>
            <w:shd w:fill="E5FF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Dried distillers grains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24,163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21,260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48,326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43,546</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Distillers corn oil</w:t>
            </w:r>
          </w:p>
        </w:tc>
        <w:tc>
          <w:tcPr>
            <w:tcW w:w="90"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 </w:t>
            </w:r>
          </w:p>
        </w:tc>
        <w:tc>
          <w:tcPr>
            <w:tcW w:w="852" w:type="dxa"/>
            <w:tcBorders/>
            <w:shd w:fill="E5FFFF" w:val="clear"/>
            <w:vAlign w:val="center"/>
          </w:tcPr>
          <w:p>
            <w:pPr>
              <w:pStyle w:val="TableContents"/>
              <w:bidi w:val="0"/>
              <w:spacing w:before="0" w:after="283"/>
              <w:jc w:val="right"/>
              <w:rPr/>
            </w:pPr>
            <w:r>
              <w:rPr/>
              <w:t>17,589</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 </w:t>
            </w:r>
          </w:p>
        </w:tc>
        <w:tc>
          <w:tcPr>
            <w:tcW w:w="852" w:type="dxa"/>
            <w:tcBorders/>
            <w:shd w:fill="E5FFFF" w:val="clear"/>
            <w:vAlign w:val="center"/>
          </w:tcPr>
          <w:p>
            <w:pPr>
              <w:pStyle w:val="TableContents"/>
              <w:bidi w:val="0"/>
              <w:spacing w:before="0" w:after="283"/>
              <w:jc w:val="right"/>
              <w:rPr/>
            </w:pPr>
            <w:r>
              <w:rPr/>
              <w:t>12,509</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30,545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22,388</w:t>
            </w:r>
          </w:p>
        </w:tc>
        <w:tc>
          <w:tcPr>
            <w:tcW w:w="135" w:type="dxa"/>
            <w:tcBorders/>
            <w:shd w:fill="E5FF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Modified distillers grains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811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1,251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2,873</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Derivative financial instruments gains (losses)</w:t>
            </w:r>
          </w:p>
        </w:tc>
        <w:tc>
          <w:tcPr>
            <w:tcW w:w="90"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 </w:t>
            </w:r>
          </w:p>
        </w:tc>
        <w:tc>
          <w:tcPr>
            <w:tcW w:w="852" w:type="dxa"/>
            <w:tcBorders/>
            <w:shd w:fill="E5FFFF" w:val="clear"/>
            <w:vAlign w:val="center"/>
          </w:tcPr>
          <w:p>
            <w:pPr>
              <w:pStyle w:val="TableContents"/>
              <w:bidi w:val="0"/>
              <w:spacing w:before="0" w:after="283"/>
              <w:jc w:val="right"/>
              <w:rPr/>
            </w:pPr>
            <w:r>
              <w:rPr/>
              <w:t>62</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shd w:fill="E5FFFF" w:val="clear"/>
            <w:vAlign w:val="center"/>
          </w:tcPr>
          <w:p>
            <w:pPr>
              <w:pStyle w:val="TableContents"/>
              <w:bidi w:val="0"/>
              <w:spacing w:before="0" w:after="283"/>
              <w:jc w:val="left"/>
              <w:rPr/>
            </w:pPr>
            <w:r>
              <w:rPr/>
              <w:t> </w:t>
            </w:r>
          </w:p>
        </w:tc>
        <w:tc>
          <w:tcPr>
            <w:tcW w:w="852" w:type="dxa"/>
            <w:tcBorders/>
            <w:shd w:fill="E5FFFF" w:val="clear"/>
            <w:vAlign w:val="center"/>
          </w:tcPr>
          <w:p>
            <w:pPr>
              <w:pStyle w:val="TableContents"/>
              <w:bidi w:val="0"/>
              <w:spacing w:before="0" w:after="283"/>
              <w:jc w:val="right"/>
              <w:rPr/>
            </w:pPr>
            <w:r>
              <w:rPr/>
              <w:t>201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(1,513)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218</w:t>
            </w:r>
          </w:p>
        </w:tc>
        <w:tc>
          <w:tcPr>
            <w:tcW w:w="135" w:type="dxa"/>
            <w:tcBorders/>
            <w:shd w:fill="E5FF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4" w:type="dxa"/>
            <w:tcBorders>
              <w:bottom w:val="single" w:sz="2" w:space="0" w:color="000000"/>
            </w:tcBorders>
            <w:tcMar>
              <w:bottom w:w="28" w:type="dxa"/>
            </w:tcMar>
            <w:vAlign w:val="center"/>
          </w:tcPr>
          <w:p>
            <w:pPr>
              <w:pStyle w:val="TableContents"/>
              <w:bidi w:val="0"/>
              <w:spacing w:before="0" w:after="283"/>
              <w:jc w:val="left"/>
              <w:rPr/>
            </w:pPr>
            <w:r>
              <w:rPr/>
              <w:t> </w:t>
            </w:r>
          </w:p>
        </w:tc>
        <w:tc>
          <w:tcPr>
            <w:tcW w:w="852" w:type="dxa"/>
            <w:tcBorders>
              <w:bottom w:val="single" w:sz="2" w:space="0" w:color="000000"/>
            </w:tcBorders>
            <w:tcMar>
              <w:bottom w:w="28" w:type="dxa"/>
            </w:tcMar>
            <w:vAlign w:val="center"/>
          </w:tcPr>
          <w:p>
            <w:pPr>
              <w:pStyle w:val="TableContents"/>
              <w:bidi w:val="0"/>
              <w:spacing w:before="0" w:after="283"/>
              <w:jc w:val="right"/>
              <w:rPr/>
            </w:pPr>
            <w:r>
              <w:rPr/>
              <w:t>91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2" w:space="0" w:color="000000"/>
            </w:tcBorders>
            <w:tcMar>
              <w:bottom w:w="28" w:type="dxa"/>
            </w:tcMar>
            <w:vAlign w:val="center"/>
          </w:tcPr>
          <w:p>
            <w:pPr>
              <w:pStyle w:val="TableContents"/>
              <w:bidi w:val="0"/>
              <w:spacing w:before="0" w:after="283"/>
              <w:jc w:val="left"/>
              <w:rPr/>
            </w:pPr>
            <w:r>
              <w:rPr/>
              <w:t> </w:t>
            </w:r>
          </w:p>
        </w:tc>
        <w:tc>
          <w:tcPr>
            <w:tcW w:w="852" w:type="dxa"/>
            <w:tcBorders>
              <w:bottom w:val="single" w:sz="2" w:space="0" w:color="000000"/>
            </w:tcBorders>
            <w:tcMar>
              <w:bottom w:w="28" w:type="dxa"/>
            </w:tcMar>
            <w:vAlign w:val="center"/>
          </w:tcPr>
          <w:p>
            <w:pPr>
              <w:pStyle w:val="TableContents"/>
              <w:bidi w:val="0"/>
              <w:spacing w:before="0" w:after="283"/>
              <w:jc w:val="right"/>
              <w:rPr/>
            </w:pPr>
            <w:r>
              <w:rPr/>
              <w:t>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169</w:t>
            </w:r>
          </w:p>
        </w:tc>
        <w:tc>
          <w:tcPr>
            <w:tcW w:w="135" w:type="dxa"/>
            <w:tcBorders/>
            <w:vAlign w:val="center"/>
          </w:tcPr>
          <w:p>
            <w:pPr>
              <w:pStyle w:val="TableContents"/>
              <w:bidi w:val="0"/>
              <w:spacing w:before="0" w:after="283"/>
              <w:jc w:val="left"/>
              <w:rPr/>
            </w:pPr>
            <w:r>
              <w:rPr/>
              <w:t> </w:t>
            </w:r>
          </w:p>
        </w:tc>
      </w:tr>
      <w:tr>
        <w:trPr/>
        <w:tc>
          <w:tcPr>
            <w:tcW w:w="4385" w:type="dxa"/>
            <w:tcBorders/>
            <w:shd w:fill="E5FFFF" w:val="clear"/>
            <w:vAlign w:val="center"/>
          </w:tcPr>
          <w:p>
            <w:pPr>
              <w:pStyle w:val="TableContents"/>
              <w:bidi w:val="0"/>
              <w:spacing w:before="0" w:after="283"/>
              <w:jc w:val="left"/>
              <w:rPr/>
            </w:pPr>
            <w:r>
              <w:rPr/>
              <w:t>Total</w:t>
            </w:r>
          </w:p>
        </w:tc>
        <w:tc>
          <w:tcPr>
            <w:tcW w:w="90" w:type="dxa"/>
            <w:tcBorders/>
            <w:shd w:fill="E5FFFF" w:val="clear"/>
            <w:vAlign w:val="center"/>
          </w:tcPr>
          <w:p>
            <w:pPr>
              <w:pStyle w:val="TableContents"/>
              <w:bidi w:val="0"/>
              <w:spacing w:before="0" w:after="283"/>
              <w:jc w:val="left"/>
              <w:rPr/>
            </w:pPr>
            <w:r>
              <w:rPr/>
              <w:t> </w:t>
            </w:r>
          </w:p>
        </w:tc>
        <w:tc>
          <w:tcPr>
            <w:tcW w:w="17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E5FFFF" w:val="clear"/>
            <w:tcMar>
              <w:bottom w:w="28" w:type="dxa"/>
            </w:tcMar>
            <w:vAlign w:val="center"/>
          </w:tcPr>
          <w:p>
            <w:pPr>
              <w:pStyle w:val="TableContents"/>
              <w:bidi w:val="0"/>
              <w:spacing w:before="0" w:after="283"/>
              <w:jc w:val="right"/>
              <w:rPr/>
            </w:pPr>
            <w:r>
              <w:rPr/>
              <w:t>168,493</w:t>
            </w:r>
          </w:p>
        </w:tc>
        <w:tc>
          <w:tcPr>
            <w:tcW w:w="92" w:type="dxa"/>
            <w:tcBorders/>
            <w:shd w:fill="E5FFFF" w:val="clear"/>
            <w:vAlign w:val="center"/>
          </w:tcPr>
          <w:p>
            <w:pPr>
              <w:pStyle w:val="TableContents"/>
              <w:bidi w:val="0"/>
              <w:spacing w:before="0" w:after="283"/>
              <w:jc w:val="left"/>
              <w:rPr/>
            </w:pPr>
            <w:r>
              <w:rPr/>
              <w:t> </w:t>
            </w:r>
          </w:p>
        </w:tc>
        <w:tc>
          <w:tcPr>
            <w:tcW w:w="92" w:type="dxa"/>
            <w:tcBorders/>
            <w:shd w:fill="E5FFFF" w:val="clear"/>
            <w:vAlign w:val="center"/>
          </w:tcPr>
          <w:p>
            <w:pPr>
              <w:pStyle w:val="TableContents"/>
              <w:bidi w:val="0"/>
              <w:spacing w:before="0" w:after="283"/>
              <w:jc w:val="left"/>
              <w:rPr/>
            </w:pPr>
            <w:r>
              <w:rPr/>
              <w:t> </w:t>
            </w:r>
          </w:p>
        </w:tc>
        <w:tc>
          <w:tcPr>
            <w:tcW w:w="174"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E5FFFF" w:val="clear"/>
            <w:tcMar>
              <w:bottom w:w="28" w:type="dxa"/>
            </w:tcMar>
            <w:vAlign w:val="center"/>
          </w:tcPr>
          <w:p>
            <w:pPr>
              <w:pStyle w:val="TableContents"/>
              <w:bidi w:val="0"/>
              <w:spacing w:before="0" w:after="283"/>
              <w:jc w:val="right"/>
              <w:rPr/>
            </w:pPr>
            <w:r>
              <w:rPr/>
              <w:t>158,563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324,992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5FFFF" w:val="clear"/>
            <w:tcMar>
              <w:bottom w:w="28" w:type="dxa"/>
            </w:tcMar>
            <w:vAlign w:val="center"/>
          </w:tcPr>
          <w:p>
            <w:pPr>
              <w:pStyle w:val="TableContents"/>
              <w:bidi w:val="0"/>
              <w:spacing w:before="0" w:after="283"/>
              <w:jc w:val="right"/>
              <w:rPr/>
            </w:pPr>
            <w:r>
              <w:rPr/>
              <w:t>316,903</w:t>
            </w:r>
          </w:p>
        </w:tc>
        <w:tc>
          <w:tcPr>
            <w:tcW w:w="135" w:type="dxa"/>
            <w:tcBorders/>
            <w:shd w:fill="E5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summarizes selected operating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7"/>
        <w:gridCol w:w="90"/>
        <w:gridCol w:w="173"/>
        <w:gridCol w:w="850"/>
        <w:gridCol w:w="91"/>
        <w:gridCol w:w="91"/>
        <w:gridCol w:w="173"/>
        <w:gridCol w:w="850"/>
        <w:gridCol w:w="90"/>
        <w:gridCol w:w="90"/>
        <w:gridCol w:w="170"/>
        <w:gridCol w:w="830"/>
        <w:gridCol w:w="90"/>
        <w:gridCol w:w="90"/>
        <w:gridCol w:w="170"/>
        <w:gridCol w:w="830"/>
        <w:gridCol w:w="140"/>
      </w:tblGrid>
      <w:tr>
        <w:trPr/>
        <w:tc>
          <w:tcPr>
            <w:tcW w:w="53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8" w:type="dxa"/>
            <w:gridSpan w:val="6"/>
            <w:tcBorders/>
            <w:vAlign w:val="center"/>
          </w:tcPr>
          <w:p>
            <w:pPr>
              <w:pStyle w:val="TableContents"/>
              <w:bidi w:val="0"/>
              <w:spacing w:before="0" w:after="283"/>
              <w:jc w:val="center"/>
              <w:rPr>
                <w:b/>
              </w:rPr>
            </w:pPr>
            <w:r>
              <w:rPr>
                <w:b/>
              </w:rPr>
              <w:t>Three Months Ended</w:t>
              <w:br/>
              <w:t>July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Six Months Ended</w:t>
              <w:br/>
              <w:t>July 31,</w:t>
            </w:r>
          </w:p>
        </w:tc>
        <w:tc>
          <w:tcPr>
            <w:tcW w:w="140" w:type="dxa"/>
            <w:tcBorders/>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3"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3"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5387" w:type="dxa"/>
            <w:tcBorders/>
            <w:shd w:fill="E5FFFF" w:val="clear"/>
            <w:vAlign w:val="center"/>
          </w:tcPr>
          <w:p>
            <w:pPr>
              <w:pStyle w:val="TableContents"/>
              <w:bidi w:val="0"/>
              <w:spacing w:before="0" w:after="283"/>
              <w:jc w:val="left"/>
              <w:rPr/>
            </w:pPr>
            <w:r>
              <w:rPr/>
              <w:t>Average selling price per gallon of ethanol (net of hedging)</w:t>
            </w:r>
          </w:p>
        </w:tc>
        <w:tc>
          <w:tcPr>
            <w:tcW w:w="90"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1.78</w:t>
            </w:r>
          </w:p>
        </w:tc>
        <w:tc>
          <w:tcPr>
            <w:tcW w:w="91" w:type="dxa"/>
            <w:tcBorders/>
            <w:shd w:fill="E5FFFF" w:val="clear"/>
            <w:vAlign w:val="center"/>
          </w:tcPr>
          <w:p>
            <w:pPr>
              <w:pStyle w:val="TableContents"/>
              <w:bidi w:val="0"/>
              <w:spacing w:before="0" w:after="283"/>
              <w:jc w:val="left"/>
              <w:rPr/>
            </w:pPr>
            <w:r>
              <w:rPr/>
              <w:t> </w:t>
            </w:r>
          </w:p>
        </w:tc>
        <w:tc>
          <w:tcPr>
            <w:tcW w:w="91"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1.75</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1.72</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1.75</w:t>
            </w:r>
          </w:p>
        </w:tc>
        <w:tc>
          <w:tcPr>
            <w:tcW w:w="140" w:type="dxa"/>
            <w:tcBorders/>
            <w:shd w:fill="E5FF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pPr>
            <w:r>
              <w:rPr/>
              <w:t>Gallons of ethanol sold (in millions)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70.6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70.6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141.5</w:t>
            </w:r>
          </w:p>
        </w:tc>
        <w:tc>
          <w:tcPr>
            <w:tcW w:w="140" w:type="dxa"/>
            <w:tcBorders/>
            <w:vAlign w:val="center"/>
          </w:tcPr>
          <w:p>
            <w:pPr>
              <w:pStyle w:val="TableContents"/>
              <w:bidi w:val="0"/>
              <w:spacing w:before="0" w:after="283"/>
              <w:jc w:val="left"/>
              <w:rPr/>
            </w:pPr>
            <w:r>
              <w:rPr/>
              <w:t> </w:t>
            </w:r>
          </w:p>
        </w:tc>
      </w:tr>
      <w:tr>
        <w:trPr/>
        <w:tc>
          <w:tcPr>
            <w:tcW w:w="5387" w:type="dxa"/>
            <w:tcBorders/>
            <w:shd w:fill="E5FFFF" w:val="clear"/>
            <w:vAlign w:val="center"/>
          </w:tcPr>
          <w:p>
            <w:pPr>
              <w:pStyle w:val="TableContents"/>
              <w:bidi w:val="0"/>
              <w:spacing w:before="0" w:after="283"/>
              <w:jc w:val="left"/>
              <w:rPr/>
            </w:pPr>
            <w:r>
              <w:rPr/>
              <w:t>Average selling price per ton of dried distillers grains</w:t>
            </w:r>
          </w:p>
        </w:tc>
        <w:tc>
          <w:tcPr>
            <w:tcW w:w="90"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166.55</w:t>
            </w:r>
          </w:p>
        </w:tc>
        <w:tc>
          <w:tcPr>
            <w:tcW w:w="91" w:type="dxa"/>
            <w:tcBorders/>
            <w:shd w:fill="E5FFFF" w:val="clear"/>
            <w:vAlign w:val="center"/>
          </w:tcPr>
          <w:p>
            <w:pPr>
              <w:pStyle w:val="TableContents"/>
              <w:bidi w:val="0"/>
              <w:spacing w:before="0" w:after="283"/>
              <w:jc w:val="left"/>
              <w:rPr/>
            </w:pPr>
            <w:r>
              <w:rPr/>
              <w:t> </w:t>
            </w:r>
          </w:p>
        </w:tc>
        <w:tc>
          <w:tcPr>
            <w:tcW w:w="91"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143.63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161.03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144.66</w:t>
            </w:r>
          </w:p>
        </w:tc>
        <w:tc>
          <w:tcPr>
            <w:tcW w:w="140" w:type="dxa"/>
            <w:tcBorders/>
            <w:shd w:fill="E5FF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pPr>
            <w:r>
              <w:rPr/>
              <w:t>Tons of dried distillers grains sold</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145,081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148,017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300,113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301,027</w:t>
            </w:r>
          </w:p>
        </w:tc>
        <w:tc>
          <w:tcPr>
            <w:tcW w:w="140" w:type="dxa"/>
            <w:tcBorders/>
            <w:vAlign w:val="center"/>
          </w:tcPr>
          <w:p>
            <w:pPr>
              <w:pStyle w:val="TableContents"/>
              <w:bidi w:val="0"/>
              <w:spacing w:before="0" w:after="283"/>
              <w:jc w:val="left"/>
              <w:rPr/>
            </w:pPr>
            <w:r>
              <w:rPr/>
              <w:t> </w:t>
            </w:r>
          </w:p>
        </w:tc>
      </w:tr>
      <w:tr>
        <w:trPr/>
        <w:tc>
          <w:tcPr>
            <w:tcW w:w="5387" w:type="dxa"/>
            <w:tcBorders/>
            <w:shd w:fill="E5FFFF" w:val="clear"/>
            <w:vAlign w:val="center"/>
          </w:tcPr>
          <w:p>
            <w:pPr>
              <w:pStyle w:val="TableContents"/>
              <w:bidi w:val="0"/>
              <w:spacing w:before="0" w:after="283"/>
              <w:jc w:val="left"/>
              <w:rPr/>
            </w:pPr>
            <w:r>
              <w:rPr/>
              <w:t>Average selling price per pound of distillers corn oil</w:t>
            </w:r>
          </w:p>
        </w:tc>
        <w:tc>
          <w:tcPr>
            <w:tcW w:w="90"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0.72</w:t>
            </w:r>
          </w:p>
        </w:tc>
        <w:tc>
          <w:tcPr>
            <w:tcW w:w="91" w:type="dxa"/>
            <w:tcBorders/>
            <w:shd w:fill="E5FFFF" w:val="clear"/>
            <w:vAlign w:val="center"/>
          </w:tcPr>
          <w:p>
            <w:pPr>
              <w:pStyle w:val="TableContents"/>
              <w:bidi w:val="0"/>
              <w:spacing w:before="0" w:after="283"/>
              <w:jc w:val="left"/>
              <w:rPr/>
            </w:pPr>
            <w:r>
              <w:rPr/>
              <w:t> </w:t>
            </w:r>
          </w:p>
        </w:tc>
        <w:tc>
          <w:tcPr>
            <w:tcW w:w="91"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0.54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0.63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0.50</w:t>
            </w:r>
          </w:p>
        </w:tc>
        <w:tc>
          <w:tcPr>
            <w:tcW w:w="140" w:type="dxa"/>
            <w:tcBorders/>
            <w:shd w:fill="E5FF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pPr>
            <w:r>
              <w:rPr/>
              <w:t>Pounds of distillers corn oil sold (in millions)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24.3</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44.5</w:t>
            </w:r>
          </w:p>
        </w:tc>
        <w:tc>
          <w:tcPr>
            <w:tcW w:w="140" w:type="dxa"/>
            <w:tcBorders/>
            <w:vAlign w:val="center"/>
          </w:tcPr>
          <w:p>
            <w:pPr>
              <w:pStyle w:val="TableContents"/>
              <w:bidi w:val="0"/>
              <w:spacing w:before="0" w:after="283"/>
              <w:jc w:val="left"/>
              <w:rPr/>
            </w:pPr>
            <w:r>
              <w:rPr/>
              <w:t> </w:t>
            </w:r>
          </w:p>
        </w:tc>
      </w:tr>
      <w:tr>
        <w:trPr/>
        <w:tc>
          <w:tcPr>
            <w:tcW w:w="5387" w:type="dxa"/>
            <w:tcBorders/>
            <w:shd w:fill="E5FFFF" w:val="clear"/>
            <w:vAlign w:val="center"/>
          </w:tcPr>
          <w:p>
            <w:pPr>
              <w:pStyle w:val="TableContents"/>
              <w:bidi w:val="0"/>
              <w:spacing w:before="0" w:after="283"/>
              <w:jc w:val="left"/>
              <w:rPr/>
            </w:pPr>
            <w:r>
              <w:rPr/>
              <w:t>Average selling price per ton of modified distillers grains</w:t>
            </w:r>
          </w:p>
        </w:tc>
        <w:tc>
          <w:tcPr>
            <w:tcW w:w="90"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65.10</w:t>
            </w:r>
          </w:p>
        </w:tc>
        <w:tc>
          <w:tcPr>
            <w:tcW w:w="91" w:type="dxa"/>
            <w:tcBorders/>
            <w:shd w:fill="E5FFFF" w:val="clear"/>
            <w:vAlign w:val="center"/>
          </w:tcPr>
          <w:p>
            <w:pPr>
              <w:pStyle w:val="TableContents"/>
              <w:bidi w:val="0"/>
              <w:spacing w:before="0" w:after="283"/>
              <w:jc w:val="left"/>
              <w:rPr/>
            </w:pPr>
            <w:r>
              <w:rPr/>
              <w:t> </w:t>
            </w:r>
          </w:p>
        </w:tc>
        <w:tc>
          <w:tcPr>
            <w:tcW w:w="91" w:type="dxa"/>
            <w:tcBorders/>
            <w:shd w:fill="E5FFFF" w:val="clear"/>
            <w:vAlign w:val="center"/>
          </w:tcPr>
          <w:p>
            <w:pPr>
              <w:pStyle w:val="TableContents"/>
              <w:bidi w:val="0"/>
              <w:spacing w:before="0" w:after="283"/>
              <w:jc w:val="left"/>
              <w:rPr/>
            </w:pPr>
            <w:r>
              <w:rPr/>
              <w:t> </w:t>
            </w:r>
          </w:p>
        </w:tc>
        <w:tc>
          <w:tcPr>
            <w:tcW w:w="173" w:type="dxa"/>
            <w:tcBorders/>
            <w:shd w:fill="E5FFFF" w:val="clear"/>
            <w:vAlign w:val="center"/>
          </w:tcPr>
          <w:p>
            <w:pPr>
              <w:pStyle w:val="TableContents"/>
              <w:bidi w:val="0"/>
              <w:spacing w:before="0" w:after="283"/>
              <w:jc w:val="left"/>
              <w:rPr/>
            </w:pPr>
            <w:r>
              <w:rPr/>
              <w:t>$</w:t>
            </w:r>
          </w:p>
        </w:tc>
        <w:tc>
          <w:tcPr>
            <w:tcW w:w="850" w:type="dxa"/>
            <w:tcBorders/>
            <w:shd w:fill="E5FFFF" w:val="clear"/>
            <w:vAlign w:val="center"/>
          </w:tcPr>
          <w:p>
            <w:pPr>
              <w:pStyle w:val="TableContents"/>
              <w:bidi w:val="0"/>
              <w:spacing w:before="0" w:after="283"/>
              <w:jc w:val="right"/>
              <w:rPr/>
            </w:pPr>
            <w:r>
              <w:rPr/>
              <w:t>64.41</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71.24</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30" w:type="dxa"/>
            <w:tcBorders/>
            <w:shd w:fill="E5FFFF" w:val="clear"/>
            <w:vAlign w:val="center"/>
          </w:tcPr>
          <w:p>
            <w:pPr>
              <w:pStyle w:val="TableContents"/>
              <w:bidi w:val="0"/>
              <w:spacing w:before="0" w:after="283"/>
              <w:jc w:val="right"/>
              <w:rPr/>
            </w:pPr>
            <w:r>
              <w:rPr/>
              <w:t>69.21</w:t>
            </w:r>
          </w:p>
        </w:tc>
        <w:tc>
          <w:tcPr>
            <w:tcW w:w="140" w:type="dxa"/>
            <w:tcBorders/>
            <w:shd w:fill="E5FF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pPr>
            <w:r>
              <w:rPr/>
              <w:t>Tons of modified distillers grains sold</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12,465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19,421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25,892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41,515</w:t>
            </w:r>
          </w:p>
        </w:tc>
        <w:tc>
          <w:tcPr>
            <w:tcW w:w="14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Net sales and revenue in the quarter ended July 31, 2026 increased approximately 6% compared to the prior fiscal year second quarter. Net sales and revenue in the six months ended July 31, 2026 increased approximately 3% compared to the first six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Ethanol revenue, net of hedging, increased 2% in the second quarter of fiscal year 2026 compared to the second quarter of fiscal year 2025 as the selling price per gallon increased 2%, while gallons sold remained consistent. Ethanol revenue, net of hedging, decreased 2% in the first six months of fiscal year 2026 compared to the first six months of fiscal year 2025 as the selling price per gallon decreased 2%, while gallons sold remained consistent. Ethanol pricing is affected by many factors, including overall market supply and demand, as well as corn and gasoline pricing.</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37 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Dried distillers grains revenue increased 14% in the second quarter of fiscal year 2026 compared to the second quarter of fiscal year 2025 as there was a 16% increase in the average price per ton sold, offset slightly by a 2% decrease in tons sold. Dried distillers grains revenue increased 11% in the first six months of fiscal year 2026 compared to the first six months of fiscal year 2025 as there was an 11% increase in the average price per ton sold, while tons sold remained consistent. The increase in the dried distillers grains selling price primarily reflects increased soymeal prices, which are often correlated with the price of distillers grains, as well as increased export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Distillers corn oil revenue increased approximately 41% in the second quarter of fiscal year 2026 compared to the second quarter of fiscal year 2025 as the selling price per pound increased 33% and the amount of pounds sold increased 5%. Distillers corn oil revenue increased approximately 36% in the first six months of fiscal year 2026 compared to the first six months of fiscal year 2025 as the selling price per pound increased 26% and the amount of pounds sold increased 8%. The corn oil yield per bushel ground improved at our consolidated ethanol plants in the three and six month periods ended July 31, 2026, relative to the comparable periods in fiscal 2025. The increase in the distillers corn oil selling price resulted primarily from fluctuations in demand in the renewable biodiesel market.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Modified distillers grains revenue decreased 35% in the second quarter of fiscal year 2026 compared to the second quarter of fiscal year 2025 as the amount of tons sold decreased by 36%, offset partially with a 1% increase in the average selling price per ton sold. Modified distillers grains revenue decreased 36% in the first six months of fiscal year 2026 compared to the first six months of fiscal year 2025 as the amount of tons sold decreased by 38%, offset partially with a 3% increase in the average selling price per ton sold. The increase in the modified distillers grains selling price primarily reflects increased soymeal prices, as well as fluctuations in local demand. Our consolidated plants’ decisions to sell modified or dried distillers grains fluctuate from time to time based upon local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has determined that it qualifies for clean fuel production tax credits allowable under the IRA and OBBBA. The benefit recognized is determined based on the Company’s CI score to date. The Company recorded $18.4 million and $26.0 million in 45Z production tax credit income during the three months ended and six months ended July 31, 2026, respectively, and did not record any in the comparable prior fiscal year periods as proposed regulations had not yet been issued. Of the credits recorded in the three months ended July 31, 2026, $5.4 million represented incremental production tax credit income related to the previous quarter as the Company determined it now anticipates monetizing credits earned in fiscal year 2026 and began recognizing the year-to-date credits at a higher rate based upon the revised 45ZCF-GREET model released removing indirect land-use change from the carbon intensity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Cost of sales decreased 7% in the quarter ended July 31, 2026, compared to the prior fiscal year second quarter. Corn accounted for approximately 77% ($102.3 million) of our cost of sales during the second quarter of fiscal year 2026 compared to approximately 74% ($106.5 million) during the second quarter of fiscal year 2025. Natural gas accounted for approximately 4% ($5.4 million) of our cost of sales during the second quarter of fiscal year 2026 and 4% ($5.7 million) in the second quarter of fiscal year 2025. Cost of sales decreased 7% in the six months ended July 31, 2026, compared to the first six months of fiscal year 2025. Corn accounted for approximately 76% ($204.0 million) of our cost of sales during the first six months of fiscal year 2026 compared to approximately 74% ($212.9 million) during the first six months of fiscal year 2025. Natural gas accounted for approximately 5% ($14.1 million) of our cost of sales during the first six months of fiscal year 2026 and 5% ($13.8 million) in the first six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a result of the foregoing, gross profit for the second quarter of fiscal year 2026 increased approximately $39.0 million compared to the prior fiscal year second quarter. Gross profit for the first six</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38 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months of fiscal year 2026 increased approximately $53.7 compared to the first six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 We utilize derivative financial instruments, primarily exchange traded commodity future contracts and swap contracts, in conjunction with certain of our corn procurement activities and commodity marketing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SG&amp;A expenses for the second quarter of fiscal year 2026 were approximately $15.6 million (9.3% of net sales and revenue), an increase of approximately $9.4 million or 152% from approximately $6.2 million (3.9% of net sales and revenue) for the second quarter of fiscal year 2025. SG&amp;A expenses for the first six months of fiscal year 2026 were approximately $25.4 million (7.8% of net sales and revenue), an increase of approximately $13.2 million or 109% from approximately $12.1 million (3.8% of net sales and revenue) for the first six months of fiscal year 2025. The dollar increase compared to the prior year is partially related to a $4.7 million increase and $7.5 million increase in performance bonuses in the three and six months periods ended July 31, 2026, primarily attributable to the increase in net income. Additionally, there was an increase of $3.0 million related to restricted stock awards granted to certain executive officers in the second quarter of 2026, which were expensed upon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During the second quarter of fiscal year 2026, we recognized income from our equity investment in Big River of approximately $7.2 million compared to income of approximately $0.9 million for the second quarter of fiscal year 2025. In the second quarter of fiscal year 2026, approximately $1.8 million of our recognized income from Big River was from Section 45Z tax credits. During the first six months of fiscal year 2026, we recognized income from our equity investment in Big River of approximately $10.8 million compared to income of approximately $1.9 million for the first six months of fiscal year 2025. In the first six months of fiscal year 2026, approximately $3.6 million of our recognized income was from Section 45Z tax credits. Big River did not recognize any benefit from Section 45Z tax credits in the three and six month periods ended July 31, 2025 as proposed regulations had not yet been issued. Our investment in Big River, which has interests in four ethanol production plants, represents an effective ownership of approximately 40.8 million gallons of ethanol shipped in the trailing twelve months ended July 31, 2026. Due to the inherent volatility of commodity prices within the ethanol industry, we cannot predict the likelihood of future operating results from Big River being similar to historical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Interest and other income was approximately $3.2 million for the second quarter of fiscal year 2026 versus approximately $3.1 million for the second quarter of fiscal year 2025. Interest and other income was approximately $6.5 million for the first six months of fiscal year 2026 versus approximately $7.3 million for the first six months of fiscal year 2025. One of our consolidated ethanol plants recognized $0.6 million less in patronage income from an investment in a cooperative in the first six months fiscal year 2026 </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39 </w:t>
      </w:r>
    </w:p>
    <w:p>
      <w:pPr>
        <w:pStyle w:val="TextBody"/>
        <w:bidi w:val="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($0.1 million) compared to the first six months of fiscal year 2025 ($0.7 million). We do not expect patronage income from this investment in a cooperative to be significant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a result of the foregoing, income before income taxes was approximately $48.1 million and $12.1 million for the second quarter of fiscal years 2026 and 2025, respectively. Income before income taxes was approximately $74.2 million and $25.7 million for the first six months of fiscal years 2026 and 2025, respectively.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applies an effective tax rate to interim periods that is consistent with the Company’s estimated annual tax rate as adjusted for discrete items impacting the interim periods. Our income tax provision was approximately $7.5 million and $2.8 million for the three months ended July 31, 2026 and 2025, respectively. Our income tax provision was approximately $11.9 million and $5.7 million for the first six months of fiscal years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a result of the foregoing, net income was approximately $40.6 million for the second quarter of fiscal year 2026 compared to approximately $9.3 million for the second quarter of fiscal year 2025. Net income was approximately $62.3 million for the first six months of fiscal year 2026 compared to approximately $20.0 million for the first six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Net income attributable to noncontrolling interests was approximately $5.7 million for the second quarter of fiscal year 2026 and $2.2 million for the second quarter of fiscal year 2025. Net income attributable to noncontrolling interests was approximately $8.9 million for the first six months of fiscal year 2026 and $4.2 million for the first six months of fiscal year 2025. These amounts represent the other owners’ share of the income of NuGen and One Earth.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a result of the foregoing, net income attributable to REX common shareholders for the second quarter of fiscal year 2026 was approximately $34.9 million, compared to net income attributable to REX common shareholders of approximately $7.1 million for the second quarter of fiscal year 2025. Net income attributable to REX common shareholders from the first six months of fiscal year 2026 was approximately $53.4 million, compared to net income attributable to REX common shareholders of approximately $15.8 million for the first six months of fiscal year 2025.</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40 </w:t>
      </w:r>
    </w:p>
    <w:p>
      <w:pPr>
        <w:pStyle w:val="TextBody"/>
        <w:bidi w:val="0"/>
        <w:spacing w:before="0" w:after="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Summary of Cash Flows and Working Capital (dollar amounts in thousands):</w:t>
      </w:r>
    </w:p>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4775"/>
        <w:gridCol w:w="90"/>
        <w:gridCol w:w="170"/>
        <w:gridCol w:w="980"/>
        <w:gridCol w:w="90"/>
        <w:gridCol w:w="90"/>
        <w:gridCol w:w="170"/>
        <w:gridCol w:w="860"/>
        <w:gridCol w:w="135"/>
      </w:tblGrid>
      <w:tr>
        <w:trPr/>
        <w:tc>
          <w:tcPr>
            <w:tcW w:w="4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0" w:type="dxa"/>
            <w:gridSpan w:val="6"/>
            <w:tcBorders/>
            <w:vAlign w:val="center"/>
          </w:tcPr>
          <w:p>
            <w:pPr>
              <w:pStyle w:val="TableContents"/>
              <w:bidi w:val="0"/>
              <w:spacing w:before="0" w:after="283"/>
              <w:jc w:val="center"/>
              <w:rPr>
                <w:b/>
              </w:rPr>
            </w:pPr>
            <w:r>
              <w:rPr>
                <w:b/>
              </w:rPr>
              <w:t>Six Months Ended</w:t>
              <w:br/>
              <w:t>July 31,</w:t>
            </w:r>
          </w:p>
        </w:tc>
        <w:tc>
          <w:tcPr>
            <w:tcW w:w="13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775" w:type="dxa"/>
            <w:tcBorders/>
            <w:shd w:fill="E5FFFF" w:val="clear"/>
            <w:vAlign w:val="center"/>
          </w:tcPr>
          <w:p>
            <w:pPr>
              <w:pStyle w:val="TableContents"/>
              <w:bidi w:val="0"/>
              <w:spacing w:before="0" w:after="283"/>
              <w:jc w:val="left"/>
              <w:rPr/>
            </w:pPr>
            <w:r>
              <w:rPr/>
              <w:t>Net cash provided by operating activities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980" w:type="dxa"/>
            <w:tcBorders/>
            <w:shd w:fill="E5FFFF" w:val="clear"/>
            <w:vAlign w:val="center"/>
          </w:tcPr>
          <w:p>
            <w:pPr>
              <w:pStyle w:val="TableContents"/>
              <w:bidi w:val="0"/>
              <w:spacing w:before="0" w:after="283"/>
              <w:jc w:val="right"/>
              <w:rPr/>
            </w:pPr>
            <w:r>
              <w:rPr/>
              <w:t>38,023</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60" w:type="dxa"/>
            <w:tcBorders/>
            <w:shd w:fill="E5FFFF" w:val="clear"/>
            <w:vAlign w:val="center"/>
          </w:tcPr>
          <w:p>
            <w:pPr>
              <w:pStyle w:val="TableContents"/>
              <w:bidi w:val="0"/>
              <w:spacing w:before="0" w:after="283"/>
              <w:jc w:val="right"/>
              <w:rPr/>
            </w:pPr>
            <w:r>
              <w:rPr/>
              <w:t>12,808</w:t>
            </w:r>
          </w:p>
        </w:tc>
        <w:tc>
          <w:tcPr>
            <w:tcW w:w="135" w:type="dxa"/>
            <w:tcBorders/>
            <w:shd w:fill="E5FF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Net cash (used in) provided by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(131,495)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67,533</w:t>
            </w:r>
          </w:p>
        </w:tc>
        <w:tc>
          <w:tcPr>
            <w:tcW w:w="135" w:type="dxa"/>
            <w:tcBorders/>
            <w:vAlign w:val="center"/>
          </w:tcPr>
          <w:p>
            <w:pPr>
              <w:pStyle w:val="TableContents"/>
              <w:bidi w:val="0"/>
              <w:spacing w:before="0" w:after="283"/>
              <w:jc w:val="left"/>
              <w:rPr/>
            </w:pPr>
            <w:r>
              <w:rPr/>
              <w:t> </w:t>
            </w:r>
          </w:p>
        </w:tc>
      </w:tr>
      <w:tr>
        <w:trPr/>
        <w:tc>
          <w:tcPr>
            <w:tcW w:w="4775" w:type="dxa"/>
            <w:tcBorders/>
            <w:shd w:fill="E5FFFF" w:val="clear"/>
            <w:vAlign w:val="center"/>
          </w:tcPr>
          <w:p>
            <w:pPr>
              <w:pStyle w:val="TableContents"/>
              <w:bidi w:val="0"/>
              <w:spacing w:before="0" w:after="283"/>
              <w:jc w:val="left"/>
              <w:rPr/>
            </w:pPr>
            <w:r>
              <w:rPr/>
              <w:t>Net cash used in financing activities</w:t>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980" w:type="dxa"/>
            <w:tcBorders/>
            <w:shd w:fill="E5FFFF" w:val="clear"/>
            <w:vAlign w:val="center"/>
          </w:tcPr>
          <w:p>
            <w:pPr>
              <w:pStyle w:val="TableContents"/>
              <w:bidi w:val="0"/>
              <w:spacing w:before="0" w:after="283"/>
              <w:jc w:val="right"/>
              <w:rPr/>
            </w:pPr>
            <w:r>
              <w:rPr/>
              <w:t>(3,934)</w:t>
            </w:r>
          </w:p>
        </w:tc>
        <w:tc>
          <w:tcPr>
            <w:tcW w:w="90" w:type="dxa"/>
            <w:tcBorders/>
            <w:shd w:fill="E5FFFF" w:val="clear"/>
            <w:vAlign w:val="center"/>
          </w:tcPr>
          <w:p>
            <w:pPr>
              <w:pStyle w:val="TableContents"/>
              <w:bidi w:val="0"/>
              <w:spacing w:before="0" w:after="283"/>
              <w:jc w:val="left"/>
              <w:rPr>
                <w:sz w:val="4"/>
                <w:szCs w:val="4"/>
              </w:rPr>
            </w:pPr>
            <w:r>
              <w:rPr>
                <w:sz w:val="4"/>
                <w:szCs w:val="4"/>
              </w:rPr>
            </w:r>
          </w:p>
        </w:tc>
        <w:tc>
          <w:tcPr>
            <w:tcW w:w="90" w:type="dxa"/>
            <w:tcBorders/>
            <w:shd w:fill="E5FFFF" w:val="clear"/>
            <w:vAlign w:val="center"/>
          </w:tcPr>
          <w:p>
            <w:pPr>
              <w:pStyle w:val="TableContents"/>
              <w:bidi w:val="0"/>
              <w:spacing w:before="0" w:after="283"/>
              <w:jc w:val="left"/>
              <w:rPr/>
            </w:pPr>
            <w:r>
              <w:rPr/>
              <w:t> </w:t>
            </w:r>
          </w:p>
        </w:tc>
        <w:tc>
          <w:tcPr>
            <w:tcW w:w="170" w:type="dxa"/>
            <w:tcBorders/>
            <w:shd w:fill="E5FFFF" w:val="clear"/>
            <w:vAlign w:val="center"/>
          </w:tcPr>
          <w:p>
            <w:pPr>
              <w:pStyle w:val="TableContents"/>
              <w:bidi w:val="0"/>
              <w:spacing w:before="0" w:after="283"/>
              <w:jc w:val="left"/>
              <w:rPr/>
            </w:pPr>
            <w:r>
              <w:rPr/>
              <w:t>$</w:t>
            </w:r>
          </w:p>
        </w:tc>
        <w:tc>
          <w:tcPr>
            <w:tcW w:w="860" w:type="dxa"/>
            <w:tcBorders/>
            <w:shd w:fill="E5FFFF" w:val="clear"/>
            <w:vAlign w:val="center"/>
          </w:tcPr>
          <w:p>
            <w:pPr>
              <w:pStyle w:val="TableContents"/>
              <w:bidi w:val="0"/>
              <w:spacing w:before="0" w:after="283"/>
              <w:jc w:val="right"/>
              <w:rPr/>
            </w:pPr>
            <w:r>
              <w:rPr/>
              <w:t>(35,634)</w:t>
            </w:r>
          </w:p>
        </w:tc>
        <w:tc>
          <w:tcPr>
            <w:tcW w:w="135" w:type="dxa"/>
            <w:tcBorders/>
            <w:shd w:fill="E5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1580"/>
        <w:gridCol w:w="90"/>
        <w:gridCol w:w="170"/>
        <w:gridCol w:w="830"/>
        <w:gridCol w:w="90"/>
        <w:gridCol w:w="90"/>
        <w:gridCol w:w="215"/>
        <w:gridCol w:w="1050"/>
        <w:gridCol w:w="135"/>
      </w:tblGrid>
      <w:tr>
        <w:trPr/>
        <w:tc>
          <w:tcPr>
            <w:tcW w:w="1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 xml:space="preserve">July 31,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January 31,</w:t>
              <w:br/>
              <w:t>2026</w:t>
            </w:r>
          </w:p>
        </w:tc>
        <w:tc>
          <w:tcPr>
            <w:tcW w:w="13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Working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391,539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050" w:type="dxa"/>
            <w:tcBorders/>
            <w:vAlign w:val="center"/>
          </w:tcPr>
          <w:p>
            <w:pPr>
              <w:pStyle w:val="TableContents"/>
              <w:bidi w:val="0"/>
              <w:spacing w:before="0" w:after="283"/>
              <w:jc w:val="right"/>
              <w:rPr/>
            </w:pPr>
            <w:r>
              <w:rPr/>
              <w:t>372,451</w:t>
            </w:r>
          </w:p>
        </w:tc>
        <w:tc>
          <w:tcPr>
            <w:tcW w:w="13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Current ratio</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6.9x</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5.9x</w:t>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Net cash provided by operating activities was $38.0 million for the first six months of fiscal year 2026, compared to $12.8 million provided by operating activities in the prior year period.</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Operating cash flows for the six month period ended July 31, 2026 reflected net income of $62.3 million and non-cash adjustments of $11.7 million, and consisted of depreciation, noncash operating lease expense, amortization of finance right-of-use asset, income from equity method investments, interest income from short-term investments, the deferred income tax provision, stock-based compensation expense, and loss on disposal of property and equipment. Big River paid dividends to REX of approximately $2.0 million during the first six months of fiscal year 2026. These inflows were offset by various changes to working capital of $38.1 million during the first six months of fiscal year 2026, most significantly including:</w:t>
      </w:r>
    </w:p>
    <w:p>
      <w:pPr>
        <w:pStyle w:val="TextBody"/>
        <w:bidi w:val="0"/>
        <w:spacing w:before="0" w:after="0"/>
        <w:ind w:left="0" w:right="0" w:firstLine="63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Use of cash of $27.3 million from the increase in prepaid expenses and other, primarily as a result of the recording of production tax credit assets of $26.0 million in fiscal year 2026.</w:t>
            </w:r>
          </w:p>
        </w:tc>
      </w:tr>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Use of cash of $8.8 million from the increase in accounts receivable as a result of the timing of products shipping and the receipt of customer payments at our consolidated ethanol plants.</w:t>
            </w:r>
          </w:p>
        </w:tc>
      </w:tr>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Use of cash of approximately $3.9 million from the decrease in accrued expenses and other liabilities as a result of a reduction in the lease liability of $3.3 million from payments made during the year, and a decrease in accrued utilities of approximately $1.1 million.</w:t>
            </w:r>
          </w:p>
        </w:tc>
      </w:tr>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Cash provided of $3.8 million from the decrease in refundable income taxes due primarily to the accrual of the federal taxes currently payable being more than the estimated federal tax payments made to date. While the Company has tax credits available to offset all amounts owed, the Company is limited to using tax credits for only 75% of federal taxes owed.</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41 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fiscal year 2025, operating cash flow reflected net income of $20.0 million and non-cash adjustments of $11.4 million. Big River paid dividends to REX of approximately $2.5 million during the first six months of fiscal year 2025. These inflows were offset by various changes to working capital of approximately $21.1 million, most significantly caused by:</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Use of cash of approximately $9.9 million due to a decrease in accounts payable, primarily related to the timing of inventory receipts and vendor payments.</w:t>
            </w:r>
          </w:p>
        </w:tc>
      </w:tr>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Use of cash of approximately $5.5 million from the decrease in other liabilities primarily caused by a decrease in accrued payroll which used cash of approximately $4.4 million, due to the timing of annual bonus payments. Additionally, a decrease in the lease liability used cash of $3.0 million based on payments made during the quarter. These decreases are partially offset by an increase in other current liabilities of $1.9 million.</w:t>
            </w:r>
          </w:p>
        </w:tc>
      </w:tr>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Use of cash of approximately $3.3 million due to an increase in accounts receivable as a result of the timing of products shipping and the receipt of customer payments at our consolidated ethanol plants.</w:t>
            </w:r>
          </w:p>
        </w:tc>
      </w:tr>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Use of cash of $2.0 million from the increase in refundable income taxes due primarily to the accrual of the federal taxes currently payable being less than the estimated federal tax payments made to date. While the Company has tax credits available to offset all amounts owed, the Company is limited to using tax credits for only 75% of federal taxes owed.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Net cash used in investing activities was $131.5 million in the first six months of fiscal year 2026 versus $67.5 million provided in the first six months of fiscal year 2025. In fiscal 2026, capital expenditures totaled $35.0 million, primarily at One Earth, which includes the plant expansion project ($27.5 million) and carbon sequestration ($0.8 million). Treasury activity used net cash, as $320.8 million of purchases exceeded $224.0 million of maturities of short term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the first six months of fiscal year 2025, capital expenditures were $28.9 million, primarily for various capital projects at our consolidated ethanol plants, including $9.7 million for the expansion project at the One Earth facility and $2.1 million for the carbon sequestration project. Treasury activity provided net cash, as $90.7 million of purchases were more than offset by $187.0 million of maturities for short-term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Net cash used in financing activities was $3.9 million in the first six months fiscal year 2026, due to $2.2 million paid to noncontrolling interests holders and $1.6 million in repurchases of common shares. In the first six months of fiscal year 2025, financing outflows were $35.6 million, including $33.4 million for stock repurchases, and $2.3 million for payments to noncontrolling interests holders.</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42 </w:t>
      </w:r>
    </w:p>
    <w:p>
      <w:pPr>
        <w:pStyle w:val="TextBody"/>
        <w:bidi w:val="0"/>
        <w:spacing w:before="0" w:after="0"/>
        <w:ind w:left="0" w:right="0" w:hanging="0"/>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working capital was $391.5 million with a current ratio of 6.9x. The Company continues to investigate various uses for our excess cash and short-term investments, including stock repurchases and potential investments in ethanol, energy, carbon sequestration, and agriculture-related ventures.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of July 31, 2026, we had spent $59.1 million since inception and were contractually committed to spend an additional $0.3 million toward the carbon sequestration project. As of July 31, 2026, we had spent $132.1 million since inception and were contractually committed to spend an additional $3.9 million toward the plant capacity expansion project. For all projects, we currently anticipate spending $20 million to $30 million during the remainder of fiscal year 2026. We plan to pay for all expenditures from available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July 31, 2026, 2,320,385 shares remained authorized for repurchase under the Company’s buyback program. Repurchases are generally made when management deems the shares to trade at a discount to intrinsic value.</w:t>
      </w:r>
    </w:p>
    <w:p>
      <w:pPr>
        <w:pStyle w:val="TextBody"/>
        <w:bidi w:val="0"/>
        <w:spacing w:before="0" w:after="0"/>
        <w:ind w:left="0" w:right="0" w:firstLine="72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43 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0" w:name="x1_c117568a009"/>
      <w:bookmarkEnd w:id="10"/>
      <w:r>
        <w:rPr>
          <w:rFonts w:ascii="Times New Roman;Times;Serif" w:hAnsi="Times New Roman;Times;Serif"/>
          <w:b/>
          <w:i w:val="false"/>
          <w:caps w:val="false"/>
          <w:smallCaps w:val="false"/>
          <w:sz w:val="24"/>
        </w:rPr>
        <w:t xml:space="preserve">Item 3. </w:t>
      </w:r>
      <w:r>
        <w:rPr>
          <w:rFonts w:ascii="Times New Roman;Times;Serif" w:hAnsi="Times New Roman;Times;Serif"/>
          <w:b/>
          <w:i/>
          <w:caps w:val="false"/>
          <w:smallCaps w:val="false"/>
          <w:sz w:val="24"/>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are exposed to the impact of market fluctuations associated with commodity prices as discussed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July 31, 2026 and is as follows, assuming normal operating capacity (amounts in thousands):</w:t>
      </w:r>
    </w:p>
    <w:p>
      <w:pPr>
        <w:pStyle w:val="TextBody"/>
        <w:bidi w:val="0"/>
        <w:spacing w:before="0" w:after="0"/>
        <w:ind w:left="0" w:right="0" w:firstLine="720"/>
        <w:jc w:val="left"/>
        <w:rPr>
          <w:caps w:val="false"/>
          <w:smallCaps w:val="false"/>
        </w:rPr>
      </w:pPr>
      <w:r>
        <w:rPr>
          <w:caps w:val="false"/>
          <w:smallCaps w:val="false"/>
        </w:rPr>
        <w:t> </w:t>
      </w:r>
    </w:p>
    <w:tbl>
      <w:tblPr>
        <w:tblW w:w="8135" w:type="dxa"/>
        <w:jc w:val="left"/>
        <w:tblInd w:w="0" w:type="dxa"/>
        <w:tblLayout w:type="fixed"/>
        <w:tblCellMar>
          <w:top w:w="0" w:type="dxa"/>
          <w:left w:w="0" w:type="dxa"/>
          <w:bottom w:w="28" w:type="dxa"/>
          <w:right w:w="0" w:type="dxa"/>
        </w:tblCellMar>
      </w:tblPr>
      <w:tblGrid>
        <w:gridCol w:w="1865"/>
        <w:gridCol w:w="90"/>
        <w:gridCol w:w="1670"/>
        <w:gridCol w:w="90"/>
        <w:gridCol w:w="1700"/>
        <w:gridCol w:w="90"/>
        <w:gridCol w:w="2630"/>
      </w:tblGrid>
      <w:tr>
        <w:trPr/>
        <w:tc>
          <w:tcPr>
            <w:tcW w:w="1865" w:type="dxa"/>
            <w:tcBorders>
              <w:bottom w:val="single" w:sz="2" w:space="0" w:color="000000"/>
            </w:tcBorders>
            <w:vAlign w:val="center"/>
          </w:tcPr>
          <w:p>
            <w:pPr>
              <w:pStyle w:val="TableContents"/>
              <w:bidi w:val="0"/>
              <w:spacing w:before="0" w:after="283"/>
              <w:jc w:val="left"/>
              <w:rPr>
                <w:b/>
              </w:rPr>
            </w:pPr>
            <w:r>
              <w:rPr>
                <w:b/>
              </w:rPr>
              <w:t>Commodity</w:t>
            </w:r>
          </w:p>
        </w:tc>
        <w:tc>
          <w:tcPr>
            <w:tcW w:w="90" w:type="dxa"/>
            <w:tcBorders/>
            <w:tcMar>
              <w:bottom w:w="0" w:type="dxa"/>
            </w:tcMar>
            <w:vAlign w:val="center"/>
          </w:tcPr>
          <w:p>
            <w:pPr>
              <w:pStyle w:val="TableContents"/>
              <w:bidi w:val="0"/>
              <w:spacing w:before="0" w:after="283"/>
              <w:jc w:val="left"/>
              <w:rPr/>
            </w:pPr>
            <w:r>
              <w:rPr/>
              <w:t> </w:t>
            </w:r>
          </w:p>
        </w:tc>
        <w:tc>
          <w:tcPr>
            <w:tcW w:w="1670" w:type="dxa"/>
            <w:tcBorders>
              <w:bottom w:val="single" w:sz="2" w:space="0" w:color="000000"/>
            </w:tcBorders>
            <w:vAlign w:val="center"/>
          </w:tcPr>
          <w:p>
            <w:pPr>
              <w:pStyle w:val="TableContents"/>
              <w:bidi w:val="0"/>
              <w:spacing w:before="0" w:after="283"/>
              <w:jc w:val="right"/>
              <w:rPr>
                <w:b/>
              </w:rPr>
            </w:pPr>
            <w:r>
              <w:rPr>
                <w:b/>
              </w:rPr>
              <w:t>Estimated Total</w:t>
              <w:br/>
              <w:t>Volume for</w:t>
              <w:br/>
              <w:t>12 Months</w:t>
            </w:r>
          </w:p>
        </w:tc>
        <w:tc>
          <w:tcPr>
            <w:tcW w:w="90" w:type="dxa"/>
            <w:tcBorders/>
            <w:tcMar>
              <w:bottom w:w="0" w:type="dxa"/>
            </w:tcMar>
            <w:vAlign w:val="center"/>
          </w:tcPr>
          <w:p>
            <w:pPr>
              <w:pStyle w:val="TableContents"/>
              <w:bidi w:val="0"/>
              <w:spacing w:before="0" w:after="283"/>
              <w:jc w:val="left"/>
              <w:rPr/>
            </w:pPr>
            <w:r>
              <w:rPr/>
              <w:t> </w:t>
            </w:r>
          </w:p>
        </w:tc>
        <w:tc>
          <w:tcPr>
            <w:tcW w:w="1700" w:type="dxa"/>
            <w:tcBorders>
              <w:bottom w:val="single" w:sz="2" w:space="0" w:color="000000"/>
            </w:tcBorders>
            <w:vAlign w:val="center"/>
          </w:tcPr>
          <w:p>
            <w:pPr>
              <w:pStyle w:val="TableContents"/>
              <w:bidi w:val="0"/>
              <w:spacing w:before="0" w:after="283"/>
              <w:jc w:val="right"/>
              <w:rPr>
                <w:b/>
              </w:rPr>
            </w:pPr>
            <w:r>
              <w:rPr>
                <w:b/>
              </w:rPr>
              <w:t>Unit of Measure</w:t>
            </w:r>
          </w:p>
        </w:tc>
        <w:tc>
          <w:tcPr>
            <w:tcW w:w="90" w:type="dxa"/>
            <w:tcBorders/>
            <w:tcMar>
              <w:bottom w:w="0" w:type="dxa"/>
            </w:tcMar>
            <w:vAlign w:val="center"/>
          </w:tcPr>
          <w:p>
            <w:pPr>
              <w:pStyle w:val="TableContents"/>
              <w:bidi w:val="0"/>
              <w:spacing w:before="0" w:after="283"/>
              <w:jc w:val="left"/>
              <w:rPr/>
            </w:pPr>
            <w:r>
              <w:rPr/>
              <w:t> </w:t>
            </w:r>
          </w:p>
        </w:tc>
        <w:tc>
          <w:tcPr>
            <w:tcW w:w="2630" w:type="dxa"/>
            <w:tcBorders>
              <w:bottom w:val="single" w:sz="2" w:space="0" w:color="000000"/>
            </w:tcBorders>
            <w:vAlign w:val="center"/>
          </w:tcPr>
          <w:p>
            <w:pPr>
              <w:pStyle w:val="TableContents"/>
              <w:bidi w:val="0"/>
              <w:spacing w:before="0" w:after="283"/>
              <w:jc w:val="right"/>
              <w:rPr>
                <w:b/>
              </w:rPr>
            </w:pPr>
            <w:r>
              <w:rPr>
                <w:b/>
              </w:rPr>
              <w:t>Decrease in Pre-tax</w:t>
              <w:br/>
              <w:t>Income From a 10%</w:t>
              <w:br/>
              <w:t>Adverse Change in Price</w:t>
            </w:r>
          </w:p>
        </w:tc>
      </w:tr>
      <w:tr>
        <w:trPr/>
        <w:tc>
          <w:tcPr>
            <w:tcW w:w="186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283"/>
              <w:jc w:val="both"/>
              <w:rPr/>
            </w:pPr>
            <w:r>
              <w:rPr/>
              <w:t> </w:t>
            </w:r>
          </w:p>
        </w:tc>
      </w:tr>
      <w:tr>
        <w:trPr/>
        <w:tc>
          <w:tcPr>
            <w:tcW w:w="1865" w:type="dxa"/>
            <w:tcBorders/>
            <w:shd w:fill="E5FFFF" w:val="clear"/>
            <w:tcMar>
              <w:bottom w:w="0" w:type="dxa"/>
            </w:tcMar>
            <w:vAlign w:val="center"/>
          </w:tcPr>
          <w:p>
            <w:pPr>
              <w:pStyle w:val="TableContents"/>
              <w:bidi w:val="0"/>
              <w:spacing w:before="0" w:after="283"/>
              <w:jc w:val="both"/>
              <w:rPr/>
            </w:pPr>
            <w:r>
              <w:rPr/>
              <w:t>Ethanol</w:t>
            </w:r>
          </w:p>
        </w:tc>
        <w:tc>
          <w:tcPr>
            <w:tcW w:w="90" w:type="dxa"/>
            <w:tcBorders/>
            <w:shd w:fill="E5FFFF" w:val="clear"/>
            <w:tcMar>
              <w:bottom w:w="0" w:type="dxa"/>
            </w:tcMar>
            <w:vAlign w:val="center"/>
          </w:tcPr>
          <w:p>
            <w:pPr>
              <w:pStyle w:val="TableContents"/>
              <w:bidi w:val="0"/>
              <w:spacing w:before="0" w:after="283"/>
              <w:jc w:val="left"/>
              <w:rPr/>
            </w:pPr>
            <w:r>
              <w:rPr/>
              <w:t> </w:t>
            </w:r>
          </w:p>
        </w:tc>
        <w:tc>
          <w:tcPr>
            <w:tcW w:w="1670" w:type="dxa"/>
            <w:tcBorders/>
            <w:shd w:fill="E5FFFF" w:val="clear"/>
            <w:tcMar>
              <w:bottom w:w="0" w:type="dxa"/>
            </w:tcMar>
            <w:vAlign w:val="center"/>
          </w:tcPr>
          <w:p>
            <w:pPr>
              <w:pStyle w:val="TableContents"/>
              <w:bidi w:val="0"/>
              <w:spacing w:before="0" w:after="283"/>
              <w:jc w:val="right"/>
              <w:rPr/>
            </w:pPr>
            <w:r>
              <w:rPr/>
              <w:t>320,000</w:t>
            </w:r>
          </w:p>
        </w:tc>
        <w:tc>
          <w:tcPr>
            <w:tcW w:w="90" w:type="dxa"/>
            <w:tcBorders/>
            <w:shd w:fill="E5FFFF" w:val="clear"/>
            <w:tcMar>
              <w:bottom w:w="0" w:type="dxa"/>
            </w:tcMar>
            <w:vAlign w:val="center"/>
          </w:tcPr>
          <w:p>
            <w:pPr>
              <w:pStyle w:val="TableContents"/>
              <w:bidi w:val="0"/>
              <w:spacing w:before="0" w:after="283"/>
              <w:jc w:val="left"/>
              <w:rPr/>
            </w:pPr>
            <w:r>
              <w:rPr/>
              <w:t> </w:t>
            </w:r>
          </w:p>
        </w:tc>
        <w:tc>
          <w:tcPr>
            <w:tcW w:w="1700" w:type="dxa"/>
            <w:tcBorders/>
            <w:shd w:fill="E5FFFF" w:val="clear"/>
            <w:tcMar>
              <w:bottom w:w="0" w:type="dxa"/>
            </w:tcMar>
            <w:vAlign w:val="center"/>
          </w:tcPr>
          <w:p>
            <w:pPr>
              <w:pStyle w:val="TableContents"/>
              <w:bidi w:val="0"/>
              <w:spacing w:before="0" w:after="283"/>
              <w:jc w:val="right"/>
              <w:rPr/>
            </w:pPr>
            <w:r>
              <w:rPr/>
              <w:t>Gallons</w:t>
            </w:r>
          </w:p>
        </w:tc>
        <w:tc>
          <w:tcPr>
            <w:tcW w:w="90" w:type="dxa"/>
            <w:tcBorders/>
            <w:shd w:fill="E5FFFF" w:val="clear"/>
            <w:tcMar>
              <w:bottom w:w="0" w:type="dxa"/>
            </w:tcMar>
            <w:vAlign w:val="center"/>
          </w:tcPr>
          <w:p>
            <w:pPr>
              <w:pStyle w:val="TableContents"/>
              <w:bidi w:val="0"/>
              <w:spacing w:before="0" w:after="283"/>
              <w:jc w:val="left"/>
              <w:rPr/>
            </w:pPr>
            <w:r>
              <w:rPr/>
              <w:t> </w:t>
            </w:r>
          </w:p>
        </w:tc>
        <w:tc>
          <w:tcPr>
            <w:tcW w:w="2630" w:type="dxa"/>
            <w:tcBorders/>
            <w:shd w:fill="E5FFFF" w:val="clear"/>
            <w:tcMar>
              <w:bottom w:w="0" w:type="dxa"/>
            </w:tcMar>
            <w:vAlign w:val="center"/>
          </w:tcPr>
          <w:p>
            <w:pPr>
              <w:pStyle w:val="TableContents"/>
              <w:bidi w:val="0"/>
              <w:spacing w:before="0" w:after="283"/>
              <w:jc w:val="right"/>
              <w:rPr/>
            </w:pPr>
            <w:r>
              <w:rPr/>
              <w:t>$ 59,307</w:t>
            </w:r>
          </w:p>
        </w:tc>
      </w:tr>
      <w:tr>
        <w:trPr/>
        <w:tc>
          <w:tcPr>
            <w:tcW w:w="1865" w:type="dxa"/>
            <w:tcBorders/>
            <w:tcMar>
              <w:bottom w:w="0" w:type="dxa"/>
            </w:tcMar>
            <w:vAlign w:val="center"/>
          </w:tcPr>
          <w:p>
            <w:pPr>
              <w:pStyle w:val="TableContents"/>
              <w:bidi w:val="0"/>
              <w:spacing w:before="0" w:after="283"/>
              <w:jc w:val="both"/>
              <w:rPr/>
            </w:pPr>
            <w:r>
              <w:rPr/>
              <w:t>Corn</w:t>
            </w:r>
          </w:p>
        </w:tc>
        <w:tc>
          <w:tcPr>
            <w:tcW w:w="9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right"/>
              <w:rPr/>
            </w:pPr>
            <w:r>
              <w:rPr/>
              <w:t>110,725</w:t>
            </w:r>
          </w:p>
        </w:tc>
        <w:tc>
          <w:tcPr>
            <w:tcW w:w="9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right"/>
              <w:rPr/>
            </w:pPr>
            <w:r>
              <w:rPr/>
              <w:t>Bushels</w:t>
            </w:r>
          </w:p>
        </w:tc>
        <w:tc>
          <w:tcPr>
            <w:tcW w:w="9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283"/>
              <w:jc w:val="right"/>
              <w:rPr/>
            </w:pPr>
            <w:r>
              <w:rPr/>
              <w:t>$ 42,713</w:t>
            </w:r>
          </w:p>
        </w:tc>
      </w:tr>
      <w:tr>
        <w:trPr/>
        <w:tc>
          <w:tcPr>
            <w:tcW w:w="1865" w:type="dxa"/>
            <w:tcBorders/>
            <w:shd w:fill="E5FFFF" w:val="clear"/>
            <w:tcMar>
              <w:bottom w:w="0" w:type="dxa"/>
            </w:tcMar>
            <w:vAlign w:val="center"/>
          </w:tcPr>
          <w:p>
            <w:pPr>
              <w:pStyle w:val="TableContents"/>
              <w:bidi w:val="0"/>
              <w:spacing w:before="0" w:after="283"/>
              <w:jc w:val="both"/>
              <w:rPr/>
            </w:pPr>
            <w:r>
              <w:rPr/>
              <w:t>Distillers Grains</w:t>
            </w:r>
          </w:p>
        </w:tc>
        <w:tc>
          <w:tcPr>
            <w:tcW w:w="90" w:type="dxa"/>
            <w:tcBorders/>
            <w:shd w:fill="E5FFFF" w:val="clear"/>
            <w:tcMar>
              <w:bottom w:w="0" w:type="dxa"/>
            </w:tcMar>
            <w:vAlign w:val="center"/>
          </w:tcPr>
          <w:p>
            <w:pPr>
              <w:pStyle w:val="TableContents"/>
              <w:bidi w:val="0"/>
              <w:spacing w:before="0" w:after="283"/>
              <w:jc w:val="left"/>
              <w:rPr/>
            </w:pPr>
            <w:r>
              <w:rPr/>
              <w:t> </w:t>
            </w:r>
          </w:p>
        </w:tc>
        <w:tc>
          <w:tcPr>
            <w:tcW w:w="1670" w:type="dxa"/>
            <w:tcBorders/>
            <w:shd w:fill="E5FFFF" w:val="clear"/>
            <w:tcMar>
              <w:bottom w:w="0" w:type="dxa"/>
            </w:tcMar>
            <w:vAlign w:val="center"/>
          </w:tcPr>
          <w:p>
            <w:pPr>
              <w:pStyle w:val="TableContents"/>
              <w:bidi w:val="0"/>
              <w:spacing w:before="0" w:after="283"/>
              <w:jc w:val="right"/>
              <w:rPr/>
            </w:pPr>
            <w:r>
              <w:rPr/>
              <w:t>725</w:t>
            </w:r>
          </w:p>
        </w:tc>
        <w:tc>
          <w:tcPr>
            <w:tcW w:w="90" w:type="dxa"/>
            <w:tcBorders/>
            <w:shd w:fill="E5FFFF" w:val="clear"/>
            <w:tcMar>
              <w:bottom w:w="0" w:type="dxa"/>
            </w:tcMar>
            <w:vAlign w:val="center"/>
          </w:tcPr>
          <w:p>
            <w:pPr>
              <w:pStyle w:val="TableContents"/>
              <w:bidi w:val="0"/>
              <w:spacing w:before="0" w:after="283"/>
              <w:jc w:val="left"/>
              <w:rPr/>
            </w:pPr>
            <w:r>
              <w:rPr/>
              <w:t> </w:t>
            </w:r>
          </w:p>
        </w:tc>
        <w:tc>
          <w:tcPr>
            <w:tcW w:w="1700" w:type="dxa"/>
            <w:tcBorders/>
            <w:shd w:fill="E5FFFF" w:val="clear"/>
            <w:tcMar>
              <w:bottom w:w="0" w:type="dxa"/>
            </w:tcMar>
            <w:vAlign w:val="center"/>
          </w:tcPr>
          <w:p>
            <w:pPr>
              <w:pStyle w:val="TableContents"/>
              <w:bidi w:val="0"/>
              <w:spacing w:before="0" w:after="283"/>
              <w:jc w:val="right"/>
              <w:rPr/>
            </w:pPr>
            <w:r>
              <w:rPr/>
              <w:t>Tons</w:t>
            </w:r>
          </w:p>
        </w:tc>
        <w:tc>
          <w:tcPr>
            <w:tcW w:w="90" w:type="dxa"/>
            <w:tcBorders/>
            <w:shd w:fill="E5FFFF" w:val="clear"/>
            <w:tcMar>
              <w:bottom w:w="0" w:type="dxa"/>
            </w:tcMar>
            <w:vAlign w:val="center"/>
          </w:tcPr>
          <w:p>
            <w:pPr>
              <w:pStyle w:val="TableContents"/>
              <w:bidi w:val="0"/>
              <w:spacing w:before="0" w:after="283"/>
              <w:jc w:val="left"/>
              <w:rPr/>
            </w:pPr>
            <w:r>
              <w:rPr/>
              <w:t> </w:t>
            </w:r>
          </w:p>
        </w:tc>
        <w:tc>
          <w:tcPr>
            <w:tcW w:w="2630" w:type="dxa"/>
            <w:tcBorders/>
            <w:shd w:fill="E5FFFF" w:val="clear"/>
            <w:tcMar>
              <w:bottom w:w="0" w:type="dxa"/>
            </w:tcMar>
            <w:vAlign w:val="center"/>
          </w:tcPr>
          <w:p>
            <w:pPr>
              <w:pStyle w:val="TableContents"/>
              <w:bidi w:val="0"/>
              <w:spacing w:before="0" w:after="283"/>
              <w:jc w:val="right"/>
              <w:rPr/>
            </w:pPr>
            <w:r>
              <w:rPr/>
              <w:t>$ 10,032</w:t>
            </w:r>
          </w:p>
        </w:tc>
      </w:tr>
      <w:tr>
        <w:trPr/>
        <w:tc>
          <w:tcPr>
            <w:tcW w:w="1865" w:type="dxa"/>
            <w:tcBorders/>
            <w:tcMar>
              <w:bottom w:w="0" w:type="dxa"/>
            </w:tcMar>
            <w:vAlign w:val="center"/>
          </w:tcPr>
          <w:p>
            <w:pPr>
              <w:pStyle w:val="TableContents"/>
              <w:bidi w:val="0"/>
              <w:spacing w:before="0" w:after="283"/>
              <w:jc w:val="both"/>
              <w:rPr/>
            </w:pPr>
            <w:r>
              <w:rPr/>
              <w:t xml:space="preserve">Distillers Corn Oil </w:t>
            </w:r>
          </w:p>
        </w:tc>
        <w:tc>
          <w:tcPr>
            <w:tcW w:w="9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right"/>
              <w:rPr/>
            </w:pPr>
            <w:r>
              <w:rPr/>
              <w:t>113,850</w:t>
            </w:r>
          </w:p>
        </w:tc>
        <w:tc>
          <w:tcPr>
            <w:tcW w:w="9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right"/>
              <w:rPr/>
            </w:pPr>
            <w:r>
              <w:rPr/>
              <w:t>Pounds</w:t>
            </w:r>
          </w:p>
        </w:tc>
        <w:tc>
          <w:tcPr>
            <w:tcW w:w="9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283"/>
              <w:jc w:val="right"/>
              <w:rPr/>
            </w:pPr>
            <w:r>
              <w:rPr/>
              <w:t>$   7,528</w:t>
            </w:r>
          </w:p>
        </w:tc>
      </w:tr>
      <w:tr>
        <w:trPr/>
        <w:tc>
          <w:tcPr>
            <w:tcW w:w="1865" w:type="dxa"/>
            <w:tcBorders/>
            <w:shd w:fill="E5FFFF" w:val="clear"/>
            <w:tcMar>
              <w:bottom w:w="0" w:type="dxa"/>
            </w:tcMar>
            <w:vAlign w:val="center"/>
          </w:tcPr>
          <w:p>
            <w:pPr>
              <w:pStyle w:val="TableContents"/>
              <w:bidi w:val="0"/>
              <w:spacing w:before="0" w:after="283"/>
              <w:jc w:val="both"/>
              <w:rPr/>
            </w:pPr>
            <w:r>
              <w:rPr/>
              <w:t>Natural Gas</w:t>
            </w:r>
          </w:p>
        </w:tc>
        <w:tc>
          <w:tcPr>
            <w:tcW w:w="90" w:type="dxa"/>
            <w:tcBorders/>
            <w:shd w:fill="E5FFFF" w:val="clear"/>
            <w:tcMar>
              <w:bottom w:w="0" w:type="dxa"/>
            </w:tcMar>
            <w:vAlign w:val="center"/>
          </w:tcPr>
          <w:p>
            <w:pPr>
              <w:pStyle w:val="TableContents"/>
              <w:bidi w:val="0"/>
              <w:spacing w:before="0" w:after="283"/>
              <w:jc w:val="left"/>
              <w:rPr/>
            </w:pPr>
            <w:r>
              <w:rPr/>
              <w:t> </w:t>
            </w:r>
          </w:p>
        </w:tc>
        <w:tc>
          <w:tcPr>
            <w:tcW w:w="1670" w:type="dxa"/>
            <w:tcBorders/>
            <w:shd w:fill="E5FFFF" w:val="clear"/>
            <w:tcMar>
              <w:bottom w:w="0" w:type="dxa"/>
            </w:tcMar>
            <w:vAlign w:val="center"/>
          </w:tcPr>
          <w:p>
            <w:pPr>
              <w:pStyle w:val="TableContents"/>
              <w:bidi w:val="0"/>
              <w:spacing w:before="0" w:after="283"/>
              <w:jc w:val="right"/>
              <w:rPr/>
            </w:pPr>
            <w:r>
              <w:rPr/>
              <w:t>7,400</w:t>
            </w:r>
          </w:p>
        </w:tc>
        <w:tc>
          <w:tcPr>
            <w:tcW w:w="90" w:type="dxa"/>
            <w:tcBorders/>
            <w:shd w:fill="E5FFFF" w:val="clear"/>
            <w:tcMar>
              <w:bottom w:w="0" w:type="dxa"/>
            </w:tcMar>
            <w:vAlign w:val="center"/>
          </w:tcPr>
          <w:p>
            <w:pPr>
              <w:pStyle w:val="TableContents"/>
              <w:bidi w:val="0"/>
              <w:spacing w:before="0" w:after="283"/>
              <w:jc w:val="left"/>
              <w:rPr/>
            </w:pPr>
            <w:r>
              <w:rPr/>
              <w:t> </w:t>
            </w:r>
          </w:p>
        </w:tc>
        <w:tc>
          <w:tcPr>
            <w:tcW w:w="1700" w:type="dxa"/>
            <w:tcBorders/>
            <w:shd w:fill="E5FFFF" w:val="clear"/>
            <w:tcMar>
              <w:bottom w:w="0" w:type="dxa"/>
            </w:tcMar>
            <w:vAlign w:val="center"/>
          </w:tcPr>
          <w:p>
            <w:pPr>
              <w:pStyle w:val="TableContents"/>
              <w:bidi w:val="0"/>
              <w:spacing w:before="0" w:after="283"/>
              <w:jc w:val="right"/>
              <w:rPr/>
            </w:pPr>
            <w:r>
              <w:rPr/>
              <w:t>MmBtu</w:t>
            </w:r>
          </w:p>
        </w:tc>
        <w:tc>
          <w:tcPr>
            <w:tcW w:w="90" w:type="dxa"/>
            <w:tcBorders/>
            <w:shd w:fill="E5FFFF" w:val="clear"/>
            <w:tcMar>
              <w:bottom w:w="0" w:type="dxa"/>
            </w:tcMar>
            <w:vAlign w:val="center"/>
          </w:tcPr>
          <w:p>
            <w:pPr>
              <w:pStyle w:val="TableContents"/>
              <w:bidi w:val="0"/>
              <w:spacing w:before="0" w:after="283"/>
              <w:jc w:val="left"/>
              <w:rPr/>
            </w:pPr>
            <w:r>
              <w:rPr/>
              <w:t> </w:t>
            </w:r>
          </w:p>
        </w:tc>
        <w:tc>
          <w:tcPr>
            <w:tcW w:w="2630" w:type="dxa"/>
            <w:tcBorders/>
            <w:shd w:fill="E5FFFF" w:val="clear"/>
            <w:tcMar>
              <w:bottom w:w="0" w:type="dxa"/>
            </w:tcMar>
            <w:vAlign w:val="center"/>
          </w:tcPr>
          <w:p>
            <w:pPr>
              <w:pStyle w:val="TableContents"/>
              <w:bidi w:val="0"/>
              <w:spacing w:before="0" w:after="283"/>
              <w:jc w:val="right"/>
              <w:rPr/>
            </w:pPr>
            <w:r>
              <w:rPr/>
              <w:t>$   1,524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4"/>
        </w:rPr>
      </w:pPr>
      <w:bookmarkStart w:id="11" w:name="x1_c117568a010"/>
      <w:bookmarkEnd w:id="11"/>
      <w:r>
        <w:rPr>
          <w:rFonts w:ascii="Times New Roman;Times;Serif" w:hAnsi="Times New Roman;Times;Serif"/>
          <w:b/>
          <w:i w:val="false"/>
          <w:caps w:val="false"/>
          <w:smallCaps w:val="false"/>
          <w:sz w:val="24"/>
        </w:rPr>
        <w:t xml:space="preserve">Item 4. </w:t>
      </w:r>
      <w:r>
        <w:rPr>
          <w:rFonts w:ascii="Times New Roman;Times;Serif" w:hAnsi="Times New Roman;Times;Serif"/>
          <w:b/>
          <w:i/>
          <w:caps w:val="false"/>
          <w:smallCaps w:val="false"/>
          <w:sz w:val="24"/>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There were no changes in our internal control over financial reporting that occurred during our last fiscal quarter that have materially affected, or are reasonably likely to materially affect, our internal control over financial reporting.</w:t>
      </w:r>
    </w:p>
    <w:p>
      <w:pPr>
        <w:pStyle w:val="TextBody"/>
        <w:bidi w:val="0"/>
        <w:spacing w:before="0" w:after="0"/>
        <w:ind w:left="0" w:right="0" w:firstLine="72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44 </w:t>
      </w:r>
    </w:p>
    <w:p>
      <w:pPr>
        <w:pStyle w:val="TextBody"/>
        <w:bidi w:val="0"/>
        <w:spacing w:before="0" w:after="0"/>
        <w:ind w:left="0" w:right="0" w:firstLine="720"/>
        <w:jc w:val="center"/>
        <w:rPr>
          <w:rFonts w:ascii="Times New Roman;Times;Serif" w:hAnsi="Times New Roman;Times;Serif"/>
          <w:b/>
          <w:i w:val="false"/>
          <w:caps w:val="false"/>
          <w:smallCaps w:val="false"/>
          <w:sz w:val="24"/>
        </w:rPr>
      </w:pPr>
      <w:bookmarkStart w:id="12" w:name="x1_c117568a011"/>
      <w:bookmarkEnd w:id="12"/>
      <w:r>
        <w:rPr>
          <w:rFonts w:ascii="Times New Roman;Times;Serif" w:hAnsi="Times New Roman;Times;Serif"/>
          <w:b/>
          <w:i w:val="false"/>
          <w:caps w:val="false"/>
          <w:smallCaps w:val="false"/>
          <w:sz w:val="24"/>
        </w:rPr>
        <w:t>PART II. OTHER INFORMATION</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3" w:name="x1_c117568a012"/>
      <w:bookmarkEnd w:id="13"/>
      <w:r>
        <w:rPr>
          <w:rFonts w:ascii="Times New Roman;Times;Serif" w:hAnsi="Times New Roman;Times;Serif"/>
          <w:b/>
          <w:i w:val="false"/>
          <w:caps w:val="false"/>
          <w:smallCaps w:val="false"/>
          <w:sz w:val="24"/>
        </w:rPr>
        <w:t xml:space="preserve">Item 1. </w:t>
      </w:r>
      <w:r>
        <w:rPr>
          <w:rFonts w:ascii="Times New Roman;Times;Serif" w:hAnsi="Times New Roman;Times;Serif"/>
          <w:b/>
          <w:i/>
          <w:caps w:val="false"/>
          <w:smallCaps w:val="false"/>
          <w:sz w:val="24"/>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are, from time to time, involved in various legal proceedings incidental to the conduct of our business. We believe that any current proceedings will not have a material adverse effect on our financial condition or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4" w:name="x1_c117568a013"/>
      <w:bookmarkEnd w:id="14"/>
      <w:r>
        <w:rPr>
          <w:rFonts w:ascii="Times New Roman;Times;Serif" w:hAnsi="Times New Roman;Times;Serif"/>
          <w:b/>
          <w:i w:val="false"/>
          <w:caps w:val="false"/>
          <w:smallCaps w:val="false"/>
          <w:sz w:val="24"/>
        </w:rPr>
        <w:t xml:space="preserve">Item 1A. </w:t>
      </w:r>
      <w:r>
        <w:rPr>
          <w:rFonts w:ascii="Times New Roman;Times;Serif" w:hAnsi="Times New Roman;Times;Serif"/>
          <w:b/>
          <w:i/>
          <w:caps w:val="false"/>
          <w:smallCaps w:val="false"/>
          <w:sz w:val="24"/>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There have been no material changes to the risk factors discussed in our Annual Report on Form 10-K for the year ended January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5" w:name="x1_c117568a014"/>
      <w:bookmarkEnd w:id="15"/>
      <w:r>
        <w:rPr>
          <w:rFonts w:ascii="Times New Roman;Times;Serif" w:hAnsi="Times New Roman;Times;Serif"/>
          <w:b/>
          <w:i w:val="false"/>
          <w:caps w:val="false"/>
          <w:smallCaps w:val="false"/>
          <w:sz w:val="24"/>
        </w:rPr>
        <w:t xml:space="preserve">Item 2. </w:t>
      </w:r>
      <w:r>
        <w:rPr>
          <w:rFonts w:ascii="Times New Roman;Times;Serif" w:hAnsi="Times New Roman;Times;Serif"/>
          <w:b/>
          <w:i/>
          <w:caps w:val="false"/>
          <w:smallCaps w:val="false"/>
          <w:sz w:val="24"/>
        </w:rPr>
        <w:t xml:space="preserve">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provides information with respect to the Company’s repurchase of its common stock during the period covered by this report:</w:t>
      </w:r>
    </w:p>
    <w:p>
      <w:pPr>
        <w:pStyle w:val="TextBody"/>
        <w:bidi w:val="0"/>
        <w:spacing w:before="0" w:after="0"/>
        <w:ind w:left="0" w:right="0" w:hanging="0"/>
        <w:jc w:val="left"/>
        <w:rPr>
          <w:caps w:val="false"/>
          <w:smallCaps w:val="false"/>
        </w:rPr>
      </w:pPr>
      <w:r>
        <w:rPr>
          <w:caps w:val="false"/>
          <w:smallCaps w:val="false"/>
        </w:rPr>
        <w:t> </w:t>
      </w:r>
    </w:p>
    <w:tbl>
      <w:tblPr>
        <w:tblW w:w="8017" w:type="dxa"/>
        <w:jc w:val="left"/>
        <w:tblInd w:w="0" w:type="dxa"/>
        <w:tblLayout w:type="fixed"/>
        <w:tblCellMar>
          <w:top w:w="0" w:type="dxa"/>
          <w:left w:w="0" w:type="dxa"/>
          <w:bottom w:w="0" w:type="dxa"/>
          <w:right w:w="0" w:type="dxa"/>
        </w:tblCellMar>
      </w:tblPr>
      <w:tblGrid>
        <w:gridCol w:w="1595"/>
        <w:gridCol w:w="90"/>
        <w:gridCol w:w="127"/>
        <w:gridCol w:w="1003"/>
        <w:gridCol w:w="90"/>
        <w:gridCol w:w="90"/>
        <w:gridCol w:w="205"/>
        <w:gridCol w:w="714"/>
        <w:gridCol w:w="90"/>
        <w:gridCol w:w="90"/>
        <w:gridCol w:w="213"/>
        <w:gridCol w:w="1696"/>
        <w:gridCol w:w="90"/>
        <w:gridCol w:w="90"/>
        <w:gridCol w:w="138"/>
        <w:gridCol w:w="1561"/>
        <w:gridCol w:w="135"/>
      </w:tblGrid>
      <w:tr>
        <w:trPr/>
        <w:tc>
          <w:tcPr>
            <w:tcW w:w="8017" w:type="dxa"/>
            <w:gridSpan w:val="17"/>
            <w:tcBorders/>
            <w:vAlign w:val="center"/>
          </w:tcPr>
          <w:p>
            <w:pPr>
              <w:pStyle w:val="TableContents"/>
              <w:bidi w:val="0"/>
              <w:spacing w:before="0" w:after="283"/>
              <w:jc w:val="center"/>
              <w:rPr>
                <w:b/>
              </w:rPr>
            </w:pPr>
            <w:r>
              <w:rPr>
                <w:b/>
              </w:rPr>
              <w:t>Issuer Purchases of Equity Securities</w:t>
            </w:r>
          </w:p>
        </w:tc>
      </w:tr>
      <w:tr>
        <w:trPr/>
        <w:tc>
          <w:tcPr>
            <w:tcW w:w="1595" w:type="dxa"/>
            <w:tcBorders>
              <w:bottom w:val="single" w:sz="2" w:space="0" w:color="000000"/>
            </w:tcBorders>
            <w:tcMar>
              <w:bottom w:w="28" w:type="dxa"/>
            </w:tcMar>
            <w:vAlign w:val="center"/>
          </w:tcPr>
          <w:p>
            <w:pPr>
              <w:pStyle w:val="TableContents"/>
              <w:bidi w:val="0"/>
              <w:spacing w:before="0" w:after="283"/>
              <w:jc w:val="left"/>
              <w:rPr>
                <w:b/>
              </w:rPr>
            </w:pPr>
            <w:r>
              <w:rPr>
                <w:b/>
              </w:rPr>
              <w:t>Period</w:t>
            </w:r>
          </w:p>
        </w:tc>
        <w:tc>
          <w:tcPr>
            <w:tcW w:w="90" w:type="dxa"/>
            <w:tcBorders/>
            <w:vAlign w:val="center"/>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Total</w:t>
              <w:br/>
              <w:t>Number</w:t>
              <w:br/>
              <w:t>of Shares</w:t>
              <w:br/>
              <w:t>Purchased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Average</w:t>
              <w:br/>
              <w:t>Price</w:t>
              <w:br/>
              <w:t>Paid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9" w:type="dxa"/>
            <w:gridSpan w:val="2"/>
            <w:tcBorders>
              <w:bottom w:val="single" w:sz="2" w:space="0" w:color="000000"/>
            </w:tcBorders>
            <w:tcMar>
              <w:bottom w:w="28" w:type="dxa"/>
            </w:tcMar>
            <w:vAlign w:val="center"/>
          </w:tcPr>
          <w:p>
            <w:pPr>
              <w:pStyle w:val="TableContents"/>
              <w:bidi w:val="0"/>
              <w:spacing w:before="0" w:after="283"/>
              <w:jc w:val="center"/>
              <w:rPr>
                <w:b/>
              </w:rPr>
            </w:pPr>
            <w:r>
              <w:rPr>
                <w:b/>
              </w:rPr>
              <w:t>Total Number of</w:t>
              <w:br/>
              <w:t>Shares Purchased</w:t>
              <w:br/>
              <w:t>as Part of Publicly</w:t>
              <w:br/>
              <w:t>Announced Plans</w:t>
              <w:br/>
              <w:t>or Programs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bottom w:val="single" w:sz="2" w:space="0" w:color="000000"/>
            </w:tcBorders>
            <w:tcMar>
              <w:bottom w:w="28" w:type="dxa"/>
            </w:tcMar>
            <w:vAlign w:val="center"/>
          </w:tcPr>
          <w:p>
            <w:pPr>
              <w:pStyle w:val="TableContents"/>
              <w:bidi w:val="0"/>
              <w:spacing w:before="0" w:after="283"/>
              <w:jc w:val="center"/>
              <w:rPr>
                <w:b/>
              </w:rPr>
            </w:pPr>
            <w:r>
              <w:rPr>
                <w:b/>
              </w:rPr>
              <w:t>Maximum</w:t>
              <w:br/>
              <w:t>Number</w:t>
              <w:br/>
              <w:t>of Shares that</w:t>
              <w:br/>
              <w:t>May Yet Be</w:t>
              <w:br/>
              <w:t>Purchased</w:t>
              <w:br/>
              <w:t>Under the Plans</w:t>
              <w:br/>
              <w:t>or Programs (1)</w:t>
            </w:r>
          </w:p>
        </w:tc>
        <w:tc>
          <w:tcPr>
            <w:tcW w:w="135" w:type="dxa"/>
            <w:tcBorders/>
            <w:vAlign w:val="center"/>
          </w:tcPr>
          <w:p>
            <w:pPr>
              <w:pStyle w:val="TableContents"/>
              <w:bidi w:val="0"/>
              <w:spacing w:before="0" w:after="283"/>
              <w:jc w:val="left"/>
              <w:rPr/>
            </w:pPr>
            <w:r>
              <w:rPr/>
              <w:t> </w:t>
            </w:r>
          </w:p>
        </w:tc>
      </w:tr>
      <w:tr>
        <w:trPr/>
        <w:tc>
          <w:tcPr>
            <w:tcW w:w="1595" w:type="dxa"/>
            <w:tcBorders/>
            <w:shd w:fill="E5FFFF" w:val="clear"/>
            <w:vAlign w:val="center"/>
          </w:tcPr>
          <w:p>
            <w:pPr>
              <w:pStyle w:val="TableContents"/>
              <w:bidi w:val="0"/>
              <w:spacing w:before="0" w:after="283"/>
              <w:jc w:val="left"/>
              <w:rPr/>
            </w:pPr>
            <w:r>
              <w:rPr/>
              <w:t>May 1-31, 2026</w:t>
            </w:r>
          </w:p>
        </w:tc>
        <w:tc>
          <w:tcPr>
            <w:tcW w:w="90" w:type="dxa"/>
            <w:tcBorders/>
            <w:shd w:fill="E5FFFF" w:val="clear"/>
            <w:vAlign w:val="center"/>
          </w:tcPr>
          <w:p>
            <w:pPr>
              <w:pStyle w:val="TableContents"/>
              <w:bidi w:val="0"/>
              <w:spacing w:before="0" w:after="283"/>
              <w:jc w:val="left"/>
              <w:rPr/>
            </w:pPr>
            <w:r>
              <w:rPr/>
              <w:t> </w:t>
            </w:r>
          </w:p>
        </w:tc>
        <w:tc>
          <w:tcPr>
            <w:tcW w:w="127" w:type="dxa"/>
            <w:tcBorders/>
            <w:shd w:fill="E5FFFF" w:val="clear"/>
            <w:vAlign w:val="center"/>
          </w:tcPr>
          <w:p>
            <w:pPr>
              <w:pStyle w:val="TableContents"/>
              <w:bidi w:val="0"/>
              <w:spacing w:before="0" w:after="283"/>
              <w:jc w:val="left"/>
              <w:rPr/>
            </w:pPr>
            <w:r>
              <w:rPr/>
              <w:t> </w:t>
            </w:r>
          </w:p>
        </w:tc>
        <w:tc>
          <w:tcPr>
            <w:tcW w:w="1003"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05" w:type="dxa"/>
            <w:tcBorders/>
            <w:shd w:fill="E5FFFF" w:val="clear"/>
            <w:vAlign w:val="center"/>
          </w:tcPr>
          <w:p>
            <w:pPr>
              <w:pStyle w:val="TableContents"/>
              <w:bidi w:val="0"/>
              <w:spacing w:before="0" w:after="283"/>
              <w:jc w:val="left"/>
              <w:rPr/>
            </w:pPr>
            <w:r>
              <w:rPr/>
              <w:t>$</w:t>
            </w:r>
          </w:p>
        </w:tc>
        <w:tc>
          <w:tcPr>
            <w:tcW w:w="714"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13" w:type="dxa"/>
            <w:tcBorders/>
            <w:shd w:fill="E5FFFF" w:val="clear"/>
            <w:vAlign w:val="center"/>
          </w:tcPr>
          <w:p>
            <w:pPr>
              <w:pStyle w:val="TableContents"/>
              <w:bidi w:val="0"/>
              <w:spacing w:before="0" w:after="283"/>
              <w:jc w:val="left"/>
              <w:rPr/>
            </w:pPr>
            <w:r>
              <w:rPr/>
              <w:t> </w:t>
            </w:r>
          </w:p>
        </w:tc>
        <w:tc>
          <w:tcPr>
            <w:tcW w:w="1696" w:type="dxa"/>
            <w:tcBorders/>
            <w:shd w:fill="E5FFFF" w:val="cle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38" w:type="dxa"/>
            <w:tcBorders/>
            <w:shd w:fill="E5FFFF" w:val="clear"/>
            <w:vAlign w:val="center"/>
          </w:tcPr>
          <w:p>
            <w:pPr>
              <w:pStyle w:val="TableContents"/>
              <w:bidi w:val="0"/>
              <w:spacing w:before="0" w:after="283"/>
              <w:jc w:val="left"/>
              <w:rPr/>
            </w:pPr>
            <w:r>
              <w:rPr/>
              <w:t> </w:t>
            </w:r>
          </w:p>
        </w:tc>
        <w:tc>
          <w:tcPr>
            <w:tcW w:w="1561" w:type="dxa"/>
            <w:tcBorders/>
            <w:shd w:fill="E5FFFF" w:val="clear"/>
            <w:vAlign w:val="center"/>
          </w:tcPr>
          <w:p>
            <w:pPr>
              <w:pStyle w:val="TableContents"/>
              <w:bidi w:val="0"/>
              <w:spacing w:before="0" w:after="283"/>
              <w:jc w:val="right"/>
              <w:rPr/>
            </w:pPr>
            <w:r>
              <w:rPr/>
              <w:t>2,357,186</w:t>
            </w:r>
          </w:p>
        </w:tc>
        <w:tc>
          <w:tcPr>
            <w:tcW w:w="135" w:type="dxa"/>
            <w:tcBorders/>
            <w:shd w:fill="E5FF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June 1-30, 2026</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36,801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42.97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right"/>
              <w:rPr/>
            </w:pPr>
            <w:r>
              <w:rPr/>
              <w:t>36,801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right"/>
              <w:rPr/>
            </w:pPr>
            <w:r>
              <w:rPr/>
              <w:t>2,320,385</w:t>
            </w:r>
          </w:p>
        </w:tc>
        <w:tc>
          <w:tcPr>
            <w:tcW w:w="135" w:type="dxa"/>
            <w:tcBorders/>
            <w:vAlign w:val="center"/>
          </w:tcPr>
          <w:p>
            <w:pPr>
              <w:pStyle w:val="TableContents"/>
              <w:bidi w:val="0"/>
              <w:spacing w:before="0" w:after="283"/>
              <w:jc w:val="left"/>
              <w:rPr/>
            </w:pPr>
            <w:r>
              <w:rPr/>
              <w:t> </w:t>
            </w:r>
          </w:p>
        </w:tc>
      </w:tr>
      <w:tr>
        <w:trPr/>
        <w:tc>
          <w:tcPr>
            <w:tcW w:w="1595" w:type="dxa"/>
            <w:tcBorders/>
            <w:shd w:fill="E5FFFF" w:val="clear"/>
            <w:vAlign w:val="center"/>
          </w:tcPr>
          <w:p>
            <w:pPr>
              <w:pStyle w:val="TableContents"/>
              <w:bidi w:val="0"/>
              <w:spacing w:before="0" w:after="283"/>
              <w:jc w:val="left"/>
              <w:rPr/>
            </w:pPr>
            <w:r>
              <w:rPr/>
              <w:t>July 1-31, 2026</w:t>
            </w:r>
          </w:p>
        </w:tc>
        <w:tc>
          <w:tcPr>
            <w:tcW w:w="90" w:type="dxa"/>
            <w:tcBorders/>
            <w:shd w:fill="E5FFFF" w:val="clear"/>
            <w:vAlign w:val="center"/>
          </w:tcPr>
          <w:p>
            <w:pPr>
              <w:pStyle w:val="TableContents"/>
              <w:bidi w:val="0"/>
              <w:spacing w:before="0" w:after="283"/>
              <w:jc w:val="left"/>
              <w:rPr/>
            </w:pPr>
            <w:r>
              <w:rPr/>
              <w:t> </w:t>
            </w:r>
          </w:p>
        </w:tc>
        <w:tc>
          <w:tcPr>
            <w:tcW w:w="127"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003"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05"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714"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213"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696" w:type="dxa"/>
            <w:tcBorders>
              <w:bottom w:val="single" w:sz="2" w:space="0" w:color="000000"/>
            </w:tcBorders>
            <w:shd w:fill="E5FFFF" w:val="clear"/>
            <w:tcMar>
              <w:bottom w:w="28" w:type="dxa"/>
            </w:tcMar>
            <w:vAlign w:val="center"/>
          </w:tcPr>
          <w:p>
            <w:pPr>
              <w:pStyle w:val="TableContents"/>
              <w:bidi w:val="0"/>
              <w:spacing w:before="0" w:after="283"/>
              <w:jc w:val="right"/>
              <w:rPr/>
            </w:pPr>
            <w:r>
              <w:rPr/>
              <w:t>-</w:t>
            </w:r>
          </w:p>
        </w:tc>
        <w:tc>
          <w:tcPr>
            <w:tcW w:w="90" w:type="dxa"/>
            <w:tcBorders/>
            <w:shd w:fill="E5FFFF" w:val="clear"/>
            <w:vAlign w:val="center"/>
          </w:tcPr>
          <w:p>
            <w:pPr>
              <w:pStyle w:val="TableContents"/>
              <w:bidi w:val="0"/>
              <w:spacing w:before="0" w:after="283"/>
              <w:jc w:val="left"/>
              <w:rPr/>
            </w:pPr>
            <w:r>
              <w:rPr/>
              <w:t> </w:t>
            </w:r>
          </w:p>
        </w:tc>
        <w:tc>
          <w:tcPr>
            <w:tcW w:w="90" w:type="dxa"/>
            <w:tcBorders/>
            <w:shd w:fill="E5FFFF" w:val="clear"/>
            <w:vAlign w:val="center"/>
          </w:tcPr>
          <w:p>
            <w:pPr>
              <w:pStyle w:val="TableContents"/>
              <w:bidi w:val="0"/>
              <w:spacing w:before="0" w:after="283"/>
              <w:jc w:val="left"/>
              <w:rPr/>
            </w:pPr>
            <w:r>
              <w:rPr/>
              <w:t> </w:t>
            </w:r>
          </w:p>
        </w:tc>
        <w:tc>
          <w:tcPr>
            <w:tcW w:w="13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561" w:type="dxa"/>
            <w:tcBorders>
              <w:bottom w:val="single" w:sz="2" w:space="0" w:color="000000"/>
            </w:tcBorders>
            <w:shd w:fill="E5FFFF" w:val="clear"/>
            <w:tcMar>
              <w:bottom w:w="28" w:type="dxa"/>
            </w:tcMar>
            <w:vAlign w:val="center"/>
          </w:tcPr>
          <w:p>
            <w:pPr>
              <w:pStyle w:val="TableContents"/>
              <w:bidi w:val="0"/>
              <w:spacing w:before="0" w:after="283"/>
              <w:jc w:val="right"/>
              <w:rPr/>
            </w:pPr>
            <w:r>
              <w:rPr/>
              <w:t>2,320,385</w:t>
            </w:r>
          </w:p>
        </w:tc>
        <w:tc>
          <w:tcPr>
            <w:tcW w:w="135" w:type="dxa"/>
            <w:tcBorders/>
            <w:shd w:fill="E5FF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27" w:type="dxa"/>
            <w:tcBorders>
              <w:bottom w:val="double" w:sz="6" w:space="0" w:color="000000"/>
            </w:tcBorders>
            <w:tcMar>
              <w:bottom w:w="28" w:type="dxa"/>
            </w:tcMar>
            <w:vAlign w:val="center"/>
          </w:tcPr>
          <w:p>
            <w:pPr>
              <w:pStyle w:val="TableContents"/>
              <w:bidi w:val="0"/>
              <w:spacing w:before="0" w:after="283"/>
              <w:jc w:val="left"/>
              <w:rPr/>
            </w:pPr>
            <w:r>
              <w:rPr/>
              <w:t> </w:t>
            </w:r>
          </w:p>
        </w:tc>
        <w:tc>
          <w:tcPr>
            <w:tcW w:w="1003" w:type="dxa"/>
            <w:tcBorders>
              <w:bottom w:val="double" w:sz="6" w:space="0" w:color="000000"/>
            </w:tcBorders>
            <w:tcMar>
              <w:bottom w:w="28" w:type="dxa"/>
            </w:tcMar>
            <w:vAlign w:val="center"/>
          </w:tcPr>
          <w:p>
            <w:pPr>
              <w:pStyle w:val="TableContents"/>
              <w:bidi w:val="0"/>
              <w:spacing w:before="0" w:after="283"/>
              <w:jc w:val="right"/>
              <w:rPr/>
            </w:pPr>
            <w:r>
              <w:rPr/>
              <w:t>36,801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bottom w:val="double" w:sz="6" w:space="0" w:color="000000"/>
            </w:tcBorders>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tcMar>
              <w:bottom w:w="28" w:type="dxa"/>
            </w:tcMar>
            <w:vAlign w:val="center"/>
          </w:tcPr>
          <w:p>
            <w:pPr>
              <w:pStyle w:val="TableContents"/>
              <w:bidi w:val="0"/>
              <w:spacing w:before="0" w:after="283"/>
              <w:jc w:val="right"/>
              <w:rPr/>
            </w:pPr>
            <w:r>
              <w:rPr/>
              <w:t>42.97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bottom w:val="double" w:sz="6" w:space="0" w:color="000000"/>
            </w:tcBorders>
            <w:tcMar>
              <w:bottom w:w="28" w:type="dxa"/>
            </w:tcMar>
            <w:vAlign w:val="center"/>
          </w:tcPr>
          <w:p>
            <w:pPr>
              <w:pStyle w:val="TableContents"/>
              <w:bidi w:val="0"/>
              <w:spacing w:before="0" w:after="283"/>
              <w:jc w:val="left"/>
              <w:rPr/>
            </w:pPr>
            <w:r>
              <w:rPr/>
              <w:t> </w:t>
            </w:r>
          </w:p>
        </w:tc>
        <w:tc>
          <w:tcPr>
            <w:tcW w:w="1696" w:type="dxa"/>
            <w:tcBorders>
              <w:bottom w:val="double" w:sz="6" w:space="0" w:color="000000"/>
            </w:tcBorders>
            <w:tcMar>
              <w:bottom w:w="28" w:type="dxa"/>
            </w:tcMar>
            <w:vAlign w:val="center"/>
          </w:tcPr>
          <w:p>
            <w:pPr>
              <w:pStyle w:val="TableContents"/>
              <w:bidi w:val="0"/>
              <w:spacing w:before="0" w:after="283"/>
              <w:jc w:val="right"/>
              <w:rPr/>
            </w:pPr>
            <w:r>
              <w:rPr/>
              <w:t>36,801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bottom w:val="double" w:sz="6" w:space="0" w:color="000000"/>
            </w:tcBorders>
            <w:tcMar>
              <w:bottom w:w="28" w:type="dxa"/>
            </w:tcMar>
            <w:vAlign w:val="center"/>
          </w:tcPr>
          <w:p>
            <w:pPr>
              <w:pStyle w:val="TableContents"/>
              <w:bidi w:val="0"/>
              <w:spacing w:before="0" w:after="283"/>
              <w:jc w:val="left"/>
              <w:rPr/>
            </w:pPr>
            <w:r>
              <w:rPr/>
              <w:t> </w:t>
            </w:r>
          </w:p>
        </w:tc>
        <w:tc>
          <w:tcPr>
            <w:tcW w:w="1561" w:type="dxa"/>
            <w:tcBorders>
              <w:bottom w:val="double" w:sz="6" w:space="0" w:color="000000"/>
            </w:tcBorders>
            <w:tcMar>
              <w:bottom w:w="28" w:type="dxa"/>
            </w:tcMar>
            <w:vAlign w:val="center"/>
          </w:tcPr>
          <w:p>
            <w:pPr>
              <w:pStyle w:val="TableContents"/>
              <w:bidi w:val="0"/>
              <w:spacing w:before="0" w:after="283"/>
              <w:jc w:val="right"/>
              <w:rPr/>
            </w:pPr>
            <w:r>
              <w:rPr/>
              <w:t>2,320,385</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3"/>
        <w:gridCol w:w="9875"/>
      </w:tblGrid>
      <w:tr>
        <w:trPr/>
        <w:tc>
          <w:tcPr>
            <w:tcW w:w="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875" w:type="dxa"/>
            <w:tcBorders/>
            <w:vAlign w:val="center"/>
          </w:tcPr>
          <w:p>
            <w:pPr>
              <w:pStyle w:val="TableContents"/>
              <w:bidi w:val="0"/>
              <w:spacing w:before="0" w:after="283"/>
              <w:jc w:val="left"/>
              <w:rPr/>
            </w:pPr>
            <w:r>
              <w:rPr/>
              <w:t>On March 25, 2025, the Board of Directors authorized the repurchase from time to time of up to an additional 3,000,000 shares through open market transactions, privately negotiated transactions, or transactions by other means in accordance with applicable securities laws. At July 31, 2026, a total of 2,320,385 shares remained available to purchase under this authorization.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6" w:name="x1_c117568a015"/>
      <w:bookmarkEnd w:id="16"/>
      <w:r>
        <w:rPr>
          <w:rFonts w:ascii="Times New Roman;Times;Serif" w:hAnsi="Times New Roman;Times;Serif"/>
          <w:b/>
          <w:i w:val="false"/>
          <w:caps w:val="false"/>
          <w:smallCaps w:val="false"/>
          <w:sz w:val="24"/>
        </w:rPr>
        <w:t xml:space="preserve">Item 3. </w:t>
      </w:r>
      <w:r>
        <w:rPr>
          <w:rFonts w:ascii="Times New Roman;Times;Serif" w:hAnsi="Times New Roman;Times;Serif"/>
          <w:b/>
          <w:i/>
          <w:caps w:val="false"/>
          <w:smallCaps w:val="false"/>
          <w:sz w:val="24"/>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Applicable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7" w:name="x1_c117568a016"/>
      <w:bookmarkEnd w:id="17"/>
      <w:r>
        <w:rPr>
          <w:rFonts w:ascii="Times New Roman;Times;Serif" w:hAnsi="Times New Roman;Times;Serif"/>
          <w:b/>
          <w:i w:val="false"/>
          <w:caps w:val="false"/>
          <w:smallCaps w:val="false"/>
          <w:sz w:val="24"/>
        </w:rPr>
        <w:t xml:space="preserve">Item 4. </w:t>
      </w:r>
      <w:r>
        <w:rPr>
          <w:rFonts w:ascii="Times New Roman;Times;Serif" w:hAnsi="Times New Roman;Times;Serif"/>
          <w:b/>
          <w:i/>
          <w:caps w:val="false"/>
          <w:smallCaps w:val="false"/>
          <w:sz w:val="24"/>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Applicable</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45 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8" w:name="x1_c117568a017"/>
      <w:bookmarkEnd w:id="18"/>
      <w:r>
        <w:rPr>
          <w:rFonts w:ascii="Times New Roman;Times;Serif" w:hAnsi="Times New Roman;Times;Serif"/>
          <w:b/>
          <w:i w:val="false"/>
          <w:caps w:val="false"/>
          <w:smallCaps w:val="false"/>
          <w:sz w:val="24"/>
        </w:rPr>
        <w:t xml:space="preserve">Item 5. </w:t>
      </w:r>
      <w:r>
        <w:rPr>
          <w:rFonts w:ascii="Times New Roman;Times;Serif" w:hAnsi="Times New Roman;Times;Serif"/>
          <w:b/>
          <w:i/>
          <w:caps w:val="false"/>
          <w:smallCaps w:val="false"/>
          <w:sz w:val="24"/>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During the three month period ended July 31, 2026, no director or officer, as defined in Rule 16a-1(f), adopted or terminated a “Rule 10b5-1 trading arrangement” or a “non-Rule 10b5-1 trading arrangement,” each as defined in Item 408 of Regulation 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bookmarkStart w:id="19" w:name="x1_c117568a018"/>
      <w:bookmarkEnd w:id="19"/>
      <w:r>
        <w:rPr>
          <w:rFonts w:ascii="Times New Roman;Times;Serif" w:hAnsi="Times New Roman;Times;Serif"/>
          <w:b/>
          <w:i w:val="false"/>
          <w:caps w:val="false"/>
          <w:smallCaps w:val="false"/>
          <w:sz w:val="24"/>
        </w:rPr>
        <w:t xml:space="preserve">Item 6. </w:t>
      </w:r>
      <w:r>
        <w:rPr>
          <w:rFonts w:ascii="Times New Roman;Times;Serif" w:hAnsi="Times New Roman;Times;Serif"/>
          <w:b/>
          <w:i/>
          <w:caps w:val="false"/>
          <w:smallCaps w:val="false"/>
          <w:sz w:val="24"/>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exhibits are filed with this report: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463"/>
        <w:gridCol w:w="9637"/>
      </w:tblGrid>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3(a)</w:t>
            </w:r>
          </w:p>
        </w:tc>
        <w:tc>
          <w:tcPr>
            <w:tcW w:w="9637" w:type="dxa"/>
            <w:tcBorders/>
            <w:vAlign w:val="center"/>
          </w:tcPr>
          <w:p>
            <w:pPr>
              <w:pStyle w:val="TableContents"/>
              <w:bidi w:val="0"/>
              <w:spacing w:before="0" w:after="283"/>
              <w:jc w:val="left"/>
              <w:rPr/>
            </w:pPr>
            <w:hyperlink r:id="rId2">
              <w:r>
                <w:rPr>
                  <w:rStyle w:val="InternetLink"/>
                </w:rPr>
                <w:t>Restated Certificate of Incorporation of REX American Resources Corporation (incorporated by reference to Exhibit 3(ii) to the Current Report on Form 8-K filed on June 3, 2026, File No. 001-09097)</w:t>
              </w:r>
            </w:hyperlink>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 </w:t>
            </w:r>
          </w:p>
        </w:tc>
        <w:tc>
          <w:tcPr>
            <w:tcW w:w="9637"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10(a)^</w:t>
            </w:r>
          </w:p>
        </w:tc>
        <w:tc>
          <w:tcPr>
            <w:tcW w:w="9637" w:type="dxa"/>
            <w:tcBorders/>
            <w:vAlign w:val="center"/>
          </w:tcPr>
          <w:p>
            <w:pPr>
              <w:pStyle w:val="TableContents"/>
              <w:bidi w:val="0"/>
              <w:spacing w:before="0" w:after="283"/>
              <w:jc w:val="left"/>
              <w:rPr/>
            </w:pPr>
            <w:hyperlink r:id="rId3">
              <w:r>
                <w:rPr>
                  <w:rStyle w:val="InternetLink"/>
                </w:rPr>
                <w:t>REX American Resources Corporation 2026 Incentive Plan (incorporated by reference to Exhibit 10(a) to the Current Report on Form 8-K filed on June 3, 2026, File No. 001-09097)</w:t>
              </w:r>
            </w:hyperlink>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 </w:t>
            </w:r>
          </w:p>
        </w:tc>
        <w:tc>
          <w:tcPr>
            <w:tcW w:w="9637"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10(b)^</w:t>
            </w:r>
          </w:p>
        </w:tc>
        <w:tc>
          <w:tcPr>
            <w:tcW w:w="9637" w:type="dxa"/>
            <w:tcBorders/>
            <w:vAlign w:val="center"/>
          </w:tcPr>
          <w:p>
            <w:pPr>
              <w:pStyle w:val="TableContents"/>
              <w:bidi w:val="0"/>
              <w:spacing w:before="0" w:after="283"/>
              <w:jc w:val="left"/>
              <w:rPr/>
            </w:pPr>
            <w:hyperlink r:id="rId4">
              <w:r>
                <w:rPr>
                  <w:rStyle w:val="InternetLink"/>
                </w:rPr>
                <w:t>Form of Restricted Stock Award Agreement under the REX American Resources 2026 Incentive Plan (incorporated by reference to Exhibit 10(b) to the Current Report on Form 8-K filed on June 3, 2026, File No. 001-09097)</w:t>
              </w:r>
            </w:hyperlink>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 </w:t>
            </w:r>
          </w:p>
        </w:tc>
        <w:tc>
          <w:tcPr>
            <w:tcW w:w="9637"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10(c)^</w:t>
            </w:r>
          </w:p>
        </w:tc>
        <w:tc>
          <w:tcPr>
            <w:tcW w:w="9637" w:type="dxa"/>
            <w:tcBorders/>
            <w:vAlign w:val="center"/>
          </w:tcPr>
          <w:p>
            <w:pPr>
              <w:pStyle w:val="TableContents"/>
              <w:bidi w:val="0"/>
              <w:spacing w:before="0" w:after="283"/>
              <w:jc w:val="left"/>
              <w:rPr/>
            </w:pPr>
            <w:hyperlink r:id="rId5">
              <w:r>
                <w:rPr>
                  <w:rStyle w:val="InternetLink"/>
                </w:rPr>
                <w:t>Form of Restricted Stock Unit Award Agreement under the REX American Resources 2026 Incentive Plan (incorporated by reference to Exhibit 10(a) to the Current Report on Form 8-K filed on June 12, 2026, File No. 001-09097)</w:t>
              </w:r>
            </w:hyperlink>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 </w:t>
            </w:r>
          </w:p>
        </w:tc>
        <w:tc>
          <w:tcPr>
            <w:tcW w:w="9637"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10(d)^</w:t>
            </w:r>
          </w:p>
        </w:tc>
        <w:tc>
          <w:tcPr>
            <w:tcW w:w="9637" w:type="dxa"/>
            <w:tcBorders/>
            <w:vAlign w:val="center"/>
          </w:tcPr>
          <w:p>
            <w:pPr>
              <w:pStyle w:val="TableContents"/>
              <w:bidi w:val="0"/>
              <w:spacing w:before="0" w:after="283"/>
              <w:jc w:val="left"/>
              <w:rPr/>
            </w:pPr>
            <w:hyperlink r:id="rId6">
              <w:r>
                <w:rPr>
                  <w:rStyle w:val="InternetLink"/>
                </w:rPr>
                <w:t>Employment Agreement dated as of June 29, 2026 between REX Management, Inc. (an indirect wholly-owned subsidiary of the Company) and Stuart A. Rose (incorporated by reference to Exhibit 10.1 to the Current Report on Form 8-K filed on July 1, 2026, File No. 001-09097)</w:t>
              </w:r>
            </w:hyperlink>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 </w:t>
            </w:r>
          </w:p>
        </w:tc>
        <w:tc>
          <w:tcPr>
            <w:tcW w:w="9637"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10(e)^</w:t>
            </w:r>
          </w:p>
        </w:tc>
        <w:tc>
          <w:tcPr>
            <w:tcW w:w="9637" w:type="dxa"/>
            <w:tcBorders/>
            <w:vAlign w:val="center"/>
          </w:tcPr>
          <w:p>
            <w:pPr>
              <w:pStyle w:val="TableContents"/>
              <w:bidi w:val="0"/>
              <w:spacing w:before="0" w:after="283"/>
              <w:jc w:val="left"/>
              <w:rPr/>
            </w:pPr>
            <w:hyperlink r:id="rId7">
              <w:r>
                <w:rPr>
                  <w:rStyle w:val="InternetLink"/>
                </w:rPr>
                <w:t>Employment Agreement dated as of June 29, 2026 between REX Management, Inc. (an indirect wholly-owned subsidiary of the Company) and Zafar A. Rizvi (incorporated by reference to Exhibit 10.2 to the Current Report on Form 8-K filed on July 1, 2026, File No. 001-09097)</w:t>
              </w:r>
            </w:hyperlink>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 </w:t>
            </w:r>
          </w:p>
        </w:tc>
        <w:tc>
          <w:tcPr>
            <w:tcW w:w="9637"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10(f)^</w:t>
            </w:r>
          </w:p>
        </w:tc>
        <w:tc>
          <w:tcPr>
            <w:tcW w:w="9637" w:type="dxa"/>
            <w:tcBorders/>
            <w:vAlign w:val="center"/>
          </w:tcPr>
          <w:p>
            <w:pPr>
              <w:pStyle w:val="TableContents"/>
              <w:bidi w:val="0"/>
              <w:spacing w:before="0" w:after="283"/>
              <w:jc w:val="left"/>
              <w:rPr/>
            </w:pPr>
            <w:hyperlink r:id="rId8">
              <w:r>
                <w:rPr>
                  <w:rStyle w:val="InternetLink"/>
                </w:rPr>
                <w:t>Employment Agreement dated as of June 29, 2026 between REX Management, Inc. (an indirect wholly-owned subsidiary of the Company) and Douglas L. Bruggeman (incorporated by reference to Exhibit 10.3 to the Current Report on Form 8-K filed on July 1, 2026, File No. 001-09097)</w:t>
              </w:r>
            </w:hyperlink>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 </w:t>
            </w:r>
          </w:p>
        </w:tc>
        <w:tc>
          <w:tcPr>
            <w:tcW w:w="9637"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63" w:type="dxa"/>
            <w:tcBorders/>
            <w:vAlign w:val="center"/>
          </w:tcPr>
          <w:p>
            <w:pPr>
              <w:pStyle w:val="TableContents"/>
              <w:bidi w:val="0"/>
              <w:spacing w:before="0" w:after="283"/>
              <w:jc w:val="both"/>
              <w:rPr/>
            </w:pPr>
            <w:r>
              <w:rPr/>
              <w:t>31*</w:t>
            </w:r>
          </w:p>
        </w:tc>
        <w:tc>
          <w:tcPr>
            <w:tcW w:w="9637" w:type="dxa"/>
            <w:tcBorders/>
            <w:vAlign w:val="center"/>
          </w:tcPr>
          <w:p>
            <w:pPr>
              <w:pStyle w:val="TableContents"/>
              <w:bidi w:val="0"/>
              <w:spacing w:before="0" w:after="283"/>
              <w:jc w:val="left"/>
              <w:rPr/>
            </w:pPr>
            <w:hyperlink w:anchor="c117568_ex31.htm">
              <w:r>
                <w:rPr>
                  <w:rStyle w:val="InternetLink"/>
                </w:rPr>
                <w:t>Rule 13a-14(a)/15d-14(a) Certifications</w:t>
              </w:r>
            </w:hyperlink>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46 </w:t>
      </w:r>
    </w:p>
    <w:tbl>
      <w:tblPr>
        <w:tblW w:w="10205" w:type="dxa"/>
        <w:jc w:val="left"/>
        <w:tblInd w:w="0" w:type="dxa"/>
        <w:tblLayout w:type="fixed"/>
        <w:tblCellMar>
          <w:top w:w="0" w:type="dxa"/>
          <w:left w:w="0" w:type="dxa"/>
          <w:bottom w:w="0" w:type="dxa"/>
          <w:right w:w="0" w:type="dxa"/>
        </w:tblCellMar>
      </w:tblPr>
      <w:tblGrid>
        <w:gridCol w:w="105"/>
        <w:gridCol w:w="439"/>
        <w:gridCol w:w="9661"/>
      </w:tblGrid>
      <w:tr>
        <w:trPr/>
        <w:tc>
          <w:tcPr>
            <w:tcW w:w="105" w:type="dxa"/>
            <w:tcBorders/>
            <w:vAlign w:val="center"/>
          </w:tcPr>
          <w:p>
            <w:pPr>
              <w:pStyle w:val="TableContents"/>
              <w:bidi w:val="0"/>
              <w:spacing w:before="0" w:after="283"/>
              <w:jc w:val="both"/>
              <w:rPr/>
            </w:pPr>
            <w:r>
              <w:rPr/>
              <w:t> </w:t>
            </w:r>
          </w:p>
        </w:tc>
        <w:tc>
          <w:tcPr>
            <w:tcW w:w="439" w:type="dxa"/>
            <w:tcBorders/>
            <w:vAlign w:val="center"/>
          </w:tcPr>
          <w:p>
            <w:pPr>
              <w:pStyle w:val="TableContents"/>
              <w:bidi w:val="0"/>
              <w:spacing w:before="0" w:after="283"/>
              <w:jc w:val="both"/>
              <w:rPr/>
            </w:pPr>
            <w:r>
              <w:rPr/>
              <w:t>32**</w:t>
            </w:r>
          </w:p>
        </w:tc>
        <w:tc>
          <w:tcPr>
            <w:tcW w:w="9661" w:type="dxa"/>
            <w:tcBorders/>
            <w:vAlign w:val="center"/>
          </w:tcPr>
          <w:p>
            <w:pPr>
              <w:pStyle w:val="TableContents"/>
              <w:bidi w:val="0"/>
              <w:spacing w:before="0" w:after="283"/>
              <w:jc w:val="left"/>
              <w:rPr/>
            </w:pPr>
            <w:hyperlink w:anchor="c117568_ex32.htm">
              <w:r>
                <w:rPr>
                  <w:rStyle w:val="InternetLink"/>
                </w:rPr>
                <w:t>Section 1350 Certifications</w:t>
              </w:r>
            </w:hyperlink>
          </w:p>
        </w:tc>
      </w:tr>
      <w:tr>
        <w:trPr/>
        <w:tc>
          <w:tcPr>
            <w:tcW w:w="105" w:type="dxa"/>
            <w:tcBorders/>
            <w:vAlign w:val="center"/>
          </w:tcPr>
          <w:p>
            <w:pPr>
              <w:pStyle w:val="TableContents"/>
              <w:bidi w:val="0"/>
              <w:spacing w:before="0" w:after="283"/>
              <w:jc w:val="both"/>
              <w:rPr/>
            </w:pPr>
            <w:r>
              <w:rPr/>
              <w:t> </w:t>
            </w:r>
          </w:p>
        </w:tc>
        <w:tc>
          <w:tcPr>
            <w:tcW w:w="439" w:type="dxa"/>
            <w:tcBorders/>
            <w:vAlign w:val="center"/>
          </w:tcPr>
          <w:p>
            <w:pPr>
              <w:pStyle w:val="TableContents"/>
              <w:bidi w:val="0"/>
              <w:spacing w:before="0" w:after="283"/>
              <w:jc w:val="both"/>
              <w:rPr/>
            </w:pPr>
            <w:r>
              <w:rPr/>
              <w:t> </w:t>
            </w:r>
          </w:p>
        </w:tc>
        <w:tc>
          <w:tcPr>
            <w:tcW w:w="9661"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39" w:type="dxa"/>
            <w:tcBorders/>
            <w:vAlign w:val="center"/>
          </w:tcPr>
          <w:p>
            <w:pPr>
              <w:pStyle w:val="TableContents"/>
              <w:bidi w:val="0"/>
              <w:spacing w:before="0" w:after="283"/>
              <w:jc w:val="both"/>
              <w:rPr/>
            </w:pPr>
            <w:r>
              <w:rPr/>
              <w:t>101*</w:t>
            </w:r>
          </w:p>
        </w:tc>
        <w:tc>
          <w:tcPr>
            <w:tcW w:w="9661" w:type="dxa"/>
            <w:tcBorders/>
            <w:vAlign w:val="center"/>
          </w:tcPr>
          <w:p>
            <w:pPr>
              <w:pStyle w:val="TableContents"/>
              <w:bidi w:val="0"/>
              <w:spacing w:before="0" w:after="283"/>
              <w:jc w:val="left"/>
              <w:rPr/>
            </w:pPr>
            <w:r>
              <w:rPr/>
              <w:t>The following information from REX American Resources Corporation Quarterly Report on Form 10-Q for the quarter ended July 31, 2026, formatted in iXBRL: (i) Consolidated Balance Sheets, (ii) Consolidated Statements of Operations, (iii) Consolidated Statements of Equity, (iv) Consolidated Statements of Cash Flows and (v) Notes to Consolidated Financial Statements.</w:t>
            </w:r>
          </w:p>
        </w:tc>
      </w:tr>
      <w:tr>
        <w:trPr/>
        <w:tc>
          <w:tcPr>
            <w:tcW w:w="105" w:type="dxa"/>
            <w:tcBorders/>
            <w:vAlign w:val="center"/>
          </w:tcPr>
          <w:p>
            <w:pPr>
              <w:pStyle w:val="TableContents"/>
              <w:bidi w:val="0"/>
              <w:spacing w:before="0" w:after="283"/>
              <w:jc w:val="both"/>
              <w:rPr/>
            </w:pPr>
            <w:r>
              <w:rPr/>
              <w:t> </w:t>
            </w:r>
          </w:p>
        </w:tc>
        <w:tc>
          <w:tcPr>
            <w:tcW w:w="439" w:type="dxa"/>
            <w:tcBorders/>
            <w:vAlign w:val="center"/>
          </w:tcPr>
          <w:p>
            <w:pPr>
              <w:pStyle w:val="TableContents"/>
              <w:bidi w:val="0"/>
              <w:spacing w:before="0" w:after="283"/>
              <w:jc w:val="both"/>
              <w:rPr/>
            </w:pPr>
            <w:r>
              <w:rPr/>
              <w:t> </w:t>
            </w:r>
          </w:p>
        </w:tc>
        <w:tc>
          <w:tcPr>
            <w:tcW w:w="9661"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439" w:type="dxa"/>
            <w:tcBorders/>
            <w:vAlign w:val="center"/>
          </w:tcPr>
          <w:p>
            <w:pPr>
              <w:pStyle w:val="TableContents"/>
              <w:bidi w:val="0"/>
              <w:spacing w:before="0" w:after="283"/>
              <w:jc w:val="both"/>
              <w:rPr/>
            </w:pPr>
            <w:r>
              <w:rPr/>
              <w:t>104*</w:t>
            </w:r>
          </w:p>
        </w:tc>
        <w:tc>
          <w:tcPr>
            <w:tcW w:w="9661"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806" w:right="0" w:hanging="806"/>
        <w:jc w:val="both"/>
        <w:rPr>
          <w:caps w:val="false"/>
          <w:smallCaps w:val="false"/>
        </w:rPr>
      </w:pPr>
      <w:r>
        <w:rPr>
          <w:caps w:val="false"/>
          <w:smallCaps w:val="false"/>
        </w:rPr>
        <w:t> </w:t>
      </w:r>
    </w:p>
    <w:p>
      <w:pPr>
        <w:pStyle w:val="TextBody"/>
        <w:bidi w:val="0"/>
        <w:spacing w:before="0" w:after="0"/>
        <w:ind w:left="806" w:right="0" w:hanging="806"/>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Filed herewith.</w:t>
      </w:r>
    </w:p>
    <w:p>
      <w:pPr>
        <w:pStyle w:val="TextBody"/>
        <w:bidi w:val="0"/>
        <w:spacing w:before="0" w:after="0"/>
        <w:ind w:left="216" w:right="0" w:hanging="216"/>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Furnished herewith.</w:t>
      </w:r>
    </w:p>
    <w:p>
      <w:pPr>
        <w:pStyle w:val="TextBody"/>
        <w:bidi w:val="0"/>
        <w:spacing w:before="0" w:after="0"/>
        <w:ind w:left="216" w:right="0" w:hanging="216"/>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Management contract or compensatory plan, contract or arrangement.</w:t>
      </w:r>
    </w:p>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47 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90"/>
        <w:gridCol w:w="3800"/>
      </w:tblGrid>
      <w:tr>
        <w:trPr/>
        <w:tc>
          <w:tcPr>
            <w:tcW w:w="90" w:type="dxa"/>
            <w:tcBorders/>
            <w:vAlign w:val="center"/>
          </w:tcPr>
          <w:p>
            <w:pPr>
              <w:pStyle w:val="TableContents"/>
              <w:bidi w:val="0"/>
              <w:spacing w:before="0" w:after="283"/>
              <w:jc w:val="center"/>
              <w:rPr/>
            </w:pPr>
            <w:r>
              <w:rPr/>
              <w:t> </w:t>
            </w:r>
          </w:p>
        </w:tc>
        <w:tc>
          <w:tcPr>
            <w:tcW w:w="3800" w:type="dxa"/>
            <w:tcBorders/>
            <w:vAlign w:val="center"/>
          </w:tcPr>
          <w:p>
            <w:pPr>
              <w:pStyle w:val="TableContents"/>
              <w:bidi w:val="0"/>
              <w:spacing w:before="0" w:after="283"/>
              <w:jc w:val="left"/>
              <w:rPr/>
            </w:pPr>
            <w:r>
              <w:rPr/>
              <w:t>REX American Resources Corporation</w:t>
              <w:br/>
              <w:t>Registrant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91"/>
        <w:gridCol w:w="90"/>
        <w:gridCol w:w="5697"/>
        <w:gridCol w:w="90"/>
        <w:gridCol w:w="1837"/>
      </w:tblGrid>
      <w:tr>
        <w:trPr/>
        <w:tc>
          <w:tcPr>
            <w:tcW w:w="2491" w:type="dxa"/>
            <w:tcBorders>
              <w:bottom w:val="single" w:sz="2" w:space="0" w:color="000000"/>
            </w:tcBorders>
            <w:vAlign w:val="center"/>
          </w:tcPr>
          <w:p>
            <w:pPr>
              <w:pStyle w:val="TableContents"/>
              <w:bidi w:val="0"/>
              <w:spacing w:before="0" w:after="283"/>
              <w:jc w:val="center"/>
              <w:rPr>
                <w:b/>
              </w:rPr>
            </w:pPr>
            <w:r>
              <w:rPr>
                <w:b/>
              </w:rPr>
              <w:t>Signature</w:t>
            </w:r>
          </w:p>
        </w:tc>
        <w:tc>
          <w:tcPr>
            <w:tcW w:w="90" w:type="dxa"/>
            <w:tcBorders/>
            <w:tcMar>
              <w:bottom w:w="0" w:type="dxa"/>
            </w:tcMar>
            <w:vAlign w:val="center"/>
          </w:tcPr>
          <w:p>
            <w:pPr>
              <w:pStyle w:val="TableContents"/>
              <w:bidi w:val="0"/>
              <w:spacing w:before="0" w:after="283"/>
              <w:jc w:val="center"/>
              <w:rPr/>
            </w:pPr>
            <w:r>
              <w:rPr/>
              <w:t> </w:t>
            </w:r>
          </w:p>
        </w:tc>
        <w:tc>
          <w:tcPr>
            <w:tcW w:w="5697" w:type="dxa"/>
            <w:tcBorders>
              <w:bottom w:val="single" w:sz="2" w:space="0" w:color="000000"/>
            </w:tcBorders>
            <w:vAlign w:val="center"/>
          </w:tcPr>
          <w:p>
            <w:pPr>
              <w:pStyle w:val="TableContents"/>
              <w:bidi w:val="0"/>
              <w:spacing w:before="0" w:after="283"/>
              <w:jc w:val="center"/>
              <w:rPr>
                <w:b/>
              </w:rPr>
            </w:pPr>
            <w:r>
              <w:rPr>
                <w:b/>
              </w:rPr>
              <w:t>Title</w:t>
            </w:r>
          </w:p>
        </w:tc>
        <w:tc>
          <w:tcPr>
            <w:tcW w:w="90" w:type="dxa"/>
            <w:tcBorders/>
            <w:tcMar>
              <w:bottom w:w="0" w:type="dxa"/>
            </w:tcMar>
            <w:vAlign w:val="center"/>
          </w:tcPr>
          <w:p>
            <w:pPr>
              <w:pStyle w:val="TableContents"/>
              <w:bidi w:val="0"/>
              <w:spacing w:before="0" w:after="283"/>
              <w:jc w:val="center"/>
              <w:rPr/>
            </w:pPr>
            <w:r>
              <w:rPr/>
              <w:t> </w:t>
            </w:r>
          </w:p>
        </w:tc>
        <w:tc>
          <w:tcPr>
            <w:tcW w:w="1837" w:type="dxa"/>
            <w:tcBorders>
              <w:bottom w:val="single" w:sz="2" w:space="0" w:color="000000"/>
            </w:tcBorders>
            <w:vAlign w:val="center"/>
          </w:tcPr>
          <w:p>
            <w:pPr>
              <w:pStyle w:val="TableContents"/>
              <w:bidi w:val="0"/>
              <w:spacing w:before="0" w:after="283"/>
              <w:jc w:val="center"/>
              <w:rPr>
                <w:b/>
              </w:rPr>
            </w:pPr>
            <w:r>
              <w:rPr>
                <w:b/>
              </w:rPr>
              <w:t>Date</w:t>
            </w:r>
          </w:p>
        </w:tc>
      </w:tr>
      <w:tr>
        <w:trPr/>
        <w:tc>
          <w:tcPr>
            <w:tcW w:w="2491"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69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37" w:type="dxa"/>
            <w:tcBorders/>
            <w:tcMar>
              <w:bottom w:w="0" w:type="dxa"/>
            </w:tcMar>
            <w:vAlign w:val="center"/>
          </w:tcPr>
          <w:p>
            <w:pPr>
              <w:pStyle w:val="TableContents"/>
              <w:bidi w:val="0"/>
              <w:spacing w:before="0" w:after="283"/>
              <w:jc w:val="left"/>
              <w:rPr/>
            </w:pPr>
            <w:r>
              <w:rPr/>
              <w:t> </w:t>
            </w:r>
          </w:p>
        </w:tc>
      </w:tr>
      <w:tr>
        <w:trPr/>
        <w:tc>
          <w:tcPr>
            <w:tcW w:w="2491" w:type="dxa"/>
            <w:tcBorders/>
            <w:tcMar>
              <w:bottom w:w="0" w:type="dxa"/>
            </w:tcMar>
            <w:vAlign w:val="center"/>
          </w:tcPr>
          <w:p>
            <w:pPr>
              <w:pStyle w:val="TableContents"/>
              <w:bidi w:val="0"/>
              <w:spacing w:before="0" w:after="283"/>
              <w:jc w:val="center"/>
              <w:rPr/>
            </w:pPr>
            <w:r>
              <w:rPr>
                <w:u w:val="single"/>
              </w:rPr>
              <w:t>/s/ Zafar A. Rizvi</w:t>
            </w:r>
            <w:r>
              <w:rPr/>
              <w:br/>
              <w:t>(Zafar A. Rizvi)</w:t>
            </w:r>
          </w:p>
        </w:tc>
        <w:tc>
          <w:tcPr>
            <w:tcW w:w="90" w:type="dxa"/>
            <w:tcBorders/>
            <w:tcMar>
              <w:bottom w:w="0" w:type="dxa"/>
            </w:tcMar>
            <w:vAlign w:val="center"/>
          </w:tcPr>
          <w:p>
            <w:pPr>
              <w:pStyle w:val="TableContents"/>
              <w:bidi w:val="0"/>
              <w:spacing w:before="0" w:after="283"/>
              <w:jc w:val="left"/>
              <w:rPr/>
            </w:pPr>
            <w:r>
              <w:rPr/>
              <w:t> </w:t>
            </w:r>
          </w:p>
        </w:tc>
        <w:tc>
          <w:tcPr>
            <w:tcW w:w="5697" w:type="dxa"/>
            <w:tcBorders/>
            <w:tcMar>
              <w:bottom w:w="0" w:type="dxa"/>
            </w:tcMar>
            <w:vAlign w:val="center"/>
          </w:tcPr>
          <w:p>
            <w:pPr>
              <w:pStyle w:val="TableContents"/>
              <w:bidi w:val="0"/>
              <w:spacing w:before="0" w:after="283"/>
              <w:jc w:val="left"/>
              <w:rPr/>
            </w:pPr>
            <w:r>
              <w:rPr/>
              <w:t>Chief Executive Officer and President</w:t>
              <w:br/>
              <w:t>(Principal Executive Officer)</w:t>
            </w:r>
          </w:p>
        </w:tc>
        <w:tc>
          <w:tcPr>
            <w:tcW w:w="90" w:type="dxa"/>
            <w:tcBorders/>
            <w:tcMar>
              <w:bottom w:w="0" w:type="dxa"/>
            </w:tcMar>
            <w:vAlign w:val="center"/>
          </w:tcPr>
          <w:p>
            <w:pPr>
              <w:pStyle w:val="TableContents"/>
              <w:bidi w:val="0"/>
              <w:spacing w:before="0" w:after="283"/>
              <w:jc w:val="right"/>
              <w:rPr/>
            </w:pPr>
            <w:r>
              <w:rPr/>
              <w:t> </w:t>
            </w:r>
          </w:p>
        </w:tc>
        <w:tc>
          <w:tcPr>
            <w:tcW w:w="1837" w:type="dxa"/>
            <w:tcBorders/>
            <w:tcMar>
              <w:bottom w:w="0" w:type="dxa"/>
            </w:tcMar>
            <w:vAlign w:val="center"/>
          </w:tcPr>
          <w:p>
            <w:pPr>
              <w:pStyle w:val="TableContents"/>
              <w:bidi w:val="0"/>
              <w:spacing w:before="0" w:after="283"/>
              <w:jc w:val="center"/>
              <w:rPr/>
            </w:pPr>
            <w:r>
              <w:rPr/>
              <w:t>September 3, 2026</w:t>
            </w:r>
          </w:p>
        </w:tc>
      </w:tr>
      <w:tr>
        <w:trPr/>
        <w:tc>
          <w:tcPr>
            <w:tcW w:w="24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9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837" w:type="dxa"/>
            <w:tcBorders/>
            <w:tcMar>
              <w:bottom w:w="0" w:type="dxa"/>
            </w:tcMar>
            <w:vAlign w:val="center"/>
          </w:tcPr>
          <w:p>
            <w:pPr>
              <w:pStyle w:val="TableContents"/>
              <w:bidi w:val="0"/>
              <w:spacing w:before="0" w:after="283"/>
              <w:jc w:val="right"/>
              <w:rPr/>
            </w:pPr>
            <w:r>
              <w:rPr/>
              <w:t> </w:t>
            </w:r>
          </w:p>
        </w:tc>
      </w:tr>
      <w:tr>
        <w:trPr/>
        <w:tc>
          <w:tcPr>
            <w:tcW w:w="2491" w:type="dxa"/>
            <w:tcBorders/>
            <w:tcMar>
              <w:bottom w:w="0" w:type="dxa"/>
            </w:tcMar>
            <w:vAlign w:val="center"/>
          </w:tcPr>
          <w:p>
            <w:pPr>
              <w:pStyle w:val="TableContents"/>
              <w:bidi w:val="0"/>
              <w:spacing w:before="0" w:after="283"/>
              <w:jc w:val="center"/>
              <w:rPr/>
            </w:pPr>
            <w:r>
              <w:rPr>
                <w:u w:val="single"/>
              </w:rPr>
              <w:t>/s/ Douglas L. Bruggeman</w:t>
            </w:r>
            <w:r>
              <w:rPr/>
              <w:br/>
              <w:t>(Douglas L. Bruggeman)</w:t>
            </w:r>
          </w:p>
        </w:tc>
        <w:tc>
          <w:tcPr>
            <w:tcW w:w="90" w:type="dxa"/>
            <w:tcBorders/>
            <w:tcMar>
              <w:bottom w:w="0" w:type="dxa"/>
            </w:tcMar>
            <w:vAlign w:val="center"/>
          </w:tcPr>
          <w:p>
            <w:pPr>
              <w:pStyle w:val="TableContents"/>
              <w:bidi w:val="0"/>
              <w:spacing w:before="0" w:after="283"/>
              <w:jc w:val="left"/>
              <w:rPr/>
            </w:pPr>
            <w:r>
              <w:rPr/>
              <w:t> </w:t>
            </w:r>
          </w:p>
        </w:tc>
        <w:tc>
          <w:tcPr>
            <w:tcW w:w="5697" w:type="dxa"/>
            <w:tcBorders/>
            <w:tcMar>
              <w:bottom w:w="0" w:type="dxa"/>
            </w:tcMar>
            <w:vAlign w:val="center"/>
          </w:tcPr>
          <w:p>
            <w:pPr>
              <w:pStyle w:val="TableContents"/>
              <w:bidi w:val="0"/>
              <w:spacing w:before="0" w:after="283"/>
              <w:jc w:val="left"/>
              <w:rPr/>
            </w:pPr>
            <w:r>
              <w:rPr/>
              <w:t>Vice President-Finance, Chief Financial Officer and Treasurer</w:t>
              <w:br/>
              <w:t>(Principal Financial and Accounting Officer)</w:t>
            </w:r>
          </w:p>
        </w:tc>
        <w:tc>
          <w:tcPr>
            <w:tcW w:w="90" w:type="dxa"/>
            <w:tcBorders/>
            <w:tcMar>
              <w:bottom w:w="0" w:type="dxa"/>
            </w:tcMar>
            <w:vAlign w:val="center"/>
          </w:tcPr>
          <w:p>
            <w:pPr>
              <w:pStyle w:val="TableContents"/>
              <w:bidi w:val="0"/>
              <w:spacing w:before="0" w:after="283"/>
              <w:jc w:val="right"/>
              <w:rPr/>
            </w:pPr>
            <w:r>
              <w:rPr/>
              <w:t> </w:t>
            </w:r>
          </w:p>
        </w:tc>
        <w:tc>
          <w:tcPr>
            <w:tcW w:w="1837" w:type="dxa"/>
            <w:tcBorders/>
            <w:tcMar>
              <w:bottom w:w="0" w:type="dxa"/>
            </w:tcMar>
            <w:vAlign w:val="center"/>
          </w:tcPr>
          <w:p>
            <w:pPr>
              <w:pStyle w:val="TableContents"/>
              <w:bidi w:val="0"/>
              <w:spacing w:before="0" w:after="283"/>
              <w:jc w:val="center"/>
              <w:rPr/>
            </w:pPr>
            <w:r>
              <w:rPr/>
              <w:t>September 3, 2026</w:t>
            </w:r>
          </w:p>
        </w:tc>
      </w:tr>
    </w:tbl>
    <w:p>
      <w:pPr>
        <w:pStyle w:val="TextBody"/>
        <w:bidi w:val="0"/>
        <w:spacing w:before="0" w:after="0"/>
        <w:jc w:val="center"/>
        <w:rPr>
          <w:rFonts w:ascii="Times New Roman;Times;Serif" w:hAnsi="Times New Roman;Times;Serif"/>
          <w:b w:val="false"/>
          <w:i w:val="false"/>
          <w:caps w:val="false"/>
          <w:smallCaps w:val="false"/>
          <w:sz w:val="24"/>
          <w:bdr w:val="single" w:sz="24" w:space="12" w:color="C0C0C0"/>
        </w:rPr>
      </w:pPr>
      <w:r>
        <w:rPr>
          <w:rFonts w:ascii="Times New Roman;Times;Serif" w:hAnsi="Times New Roman;Times;Serif"/>
          <w:b w:val="false"/>
          <w:i w:val="false"/>
          <w:caps w:val="false"/>
          <w:smallCaps w:val="false"/>
          <w:sz w:val="24"/>
          <w:bdr w:val="single" w:sz="24" w:space="12" w:color="C0C0C0"/>
        </w:rPr>
        <w:t>48 </w:t>
      </w:r>
    </w:p>
    <w:p>
      <w:pPr>
        <w:pStyle w:val="TextBody"/>
        <w:bidi w:val="0"/>
        <w:jc w:val="right"/>
        <w:rPr>
          <w:rFonts w:ascii="Times New Roman;Times;Serif" w:hAnsi="Times New Roman;Times;Serif"/>
          <w:b/>
          <w:i w:val="false"/>
          <w:caps w:val="false"/>
          <w:smallCaps w:val="false"/>
          <w:sz w:val="20"/>
        </w:rPr>
      </w:pPr>
      <w:bookmarkStart w:id="20" w:name="c117568_ex31.htm"/>
      <w:bookmarkStart w:id="21" w:name="ksc117568_ex31"/>
      <w:bookmarkEnd w:id="20"/>
      <w:bookmarkEnd w:id="21"/>
      <w:r>
        <w:rPr>
          <w:rFonts w:ascii="Times New Roman;Times;Serif" w:hAnsi="Times New Roman;Times;Serif"/>
          <w:b/>
          <w:i w:val="false"/>
          <w:caps w:val="false"/>
          <w:smallCaps w:val="false"/>
          <w:sz w:val="20"/>
        </w:rPr>
        <w:t>Exhibit 31</w:t>
      </w:r>
      <w:r>
        <w:br w:type="page"/>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Zafar A. Rizvi, certify that:</w:t>
      </w:r>
    </w:p>
    <w:p>
      <w:pPr>
        <w:pStyle w:val="TextBody"/>
        <w:bidi w:val="0"/>
        <w:jc w:val="left"/>
        <w:rPr>
          <w:caps w:val="false"/>
          <w:smallCaps w:val="false"/>
        </w:rPr>
      </w:pPr>
      <w:r>
        <w:rPr>
          <w:caps w:val="false"/>
          <w:smallCaps w:val="false"/>
        </w:rPr>
        <w:t> </w:t>
      </w:r>
    </w:p>
    <w:p>
      <w:pPr>
        <w:pStyle w:val="TextBody"/>
        <w:bidi w:val="0"/>
        <w:ind w:left="86" w:right="0" w:firstLine="63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REX American Resources Corporation;</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ind w:left="720" w:right="0" w:firstLine="36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left"/>
        <w:rPr>
          <w:caps w:val="false"/>
          <w:smallCaps w:val="false"/>
        </w:rPr>
      </w:pPr>
      <w:r>
        <w:rPr>
          <w:caps w:val="false"/>
          <w:smallCaps w:val="false"/>
        </w:rPr>
        <w:t> </w:t>
      </w:r>
    </w:p>
    <w:tbl>
      <w:tblPr>
        <w:tblW w:w="3755" w:type="dxa"/>
        <w:jc w:val="left"/>
        <w:tblInd w:w="0" w:type="dxa"/>
        <w:tblLayout w:type="fixed"/>
        <w:tblCellMar>
          <w:top w:w="0" w:type="dxa"/>
          <w:left w:w="0" w:type="dxa"/>
          <w:bottom w:w="0" w:type="dxa"/>
          <w:right w:w="0" w:type="dxa"/>
        </w:tblCellMar>
      </w:tblPr>
      <w:tblGrid>
        <w:gridCol w:w="75"/>
        <w:gridCol w:w="3605"/>
        <w:gridCol w:w="75"/>
      </w:tblGrid>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/s/ Zafar A. Rizvi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Zafar A. Rizvi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i/>
              </w:rPr>
            </w:pPr>
            <w:r>
              <w:rPr>
                <w:i/>
              </w:rPr>
              <w:t>Chief Executive Officer and President</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L. Bruggeman, certify that: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REX American Resources Corporation;</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ind w:left="720" w:right="0" w:firstLine="36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740"/>
        <w:gridCol w:w="75"/>
      </w:tblGrid>
      <w:tr>
        <w:trPr/>
        <w:tc>
          <w:tcPr>
            <w:tcW w:w="7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/s/ Douglas L. Bruggeman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Douglas L. Bruggeman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3740" w:type="dxa"/>
            <w:tcBorders/>
            <w:vAlign w:val="center"/>
          </w:tcPr>
          <w:p>
            <w:pPr>
              <w:pStyle w:val="TableContents"/>
              <w:bidi w:val="0"/>
              <w:spacing w:before="0" w:after="283"/>
              <w:jc w:val="left"/>
              <w:rPr>
                <w:i/>
              </w:rPr>
            </w:pPr>
            <w:r>
              <w:rPr>
                <w:i/>
              </w:rPr>
              <w:t>Vice President-Finance, Treasurer and</w:t>
              <w:br/>
              <w:t>Chief Financial Officer</w:t>
            </w:r>
          </w:p>
        </w:tc>
        <w:tc>
          <w:tcPr>
            <w:tcW w:w="75"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rFonts w:ascii="Times New Roman;Times;Serif" w:hAnsi="Times New Roman;Times;Serif"/>
          <w:b/>
          <w:i w:val="false"/>
          <w:caps w:val="false"/>
          <w:smallCaps w:val="false"/>
          <w:sz w:val="20"/>
        </w:rPr>
      </w:pPr>
      <w:bookmarkStart w:id="22" w:name="c117568_ex32.htm"/>
      <w:bookmarkStart w:id="23" w:name="ksc117568_ex32"/>
      <w:bookmarkEnd w:id="22"/>
      <w:bookmarkEnd w:id="23"/>
      <w:r>
        <w:rPr>
          <w:rFonts w:ascii="Times New Roman;Times;Serif" w:hAnsi="Times New Roman;Times;Serif"/>
          <w:b/>
          <w:i w:val="false"/>
          <w:caps w:val="false"/>
          <w:smallCaps w:val="false"/>
          <w:sz w:val="20"/>
        </w:rPr>
        <w:t>Exhibit 32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REX American Resources 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18 U.S.C. SECTION 1350, AS ADOPTED BY SECTION 906 </w:t>
        <w:br/>
        <w:t>OF THE SARBANES-OXLEY ACT OF 2002</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officers of REX American Resources Corporation (the “Company”) hereby certify, to their knowledge, that the Company’s Quarterly Report on Form 10-Q for the period ended July 31, 2026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Zafar A. Rizvi</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Zafar A. Rizvi</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President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Douglas L. Bruggeman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L. Bruggeman</w:t>
        <w:tab/>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Vice President-Finance, Treasurer and</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4187/000093041326001789/c116492_ex3-ii.htm" TargetMode="External"/><Relationship Id="rId3" Type="http://schemas.openxmlformats.org/officeDocument/2006/relationships/hyperlink" Target="https://www.sec.gov/Archives/edgar/data/744187/000093041326001789/c116492_ex10-a.htm" TargetMode="External"/><Relationship Id="rId4" Type="http://schemas.openxmlformats.org/officeDocument/2006/relationships/hyperlink" Target="https://www.sec.gov/Archives/edgar/data/744187/000093041326001789/c116492_ex10-b.htm" TargetMode="External"/><Relationship Id="rId5" Type="http://schemas.openxmlformats.org/officeDocument/2006/relationships/hyperlink" Target="https://www.sec.gov/Archives/edgar/data/744187/000093041326001847/c116671_ex-10a.htm" TargetMode="External"/><Relationship Id="rId6" Type="http://schemas.openxmlformats.org/officeDocument/2006/relationships/hyperlink" Target="https://www.sec.gov/Archives/edgar/data/744187/000093041326002006/c116858_ex10-1.htm" TargetMode="External"/><Relationship Id="rId7" Type="http://schemas.openxmlformats.org/officeDocument/2006/relationships/hyperlink" Target="https://www.sec.gov/Archives/edgar/data/744187/000093041326002006/c116858_ex10-2.htm" TargetMode="External"/><Relationship Id="rId8" Type="http://schemas.openxmlformats.org/officeDocument/2006/relationships/hyperlink" Target="https://www.sec.gov/Archives/edgar/data/744187/000093041326002006/c116858_ex10-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18828</Words>
  <Characters>101512</Characters>
  <CharactersWithSpaces>122820</CharactersWithSpaces>
  <Paragraphs>6641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