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580" w:right="1260" w:hanging="572"/>
        <w:spacing w:after="0" w:line="261"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2020</w:t>
      </w:r>
    </w:p>
    <w:p>
      <w:pPr>
        <w:ind w:left="578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111760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sectPr>
      </w:pPr>
    </w:p>
    <w:p>
      <w:pPr>
        <w:spacing w:after="0" w:line="34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324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jc w:val="center"/>
        <w:ind w:right="286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28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28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620" w:space="720"/>
            <w:col w:w="4640"/>
          </w:cols>
          <w:pgMar w:left="320" w:top="459" w:right="599" w:bottom="1440" w:gutter="0" w:footer="0" w:header="0"/>
          <w:type w:val="continuous"/>
        </w:sectPr>
      </w:pPr>
    </w:p>
    <w:p>
      <w:pPr>
        <w:spacing w:after="0" w:line="30" w:lineRule="exact"/>
        <w:rPr>
          <w:sz w:val="24"/>
          <w:szCs w:val="24"/>
          <w:color w:val="auto"/>
        </w:rPr>
      </w:pPr>
    </w:p>
    <w:p>
      <w:pPr>
        <w:jc w:val="center"/>
        <w:ind w:left="324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32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84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28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600" w:space="720"/>
            <w:col w:w="3660"/>
          </w:cols>
          <w:pgMar w:left="320" w:top="459" w:right="599" w:bottom="1440" w:gutter="0" w:footer="0" w:header="0"/>
          <w:type w:val="continuous"/>
        </w:sectPr>
      </w:pPr>
    </w:p>
    <w:p>
      <w:pPr>
        <w:spacing w:after="0" w:line="3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0980"/>
          </w:cols>
          <w:pgMar w:left="320" w:top="459" w:right="59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11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110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1360"/>
        <w:spacing w:after="0"/>
        <w:tabs>
          <w:tab w:leader="none" w:pos="374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900"/>
        <w:spacing w:after="0"/>
        <w:tabs>
          <w:tab w:leader="none" w:pos="444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40005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0" w:lineRule="exact"/>
        <w:rPr>
          <w:sz w:val="24"/>
          <w:szCs w:val="24"/>
          <w:color w:val="auto"/>
        </w:rPr>
      </w:pPr>
    </w:p>
    <w:p>
      <w:pPr>
        <w:sectPr>
          <w:pgSz w:w="11900" w:h="16838" w:orient="portrait"/>
          <w:cols w:equalWidth="0" w:num="2">
            <w:col w:w="3400" w:space="160"/>
            <w:col w:w="7420"/>
          </w:cols>
          <w:pgMar w:left="320" w:top="459" w:right="599" w:bottom="1440" w:gutter="0" w:footer="0" w:header="0"/>
          <w:type w:val="continuous"/>
        </w:sectPr>
      </w:pPr>
    </w:p>
    <w:p>
      <w:pPr>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41" w:lineRule="exact"/>
        <w:rPr>
          <w:sz w:val="24"/>
          <w:szCs w:val="24"/>
          <w:color w:val="auto"/>
        </w:rPr>
      </w:pPr>
    </w:p>
    <w:p>
      <w:pPr>
        <w:spacing w:after="0" w:line="207" w:lineRule="exact"/>
        <w:tabs>
          <w:tab w:leader="none" w:pos="9640" w:val="left"/>
        </w:tabs>
        <w:rPr>
          <w:sz w:val="20"/>
          <w:szCs w:val="20"/>
          <w:color w:val="auto"/>
        </w:rPr>
      </w:pPr>
      <w:r>
        <w:rPr>
          <w:rFonts w:ascii="Arial" w:cs="Arial" w:eastAsia="Arial" w:hAnsi="Arial"/>
          <w:sz w:val="18"/>
          <w:szCs w:val="18"/>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980"/>
          </w:cols>
          <w:pgMar w:left="320" w:top="459" w:right="599" w:bottom="1440" w:gutter="0" w:footer="0" w:header="0"/>
          <w:type w:val="continuous"/>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040" w:space="720"/>
            <w:col w:w="4220"/>
          </w:cols>
          <w:pgMar w:left="320" w:top="459" w:right="599" w:bottom="1440" w:gutter="0" w:footer="0" w:header="0"/>
          <w:type w:val="continuous"/>
        </w:sectPr>
      </w:pPr>
    </w:p>
    <w:p>
      <w:pPr>
        <w:spacing w:after="0" w:line="3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At the close of business on September 1, 2020 the registrant had 6,198,475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00" w:type="dxa"/>
            <w:vAlign w:val="bottom"/>
          </w:tcPr>
          <w:p>
            <w:pPr>
              <w:spacing w:after="0"/>
              <w:rPr>
                <w:sz w:val="23"/>
                <w:szCs w:val="23"/>
                <w:color w:val="auto"/>
              </w:rPr>
            </w:pPr>
          </w:p>
        </w:tc>
        <w:tc>
          <w:tcPr>
            <w:tcW w:w="8960" w:type="dxa"/>
            <w:vAlign w:val="bottom"/>
          </w:tcPr>
          <w:p>
            <w:pPr>
              <w:jc w:val="center"/>
              <w:ind w:left="392"/>
              <w:spacing w:after="0"/>
              <w:rPr>
                <w:sz w:val="20"/>
                <w:szCs w:val="20"/>
                <w:color w:val="auto"/>
              </w:rPr>
            </w:pPr>
            <w:r>
              <w:rPr>
                <w:rFonts w:ascii="Arial" w:cs="Arial" w:eastAsia="Arial" w:hAnsi="Arial"/>
                <w:sz w:val="22"/>
                <w:szCs w:val="22"/>
                <w:color w:val="auto"/>
                <w:w w:val="94"/>
              </w:rPr>
              <w:t>REX AMERICAN RESOURCES CORPORATION AND SUBSIDIARIES</w:t>
            </w:r>
          </w:p>
        </w:tc>
        <w:tc>
          <w:tcPr>
            <w:tcW w:w="1380" w:type="dxa"/>
            <w:vAlign w:val="bottom"/>
          </w:tcPr>
          <w:p>
            <w:pPr>
              <w:spacing w:after="0"/>
              <w:rPr>
                <w:sz w:val="23"/>
                <w:szCs w:val="23"/>
                <w:color w:val="auto"/>
              </w:rPr>
            </w:pPr>
          </w:p>
        </w:tc>
      </w:tr>
      <w:tr>
        <w:trPr>
          <w:trHeight w:val="486"/>
        </w:trPr>
        <w:tc>
          <w:tcPr>
            <w:tcW w:w="900" w:type="dxa"/>
            <w:vAlign w:val="bottom"/>
          </w:tcPr>
          <w:p>
            <w:pPr>
              <w:spacing w:after="0"/>
              <w:rPr>
                <w:sz w:val="24"/>
                <w:szCs w:val="24"/>
                <w:color w:val="auto"/>
              </w:rPr>
            </w:pPr>
          </w:p>
        </w:tc>
        <w:tc>
          <w:tcPr>
            <w:tcW w:w="8960" w:type="dxa"/>
            <w:vAlign w:val="bottom"/>
          </w:tcPr>
          <w:p>
            <w:pPr>
              <w:jc w:val="center"/>
              <w:ind w:left="372"/>
              <w:spacing w:after="0"/>
              <w:rPr>
                <w:sz w:val="20"/>
                <w:szCs w:val="20"/>
                <w:color w:val="auto"/>
              </w:rPr>
            </w:pPr>
            <w:r>
              <w:rPr>
                <w:rFonts w:ascii="Arial" w:cs="Arial" w:eastAsia="Arial" w:hAnsi="Arial"/>
                <w:sz w:val="22"/>
                <w:szCs w:val="22"/>
                <w:color w:val="auto"/>
              </w:rPr>
              <w:t>INDEX</w:t>
            </w:r>
          </w:p>
        </w:tc>
        <w:tc>
          <w:tcPr>
            <w:tcW w:w="1380" w:type="dxa"/>
            <w:vAlign w:val="bottom"/>
          </w:tcPr>
          <w:p>
            <w:pPr>
              <w:spacing w:after="0"/>
              <w:rPr>
                <w:sz w:val="24"/>
                <w:szCs w:val="24"/>
                <w:color w:val="auto"/>
              </w:rPr>
            </w:pPr>
          </w:p>
        </w:tc>
      </w:tr>
      <w:tr>
        <w:trPr>
          <w:trHeight w:val="486"/>
        </w:trPr>
        <w:tc>
          <w:tcPr>
            <w:tcW w:w="90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PART I.</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INFORMATION</w:t>
              </w:r>
            </w:hyperlink>
          </w:p>
        </w:tc>
        <w:tc>
          <w:tcPr>
            <w:tcW w:w="1380" w:type="dxa"/>
            <w:vAlign w:val="bottom"/>
          </w:tcPr>
          <w:p>
            <w:pPr>
              <w:spacing w:after="0"/>
              <w:rPr>
                <w:sz w:val="24"/>
                <w:szCs w:val="24"/>
                <w:color w:val="auto"/>
              </w:rPr>
            </w:pP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Item 1.</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Statements</w:t>
              </w:r>
            </w:hyperlink>
          </w:p>
        </w:tc>
        <w:tc>
          <w:tcPr>
            <w:tcW w:w="1380" w:type="dxa"/>
            <w:vAlign w:val="bottom"/>
          </w:tcPr>
          <w:p>
            <w:pPr>
              <w:spacing w:after="0"/>
              <w:rPr>
                <w:sz w:val="24"/>
                <w:szCs w:val="24"/>
                <w:color w:val="auto"/>
              </w:rPr>
            </w:pPr>
          </w:p>
        </w:tc>
      </w:tr>
      <w:tr>
        <w:trPr>
          <w:trHeight w:val="455"/>
        </w:trPr>
        <w:tc>
          <w:tcPr>
            <w:tcW w:w="900" w:type="dxa"/>
            <w:vAlign w:val="bottom"/>
          </w:tcPr>
          <w:p>
            <w:pPr>
              <w:spacing w:after="0"/>
              <w:rPr>
                <w:sz w:val="24"/>
                <w:szCs w:val="24"/>
                <w:color w:val="auto"/>
              </w:rPr>
            </w:pPr>
          </w:p>
        </w:tc>
        <w:tc>
          <w:tcPr>
            <w:tcW w:w="8960" w:type="dxa"/>
            <w:vAlign w:val="bottom"/>
          </w:tcPr>
          <w:p>
            <w:pPr>
              <w:ind w:left="1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Consolidated Condensed Balance Sheets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900" w:type="dxa"/>
            <w:vAlign w:val="bottom"/>
          </w:tcPr>
          <w:p>
            <w:pPr>
              <w:spacing w:after="0"/>
              <w:rPr>
                <w:sz w:val="21"/>
                <w:szCs w:val="21"/>
                <w:color w:val="auto"/>
              </w:rPr>
            </w:pPr>
          </w:p>
        </w:tc>
        <w:tc>
          <w:tcPr>
            <w:tcW w:w="8960" w:type="dxa"/>
            <w:vAlign w:val="bottom"/>
          </w:tcPr>
          <w:p>
            <w:pPr>
              <w:ind w:left="120"/>
              <w:spacing w:after="0" w:line="243" w:lineRule="exact"/>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Consolidated Condensed Statements of Operations</w:t>
              </w:r>
            </w:hyperlink>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900" w:type="dxa"/>
            <w:vAlign w:val="bottom"/>
          </w:tcPr>
          <w:p>
            <w:pPr>
              <w:spacing w:after="0"/>
              <w:rPr>
                <w:sz w:val="21"/>
                <w:szCs w:val="21"/>
                <w:color w:val="auto"/>
              </w:rPr>
            </w:pPr>
          </w:p>
        </w:tc>
        <w:tc>
          <w:tcPr>
            <w:tcW w:w="8960" w:type="dxa"/>
            <w:vAlign w:val="bottom"/>
          </w:tcPr>
          <w:p>
            <w:pPr>
              <w:ind w:left="120"/>
              <w:spacing w:after="0" w:line="243" w:lineRule="exact"/>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Consolidated Condensed Statements of Equity</w:t>
              </w:r>
            </w:hyperlink>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00" w:type="dxa"/>
            <w:vAlign w:val="bottom"/>
          </w:tcPr>
          <w:p>
            <w:pPr>
              <w:spacing w:after="0"/>
              <w:rPr>
                <w:sz w:val="21"/>
                <w:szCs w:val="21"/>
                <w:color w:val="auto"/>
              </w:rPr>
            </w:pPr>
          </w:p>
        </w:tc>
        <w:tc>
          <w:tcPr>
            <w:tcW w:w="8960" w:type="dxa"/>
            <w:vAlign w:val="bottom"/>
          </w:tcPr>
          <w:p>
            <w:pPr>
              <w:ind w:left="120"/>
              <w:spacing w:after="0" w:line="243" w:lineRule="exact"/>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Consolidated Condensed Statements of Cash Flows</w:t>
              </w:r>
            </w:hyperlink>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74"/>
        </w:trPr>
        <w:tc>
          <w:tcPr>
            <w:tcW w:w="900" w:type="dxa"/>
            <w:vAlign w:val="bottom"/>
          </w:tcPr>
          <w:p>
            <w:pPr>
              <w:spacing w:after="0"/>
              <w:rPr>
                <w:sz w:val="23"/>
                <w:szCs w:val="23"/>
                <w:color w:val="auto"/>
              </w:rPr>
            </w:pPr>
          </w:p>
        </w:tc>
        <w:tc>
          <w:tcPr>
            <w:tcW w:w="8960" w:type="dxa"/>
            <w:vAlign w:val="bottom"/>
          </w:tcPr>
          <w:p>
            <w:pPr>
              <w:ind w:left="120"/>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Consolidated Condensed Financial Statements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2.</w:t>
              </w:r>
            </w:hyperlink>
          </w:p>
        </w:tc>
        <w:tc>
          <w:tcPr>
            <w:tcW w:w="8960" w:type="dxa"/>
            <w:vAlign w:val="bottom"/>
          </w:tcPr>
          <w:p>
            <w:pPr>
              <w:ind w:left="120"/>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Management’s Discussion and Analysis of Financial Condition and Results of Operations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3.</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Quantitative and Qualitative Disclosures About Market Risk</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4.</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Controls and Procedures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PART II.</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OTHER INFORMATION</w:t>
              </w:r>
            </w:hyperlink>
          </w:p>
        </w:tc>
        <w:tc>
          <w:tcPr>
            <w:tcW w:w="1380" w:type="dxa"/>
            <w:vAlign w:val="bottom"/>
          </w:tcPr>
          <w:p>
            <w:pPr>
              <w:spacing w:after="0"/>
              <w:rPr>
                <w:sz w:val="24"/>
                <w:szCs w:val="24"/>
                <w:color w:val="auto"/>
              </w:rPr>
            </w:pP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1.</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Legal Proceedings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1A.</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Risk Factors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2.</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Unregistered Sales of Equity Securities and Use of Proceeds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3.</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Defaults upon Senior Securities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4.</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Mine Safety Disclosures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5.</w:t>
              </w:r>
            </w:hyperlink>
          </w:p>
        </w:tc>
        <w:tc>
          <w:tcPr>
            <w:tcW w:w="8960" w:type="dxa"/>
            <w:vAlign w:val="bottom"/>
          </w:tcPr>
          <w:p>
            <w:pPr>
              <w:ind w:left="120"/>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Other Information</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900" w:type="dxa"/>
            <w:vAlign w:val="bottom"/>
          </w:tcPr>
          <w:p>
            <w:pPr>
              <w:spacing w:after="0"/>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Item 6.</w:t>
              </w:r>
            </w:hyperlink>
          </w:p>
        </w:tc>
        <w:tc>
          <w:tcPr>
            <w:tcW w:w="8960" w:type="dxa"/>
            <w:vAlign w:val="bottom"/>
          </w:tcPr>
          <w:p>
            <w:pPr>
              <w:ind w:left="120"/>
              <w:spacing w:after="0"/>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Exhibits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32"/>
        </w:trPr>
        <w:tc>
          <w:tcPr>
            <w:tcW w:w="900" w:type="dxa"/>
            <w:vAlign w:val="bottom"/>
          </w:tcPr>
          <w:p>
            <w:pPr>
              <w:spacing w:after="0"/>
              <w:rPr>
                <w:sz w:val="24"/>
                <w:szCs w:val="24"/>
                <w:color w:val="auto"/>
              </w:rPr>
            </w:pPr>
          </w:p>
        </w:tc>
        <w:tc>
          <w:tcPr>
            <w:tcW w:w="8960" w:type="dxa"/>
            <w:vAlign w:val="bottom"/>
          </w:tcPr>
          <w:p>
            <w:pPr>
              <w:jc w:val="center"/>
              <w:ind w:left="332"/>
              <w:spacing w:after="0"/>
              <w:rPr>
                <w:sz w:val="20"/>
                <w:szCs w:val="20"/>
                <w:color w:val="auto"/>
              </w:rPr>
            </w:pPr>
            <w:r>
              <w:rPr>
                <w:rFonts w:ascii="Arial" w:cs="Arial" w:eastAsia="Arial" w:hAnsi="Arial"/>
                <w:sz w:val="22"/>
                <w:szCs w:val="22"/>
                <w:color w:val="auto"/>
                <w:w w:val="97"/>
              </w:rPr>
              <w:t>2</w:t>
            </w:r>
          </w:p>
        </w:tc>
        <w:tc>
          <w:tcPr>
            <w:tcW w:w="1380" w:type="dxa"/>
            <w:vAlign w:val="bottom"/>
          </w:tcPr>
          <w:p>
            <w:pPr>
              <w:spacing w:after="0"/>
              <w:rPr>
                <w:sz w:val="24"/>
                <w:szCs w:val="24"/>
                <w:color w:val="auto"/>
              </w:rPr>
            </w:pPr>
          </w:p>
        </w:tc>
      </w:tr>
      <w:tr>
        <w:trPr>
          <w:trHeight w:val="240"/>
        </w:trPr>
        <w:tc>
          <w:tcPr>
            <w:tcW w:w="900" w:type="dxa"/>
            <w:vAlign w:val="bottom"/>
            <w:tcBorders>
              <w:bottom w:val="single" w:sz="8" w:color="C0C0C0"/>
            </w:tcBorders>
          </w:tcPr>
          <w:p>
            <w:pPr>
              <w:spacing w:after="0"/>
              <w:rPr>
                <w:sz w:val="20"/>
                <w:szCs w:val="20"/>
                <w:color w:val="auto"/>
              </w:rPr>
            </w:pPr>
          </w:p>
        </w:tc>
        <w:tc>
          <w:tcPr>
            <w:tcW w:w="896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ind w:left="410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44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44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0"/>
              </w:rPr>
              <w:t>July 31,</w:t>
            </w:r>
          </w:p>
        </w:tc>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January 31,</w:t>
            </w:r>
          </w:p>
        </w:tc>
      </w:tr>
      <w:tr>
        <w:trPr>
          <w:trHeight w:val="194"/>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152,708</w:t>
            </w:r>
          </w:p>
        </w:tc>
        <w:tc>
          <w:tcPr>
            <w:tcW w:w="320" w:type="dxa"/>
            <w:vAlign w:val="bottom"/>
            <w:shd w:val="clear" w:color="auto" w:fill="E5FFFF"/>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179,658</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32,656</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26,073</w:t>
            </w:r>
          </w:p>
        </w:tc>
      </w:tr>
      <w:tr>
        <w:trPr>
          <w:trHeight w:val="216"/>
        </w:trPr>
        <w:tc>
          <w:tcPr>
            <w:tcW w:w="8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950</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1,113</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9,744</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12,969</w:t>
            </w:r>
          </w:p>
        </w:tc>
      </w:tr>
      <w:tr>
        <w:trPr>
          <w:trHeight w:val="216"/>
        </w:trPr>
        <w:tc>
          <w:tcPr>
            <w:tcW w:w="8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30,383</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35,634</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10,620</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6,029</w:t>
            </w:r>
          </w:p>
        </w:tc>
      </w:tr>
      <w:tr>
        <w:trPr>
          <w:trHeight w:val="229"/>
        </w:trPr>
        <w:tc>
          <w:tcPr>
            <w:tcW w:w="8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9,878</w:t>
            </w:r>
          </w:p>
        </w:tc>
        <w:tc>
          <w:tcPr>
            <w:tcW w:w="32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9,659</w:t>
            </w:r>
          </w:p>
        </w:tc>
      </w:tr>
      <w:tr>
        <w:trPr>
          <w:trHeight w:val="210"/>
        </w:trPr>
        <w:tc>
          <w:tcPr>
            <w:tcW w:w="84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246,939</w:t>
            </w: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271,135</w:t>
            </w:r>
          </w:p>
        </w:tc>
        <w:tc>
          <w:tcPr>
            <w:tcW w:w="100" w:type="dxa"/>
            <w:vAlign w:val="bottom"/>
          </w:tcPr>
          <w:p>
            <w:pPr>
              <w:spacing w:after="0"/>
              <w:rPr>
                <w:sz w:val="18"/>
                <w:szCs w:val="18"/>
                <w:color w:val="auto"/>
              </w:rPr>
            </w:pP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158,513</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163,327</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15,345</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16,173</w:t>
            </w: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21,182</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17,061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342</w:t>
            </w:r>
          </w:p>
        </w:tc>
      </w:tr>
      <w:tr>
        <w:trPr>
          <w:trHeight w:val="229"/>
        </w:trPr>
        <w:tc>
          <w:tcPr>
            <w:tcW w:w="8440" w:type="dxa"/>
            <w:vAlign w:val="bottom"/>
            <w:shd w:val="clear" w:color="auto" w:fill="E5FFFF"/>
          </w:tcPr>
          <w:p>
            <w:pPr>
              <w:spacing w:after="0"/>
              <w:rPr>
                <w:sz w:val="20"/>
                <w:szCs w:val="20"/>
                <w:color w:val="auto"/>
              </w:rPr>
            </w:pPr>
            <w:r>
              <w:rPr>
                <w:rFonts w:ascii="Arial" w:cs="Arial" w:eastAsia="Arial" w:hAnsi="Arial"/>
                <w:sz w:val="18"/>
                <w:szCs w:val="18"/>
                <w:color w:val="auto"/>
              </w:rPr>
              <w:t>Equity method investment</w:t>
            </w:r>
          </w:p>
        </w:tc>
        <w:tc>
          <w:tcPr>
            <w:tcW w:w="2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29,475</w:t>
            </w:r>
          </w:p>
        </w:tc>
        <w:tc>
          <w:tcPr>
            <w:tcW w:w="32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32,464</w:t>
            </w:r>
          </w:p>
        </w:tc>
      </w:tr>
      <w:tr>
        <w:trPr>
          <w:trHeight w:val="223"/>
        </w:trPr>
        <w:tc>
          <w:tcPr>
            <w:tcW w:w="84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472,338</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500,502</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shd w:val="clear" w:color="auto" w:fill="E5FFFF"/>
          </w:tcPr>
          <w:p>
            <w:pPr>
              <w:spacing w:after="0"/>
              <w:rPr>
                <w:sz w:val="20"/>
                <w:szCs w:val="20"/>
                <w:color w:val="auto"/>
              </w:rPr>
            </w:pPr>
            <w:r>
              <w:rPr>
                <w:rFonts w:ascii="Arial" w:cs="Arial" w:eastAsia="Arial" w:hAnsi="Arial"/>
                <w:sz w:val="18"/>
                <w:szCs w:val="18"/>
                <w:color w:val="auto"/>
              </w:rPr>
              <w:t>Liabilities and equity:</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44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w w:val="94"/>
              </w:rPr>
              <w:t>Accounts payable, trade (includes $578 and $676 with related parties at July 31, 2020 and January 31, 2020,</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0"/>
        </w:trPr>
        <w:tc>
          <w:tcPr>
            <w:tcW w:w="8440" w:type="dxa"/>
            <w:vAlign w:val="bottom"/>
            <w:shd w:val="clear" w:color="auto" w:fill="E5FFFF"/>
          </w:tcPr>
          <w:p>
            <w:pPr>
              <w:ind w:left="360"/>
              <w:spacing w:after="0"/>
              <w:rPr>
                <w:sz w:val="20"/>
                <w:szCs w:val="20"/>
                <w:color w:val="auto"/>
              </w:rPr>
            </w:pPr>
            <w:r>
              <w:rPr>
                <w:rFonts w:ascii="Arial" w:cs="Arial" w:eastAsia="Arial" w:hAnsi="Arial"/>
                <w:sz w:val="18"/>
                <w:szCs w:val="18"/>
                <w:color w:val="auto"/>
              </w:rPr>
              <w:t>respectively)</w:t>
            </w: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8,584</w:t>
            </w:r>
          </w:p>
        </w:tc>
        <w:tc>
          <w:tcPr>
            <w:tcW w:w="320" w:type="dxa"/>
            <w:vAlign w:val="bottom"/>
            <w:shd w:val="clear" w:color="auto" w:fill="E5FFFF"/>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18,900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5,310</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4,935</w:t>
            </w:r>
          </w:p>
        </w:tc>
      </w:tr>
      <w:tr>
        <w:trPr>
          <w:trHeight w:val="202"/>
        </w:trPr>
        <w:tc>
          <w:tcPr>
            <w:tcW w:w="844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w w:val="92"/>
              </w:rPr>
              <w:t>Accrued expenses and other current liabilities (includes $233 and $474 with related parties at July 31, 2020 and</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44"/>
        </w:trPr>
        <w:tc>
          <w:tcPr>
            <w:tcW w:w="8440" w:type="dxa"/>
            <w:vAlign w:val="bottom"/>
            <w:shd w:val="clear" w:color="auto" w:fill="E5FFFF"/>
          </w:tcPr>
          <w:p>
            <w:pPr>
              <w:ind w:left="360"/>
              <w:spacing w:after="0"/>
              <w:rPr>
                <w:sz w:val="20"/>
                <w:szCs w:val="20"/>
                <w:color w:val="auto"/>
              </w:rPr>
            </w:pPr>
            <w:r>
              <w:rPr>
                <w:rFonts w:ascii="Arial" w:cs="Arial" w:eastAsia="Arial" w:hAnsi="Arial"/>
                <w:sz w:val="18"/>
                <w:szCs w:val="18"/>
                <w:color w:val="auto"/>
              </w:rPr>
              <w:t>January 31, 2020, respectively)</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7,295</w:t>
            </w:r>
          </w:p>
        </w:tc>
        <w:tc>
          <w:tcPr>
            <w:tcW w:w="3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7,764</w:t>
            </w:r>
          </w:p>
        </w:tc>
      </w:tr>
      <w:tr>
        <w:trPr>
          <w:trHeight w:val="210"/>
        </w:trPr>
        <w:tc>
          <w:tcPr>
            <w:tcW w:w="844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E5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21,189</w:t>
            </w:r>
          </w:p>
        </w:tc>
        <w:tc>
          <w:tcPr>
            <w:tcW w:w="460" w:type="dxa"/>
            <w:vAlign w:val="bottom"/>
            <w:tcBorders>
              <w:bottom w:val="single" w:sz="8" w:color="E5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31,599</w:t>
            </w:r>
          </w:p>
        </w:tc>
        <w:tc>
          <w:tcPr>
            <w:tcW w:w="100" w:type="dxa"/>
            <w:vAlign w:val="bottom"/>
            <w:tcBorders>
              <w:bottom w:val="single" w:sz="8" w:color="E5FFFF"/>
            </w:tcBorders>
          </w:tcPr>
          <w:p>
            <w:pPr>
              <w:spacing w:after="0"/>
              <w:rPr>
                <w:sz w:val="18"/>
                <w:szCs w:val="18"/>
                <w:color w:val="auto"/>
              </w:rPr>
            </w:pPr>
          </w:p>
        </w:tc>
      </w:tr>
      <w:tr>
        <w:trPr>
          <w:trHeight w:val="210"/>
        </w:trPr>
        <w:tc>
          <w:tcPr>
            <w:tcW w:w="844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3,670</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4,334</w:t>
            </w:r>
          </w:p>
        </w:tc>
      </w:tr>
      <w:tr>
        <w:trPr>
          <w:trHeight w:val="216"/>
        </w:trPr>
        <w:tc>
          <w:tcPr>
            <w:tcW w:w="8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9,600</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10,688</w:t>
            </w: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275</w:t>
            </w:r>
          </w:p>
        </w:tc>
      </w:tr>
      <w:tr>
        <w:trPr>
          <w:trHeight w:val="210"/>
        </w:trPr>
        <w:tc>
          <w:tcPr>
            <w:tcW w:w="844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13,410</w:t>
            </w:r>
          </w:p>
        </w:tc>
        <w:tc>
          <w:tcPr>
            <w:tcW w:w="46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REX shareholders’ equity:</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440" w:type="dxa"/>
            <w:vAlign w:val="bottom"/>
          </w:tcPr>
          <w:p>
            <w:pPr>
              <w:ind w:left="5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8440" w:type="dxa"/>
            <w:vAlign w:val="bottom"/>
            <w:shd w:val="clear" w:color="auto" w:fill="E5FFFF"/>
          </w:tcPr>
          <w:p>
            <w:pPr>
              <w:ind w:left="540"/>
              <w:spacing w:after="0"/>
              <w:rPr>
                <w:sz w:val="20"/>
                <w:szCs w:val="20"/>
                <w:color w:val="auto"/>
              </w:rPr>
            </w:pPr>
            <w:r>
              <w:rPr>
                <w:rFonts w:ascii="Arial" w:cs="Arial" w:eastAsia="Arial" w:hAnsi="Arial"/>
                <w:sz w:val="18"/>
                <w:szCs w:val="18"/>
                <w:color w:val="auto"/>
              </w:rPr>
              <w:t>Paid-in capital</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149,044</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148,789</w:t>
            </w:r>
          </w:p>
        </w:tc>
      </w:tr>
      <w:tr>
        <w:trPr>
          <w:trHeight w:val="216"/>
        </w:trPr>
        <w:tc>
          <w:tcPr>
            <w:tcW w:w="8440" w:type="dxa"/>
            <w:vAlign w:val="bottom"/>
          </w:tcPr>
          <w:p>
            <w:pPr>
              <w:ind w:left="5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577,602</w:t>
            </w:r>
          </w:p>
        </w:tc>
        <w:tc>
          <w:tcPr>
            <w:tcW w:w="3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586,985</w:t>
            </w:r>
          </w:p>
        </w:tc>
      </w:tr>
      <w:tr>
        <w:trPr>
          <w:trHeight w:val="230"/>
        </w:trPr>
        <w:tc>
          <w:tcPr>
            <w:tcW w:w="8440" w:type="dxa"/>
            <w:vAlign w:val="bottom"/>
            <w:shd w:val="clear" w:color="auto" w:fill="E5FFFF"/>
          </w:tcPr>
          <w:p>
            <w:pPr>
              <w:ind w:left="54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20" w:type="dxa"/>
            <w:vAlign w:val="bottom"/>
            <w:gridSpan w:val="4"/>
            <w:shd w:val="clear" w:color="auto" w:fill="E5FFFF"/>
          </w:tcPr>
          <w:p>
            <w:pPr>
              <w:jc w:val="right"/>
              <w:ind w:right="400"/>
              <w:spacing w:after="0"/>
              <w:rPr>
                <w:sz w:val="20"/>
                <w:szCs w:val="20"/>
                <w:color w:val="auto"/>
              </w:rPr>
            </w:pPr>
            <w:r>
              <w:rPr>
                <w:rFonts w:ascii="Arial" w:cs="Arial" w:eastAsia="Arial" w:hAnsi="Arial"/>
                <w:sz w:val="18"/>
                <w:szCs w:val="18"/>
                <w:color w:val="auto"/>
              </w:rPr>
              <w:t>(340,591)</w:t>
            </w:r>
          </w:p>
        </w:tc>
        <w:tc>
          <w:tcPr>
            <w:tcW w:w="32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w w:val="93"/>
              </w:rPr>
              <w:t>(335,066)</w:t>
            </w:r>
          </w:p>
        </w:tc>
      </w:tr>
      <w:tr>
        <w:trPr>
          <w:trHeight w:val="210"/>
        </w:trPr>
        <w:tc>
          <w:tcPr>
            <w:tcW w:w="8440" w:type="dxa"/>
            <w:vAlign w:val="bottom"/>
          </w:tcPr>
          <w:p>
            <w:pPr>
              <w:ind w:left="720"/>
              <w:spacing w:after="0"/>
              <w:rPr>
                <w:sz w:val="20"/>
                <w:szCs w:val="20"/>
                <w:color w:val="auto"/>
              </w:rPr>
            </w:pPr>
            <w:r>
              <w:rPr>
                <w:rFonts w:ascii="Arial" w:cs="Arial" w:eastAsia="Arial" w:hAnsi="Arial"/>
                <w:sz w:val="18"/>
                <w:szCs w:val="18"/>
                <w:color w:val="auto"/>
              </w:rPr>
              <w:t>Total REX shareholders’ equity</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386,354</w:t>
            </w: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401,007</w:t>
            </w:r>
          </w:p>
        </w:tc>
        <w:tc>
          <w:tcPr>
            <w:tcW w:w="100" w:type="dxa"/>
            <w:vAlign w:val="bottom"/>
          </w:tcPr>
          <w:p>
            <w:pPr>
              <w:spacing w:after="0"/>
              <w:rPr>
                <w:sz w:val="18"/>
                <w:szCs w:val="18"/>
                <w:color w:val="auto"/>
              </w:rPr>
            </w:pPr>
          </w:p>
        </w:tc>
      </w:tr>
      <w:tr>
        <w:trPr>
          <w:trHeight w:val="230"/>
        </w:trPr>
        <w:tc>
          <w:tcPr>
            <w:tcW w:w="8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51,385</w:t>
            </w:r>
          </w:p>
        </w:tc>
        <w:tc>
          <w:tcPr>
            <w:tcW w:w="320" w:type="dxa"/>
            <w:vAlign w:val="bottom"/>
            <w:shd w:val="clear" w:color="auto" w:fill="E5FFFF"/>
          </w:tcPr>
          <w:p>
            <w:pPr>
              <w:spacing w:after="0"/>
              <w:rPr>
                <w:sz w:val="19"/>
                <w:szCs w:val="19"/>
                <w:color w:val="auto"/>
              </w:rPr>
            </w:pP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52,599</w:t>
            </w:r>
          </w:p>
        </w:tc>
      </w:tr>
      <w:tr>
        <w:trPr>
          <w:trHeight w:val="209"/>
        </w:trPr>
        <w:tc>
          <w:tcPr>
            <w:tcW w:w="84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E5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437,739</w:t>
            </w:r>
          </w:p>
        </w:tc>
        <w:tc>
          <w:tcPr>
            <w:tcW w:w="460" w:type="dxa"/>
            <w:vAlign w:val="bottom"/>
            <w:tcBorders>
              <w:bottom w:val="single" w:sz="8" w:color="E5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453,606</w:t>
            </w:r>
          </w:p>
        </w:tc>
        <w:tc>
          <w:tcPr>
            <w:tcW w:w="100" w:type="dxa"/>
            <w:vAlign w:val="bottom"/>
            <w:tcBorders>
              <w:bottom w:val="single" w:sz="8" w:color="E5FFFF"/>
            </w:tcBorders>
          </w:tcPr>
          <w:p>
            <w:pPr>
              <w:spacing w:after="0"/>
              <w:rPr>
                <w:sz w:val="18"/>
                <w:szCs w:val="18"/>
                <w:color w:val="auto"/>
              </w:rPr>
            </w:pPr>
          </w:p>
        </w:tc>
      </w:tr>
      <w:tr>
        <w:trPr>
          <w:trHeight w:val="223"/>
        </w:trPr>
        <w:tc>
          <w:tcPr>
            <w:tcW w:w="8440" w:type="dxa"/>
            <w:vAlign w:val="bottom"/>
            <w:tcBorders>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472,338</w:t>
            </w:r>
          </w:p>
        </w:tc>
        <w:tc>
          <w:tcPr>
            <w:tcW w:w="460" w:type="dxa"/>
            <w:vAlign w:val="bottom"/>
            <w:tcBorders>
              <w:bottom w:val="single" w:sz="8" w:color="E5FFFF"/>
            </w:tcBorders>
            <w:shd w:val="clear" w:color="auto" w:fill="E5FFFF"/>
          </w:tcPr>
          <w:p>
            <w:pPr>
              <w:spacing w:after="0"/>
              <w:rPr>
                <w:sz w:val="19"/>
                <w:szCs w:val="19"/>
                <w:color w:val="auto"/>
              </w:rPr>
            </w:pPr>
          </w:p>
        </w:tc>
        <w:tc>
          <w:tcPr>
            <w:tcW w:w="320" w:type="dxa"/>
            <w:vAlign w:val="bottom"/>
            <w:tcBorders>
              <w:bottom w:val="single" w:sz="8" w:color="auto"/>
            </w:tcBorders>
            <w:shd w:val="clear" w:color="auto" w:fill="E5FFFF"/>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500,502</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r>
        <w:rPr>
          <w:rFonts w:ascii="Arial" w:cs="Arial" w:eastAsia="Arial" w:hAnsi="Arial"/>
          <w:sz w:val="19"/>
          <w:szCs w:val="19"/>
          <w:color w:val="auto"/>
        </w:rPr>
        <w:t>.</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8"/>
          </w:tcPr>
          <w:p>
            <w:pPr>
              <w:jc w:val="center"/>
              <w:ind w:right="58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July 31,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July 31,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50"/>
              <w:spacing w:after="0" w:line="194" w:lineRule="exact"/>
              <w:rPr>
                <w:sz w:val="20"/>
                <w:szCs w:val="20"/>
                <w:color w:val="auto"/>
              </w:rPr>
            </w:pPr>
            <w:r>
              <w:rPr>
                <w:rFonts w:ascii="Arial" w:cs="Arial" w:eastAsia="Arial" w:hAnsi="Arial"/>
                <w:sz w:val="18"/>
                <w:szCs w:val="18"/>
                <w:b w:val="1"/>
                <w:bCs w:val="1"/>
                <w:color w:val="auto"/>
                <w:w w:val="84"/>
              </w:rPr>
              <w:t>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3"/>
          </w:tcPr>
          <w:p>
            <w:pPr>
              <w:jc w:val="right"/>
              <w:ind w:right="160"/>
              <w:spacing w:after="0" w:line="194" w:lineRule="exact"/>
              <w:rPr>
                <w:sz w:val="20"/>
                <w:szCs w:val="20"/>
                <w:color w:val="auto"/>
              </w:rPr>
            </w:pPr>
            <w:r>
              <w:rPr>
                <w:rFonts w:ascii="Arial" w:cs="Arial" w:eastAsia="Arial" w:hAnsi="Arial"/>
                <w:sz w:val="18"/>
                <w:szCs w:val="18"/>
                <w:b w:val="1"/>
                <w:bCs w:val="1"/>
                <w:color w:val="auto"/>
                <w:w w:val="99"/>
              </w:rPr>
              <w:t>2019</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90"/>
              <w:spacing w:after="0" w:line="194" w:lineRule="exact"/>
              <w:rPr>
                <w:sz w:val="20"/>
                <w:szCs w:val="20"/>
                <w:color w:val="auto"/>
              </w:rPr>
            </w:pPr>
            <w:r>
              <w:rPr>
                <w:rFonts w:ascii="Arial" w:cs="Arial" w:eastAsia="Arial" w:hAnsi="Arial"/>
                <w:sz w:val="18"/>
                <w:szCs w:val="18"/>
                <w:b w:val="1"/>
                <w:bCs w:val="1"/>
                <w:color w:val="auto"/>
                <w:w w:val="99"/>
              </w:rPr>
              <w:t>2020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right"/>
              <w:ind w:right="180"/>
              <w:spacing w:after="0" w:line="194" w:lineRule="exact"/>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5FFFF"/>
          </w:tcPr>
          <w:p>
            <w:pPr>
              <w:jc w:val="right"/>
              <w:ind w:right="420"/>
              <w:spacing w:after="0"/>
              <w:rPr>
                <w:sz w:val="20"/>
                <w:szCs w:val="20"/>
                <w:color w:val="auto"/>
              </w:rPr>
            </w:pPr>
            <w:r>
              <w:rPr>
                <w:rFonts w:ascii="Arial" w:cs="Arial" w:eastAsia="Arial" w:hAnsi="Arial"/>
                <w:sz w:val="18"/>
                <w:szCs w:val="18"/>
                <w:color w:val="auto"/>
                <w:w w:val="90"/>
              </w:rPr>
              <w:t>39,327</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w w:val="86"/>
              </w:rPr>
              <w:t>105,868</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E5FFFF"/>
          </w:tcPr>
          <w:p>
            <w:pPr>
              <w:jc w:val="right"/>
              <w:ind w:right="420"/>
              <w:spacing w:after="0"/>
              <w:rPr>
                <w:sz w:val="20"/>
                <w:szCs w:val="20"/>
                <w:color w:val="auto"/>
              </w:rPr>
            </w:pPr>
            <w:r>
              <w:rPr>
                <w:rFonts w:ascii="Arial" w:cs="Arial" w:eastAsia="Arial" w:hAnsi="Arial"/>
                <w:sz w:val="18"/>
                <w:szCs w:val="18"/>
                <w:color w:val="auto"/>
                <w:w w:val="89"/>
              </w:rPr>
              <w:t>122,577</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w w:val="89"/>
              </w:rPr>
              <w:t>210,443</w:t>
            </w:r>
          </w:p>
        </w:tc>
        <w:tc>
          <w:tcPr>
            <w:tcW w:w="0" w:type="dxa"/>
            <w:vAlign w:val="bottom"/>
          </w:tcPr>
          <w:p>
            <w:pPr>
              <w:spacing w:after="0"/>
              <w:rPr>
                <w:sz w:val="1"/>
                <w:szCs w:val="1"/>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4"/>
              </w:rPr>
              <w:t>Cost of sales (includes $4,887 and $43,469 with related parties for the quarters ended July</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w w:val="93"/>
              </w:rPr>
              <w:t>31, 2020 and 2019, respectively, and $17,159 and $90,207 with related parties for the six</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820" w:type="dxa"/>
            <w:vAlign w:val="bottom"/>
          </w:tcPr>
          <w:p>
            <w:pPr>
              <w:ind w:left="180"/>
              <w:spacing w:after="0"/>
              <w:rPr>
                <w:sz w:val="20"/>
                <w:szCs w:val="20"/>
                <w:color w:val="auto"/>
              </w:rPr>
            </w:pPr>
            <w:r>
              <w:rPr>
                <w:rFonts w:ascii="Arial" w:cs="Arial" w:eastAsia="Arial" w:hAnsi="Arial"/>
                <w:sz w:val="18"/>
                <w:szCs w:val="18"/>
                <w:color w:val="auto"/>
              </w:rPr>
              <w:t>months ended July 31,2020 and 2019, respectively)</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40,658</w:t>
            </w:r>
          </w:p>
        </w:tc>
        <w:tc>
          <w:tcPr>
            <w:tcW w:w="120" w:type="dxa"/>
            <w:vAlign w:val="bottom"/>
          </w:tcPr>
          <w:p>
            <w:pPr>
              <w:spacing w:after="0"/>
              <w:rPr>
                <w:sz w:val="21"/>
                <w:szCs w:val="21"/>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w w:val="86"/>
              </w:rPr>
              <w:t>101,864</w:t>
            </w:r>
          </w:p>
        </w:tc>
        <w:tc>
          <w:tcPr>
            <w:tcW w:w="100" w:type="dxa"/>
            <w:vAlign w:val="bottom"/>
          </w:tcPr>
          <w:p>
            <w:pPr>
              <w:spacing w:after="0"/>
              <w:rPr>
                <w:sz w:val="21"/>
                <w:szCs w:val="21"/>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8"/>
                <w:szCs w:val="18"/>
                <w:color w:val="auto"/>
                <w:w w:val="89"/>
              </w:rPr>
              <w:t>133,238</w:t>
            </w:r>
          </w:p>
        </w:tc>
        <w:tc>
          <w:tcPr>
            <w:tcW w:w="120" w:type="dxa"/>
            <w:vAlign w:val="bottom"/>
          </w:tcPr>
          <w:p>
            <w:pPr>
              <w:spacing w:after="0"/>
              <w:rPr>
                <w:sz w:val="21"/>
                <w:szCs w:val="21"/>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202,793</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rPr>
              <w:t>Gross (loss) profit</w:t>
            </w: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4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w w:val="98"/>
              </w:rPr>
              <w:t>(1,331)</w:t>
            </w:r>
          </w:p>
        </w:tc>
        <w:tc>
          <w:tcPr>
            <w:tcW w:w="12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4,004</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360"/>
              <w:spacing w:after="0"/>
              <w:rPr>
                <w:sz w:val="20"/>
                <w:szCs w:val="20"/>
                <w:color w:val="auto"/>
              </w:rPr>
            </w:pPr>
            <w:r>
              <w:rPr>
                <w:rFonts w:ascii="Arial" w:cs="Arial" w:eastAsia="Arial" w:hAnsi="Arial"/>
                <w:sz w:val="18"/>
                <w:szCs w:val="18"/>
                <w:color w:val="auto"/>
                <w:w w:val="95"/>
              </w:rPr>
              <w:t>(10,661)</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3"/>
              </w:rPr>
              <w:t>Selling, general and administrative expenses (includes $152 and $(348) with related parties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w w:val="99"/>
              </w:rPr>
              <w:t>for the quarters ended July 31, 2020 and 2019, respectively, and $(145) and $(335)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with related parties for the six months ended July 31, 2020 and 2019, respectively)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(4,438)</w:t>
            </w:r>
          </w:p>
        </w:tc>
        <w:tc>
          <w:tcPr>
            <w:tcW w:w="120" w:type="dxa"/>
            <w:vAlign w:val="bottom"/>
          </w:tcPr>
          <w:p>
            <w:pPr>
              <w:spacing w:after="0"/>
              <w:rPr>
                <w:sz w:val="20"/>
                <w:szCs w:val="20"/>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0"/>
                <w:szCs w:val="20"/>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8"/>
                <w:szCs w:val="18"/>
                <w:color w:val="auto"/>
              </w:rPr>
              <w:t>(9,043)</w:t>
            </w:r>
          </w:p>
        </w:tc>
        <w:tc>
          <w:tcPr>
            <w:tcW w:w="120" w:type="dxa"/>
            <w:vAlign w:val="bottom"/>
          </w:tcPr>
          <w:p>
            <w:pPr>
              <w:spacing w:after="0"/>
              <w:rPr>
                <w:sz w:val="20"/>
                <w:szCs w:val="20"/>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16"/>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rPr>
              <w:t>Equity in (loss) income of unconsolidated affiliates</w:t>
            </w: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4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360"/>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rPr>
              <w:t>(Loss) income before income taxes</w:t>
            </w: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4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w w:val="98"/>
              </w:rPr>
              <w:t>(6,079)</w:t>
            </w:r>
          </w:p>
        </w:tc>
        <w:tc>
          <w:tcPr>
            <w:tcW w:w="12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360"/>
              <w:spacing w:after="0"/>
              <w:rPr>
                <w:sz w:val="20"/>
                <w:szCs w:val="20"/>
                <w:color w:val="auto"/>
              </w:rPr>
            </w:pPr>
            <w:r>
              <w:rPr>
                <w:rFonts w:ascii="Arial" w:cs="Arial" w:eastAsia="Arial" w:hAnsi="Arial"/>
                <w:sz w:val="18"/>
                <w:szCs w:val="18"/>
                <w:color w:val="auto"/>
                <w:w w:val="95"/>
              </w:rPr>
              <w:t>(19,822)</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19"/>
                <w:szCs w:val="19"/>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8"/>
                <w:szCs w:val="18"/>
                <w:color w:val="auto"/>
              </w:rPr>
              <w:t>9,359</w:t>
            </w:r>
          </w:p>
        </w:tc>
        <w:tc>
          <w:tcPr>
            <w:tcW w:w="1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4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w w:val="98"/>
              </w:rPr>
              <w:t>(2,033)</w:t>
            </w:r>
          </w:p>
        </w:tc>
        <w:tc>
          <w:tcPr>
            <w:tcW w:w="12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360"/>
              <w:spacing w:after="0"/>
              <w:rPr>
                <w:sz w:val="20"/>
                <w:szCs w:val="20"/>
                <w:color w:val="auto"/>
              </w:rPr>
            </w:pPr>
            <w:r>
              <w:rPr>
                <w:rFonts w:ascii="Arial" w:cs="Arial" w:eastAsia="Arial" w:hAnsi="Arial"/>
                <w:sz w:val="18"/>
                <w:szCs w:val="18"/>
                <w:color w:val="auto"/>
                <w:w w:val="95"/>
              </w:rPr>
              <w:t>(10,463)</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rPr>
              <w:t>Net (loss) income attributable to REX common shareholders</w:t>
            </w:r>
          </w:p>
        </w:tc>
        <w:tc>
          <w:tcPr>
            <w:tcW w:w="24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w w:val="98"/>
              </w:rPr>
              <w:t>(1,748)</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E5FFFF"/>
          </w:tcPr>
          <w:p>
            <w:pPr>
              <w:jc w:val="right"/>
              <w:ind w:right="360"/>
              <w:spacing w:after="0"/>
              <w:rPr>
                <w:sz w:val="20"/>
                <w:szCs w:val="20"/>
                <w:color w:val="auto"/>
              </w:rPr>
            </w:pPr>
            <w:r>
              <w:rPr>
                <w:rFonts w:ascii="Arial" w:cs="Arial" w:eastAsia="Arial" w:hAnsi="Arial"/>
                <w:sz w:val="18"/>
                <w:szCs w:val="18"/>
                <w:color w:val="auto"/>
              </w:rPr>
              <w:t>(9,383)</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0"/>
        </w:trPr>
        <w:tc>
          <w:tcPr>
            <w:tcW w:w="682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6,216</w:t>
            </w:r>
          </w:p>
        </w:tc>
        <w:tc>
          <w:tcPr>
            <w:tcW w:w="120" w:type="dxa"/>
            <w:vAlign w:val="bottom"/>
          </w:tcPr>
          <w:p>
            <w:pPr>
              <w:spacing w:after="0"/>
              <w:rPr>
                <w:sz w:val="24"/>
                <w:szCs w:val="24"/>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4"/>
                <w:szCs w:val="24"/>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8"/>
                <w:szCs w:val="18"/>
                <w:color w:val="auto"/>
              </w:rPr>
              <w:t>6,261</w:t>
            </w:r>
          </w:p>
        </w:tc>
        <w:tc>
          <w:tcPr>
            <w:tcW w:w="120" w:type="dxa"/>
            <w:vAlign w:val="bottom"/>
          </w:tcPr>
          <w:p>
            <w:pPr>
              <w:spacing w:after="0"/>
              <w:rPr>
                <w:sz w:val="24"/>
                <w:szCs w:val="24"/>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w w:val="97"/>
              </w:rPr>
              <w:t>Basic and diluted net (loss) income per share attributable to REX common shareholders</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E5FFFF"/>
          </w:tcPr>
          <w:p>
            <w:pPr>
              <w:jc w:val="right"/>
              <w:ind w:right="36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8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July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REX Shareholders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10"/>
          </w:tcPr>
          <w:p>
            <w:pPr>
              <w:jc w:val="right"/>
              <w:ind w:right="760"/>
              <w:spacing w:after="0"/>
              <w:rPr>
                <w:sz w:val="20"/>
                <w:szCs w:val="20"/>
                <w:color w:val="auto"/>
              </w:rPr>
            </w:pPr>
            <w:r>
              <w:rPr>
                <w:rFonts w:ascii="Arial" w:cs="Arial" w:eastAsia="Arial" w:hAnsi="Arial"/>
                <w:sz w:val="14"/>
                <w:szCs w:val="14"/>
                <w:b w:val="1"/>
                <w:bCs w:val="1"/>
                <w:color w:val="auto"/>
              </w:rPr>
              <w:t>Common Shares</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87"/>
              </w:rPr>
              <w:t>Retained</w:t>
            </w:r>
          </w:p>
        </w:tc>
        <w:tc>
          <w:tcPr>
            <w:tcW w:w="12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6"/>
          </w:tcPr>
          <w:p>
            <w:pPr>
              <w:jc w:val="right"/>
              <w:ind w:right="120"/>
              <w:spacing w:after="0" w:line="158" w:lineRule="exact"/>
              <w:rPr>
                <w:sz w:val="20"/>
                <w:szCs w:val="20"/>
                <w:color w:val="auto"/>
              </w:rPr>
            </w:pPr>
            <w:r>
              <w:rPr>
                <w:rFonts w:ascii="Arial" w:cs="Arial" w:eastAsia="Arial" w:hAnsi="Arial"/>
                <w:sz w:val="14"/>
                <w:szCs w:val="14"/>
                <w:b w:val="1"/>
                <w:bCs w:val="1"/>
                <w:color w:val="auto"/>
              </w:rPr>
              <w:t>Issued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8"/>
              </w:rPr>
              <w:t>Shares</w:t>
            </w:r>
          </w:p>
        </w:tc>
        <w:tc>
          <w:tcPr>
            <w:tcW w:w="440" w:type="dxa"/>
            <w:vAlign w:val="bottom"/>
            <w:tcBorders>
              <w:top w:val="single" w:sz="8" w:color="auto"/>
            </w:tcBorders>
            <w:gridSpan w:val="2"/>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right"/>
              <w:ind w:right="480"/>
              <w:spacing w:after="0" w:line="129"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1"/>
                <w:szCs w:val="11"/>
                <w:color w:val="auto"/>
              </w:rPr>
            </w:pPr>
          </w:p>
        </w:tc>
        <w:tc>
          <w:tcPr>
            <w:tcW w:w="860" w:type="dxa"/>
            <w:vAlign w:val="bottom"/>
            <w:gridSpan w:val="4"/>
          </w:tcPr>
          <w:p>
            <w:pPr>
              <w:jc w:val="right"/>
              <w:ind w:right="280"/>
              <w:spacing w:after="0" w:line="12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tcPr>
          <w:p>
            <w:pPr>
              <w:jc w:val="right"/>
              <w:ind w:right="380"/>
              <w:spacing w:after="0" w:line="129" w:lineRule="exact"/>
              <w:rPr>
                <w:sz w:val="20"/>
                <w:szCs w:val="20"/>
                <w:color w:val="auto"/>
              </w:rPr>
            </w:pPr>
            <w:r>
              <w:rPr>
                <w:rFonts w:ascii="Arial" w:cs="Arial" w:eastAsia="Arial" w:hAnsi="Arial"/>
                <w:sz w:val="14"/>
                <w:szCs w:val="14"/>
                <w:b w:val="1"/>
                <w:bCs w:val="1"/>
                <w:color w:val="auto"/>
                <w:w w:val="95"/>
              </w:rPr>
              <w:t>Interests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right"/>
              <w:ind w:right="280"/>
              <w:spacing w:after="0" w:line="12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2020</w:t>
            </w:r>
          </w:p>
        </w:tc>
        <w:tc>
          <w:tcPr>
            <w:tcW w:w="960" w:type="dxa"/>
            <w:vAlign w:val="bottom"/>
            <w:gridSpan w:val="5"/>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29,853</w:t>
            </w:r>
          </w:p>
        </w:tc>
        <w:tc>
          <w:tcPr>
            <w:tcW w:w="320" w:type="dxa"/>
            <w:vAlign w:val="bottom"/>
            <w:gridSpan w:val="3"/>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1100" w:type="dxa"/>
            <w:vAlign w:val="bottom"/>
            <w:gridSpan w:val="5"/>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23,561</w:t>
            </w:r>
          </w:p>
        </w:tc>
        <w:tc>
          <w:tcPr>
            <w:tcW w:w="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(335,066)</w:t>
            </w:r>
          </w:p>
        </w:tc>
        <w:tc>
          <w:tcPr>
            <w:tcW w:w="24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148,789</w:t>
            </w:r>
          </w:p>
        </w:tc>
        <w:tc>
          <w:tcPr>
            <w:tcW w:w="10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586,985</w:t>
            </w:r>
          </w:p>
        </w:tc>
        <w:tc>
          <w:tcPr>
            <w:tcW w:w="280" w:type="dxa"/>
            <w:vAlign w:val="bottom"/>
            <w:gridSpan w:val="2"/>
            <w:shd w:val="clear" w:color="auto" w:fill="E5FFFF"/>
          </w:tcPr>
          <w:p>
            <w:pPr>
              <w:ind w:lef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52,599</w:t>
            </w:r>
          </w:p>
        </w:tc>
        <w:tc>
          <w:tcPr>
            <w:tcW w:w="26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453,606</w:t>
            </w:r>
          </w:p>
        </w:tc>
        <w:tc>
          <w:tcPr>
            <w:tcW w:w="0" w:type="dxa"/>
            <w:vAlign w:val="bottom"/>
          </w:tcPr>
          <w:p>
            <w:pPr>
              <w:spacing w:after="0"/>
              <w:rPr>
                <w:sz w:val="1"/>
                <w:szCs w:val="1"/>
                <w:color w:val="auto"/>
              </w:rPr>
            </w:pPr>
          </w:p>
        </w:tc>
      </w:tr>
      <w:tr>
        <w:trPr>
          <w:trHeight w:val="312"/>
        </w:trPr>
        <w:tc>
          <w:tcPr>
            <w:tcW w:w="2500" w:type="dxa"/>
            <w:vAlign w:val="bottom"/>
          </w:tcPr>
          <w:p>
            <w:pPr>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rPr>
              <w:t>(7,635)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color w:val="auto"/>
              </w:rPr>
              <w:t>(795)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(8,430)</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100" w:type="dxa"/>
            <w:vAlign w:val="bottom"/>
            <w:gridSpan w:val="5"/>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78</w:t>
            </w:r>
          </w:p>
        </w:tc>
        <w:tc>
          <w:tcPr>
            <w:tcW w:w="120" w:type="dxa"/>
            <w:vAlign w:val="bottom"/>
            <w:shd w:val="clear" w:color="auto" w:fill="E5FFFF"/>
          </w:tcPr>
          <w:p>
            <w:pPr>
              <w:spacing w:after="0"/>
              <w:rPr>
                <w:sz w:val="12"/>
                <w:szCs w:val="12"/>
                <w:color w:val="auto"/>
              </w:rPr>
            </w:pPr>
          </w:p>
        </w:tc>
        <w:tc>
          <w:tcPr>
            <w:tcW w:w="840" w:type="dxa"/>
            <w:vAlign w:val="bottom"/>
            <w:gridSpan w:val="4"/>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(3,923)</w:t>
            </w: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278"/>
        </w:trPr>
        <w:tc>
          <w:tcPr>
            <w:tcW w:w="2500" w:type="dxa"/>
            <w:vAlign w:val="bottom"/>
          </w:tcPr>
          <w:p>
            <w:pPr>
              <w:spacing w:after="0"/>
              <w:rPr>
                <w:sz w:val="20"/>
                <w:szCs w:val="20"/>
                <w:color w:val="auto"/>
              </w:rPr>
            </w:pPr>
            <w:r>
              <w:rPr>
                <w:rFonts w:ascii="Arial" w:cs="Arial" w:eastAsia="Arial" w:hAnsi="Arial"/>
                <w:sz w:val="14"/>
                <w:szCs w:val="14"/>
                <w:color w:val="auto"/>
              </w:rPr>
              <w:t>Noncontrolling interests distribution</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and other</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11"/>
        </w:trPr>
        <w:tc>
          <w:tcPr>
            <w:tcW w:w="2500" w:type="dxa"/>
            <w:vAlign w:val="bottom"/>
          </w:tcPr>
          <w:p>
            <w:pPr>
              <w:spacing w:after="0"/>
              <w:rPr>
                <w:sz w:val="20"/>
                <w:szCs w:val="20"/>
                <w:color w:val="auto"/>
              </w:rPr>
            </w:pPr>
            <w:r>
              <w:rPr>
                <w:rFonts w:ascii="Arial" w:cs="Arial" w:eastAsia="Arial" w:hAnsi="Arial"/>
                <w:sz w:val="14"/>
                <w:szCs w:val="14"/>
                <w:color w:val="auto"/>
              </w:rPr>
              <w:t>Stock based compensation expense</w:t>
            </w:r>
          </w:p>
        </w:tc>
        <w:tc>
          <w:tcPr>
            <w:tcW w:w="96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5"/>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April 30, 2020</w:t>
            </w:r>
          </w:p>
        </w:tc>
        <w:tc>
          <w:tcPr>
            <w:tcW w:w="960" w:type="dxa"/>
            <w:vAlign w:val="bottom"/>
            <w:gridSpan w:val="5"/>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29,853</w:t>
            </w:r>
          </w:p>
        </w:tc>
        <w:tc>
          <w:tcPr>
            <w:tcW w:w="1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1100" w:type="dxa"/>
            <w:vAlign w:val="bottom"/>
            <w:gridSpan w:val="5"/>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23,639</w:t>
            </w:r>
          </w:p>
        </w:tc>
        <w:tc>
          <w:tcPr>
            <w:tcW w:w="120" w:type="dxa"/>
            <w:vAlign w:val="bottom"/>
            <w:shd w:val="clear" w:color="auto" w:fill="E5FFFF"/>
          </w:tcPr>
          <w:p>
            <w:pPr>
              <w:spacing w:after="0"/>
              <w:rPr>
                <w:sz w:val="12"/>
                <w:szCs w:val="12"/>
                <w:color w:val="auto"/>
              </w:rPr>
            </w:pPr>
          </w:p>
        </w:tc>
        <w:tc>
          <w:tcPr>
            <w:tcW w:w="840" w:type="dxa"/>
            <w:vAlign w:val="bottom"/>
            <w:gridSpan w:val="4"/>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(338,982)</w:t>
            </w: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980" w:type="dxa"/>
            <w:vAlign w:val="bottom"/>
            <w:gridSpan w:val="4"/>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148,821</w:t>
            </w:r>
          </w:p>
        </w:tc>
        <w:tc>
          <w:tcPr>
            <w:tcW w:w="100" w:type="dxa"/>
            <w:vAlign w:val="bottom"/>
            <w:shd w:val="clear" w:color="auto" w:fill="E5FFFF"/>
          </w:tcPr>
          <w:p>
            <w:pPr>
              <w:spacing w:after="0"/>
              <w:rPr>
                <w:sz w:val="12"/>
                <w:szCs w:val="12"/>
                <w:color w:val="auto"/>
              </w:rPr>
            </w:pPr>
          </w:p>
        </w:tc>
        <w:tc>
          <w:tcPr>
            <w:tcW w:w="8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579,350</w:t>
            </w: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51,779</w:t>
            </w: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441,267</w:t>
            </w:r>
          </w:p>
        </w:tc>
        <w:tc>
          <w:tcPr>
            <w:tcW w:w="0" w:type="dxa"/>
            <w:vAlign w:val="bottom"/>
          </w:tcPr>
          <w:p>
            <w:pPr>
              <w:spacing w:after="0"/>
              <w:rPr>
                <w:sz w:val="1"/>
                <w:szCs w:val="1"/>
                <w:color w:val="auto"/>
              </w:rPr>
            </w:pPr>
          </w:p>
        </w:tc>
      </w:tr>
      <w:tr>
        <w:trPr>
          <w:trHeight w:val="312"/>
        </w:trPr>
        <w:tc>
          <w:tcPr>
            <w:tcW w:w="2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rPr>
              <w:t>(1,748)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color w:val="auto"/>
              </w:rPr>
              <w:t>(285)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ind w:left="20"/>
              <w:spacing w:after="0" w:line="149" w:lineRule="exact"/>
              <w:rPr>
                <w:sz w:val="20"/>
                <w:szCs w:val="20"/>
                <w:color w:val="auto"/>
              </w:rPr>
            </w:pPr>
            <w:r>
              <w:rPr>
                <w:rFonts w:ascii="Arial" w:cs="Arial" w:eastAsia="Arial" w:hAnsi="Arial"/>
                <w:sz w:val="14"/>
                <w:szCs w:val="14"/>
                <w:color w:val="auto"/>
              </w:rPr>
              <w:t>Treasury stock acquired</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100" w:type="dxa"/>
            <w:vAlign w:val="bottom"/>
            <w:gridSpan w:val="5"/>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E5FFFF"/>
          </w:tcPr>
          <w:p>
            <w:pPr>
              <w:spacing w:after="0"/>
              <w:rPr>
                <w:sz w:val="12"/>
                <w:szCs w:val="12"/>
                <w:color w:val="auto"/>
              </w:rPr>
            </w:pPr>
          </w:p>
        </w:tc>
        <w:tc>
          <w:tcPr>
            <w:tcW w:w="840" w:type="dxa"/>
            <w:vAlign w:val="bottom"/>
            <w:gridSpan w:val="4"/>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(1,667)</w:t>
            </w: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278"/>
        </w:trPr>
        <w:tc>
          <w:tcPr>
            <w:tcW w:w="2500" w:type="dxa"/>
            <w:vAlign w:val="bottom"/>
          </w:tcPr>
          <w:p>
            <w:pPr>
              <w:spacing w:after="0"/>
              <w:rPr>
                <w:sz w:val="20"/>
                <w:szCs w:val="20"/>
                <w:color w:val="auto"/>
              </w:rPr>
            </w:pPr>
            <w:r>
              <w:rPr>
                <w:rFonts w:ascii="Arial" w:cs="Arial" w:eastAsia="Arial" w:hAnsi="Arial"/>
                <w:sz w:val="14"/>
                <w:szCs w:val="14"/>
                <w:color w:val="auto"/>
              </w:rPr>
              <w:t>Noncontrolling interests distribution</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and other</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color w:val="auto"/>
              </w:rPr>
              <w:t>(124)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8"/>
        </w:trPr>
        <w:tc>
          <w:tcPr>
            <w:tcW w:w="2500" w:type="dxa"/>
            <w:vAlign w:val="bottom"/>
          </w:tcPr>
          <w:p>
            <w:pPr>
              <w:spacing w:after="0"/>
              <w:rPr>
                <w:sz w:val="20"/>
                <w:szCs w:val="20"/>
                <w:color w:val="auto"/>
              </w:rPr>
            </w:pPr>
            <w:r>
              <w:rPr>
                <w:rFonts w:ascii="Arial" w:cs="Arial" w:eastAsia="Arial" w:hAnsi="Arial"/>
                <w:sz w:val="14"/>
                <w:szCs w:val="14"/>
                <w:color w:val="auto"/>
              </w:rPr>
              <w:t>Issuance of equity awards and stock</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500" w:type="dxa"/>
            <w:vAlign w:val="bottom"/>
          </w:tcPr>
          <w:p>
            <w:pPr>
              <w:spacing w:after="0"/>
              <w:rPr>
                <w:sz w:val="20"/>
                <w:szCs w:val="20"/>
                <w:color w:val="auto"/>
              </w:rPr>
            </w:pPr>
            <w:r>
              <w:rPr>
                <w:rFonts w:ascii="Arial" w:cs="Arial" w:eastAsia="Arial" w:hAnsi="Arial"/>
                <w:sz w:val="14"/>
                <w:szCs w:val="14"/>
                <w:color w:val="auto"/>
              </w:rPr>
              <w:t>based compensation expense</w:t>
            </w:r>
          </w:p>
        </w:tc>
        <w:tc>
          <w:tcPr>
            <w:tcW w:w="96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5"/>
          </w:tcPr>
          <w:p>
            <w:pPr>
              <w:jc w:val="right"/>
              <w:ind w:right="28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E5FFFF"/>
          </w:tcPr>
          <w:p>
            <w:pPr>
              <w:spacing w:after="0"/>
              <w:rPr>
                <w:sz w:val="20"/>
                <w:szCs w:val="20"/>
                <w:color w:val="auto"/>
              </w:rPr>
            </w:pPr>
            <w:r>
              <w:rPr>
                <w:rFonts w:ascii="Arial" w:cs="Arial" w:eastAsia="Arial" w:hAnsi="Arial"/>
                <w:sz w:val="14"/>
                <w:szCs w:val="14"/>
                <w:color w:val="auto"/>
              </w:rPr>
              <w:t>Balance at July 31, 2020</w:t>
            </w:r>
          </w:p>
        </w:tc>
        <w:tc>
          <w:tcPr>
            <w:tcW w:w="960" w:type="dxa"/>
            <w:vAlign w:val="bottom"/>
            <w:gridSpan w:val="5"/>
            <w:shd w:val="clear" w:color="auto" w:fill="E5FFFF"/>
          </w:tcPr>
          <w:p>
            <w:pPr>
              <w:jc w:val="right"/>
              <w:ind w:right="180"/>
              <w:spacing w:after="0"/>
              <w:rPr>
                <w:sz w:val="20"/>
                <w:szCs w:val="20"/>
                <w:color w:val="auto"/>
              </w:rPr>
            </w:pPr>
            <w:r>
              <w:rPr>
                <w:rFonts w:ascii="Arial" w:cs="Arial" w:eastAsia="Arial" w:hAnsi="Arial"/>
                <w:sz w:val="14"/>
                <w:szCs w:val="14"/>
                <w:color w:val="auto"/>
              </w:rPr>
              <w:t>29,853</w:t>
            </w:r>
          </w:p>
        </w:tc>
        <w:tc>
          <w:tcPr>
            <w:tcW w:w="320" w:type="dxa"/>
            <w:vAlign w:val="bottom"/>
            <w:gridSpan w:val="3"/>
            <w:shd w:val="clear" w:color="auto" w:fill="E5FF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E5FFFF"/>
          </w:tcPr>
          <w:p>
            <w:pPr>
              <w:jc w:val="right"/>
              <w:ind w:right="320"/>
              <w:spacing w:after="0"/>
              <w:rPr>
                <w:sz w:val="20"/>
                <w:szCs w:val="20"/>
                <w:color w:val="auto"/>
              </w:rPr>
            </w:pPr>
            <w:r>
              <w:rPr>
                <w:rFonts w:ascii="Arial" w:cs="Arial" w:eastAsia="Arial" w:hAnsi="Arial"/>
                <w:sz w:val="14"/>
                <w:szCs w:val="14"/>
                <w:color w:val="auto"/>
              </w:rPr>
              <w:t>299</w:t>
            </w:r>
          </w:p>
        </w:tc>
        <w:tc>
          <w:tcPr>
            <w:tcW w:w="1100" w:type="dxa"/>
            <w:vAlign w:val="bottom"/>
            <w:gridSpan w:val="5"/>
            <w:shd w:val="clear" w:color="auto" w:fill="E5FFFF"/>
          </w:tcPr>
          <w:p>
            <w:pPr>
              <w:jc w:val="right"/>
              <w:ind w:right="320"/>
              <w:spacing w:after="0"/>
              <w:rPr>
                <w:sz w:val="20"/>
                <w:szCs w:val="20"/>
                <w:color w:val="auto"/>
              </w:rPr>
            </w:pPr>
            <w:r>
              <w:rPr>
                <w:rFonts w:ascii="Arial" w:cs="Arial" w:eastAsia="Arial" w:hAnsi="Arial"/>
                <w:sz w:val="14"/>
                <w:szCs w:val="14"/>
                <w:color w:val="auto"/>
              </w:rPr>
              <w:t>23,655</w:t>
            </w:r>
          </w:p>
        </w:tc>
        <w:tc>
          <w:tcPr>
            <w:tcW w:w="12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E5FFFF"/>
          </w:tcPr>
          <w:p>
            <w:pPr>
              <w:jc w:val="right"/>
              <w:ind w:right="140"/>
              <w:spacing w:after="0" w:line="176" w:lineRule="exact"/>
              <w:rPr>
                <w:sz w:val="20"/>
                <w:szCs w:val="20"/>
                <w:color w:val="auto"/>
              </w:rPr>
            </w:pPr>
            <w:r>
              <w:rPr>
                <w:rFonts w:ascii="Arial" w:cs="Arial" w:eastAsia="Arial" w:hAnsi="Arial"/>
                <w:sz w:val="12"/>
                <w:szCs w:val="12"/>
                <w:color w:val="auto"/>
              </w:rPr>
              <w:t>(340,591</w:t>
            </w:r>
            <w:r>
              <w:rPr>
                <w:rFonts w:ascii="Arial" w:cs="Arial" w:eastAsia="Arial" w:hAnsi="Arial"/>
                <w:sz w:val="20"/>
                <w:szCs w:val="20"/>
                <w:color w:val="auto"/>
                <w:vertAlign w:val="superscript"/>
              </w:rPr>
              <w:t>)</w:t>
            </w:r>
          </w:p>
        </w:tc>
        <w:tc>
          <w:tcPr>
            <w:tcW w:w="240" w:type="dxa"/>
            <w:vAlign w:val="bottom"/>
            <w:gridSpan w:val="2"/>
            <w:shd w:val="clear" w:color="auto" w:fill="E5FF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4"/>
            <w:shd w:val="clear" w:color="auto" w:fill="E5FFFF"/>
          </w:tcPr>
          <w:p>
            <w:pPr>
              <w:jc w:val="right"/>
              <w:ind w:right="320"/>
              <w:spacing w:after="0"/>
              <w:rPr>
                <w:sz w:val="20"/>
                <w:szCs w:val="20"/>
                <w:color w:val="auto"/>
              </w:rPr>
            </w:pPr>
            <w:r>
              <w:rPr>
                <w:rFonts w:ascii="Arial" w:cs="Arial" w:eastAsia="Arial" w:hAnsi="Arial"/>
                <w:sz w:val="14"/>
                <w:szCs w:val="14"/>
                <w:color w:val="auto"/>
              </w:rPr>
              <w:t>149,044</w:t>
            </w:r>
          </w:p>
        </w:tc>
        <w:tc>
          <w:tcPr>
            <w:tcW w:w="10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4"/>
            <w:shd w:val="clear" w:color="auto" w:fill="E5FFFF"/>
          </w:tcPr>
          <w:p>
            <w:pPr>
              <w:jc w:val="right"/>
              <w:ind w:right="180"/>
              <w:spacing w:after="0"/>
              <w:rPr>
                <w:sz w:val="20"/>
                <w:szCs w:val="20"/>
                <w:color w:val="auto"/>
              </w:rPr>
            </w:pPr>
            <w:r>
              <w:rPr>
                <w:rFonts w:ascii="Arial" w:cs="Arial" w:eastAsia="Arial" w:hAnsi="Arial"/>
                <w:sz w:val="14"/>
                <w:szCs w:val="14"/>
                <w:color w:val="auto"/>
              </w:rPr>
              <w:t>577,602</w:t>
            </w:r>
          </w:p>
        </w:tc>
        <w:tc>
          <w:tcPr>
            <w:tcW w:w="280" w:type="dxa"/>
            <w:vAlign w:val="bottom"/>
            <w:gridSpan w:val="2"/>
            <w:shd w:val="clear" w:color="auto" w:fill="E5FFFF"/>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4"/>
            <w:shd w:val="clear" w:color="auto" w:fill="E5FFFF"/>
          </w:tcPr>
          <w:p>
            <w:pPr>
              <w:jc w:val="right"/>
              <w:ind w:right="180"/>
              <w:spacing w:after="0"/>
              <w:rPr>
                <w:sz w:val="20"/>
                <w:szCs w:val="20"/>
                <w:color w:val="auto"/>
              </w:rPr>
            </w:pPr>
            <w:r>
              <w:rPr>
                <w:rFonts w:ascii="Arial" w:cs="Arial" w:eastAsia="Arial" w:hAnsi="Arial"/>
                <w:sz w:val="14"/>
                <w:szCs w:val="14"/>
                <w:color w:val="auto"/>
              </w:rPr>
              <w:t>51,385</w:t>
            </w:r>
          </w:p>
        </w:tc>
        <w:tc>
          <w:tcPr>
            <w:tcW w:w="260" w:type="dxa"/>
            <w:vAlign w:val="bottom"/>
            <w:gridSpan w:val="2"/>
            <w:shd w:val="clear" w:color="auto" w:fill="E5FF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4"/>
                <w:szCs w:val="14"/>
                <w:color w:val="auto"/>
              </w:rPr>
              <w:t>437,739</w:t>
            </w:r>
          </w:p>
        </w:tc>
        <w:tc>
          <w:tcPr>
            <w:tcW w:w="0" w:type="dxa"/>
            <w:vAlign w:val="bottom"/>
          </w:tcPr>
          <w:p>
            <w:pPr>
              <w:spacing w:after="0"/>
              <w:rPr>
                <w:sz w:val="1"/>
                <w:szCs w:val="1"/>
                <w:color w:val="auto"/>
              </w:rPr>
            </w:pPr>
          </w:p>
        </w:tc>
      </w:tr>
      <w:tr>
        <w:trPr>
          <w:trHeight w:val="20"/>
        </w:trPr>
        <w:tc>
          <w:tcPr>
            <w:tcW w:w="250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4"/>
                <w:szCs w:val="14"/>
                <w:color w:val="auto"/>
              </w:rPr>
              <w:t>Continued on the following page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Equity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Continued from the previous page</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REX Shareholders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Common Shares</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87"/>
              </w:rPr>
              <w:t>Retained</w:t>
            </w:r>
          </w:p>
        </w:tc>
        <w:tc>
          <w:tcPr>
            <w:tcW w:w="126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rPr>
              <w:t>Issued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26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8"/>
              </w:rPr>
              <w:t>Shares</w:t>
            </w:r>
          </w:p>
        </w:tc>
        <w:tc>
          <w:tcPr>
            <w:tcW w:w="440" w:type="dxa"/>
            <w:vAlign w:val="bottom"/>
            <w:tcBorders>
              <w:top w:val="single" w:sz="8" w:color="auto"/>
            </w:tcBorders>
            <w:gridSpan w:val="2"/>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right"/>
              <w:ind w:right="480"/>
              <w:spacing w:after="0" w:line="129"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1"/>
                <w:szCs w:val="11"/>
                <w:color w:val="auto"/>
              </w:rPr>
            </w:pPr>
          </w:p>
        </w:tc>
        <w:tc>
          <w:tcPr>
            <w:tcW w:w="840" w:type="dxa"/>
            <w:vAlign w:val="bottom"/>
            <w:gridSpan w:val="4"/>
          </w:tcPr>
          <w:p>
            <w:pPr>
              <w:jc w:val="right"/>
              <w:ind w:right="260"/>
              <w:spacing w:after="0" w:line="12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tcPr>
          <w:p>
            <w:pPr>
              <w:jc w:val="right"/>
              <w:ind w:right="380"/>
              <w:spacing w:after="0" w:line="129" w:lineRule="exact"/>
              <w:rPr>
                <w:sz w:val="20"/>
                <w:szCs w:val="20"/>
                <w:color w:val="auto"/>
              </w:rPr>
            </w:pPr>
            <w:r>
              <w:rPr>
                <w:rFonts w:ascii="Arial" w:cs="Arial" w:eastAsia="Arial" w:hAnsi="Arial"/>
                <w:sz w:val="14"/>
                <w:szCs w:val="14"/>
                <w:b w:val="1"/>
                <w:bCs w:val="1"/>
                <w:color w:val="auto"/>
                <w:w w:val="95"/>
              </w:rPr>
              <w:t>Interests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right"/>
              <w:ind w:right="280"/>
              <w:spacing w:after="0" w:line="12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2019</w:t>
            </w:r>
          </w:p>
        </w:tc>
        <w:tc>
          <w:tcPr>
            <w:tcW w:w="9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29,853</w:t>
            </w:r>
          </w:p>
        </w:tc>
        <w:tc>
          <w:tcPr>
            <w:tcW w:w="32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1100" w:type="dxa"/>
            <w:vAlign w:val="bottom"/>
            <w:gridSpan w:val="5"/>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23,580</w:t>
            </w:r>
          </w:p>
        </w:tc>
        <w:tc>
          <w:tcPr>
            <w:tcW w:w="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(335,193)</w:t>
            </w:r>
          </w:p>
        </w:tc>
        <w:tc>
          <w:tcPr>
            <w:tcW w:w="24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148,273</w:t>
            </w:r>
          </w:p>
        </w:tc>
        <w:tc>
          <w:tcPr>
            <w:tcW w:w="10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579,558</w:t>
            </w:r>
          </w:p>
        </w:tc>
        <w:tc>
          <w:tcPr>
            <w:tcW w:w="3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52,334</w:t>
            </w:r>
          </w:p>
        </w:tc>
        <w:tc>
          <w:tcPr>
            <w:tcW w:w="26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445,271</w:t>
            </w:r>
          </w:p>
        </w:tc>
        <w:tc>
          <w:tcPr>
            <w:tcW w:w="0" w:type="dxa"/>
            <w:vAlign w:val="bottom"/>
          </w:tcPr>
          <w:p>
            <w:pPr>
              <w:spacing w:after="0"/>
              <w:rPr>
                <w:sz w:val="1"/>
                <w:szCs w:val="1"/>
                <w:color w:val="auto"/>
              </w:rPr>
            </w:pPr>
          </w:p>
        </w:tc>
      </w:tr>
      <w:tr>
        <w:trPr>
          <w:trHeight w:val="312"/>
        </w:trPr>
        <w:tc>
          <w:tcPr>
            <w:tcW w:w="2500" w:type="dxa"/>
            <w:vAlign w:val="bottom"/>
          </w:tcPr>
          <w:p>
            <w:pPr>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2,821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894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Noncontrolling interests distribution</w:t>
            </w:r>
          </w:p>
        </w:tc>
        <w:tc>
          <w:tcPr>
            <w:tcW w:w="18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80" w:type="dxa"/>
            <w:vAlign w:val="bottom"/>
            <w:tcBorders>
              <w:right w:val="single" w:sz="8" w:color="E5FFFF"/>
            </w:tcBorders>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200" w:type="dxa"/>
            <w:vAlign w:val="bottom"/>
            <w:tcBorders>
              <w:right w:val="single" w:sz="8" w:color="E5FFFF"/>
            </w:tcBorders>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5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E5FFFF"/>
          </w:tcPr>
          <w:p>
            <w:pPr>
              <w:spacing w:after="0"/>
              <w:rPr>
                <w:sz w:val="20"/>
                <w:szCs w:val="20"/>
                <w:color w:val="auto"/>
              </w:rPr>
            </w:pPr>
            <w:r>
              <w:rPr>
                <w:rFonts w:ascii="Arial" w:cs="Arial" w:eastAsia="Arial" w:hAnsi="Arial"/>
                <w:sz w:val="14"/>
                <w:szCs w:val="14"/>
                <w:color w:val="auto"/>
              </w:rPr>
              <w:t>and other</w:t>
            </w:r>
          </w:p>
        </w:tc>
        <w:tc>
          <w:tcPr>
            <w:tcW w:w="180" w:type="dxa"/>
            <w:vAlign w:val="bottom"/>
            <w:shd w:val="clear" w:color="auto" w:fill="E5FFFF"/>
          </w:tcPr>
          <w:p>
            <w:pPr>
              <w:spacing w:after="0"/>
              <w:rPr>
                <w:sz w:val="14"/>
                <w:szCs w:val="14"/>
                <w:color w:val="auto"/>
              </w:rPr>
            </w:pPr>
          </w:p>
        </w:tc>
        <w:tc>
          <w:tcPr>
            <w:tcW w:w="420" w:type="dxa"/>
            <w:vAlign w:val="bottom"/>
            <w:shd w:val="clear" w:color="auto" w:fill="E5FFFF"/>
          </w:tcPr>
          <w:p>
            <w:pPr>
              <w:spacing w:after="0"/>
              <w:rPr>
                <w:sz w:val="14"/>
                <w:szCs w:val="14"/>
                <w:color w:val="auto"/>
              </w:rPr>
            </w:pPr>
          </w:p>
        </w:tc>
        <w:tc>
          <w:tcPr>
            <w:tcW w:w="180" w:type="dxa"/>
            <w:vAlign w:val="bottom"/>
            <w:tcBorders>
              <w:right w:val="single" w:sz="8" w:color="E5FFFF"/>
            </w:tcBorders>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200" w:type="dxa"/>
            <w:vAlign w:val="bottom"/>
            <w:tcBorders>
              <w:right w:val="single" w:sz="8" w:color="E5FFFF"/>
            </w:tcBorders>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50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42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5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4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5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4"/>
            <w:shd w:val="clear" w:color="auto" w:fill="E5FFFF"/>
          </w:tcPr>
          <w:p>
            <w:pPr>
              <w:jc w:val="right"/>
              <w:ind w:right="140"/>
              <w:spacing w:after="0"/>
              <w:rPr>
                <w:sz w:val="20"/>
                <w:szCs w:val="20"/>
                <w:color w:val="auto"/>
              </w:rPr>
            </w:pPr>
            <w:r>
              <w:rPr>
                <w:rFonts w:ascii="Arial" w:cs="Arial" w:eastAsia="Arial" w:hAnsi="Arial"/>
                <w:sz w:val="14"/>
                <w:szCs w:val="14"/>
                <w:color w:val="auto"/>
              </w:rPr>
              <w:t>(87)</w:t>
            </w:r>
          </w:p>
        </w:tc>
        <w:tc>
          <w:tcPr>
            <w:tcW w:w="1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60" w:type="dxa"/>
            <w:vAlign w:val="bottom"/>
            <w:gridSpan w:val="4"/>
            <w:shd w:val="clear" w:color="auto" w:fill="E5FFFF"/>
          </w:tcPr>
          <w:p>
            <w:pPr>
              <w:jc w:val="right"/>
              <w:ind w:right="6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312"/>
        </w:trPr>
        <w:tc>
          <w:tcPr>
            <w:tcW w:w="2500" w:type="dxa"/>
            <w:vAlign w:val="bottom"/>
          </w:tcPr>
          <w:p>
            <w:pPr>
              <w:spacing w:after="0"/>
              <w:rPr>
                <w:sz w:val="20"/>
                <w:szCs w:val="20"/>
                <w:color w:val="auto"/>
              </w:rPr>
            </w:pPr>
            <w:r>
              <w:rPr>
                <w:rFonts w:ascii="Arial" w:cs="Arial" w:eastAsia="Arial" w:hAnsi="Arial"/>
                <w:sz w:val="14"/>
                <w:szCs w:val="14"/>
                <w:color w:val="auto"/>
              </w:rPr>
              <w:t>Capital contributions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146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E5FFFF"/>
          </w:tcPr>
          <w:p>
            <w:pPr>
              <w:spacing w:after="0"/>
              <w:rPr>
                <w:sz w:val="20"/>
                <w:szCs w:val="20"/>
                <w:color w:val="auto"/>
              </w:rPr>
            </w:pPr>
            <w:r>
              <w:rPr>
                <w:rFonts w:ascii="Arial" w:cs="Arial" w:eastAsia="Arial" w:hAnsi="Arial"/>
                <w:sz w:val="14"/>
                <w:szCs w:val="14"/>
                <w:color w:val="auto"/>
              </w:rPr>
              <w:t>Stock based compensation expense</w:t>
            </w:r>
          </w:p>
        </w:tc>
        <w:tc>
          <w:tcPr>
            <w:tcW w:w="960" w:type="dxa"/>
            <w:vAlign w:val="bottom"/>
            <w:gridSpan w:val="4"/>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E5FFFF"/>
            </w:tcBorders>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960" w:type="dxa"/>
            <w:vAlign w:val="bottom"/>
            <w:gridSpan w:val="3"/>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5"/>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840" w:type="dxa"/>
            <w:vAlign w:val="bottom"/>
            <w:gridSpan w:val="4"/>
            <w:shd w:val="clear" w:color="auto" w:fill="E5FFFF"/>
          </w:tcPr>
          <w:p>
            <w:pPr>
              <w:jc w:val="right"/>
              <w:ind w:right="200"/>
              <w:spacing w:after="0"/>
              <w:rPr>
                <w:sz w:val="20"/>
                <w:szCs w:val="20"/>
                <w:color w:val="auto"/>
              </w:rPr>
            </w:pPr>
            <w:r>
              <w:rPr>
                <w:rFonts w:ascii="Arial" w:cs="Arial" w:eastAsia="Arial" w:hAnsi="Arial"/>
                <w:sz w:val="14"/>
                <w:szCs w:val="14"/>
                <w:color w:val="auto"/>
              </w:rPr>
              <w:t>7</w:t>
            </w:r>
          </w:p>
        </w:tc>
        <w:tc>
          <w:tcPr>
            <w:tcW w:w="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980" w:type="dxa"/>
            <w:vAlign w:val="bottom"/>
            <w:gridSpan w:val="4"/>
            <w:shd w:val="clear" w:color="auto" w:fill="E5FFFF"/>
          </w:tcPr>
          <w:p>
            <w:pPr>
              <w:jc w:val="right"/>
              <w:ind w:right="32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5FFFF"/>
          </w:tcPr>
          <w:p>
            <w:pPr>
              <w:spacing w:after="0"/>
              <w:rPr>
                <w:sz w:val="14"/>
                <w:szCs w:val="14"/>
                <w:color w:val="auto"/>
              </w:rPr>
            </w:pPr>
          </w:p>
        </w:tc>
        <w:tc>
          <w:tcPr>
            <w:tcW w:w="840" w:type="dxa"/>
            <w:vAlign w:val="bottom"/>
            <w:gridSpan w:val="4"/>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4"/>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500" w:type="dxa"/>
            <w:vAlign w:val="bottom"/>
          </w:tcPr>
          <w:p>
            <w:pPr>
              <w:spacing w:after="0"/>
              <w:rPr>
                <w:sz w:val="20"/>
                <w:szCs w:val="20"/>
                <w:color w:val="auto"/>
              </w:rPr>
            </w:pPr>
            <w:r>
              <w:rPr>
                <w:rFonts w:ascii="Arial" w:cs="Arial" w:eastAsia="Arial" w:hAnsi="Arial"/>
                <w:sz w:val="14"/>
                <w:szCs w:val="14"/>
                <w:color w:val="auto"/>
              </w:rPr>
              <w:t>Balance at April 30, 2019</w:t>
            </w: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29,853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299</w:t>
            </w:r>
          </w:p>
        </w:tc>
        <w:tc>
          <w:tcPr>
            <w:tcW w:w="1100" w:type="dxa"/>
            <w:vAlign w:val="bottom"/>
            <w:gridSpan w:val="5"/>
          </w:tcPr>
          <w:p>
            <w:pPr>
              <w:jc w:val="right"/>
              <w:ind w:right="320"/>
              <w:spacing w:after="0"/>
              <w:rPr>
                <w:sz w:val="20"/>
                <w:szCs w:val="20"/>
                <w:color w:val="auto"/>
              </w:rPr>
            </w:pPr>
            <w:r>
              <w:rPr>
                <w:rFonts w:ascii="Arial" w:cs="Arial" w:eastAsia="Arial" w:hAnsi="Arial"/>
                <w:sz w:val="14"/>
                <w:szCs w:val="14"/>
                <w:color w:val="auto"/>
              </w:rPr>
              <w:t>23,580</w:t>
            </w:r>
          </w:p>
        </w:tc>
        <w:tc>
          <w:tcPr>
            <w:tcW w:w="120" w:type="dxa"/>
            <w:vAlign w:val="bottom"/>
          </w:tcPr>
          <w:p>
            <w:pPr>
              <w:spacing w:after="0"/>
              <w:rPr>
                <w:sz w:val="24"/>
                <w:szCs w:val="24"/>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4"/>
                <w:szCs w:val="14"/>
                <w:color w:val="auto"/>
              </w:rPr>
              <w:t>(335,186)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4"/>
                <w:szCs w:val="14"/>
                <w:color w:val="auto"/>
              </w:rPr>
              <w:t>148,303</w:t>
            </w:r>
          </w:p>
        </w:tc>
        <w:tc>
          <w:tcPr>
            <w:tcW w:w="100" w:type="dxa"/>
            <w:vAlign w:val="bottom"/>
          </w:tcPr>
          <w:p>
            <w:pPr>
              <w:spacing w:after="0"/>
              <w:rPr>
                <w:sz w:val="24"/>
                <w:szCs w:val="24"/>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582,379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53,287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449,082</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80" w:type="dxa"/>
            <w:vAlign w:val="bottom"/>
            <w:tcBorders>
              <w:right w:val="single" w:sz="8" w:color="E5FFFF"/>
            </w:tcBorders>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40" w:type="dxa"/>
            <w:vAlign w:val="bottom"/>
            <w:gridSpan w:val="4"/>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2,256</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1,097</w:t>
            </w: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3,353</w:t>
            </w:r>
          </w:p>
        </w:tc>
        <w:tc>
          <w:tcPr>
            <w:tcW w:w="0" w:type="dxa"/>
            <w:vAlign w:val="bottom"/>
          </w:tcPr>
          <w:p>
            <w:pPr>
              <w:spacing w:after="0"/>
              <w:rPr>
                <w:sz w:val="1"/>
                <w:szCs w:val="1"/>
                <w:color w:val="auto"/>
              </w:rPr>
            </w:pPr>
          </w:p>
        </w:tc>
      </w:tr>
      <w:tr>
        <w:trPr>
          <w:trHeight w:val="278"/>
        </w:trPr>
        <w:tc>
          <w:tcPr>
            <w:tcW w:w="2500" w:type="dxa"/>
            <w:vAlign w:val="bottom"/>
          </w:tcPr>
          <w:p>
            <w:pPr>
              <w:spacing w:after="0"/>
              <w:rPr>
                <w:sz w:val="20"/>
                <w:szCs w:val="20"/>
                <w:color w:val="auto"/>
              </w:rPr>
            </w:pPr>
            <w:r>
              <w:rPr>
                <w:rFonts w:ascii="Arial" w:cs="Arial" w:eastAsia="Arial" w:hAnsi="Arial"/>
                <w:sz w:val="14"/>
                <w:szCs w:val="14"/>
                <w:color w:val="auto"/>
              </w:rPr>
              <w:t>Noncontrolling interests distribution</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and other</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color w:val="auto"/>
              </w:rPr>
              <w:t>(2,511)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80" w:type="dxa"/>
            <w:vAlign w:val="bottom"/>
            <w:tcBorders>
              <w:right w:val="single" w:sz="8" w:color="E5FFFF"/>
            </w:tcBorders>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39</w:t>
            </w: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60" w:type="dxa"/>
            <w:vAlign w:val="bottom"/>
            <w:gridSpan w:val="4"/>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8"/>
        </w:trPr>
        <w:tc>
          <w:tcPr>
            <w:tcW w:w="2500" w:type="dxa"/>
            <w:vAlign w:val="bottom"/>
          </w:tcPr>
          <w:p>
            <w:pPr>
              <w:spacing w:after="0"/>
              <w:rPr>
                <w:sz w:val="20"/>
                <w:szCs w:val="20"/>
                <w:color w:val="auto"/>
              </w:rPr>
            </w:pPr>
            <w:r>
              <w:rPr>
                <w:rFonts w:ascii="Arial" w:cs="Arial" w:eastAsia="Arial" w:hAnsi="Arial"/>
                <w:sz w:val="14"/>
                <w:szCs w:val="14"/>
                <w:color w:val="auto"/>
              </w:rPr>
              <w:t>Issuance of equity awards and stock</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500" w:type="dxa"/>
            <w:vAlign w:val="bottom"/>
          </w:tcPr>
          <w:p>
            <w:pPr>
              <w:spacing w:after="0"/>
              <w:rPr>
                <w:sz w:val="20"/>
                <w:szCs w:val="20"/>
                <w:color w:val="auto"/>
              </w:rPr>
            </w:pPr>
            <w:r>
              <w:rPr>
                <w:rFonts w:ascii="Arial" w:cs="Arial" w:eastAsia="Arial" w:hAnsi="Arial"/>
                <w:sz w:val="14"/>
                <w:szCs w:val="14"/>
                <w:color w:val="auto"/>
              </w:rPr>
              <w:t>based compensation expense</w:t>
            </w: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5"/>
          </w:tcPr>
          <w:p>
            <w:pPr>
              <w:jc w:val="right"/>
              <w:ind w:right="28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5"/>
                <w:szCs w:val="15"/>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E5FFFF"/>
          </w:tcPr>
          <w:p>
            <w:pPr>
              <w:spacing w:after="0"/>
              <w:rPr>
                <w:sz w:val="20"/>
                <w:szCs w:val="20"/>
                <w:color w:val="auto"/>
              </w:rPr>
            </w:pPr>
            <w:r>
              <w:rPr>
                <w:rFonts w:ascii="Arial" w:cs="Arial" w:eastAsia="Arial" w:hAnsi="Arial"/>
                <w:sz w:val="14"/>
                <w:szCs w:val="14"/>
                <w:color w:val="auto"/>
              </w:rPr>
              <w:t>Balance at July 31, 2019</w:t>
            </w:r>
          </w:p>
        </w:tc>
        <w:tc>
          <w:tcPr>
            <w:tcW w:w="960" w:type="dxa"/>
            <w:vAlign w:val="bottom"/>
            <w:gridSpan w:val="4"/>
            <w:shd w:val="clear" w:color="auto" w:fill="E5FFFF"/>
          </w:tcPr>
          <w:p>
            <w:pPr>
              <w:jc w:val="right"/>
              <w:ind w:right="180"/>
              <w:spacing w:after="0"/>
              <w:rPr>
                <w:sz w:val="20"/>
                <w:szCs w:val="20"/>
                <w:color w:val="auto"/>
              </w:rPr>
            </w:pPr>
            <w:r>
              <w:rPr>
                <w:rFonts w:ascii="Arial" w:cs="Arial" w:eastAsia="Arial" w:hAnsi="Arial"/>
                <w:sz w:val="14"/>
                <w:szCs w:val="14"/>
                <w:color w:val="auto"/>
              </w:rPr>
              <w:t>29,853</w:t>
            </w:r>
          </w:p>
        </w:tc>
        <w:tc>
          <w:tcPr>
            <w:tcW w:w="32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E5FFFF"/>
          </w:tcPr>
          <w:p>
            <w:pPr>
              <w:jc w:val="right"/>
              <w:ind w:right="320"/>
              <w:spacing w:after="0"/>
              <w:rPr>
                <w:sz w:val="20"/>
                <w:szCs w:val="20"/>
                <w:color w:val="auto"/>
              </w:rPr>
            </w:pPr>
            <w:r>
              <w:rPr>
                <w:rFonts w:ascii="Arial" w:cs="Arial" w:eastAsia="Arial" w:hAnsi="Arial"/>
                <w:sz w:val="14"/>
                <w:szCs w:val="14"/>
                <w:color w:val="auto"/>
              </w:rPr>
              <w:t>299</w:t>
            </w:r>
          </w:p>
        </w:tc>
        <w:tc>
          <w:tcPr>
            <w:tcW w:w="1100" w:type="dxa"/>
            <w:vAlign w:val="bottom"/>
            <w:gridSpan w:val="5"/>
            <w:shd w:val="clear" w:color="auto" w:fill="E5FFFF"/>
          </w:tcPr>
          <w:p>
            <w:pPr>
              <w:jc w:val="right"/>
              <w:ind w:right="320"/>
              <w:spacing w:after="0"/>
              <w:rPr>
                <w:sz w:val="20"/>
                <w:szCs w:val="20"/>
                <w:color w:val="auto"/>
              </w:rPr>
            </w:pPr>
            <w:r>
              <w:rPr>
                <w:rFonts w:ascii="Arial" w:cs="Arial" w:eastAsia="Arial" w:hAnsi="Arial"/>
                <w:sz w:val="14"/>
                <w:szCs w:val="14"/>
                <w:color w:val="auto"/>
              </w:rPr>
              <w:t>23,561</w:t>
            </w:r>
          </w:p>
        </w:tc>
        <w:tc>
          <w:tcPr>
            <w:tcW w:w="12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E5FFFF"/>
          </w:tcPr>
          <w:p>
            <w:pPr>
              <w:jc w:val="right"/>
              <w:ind w:right="140"/>
              <w:spacing w:after="0"/>
              <w:rPr>
                <w:sz w:val="20"/>
                <w:szCs w:val="20"/>
                <w:color w:val="auto"/>
              </w:rPr>
            </w:pPr>
            <w:r>
              <w:rPr>
                <w:rFonts w:ascii="Arial" w:cs="Arial" w:eastAsia="Arial" w:hAnsi="Arial"/>
                <w:sz w:val="14"/>
                <w:szCs w:val="14"/>
                <w:color w:val="auto"/>
              </w:rPr>
              <w:t>(335,080)</w:t>
            </w:r>
          </w:p>
        </w:tc>
        <w:tc>
          <w:tcPr>
            <w:tcW w:w="240" w:type="dxa"/>
            <w:vAlign w:val="bottom"/>
            <w:gridSpan w:val="2"/>
            <w:shd w:val="clear" w:color="auto" w:fill="E5FF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4"/>
            <w:shd w:val="clear" w:color="auto" w:fill="E5FFFF"/>
          </w:tcPr>
          <w:p>
            <w:pPr>
              <w:jc w:val="right"/>
              <w:ind w:right="320"/>
              <w:spacing w:after="0"/>
              <w:rPr>
                <w:sz w:val="20"/>
                <w:szCs w:val="20"/>
                <w:color w:val="auto"/>
              </w:rPr>
            </w:pPr>
            <w:r>
              <w:rPr>
                <w:rFonts w:ascii="Arial" w:cs="Arial" w:eastAsia="Arial" w:hAnsi="Arial"/>
                <w:sz w:val="14"/>
                <w:szCs w:val="14"/>
                <w:color w:val="auto"/>
              </w:rPr>
              <w:t>148,724</w:t>
            </w:r>
          </w:p>
        </w:tc>
        <w:tc>
          <w:tcPr>
            <w:tcW w:w="10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E5FFFF"/>
          </w:tcPr>
          <w:p>
            <w:pPr>
              <w:jc w:val="right"/>
              <w:ind w:right="160"/>
              <w:spacing w:after="0"/>
              <w:rPr>
                <w:sz w:val="20"/>
                <w:szCs w:val="20"/>
                <w:color w:val="auto"/>
              </w:rPr>
            </w:pPr>
            <w:r>
              <w:rPr>
                <w:rFonts w:ascii="Arial" w:cs="Arial" w:eastAsia="Arial" w:hAnsi="Arial"/>
                <w:sz w:val="14"/>
                <w:szCs w:val="14"/>
                <w:color w:val="auto"/>
              </w:rPr>
              <w:t>584,635</w:t>
            </w:r>
          </w:p>
        </w:tc>
        <w:tc>
          <w:tcPr>
            <w:tcW w:w="300" w:type="dxa"/>
            <w:vAlign w:val="bottom"/>
            <w:gridSpan w:val="2"/>
            <w:shd w:val="clear" w:color="auto" w:fill="E5FFFF"/>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4"/>
            <w:shd w:val="clear" w:color="auto" w:fill="E5FFFF"/>
          </w:tcPr>
          <w:p>
            <w:pPr>
              <w:jc w:val="right"/>
              <w:ind w:right="180"/>
              <w:spacing w:after="0"/>
              <w:rPr>
                <w:sz w:val="20"/>
                <w:szCs w:val="20"/>
                <w:color w:val="auto"/>
              </w:rPr>
            </w:pPr>
            <w:r>
              <w:rPr>
                <w:rFonts w:ascii="Arial" w:cs="Arial" w:eastAsia="Arial" w:hAnsi="Arial"/>
                <w:sz w:val="14"/>
                <w:szCs w:val="14"/>
                <w:color w:val="auto"/>
              </w:rPr>
              <w:t>51,912</w:t>
            </w:r>
          </w:p>
        </w:tc>
        <w:tc>
          <w:tcPr>
            <w:tcW w:w="260" w:type="dxa"/>
            <w:vAlign w:val="bottom"/>
            <w:gridSpan w:val="2"/>
            <w:shd w:val="clear" w:color="auto" w:fill="E5FF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4"/>
                <w:szCs w:val="14"/>
                <w:color w:val="auto"/>
              </w:rPr>
              <w:t>450,490</w:t>
            </w:r>
          </w:p>
        </w:tc>
        <w:tc>
          <w:tcPr>
            <w:tcW w:w="0" w:type="dxa"/>
            <w:vAlign w:val="bottom"/>
          </w:tcPr>
          <w:p>
            <w:pPr>
              <w:spacing w:after="0"/>
              <w:rPr>
                <w:sz w:val="1"/>
                <w:szCs w:val="1"/>
                <w:color w:val="auto"/>
              </w:rPr>
            </w:pPr>
          </w:p>
        </w:tc>
      </w:tr>
      <w:tr>
        <w:trPr>
          <w:trHeight w:val="20"/>
        </w:trPr>
        <w:tc>
          <w:tcPr>
            <w:tcW w:w="25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920" w:type="dxa"/>
            <w:vAlign w:val="bottom"/>
            <w:gridSpan w:val="8"/>
          </w:tcPr>
          <w:p>
            <w:pPr>
              <w:jc w:val="center"/>
              <w:ind w:right="301"/>
              <w:spacing w:after="0"/>
              <w:rPr>
                <w:sz w:val="20"/>
                <w:szCs w:val="20"/>
                <w:color w:val="auto"/>
              </w:rPr>
            </w:pPr>
            <w:r>
              <w:rPr>
                <w:rFonts w:ascii="Arial" w:cs="Arial" w:eastAsia="Arial" w:hAnsi="Arial"/>
                <w:sz w:val="18"/>
                <w:szCs w:val="18"/>
                <w:b w:val="1"/>
                <w:bCs w:val="1"/>
                <w:color w:val="auto"/>
                <w:w w:val="90"/>
              </w:rPr>
              <w:t>Six Months Ended</w:t>
            </w:r>
          </w:p>
        </w:tc>
      </w:tr>
      <w:tr>
        <w:trPr>
          <w:trHeight w:val="229"/>
        </w:trPr>
        <w:tc>
          <w:tcPr>
            <w:tcW w:w="9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July 31,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9100" w:type="dxa"/>
            <w:vAlign w:val="bottom"/>
          </w:tcPr>
          <w:p>
            <w:pPr>
              <w:spacing w:after="0"/>
              <w:rPr>
                <w:sz w:val="16"/>
                <w:szCs w:val="16"/>
                <w:color w:val="auto"/>
              </w:rPr>
            </w:pPr>
          </w:p>
        </w:tc>
        <w:tc>
          <w:tcPr>
            <w:tcW w:w="800" w:type="dxa"/>
            <w:vAlign w:val="bottom"/>
            <w:gridSpan w:val="3"/>
          </w:tcPr>
          <w:p>
            <w:pPr>
              <w:jc w:val="right"/>
              <w:ind w:right="130"/>
              <w:spacing w:after="0" w:line="194" w:lineRule="exact"/>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2"/>
          </w:tcPr>
          <w:p>
            <w:pPr>
              <w:jc w:val="right"/>
              <w:ind w:right="240"/>
              <w:spacing w:after="0" w:line="194" w:lineRule="exact"/>
              <w:rPr>
                <w:sz w:val="20"/>
                <w:szCs w:val="20"/>
                <w:color w:val="auto"/>
              </w:rPr>
            </w:pPr>
            <w:r>
              <w:rPr>
                <w:rFonts w:ascii="Arial" w:cs="Arial" w:eastAsia="Arial" w:hAnsi="Arial"/>
                <w:sz w:val="18"/>
                <w:szCs w:val="18"/>
                <w:b w:val="1"/>
                <w:bCs w:val="1"/>
                <w:color w:val="auto"/>
                <w:w w:val="84"/>
              </w:rPr>
              <w:t>2019</w:t>
            </w:r>
          </w:p>
        </w:tc>
        <w:tc>
          <w:tcPr>
            <w:tcW w:w="80" w:type="dxa"/>
            <w:vAlign w:val="bottom"/>
          </w:tcPr>
          <w:p>
            <w:pPr>
              <w:spacing w:after="0"/>
              <w:rPr>
                <w:sz w:val="16"/>
                <w:szCs w:val="16"/>
                <w:color w:val="auto"/>
              </w:rPr>
            </w:pPr>
          </w:p>
        </w:tc>
      </w:tr>
      <w:tr>
        <w:trPr>
          <w:trHeight w:val="20"/>
        </w:trPr>
        <w:tc>
          <w:tcPr>
            <w:tcW w:w="9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(loss) income including noncontrolling interests</w:t>
            </w:r>
          </w:p>
        </w:tc>
        <w:tc>
          <w:tcPr>
            <w:tcW w:w="1060" w:type="dxa"/>
            <w:vAlign w:val="bottom"/>
            <w:gridSpan w:val="4"/>
          </w:tcPr>
          <w:p>
            <w:pPr>
              <w:jc w:val="right"/>
              <w:ind w:right="121"/>
              <w:spacing w:after="0"/>
              <w:rPr>
                <w:sz w:val="20"/>
                <w:szCs w:val="20"/>
                <w:color w:val="auto"/>
              </w:rPr>
            </w:pPr>
            <w:r>
              <w:rPr>
                <w:rFonts w:ascii="Arial" w:cs="Arial" w:eastAsia="Arial" w:hAnsi="Arial"/>
                <w:sz w:val="18"/>
                <w:szCs w:val="18"/>
                <w:color w:val="auto"/>
                <w:w w:val="96"/>
              </w:rPr>
              <w:t>$  (10,463)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7,068</w:t>
            </w:r>
          </w:p>
        </w:tc>
        <w:tc>
          <w:tcPr>
            <w:tcW w:w="80" w:type="dxa"/>
            <w:vAlign w:val="bottom"/>
          </w:tcPr>
          <w:p>
            <w:pPr>
              <w:spacing w:after="0"/>
              <w:rPr>
                <w:sz w:val="18"/>
                <w:szCs w:val="18"/>
                <w:color w:val="auto"/>
              </w:rPr>
            </w:pPr>
          </w:p>
        </w:tc>
      </w:tr>
      <w:tr>
        <w:trPr>
          <w:trHeight w:val="216"/>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60" w:type="dxa"/>
            <w:vAlign w:val="bottom"/>
            <w:gridSpan w:val="4"/>
          </w:tcPr>
          <w:p>
            <w:pPr>
              <w:jc w:val="right"/>
              <w:ind w:right="181"/>
              <w:spacing w:after="0"/>
              <w:rPr>
                <w:sz w:val="20"/>
                <w:szCs w:val="20"/>
                <w:color w:val="auto"/>
              </w:rPr>
            </w:pPr>
            <w:r>
              <w:rPr>
                <w:rFonts w:ascii="Arial" w:cs="Arial" w:eastAsia="Arial" w:hAnsi="Arial"/>
                <w:sz w:val="18"/>
                <w:szCs w:val="18"/>
                <w:color w:val="auto"/>
              </w:rPr>
              <w:t>10,491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61"/>
              <w:spacing w:after="0"/>
              <w:rPr>
                <w:sz w:val="20"/>
                <w:szCs w:val="20"/>
                <w:color w:val="auto"/>
              </w:rPr>
            </w:pPr>
            <w:r>
              <w:rPr>
                <w:rFonts w:ascii="Arial" w:cs="Arial" w:eastAsia="Arial" w:hAnsi="Arial"/>
                <w:sz w:val="18"/>
                <w:szCs w:val="18"/>
                <w:color w:val="auto"/>
              </w:rPr>
              <w:t>12,425</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1060" w:type="dxa"/>
            <w:vAlign w:val="bottom"/>
            <w:gridSpan w:val="4"/>
            <w:shd w:val="clear" w:color="auto" w:fill="E5FFFF"/>
          </w:tcPr>
          <w:p>
            <w:pPr>
              <w:jc w:val="right"/>
              <w:ind w:right="181"/>
              <w:spacing w:after="0"/>
              <w:rPr>
                <w:sz w:val="20"/>
                <w:szCs w:val="20"/>
                <w:color w:val="auto"/>
              </w:rPr>
            </w:pPr>
            <w:r>
              <w:rPr>
                <w:rFonts w:ascii="Arial" w:cs="Arial" w:eastAsia="Arial" w:hAnsi="Arial"/>
                <w:sz w:val="18"/>
                <w:szCs w:val="18"/>
                <w:color w:val="auto"/>
              </w:rPr>
              <w:t>2,691</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2,992</w:t>
            </w:r>
          </w:p>
        </w:tc>
        <w:tc>
          <w:tcPr>
            <w:tcW w:w="80" w:type="dxa"/>
            <w:vAlign w:val="bottom"/>
            <w:shd w:val="clear" w:color="auto" w:fill="E5FF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Loss (income) from equity method investments</w:t>
            </w:r>
          </w:p>
        </w:tc>
        <w:tc>
          <w:tcPr>
            <w:tcW w:w="1060" w:type="dxa"/>
            <w:vAlign w:val="bottom"/>
            <w:gridSpan w:val="4"/>
          </w:tcPr>
          <w:p>
            <w:pPr>
              <w:jc w:val="right"/>
              <w:ind w:right="181"/>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8"/>
                <w:szCs w:val="18"/>
                <w:color w:val="auto"/>
              </w:rPr>
              <w:t>(365)</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Dividends received from equity method investee</w:t>
            </w:r>
          </w:p>
        </w:tc>
        <w:tc>
          <w:tcPr>
            <w:tcW w:w="1060" w:type="dxa"/>
            <w:vAlign w:val="bottom"/>
            <w:gridSpan w:val="4"/>
            <w:shd w:val="clear" w:color="auto" w:fill="E5FFFF"/>
          </w:tcPr>
          <w:p>
            <w:pPr>
              <w:jc w:val="right"/>
              <w:ind w:right="181"/>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Interest income from investments</w:t>
            </w:r>
          </w:p>
        </w:tc>
        <w:tc>
          <w:tcPr>
            <w:tcW w:w="1060" w:type="dxa"/>
            <w:vAlign w:val="bottom"/>
            <w:gridSpan w:val="4"/>
          </w:tcPr>
          <w:p>
            <w:pPr>
              <w:jc w:val="right"/>
              <w:ind w:right="121"/>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8"/>
                <w:szCs w:val="18"/>
                <w:color w:val="auto"/>
              </w:rPr>
              <w:t>(25)</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income tax</w:t>
            </w:r>
          </w:p>
        </w:tc>
        <w:tc>
          <w:tcPr>
            <w:tcW w:w="1060" w:type="dxa"/>
            <w:vAlign w:val="bottom"/>
            <w:gridSpan w:val="4"/>
            <w:shd w:val="clear" w:color="auto" w:fill="E5FFFF"/>
          </w:tcPr>
          <w:p>
            <w:pPr>
              <w:jc w:val="right"/>
              <w:ind w:right="121"/>
              <w:spacing w:after="0"/>
              <w:rPr>
                <w:sz w:val="20"/>
                <w:szCs w:val="20"/>
                <w:color w:val="auto"/>
              </w:rPr>
            </w:pPr>
            <w:r>
              <w:rPr>
                <w:rFonts w:ascii="Arial" w:cs="Arial" w:eastAsia="Arial" w:hAnsi="Arial"/>
                <w:sz w:val="18"/>
                <w:szCs w:val="18"/>
                <w:color w:val="auto"/>
              </w:rPr>
              <w:t>(4,784)</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80" w:type="dxa"/>
            <w:vAlign w:val="bottom"/>
            <w:gridSpan w:val="3"/>
            <w:shd w:val="clear" w:color="auto" w:fill="E5FFFF"/>
          </w:tcPr>
          <w:p>
            <w:pPr>
              <w:jc w:val="right"/>
              <w:ind w:right="1"/>
              <w:spacing w:after="0"/>
              <w:rPr>
                <w:sz w:val="20"/>
                <w:szCs w:val="20"/>
                <w:color w:val="auto"/>
              </w:rPr>
            </w:pPr>
            <w:r>
              <w:rPr>
                <w:rFonts w:ascii="Arial" w:cs="Arial" w:eastAsia="Arial" w:hAnsi="Arial"/>
                <w:sz w:val="18"/>
                <w:szCs w:val="18"/>
                <w:color w:val="auto"/>
              </w:rPr>
              <w:t>(6,294)</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Stock based compensation expense</w:t>
            </w:r>
          </w:p>
        </w:tc>
        <w:tc>
          <w:tcPr>
            <w:tcW w:w="1060" w:type="dxa"/>
            <w:vAlign w:val="bottom"/>
            <w:gridSpan w:val="4"/>
          </w:tcPr>
          <w:p>
            <w:pPr>
              <w:jc w:val="right"/>
              <w:ind w:right="181"/>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61"/>
              <w:spacing w:after="0"/>
              <w:rPr>
                <w:sz w:val="20"/>
                <w:szCs w:val="20"/>
                <w:color w:val="auto"/>
              </w:rPr>
            </w:pPr>
            <w:r>
              <w:rPr>
                <w:rFonts w:ascii="Arial" w:cs="Arial" w:eastAsia="Arial" w:hAnsi="Arial"/>
                <w:sz w:val="18"/>
                <w:szCs w:val="18"/>
                <w:color w:val="auto"/>
              </w:rPr>
              <w:t>248</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Gain on sale of property and equipment – net</w:t>
            </w:r>
          </w:p>
        </w:tc>
        <w:tc>
          <w:tcPr>
            <w:tcW w:w="1060" w:type="dxa"/>
            <w:vAlign w:val="bottom"/>
            <w:gridSpan w:val="4"/>
            <w:shd w:val="clear" w:color="auto" w:fill="E5FFFF"/>
          </w:tcPr>
          <w:p>
            <w:pPr>
              <w:jc w:val="right"/>
              <w:ind w:right="121"/>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4"/>
            <w:shd w:val="clear" w:color="auto" w:fill="E5FFFF"/>
          </w:tcPr>
          <w:p>
            <w:pPr>
              <w:jc w:val="right"/>
              <w:ind w:right="181"/>
              <w:spacing w:after="0"/>
              <w:rPr>
                <w:sz w:val="20"/>
                <w:szCs w:val="20"/>
                <w:color w:val="auto"/>
              </w:rPr>
            </w:pPr>
            <w:r>
              <w:rPr>
                <w:rFonts w:ascii="Arial" w:cs="Arial" w:eastAsia="Arial" w:hAnsi="Arial"/>
                <w:sz w:val="18"/>
                <w:szCs w:val="18"/>
                <w:color w:val="auto"/>
              </w:rPr>
              <w:t>3,225</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3,696</w:t>
            </w:r>
          </w:p>
        </w:tc>
        <w:tc>
          <w:tcPr>
            <w:tcW w:w="80" w:type="dxa"/>
            <w:vAlign w:val="bottom"/>
            <w:shd w:val="clear" w:color="auto" w:fill="E5FF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60" w:type="dxa"/>
            <w:vAlign w:val="bottom"/>
            <w:gridSpan w:val="4"/>
          </w:tcPr>
          <w:p>
            <w:pPr>
              <w:jc w:val="right"/>
              <w:ind w:right="181"/>
              <w:spacing w:after="0"/>
              <w:rPr>
                <w:sz w:val="20"/>
                <w:szCs w:val="20"/>
                <w:color w:val="auto"/>
              </w:rPr>
            </w:pPr>
            <w:r>
              <w:rPr>
                <w:rFonts w:ascii="Arial" w:cs="Arial" w:eastAsia="Arial" w:hAnsi="Arial"/>
                <w:sz w:val="18"/>
                <w:szCs w:val="18"/>
                <w:color w:val="auto"/>
              </w:rPr>
              <w:t>5,251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8"/>
                <w:szCs w:val="18"/>
                <w:color w:val="auto"/>
              </w:rPr>
              <w:t>(3,594)</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Refundable income taxes</w:t>
            </w:r>
          </w:p>
        </w:tc>
        <w:tc>
          <w:tcPr>
            <w:tcW w:w="1060" w:type="dxa"/>
            <w:vAlign w:val="bottom"/>
            <w:gridSpan w:val="4"/>
            <w:shd w:val="clear" w:color="auto" w:fill="E5FFFF"/>
          </w:tcPr>
          <w:p>
            <w:pPr>
              <w:jc w:val="right"/>
              <w:ind w:right="121"/>
              <w:spacing w:after="0"/>
              <w:rPr>
                <w:sz w:val="20"/>
                <w:szCs w:val="20"/>
                <w:color w:val="auto"/>
              </w:rPr>
            </w:pPr>
            <w:r>
              <w:rPr>
                <w:rFonts w:ascii="Arial" w:cs="Arial" w:eastAsia="Arial" w:hAnsi="Arial"/>
                <w:sz w:val="18"/>
                <w:szCs w:val="18"/>
                <w:color w:val="auto"/>
              </w:rPr>
              <w:t>(4,591)</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E5FF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60" w:type="dxa"/>
            <w:vAlign w:val="bottom"/>
            <w:gridSpan w:val="4"/>
          </w:tcPr>
          <w:p>
            <w:pPr>
              <w:jc w:val="right"/>
              <w:ind w:right="121"/>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8"/>
                <w:szCs w:val="18"/>
                <w:color w:val="auto"/>
              </w:rPr>
              <w:t>(153)</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payable, trade</w:t>
            </w:r>
          </w:p>
        </w:tc>
        <w:tc>
          <w:tcPr>
            <w:tcW w:w="1060" w:type="dxa"/>
            <w:vAlign w:val="bottom"/>
            <w:gridSpan w:val="4"/>
            <w:shd w:val="clear" w:color="auto" w:fill="E5FFFF"/>
          </w:tcPr>
          <w:p>
            <w:pPr>
              <w:jc w:val="right"/>
              <w:ind w:right="121"/>
              <w:spacing w:after="0"/>
              <w:rPr>
                <w:sz w:val="20"/>
                <w:szCs w:val="20"/>
                <w:color w:val="auto"/>
              </w:rPr>
            </w:pPr>
            <w:r>
              <w:rPr>
                <w:rFonts w:ascii="Arial" w:cs="Arial" w:eastAsia="Arial" w:hAnsi="Arial"/>
                <w:sz w:val="18"/>
                <w:szCs w:val="18"/>
                <w:color w:val="auto"/>
              </w:rPr>
              <w:t>(10,301)</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E5FFFF"/>
          </w:tcPr>
          <w:p>
            <w:pPr>
              <w:spacing w:after="0"/>
              <w:rPr>
                <w:sz w:val="18"/>
                <w:szCs w:val="18"/>
                <w:color w:val="auto"/>
              </w:rPr>
            </w:pPr>
          </w:p>
        </w:tc>
      </w:tr>
      <w:tr>
        <w:trPr>
          <w:trHeight w:val="230"/>
        </w:trPr>
        <w:tc>
          <w:tcPr>
            <w:tcW w:w="91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060" w:type="dxa"/>
            <w:vAlign w:val="bottom"/>
            <w:gridSpan w:val="4"/>
          </w:tcPr>
          <w:p>
            <w:pPr>
              <w:jc w:val="right"/>
              <w:ind w:right="121"/>
              <w:spacing w:after="0"/>
              <w:rPr>
                <w:sz w:val="20"/>
                <w:szCs w:val="20"/>
                <w:color w:val="auto"/>
              </w:rPr>
            </w:pPr>
            <w:r>
              <w:rPr>
                <w:rFonts w:ascii="Arial" w:cs="Arial" w:eastAsia="Arial" w:hAnsi="Arial"/>
                <w:sz w:val="18"/>
                <w:szCs w:val="18"/>
                <w:color w:val="auto"/>
              </w:rPr>
              <w:t>(2,940)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8"/>
                <w:szCs w:val="18"/>
                <w:color w:val="auto"/>
              </w:rPr>
              <w:t>(4,927)</w:t>
            </w:r>
          </w:p>
        </w:tc>
      </w:tr>
      <w:tr>
        <w:trPr>
          <w:trHeight w:val="209"/>
        </w:trPr>
        <w:tc>
          <w:tcPr>
            <w:tcW w:w="9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provided by operating activities</w:t>
            </w:r>
          </w:p>
        </w:tc>
        <w:tc>
          <w:tcPr>
            <w:tcW w:w="8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(9,034</w:t>
            </w:r>
          </w:p>
        </w:tc>
        <w:tc>
          <w:tcPr>
            <w:tcW w:w="260" w:type="dxa"/>
            <w:vAlign w:val="bottom"/>
            <w:tcBorders>
              <w:top w:val="single" w:sz="8" w:color="E5FFFF"/>
            </w:tcBorders>
            <w:shd w:val="clear" w:color="auto" w:fill="E5FF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600" w:type="dxa"/>
            <w:vAlign w:val="bottom"/>
            <w:tcBorders>
              <w:top w:val="single" w:sz="8" w:color="auto"/>
              <w:bottom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12,492</w:t>
            </w:r>
          </w:p>
        </w:tc>
        <w:tc>
          <w:tcPr>
            <w:tcW w:w="80" w:type="dxa"/>
            <w:vAlign w:val="bottom"/>
            <w:tcBorders>
              <w:top w:val="single" w:sz="8" w:color="E5FFFF"/>
            </w:tcBorders>
            <w:shd w:val="clear" w:color="auto" w:fill="E5FFFF"/>
          </w:tcPr>
          <w:p>
            <w:pPr>
              <w:spacing w:after="0"/>
              <w:rPr>
                <w:sz w:val="18"/>
                <w:szCs w:val="18"/>
                <w:color w:val="auto"/>
              </w:rPr>
            </w:pPr>
          </w:p>
        </w:tc>
      </w:tr>
      <w:tr>
        <w:trPr>
          <w:trHeight w:val="209"/>
        </w:trPr>
        <w:tc>
          <w:tcPr>
            <w:tcW w:w="9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Capital expenditures</w:t>
            </w:r>
          </w:p>
        </w:tc>
        <w:tc>
          <w:tcPr>
            <w:tcW w:w="1060" w:type="dxa"/>
            <w:vAlign w:val="bottom"/>
            <w:gridSpan w:val="4"/>
            <w:shd w:val="clear" w:color="auto" w:fill="E5FFFF"/>
          </w:tcPr>
          <w:p>
            <w:pPr>
              <w:jc w:val="right"/>
              <w:ind w:right="121"/>
              <w:spacing w:after="0"/>
              <w:rPr>
                <w:sz w:val="20"/>
                <w:szCs w:val="20"/>
                <w:color w:val="auto"/>
              </w:rPr>
            </w:pPr>
            <w:r>
              <w:rPr>
                <w:rFonts w:ascii="Arial" w:cs="Arial" w:eastAsia="Arial" w:hAnsi="Arial"/>
                <w:sz w:val="18"/>
                <w:szCs w:val="18"/>
                <w:color w:val="auto"/>
              </w:rPr>
              <w:t>(5,692)</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80" w:type="dxa"/>
            <w:vAlign w:val="bottom"/>
            <w:gridSpan w:val="3"/>
            <w:shd w:val="clear" w:color="auto" w:fill="E5FFFF"/>
          </w:tcPr>
          <w:p>
            <w:pPr>
              <w:jc w:val="right"/>
              <w:ind w:right="1"/>
              <w:spacing w:after="0"/>
              <w:rPr>
                <w:sz w:val="20"/>
                <w:szCs w:val="20"/>
                <w:color w:val="auto"/>
              </w:rPr>
            </w:pPr>
            <w:r>
              <w:rPr>
                <w:rFonts w:ascii="Arial" w:cs="Arial" w:eastAsia="Arial" w:hAnsi="Arial"/>
                <w:sz w:val="18"/>
                <w:szCs w:val="18"/>
                <w:color w:val="auto"/>
              </w:rPr>
              <w:t>(1,449)</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1060" w:type="dxa"/>
            <w:vAlign w:val="bottom"/>
            <w:gridSpan w:val="4"/>
          </w:tcPr>
          <w:p>
            <w:pPr>
              <w:jc w:val="right"/>
              <w:ind w:right="121"/>
              <w:spacing w:after="0"/>
              <w:rPr>
                <w:sz w:val="20"/>
                <w:szCs w:val="20"/>
                <w:color w:val="auto"/>
              </w:rPr>
            </w:pPr>
            <w:r>
              <w:rPr>
                <w:rFonts w:ascii="Arial" w:cs="Arial" w:eastAsia="Arial" w:hAnsi="Arial"/>
                <w:sz w:val="18"/>
                <w:szCs w:val="18"/>
                <w:color w:val="auto"/>
              </w:rPr>
              <w:t>(45,450)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Sale of short-term investments</w:t>
            </w:r>
          </w:p>
        </w:tc>
        <w:tc>
          <w:tcPr>
            <w:tcW w:w="1060" w:type="dxa"/>
            <w:vAlign w:val="bottom"/>
            <w:gridSpan w:val="4"/>
            <w:shd w:val="clear" w:color="auto" w:fill="E5FFFF"/>
          </w:tcPr>
          <w:p>
            <w:pPr>
              <w:jc w:val="right"/>
              <w:ind w:right="181"/>
              <w:spacing w:after="0"/>
              <w:rPr>
                <w:sz w:val="20"/>
                <w:szCs w:val="20"/>
                <w:color w:val="auto"/>
              </w:rPr>
            </w:pPr>
            <w:r>
              <w:rPr>
                <w:rFonts w:ascii="Arial" w:cs="Arial" w:eastAsia="Arial" w:hAnsi="Arial"/>
                <w:sz w:val="18"/>
                <w:szCs w:val="18"/>
                <w:color w:val="auto"/>
              </w:rPr>
              <w:t>39,046</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80" w:type="dxa"/>
            <w:vAlign w:val="bottom"/>
            <w:gridSpan w:val="3"/>
            <w:shd w:val="clear" w:color="auto" w:fill="E5FFFF"/>
          </w:tcPr>
          <w:p>
            <w:pPr>
              <w:jc w:val="right"/>
              <w:ind w:right="61"/>
              <w:spacing w:after="0"/>
              <w:rPr>
                <w:sz w:val="20"/>
                <w:szCs w:val="20"/>
                <w:color w:val="auto"/>
              </w:rPr>
            </w:pPr>
            <w:r>
              <w:rPr>
                <w:rFonts w:ascii="Arial" w:cs="Arial" w:eastAsia="Arial" w:hAnsi="Arial"/>
                <w:sz w:val="18"/>
                <w:szCs w:val="18"/>
                <w:color w:val="auto"/>
              </w:rPr>
              <w:t>15,000</w:t>
            </w:r>
          </w:p>
        </w:tc>
      </w:tr>
      <w:tr>
        <w:trPr>
          <w:trHeight w:val="229"/>
        </w:trPr>
        <w:tc>
          <w:tcPr>
            <w:tcW w:w="9100" w:type="dxa"/>
            <w:vAlign w:val="bottom"/>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gridSpan w:val="4"/>
          </w:tcPr>
          <w:p>
            <w:pPr>
              <w:jc w:val="right"/>
              <w:ind w:right="121"/>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10"/>
        </w:trPr>
        <w:tc>
          <w:tcPr>
            <w:tcW w:w="9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provided by investing activities</w:t>
            </w:r>
          </w:p>
        </w:tc>
        <w:tc>
          <w:tcPr>
            <w:tcW w:w="8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(12,355</w:t>
            </w:r>
          </w:p>
        </w:tc>
        <w:tc>
          <w:tcPr>
            <w:tcW w:w="260" w:type="dxa"/>
            <w:vAlign w:val="bottom"/>
            <w:tcBorders>
              <w:top w:val="single" w:sz="8" w:color="E5FFFF"/>
            </w:tcBorders>
            <w:shd w:val="clear" w:color="auto" w:fill="E5FF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600" w:type="dxa"/>
            <w:vAlign w:val="bottom"/>
            <w:tcBorders>
              <w:top w:val="single" w:sz="8" w:color="auto"/>
              <w:bottom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13,563</w:t>
            </w:r>
          </w:p>
        </w:tc>
        <w:tc>
          <w:tcPr>
            <w:tcW w:w="80" w:type="dxa"/>
            <w:vAlign w:val="bottom"/>
            <w:tcBorders>
              <w:top w:val="single" w:sz="8" w:color="E5FFFF"/>
            </w:tcBorders>
            <w:shd w:val="clear" w:color="auto" w:fill="E5FFFF"/>
          </w:tcPr>
          <w:p>
            <w:pPr>
              <w:spacing w:after="0"/>
              <w:rPr>
                <w:sz w:val="18"/>
                <w:szCs w:val="18"/>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Treasury stock acquired</w:t>
            </w:r>
          </w:p>
        </w:tc>
        <w:tc>
          <w:tcPr>
            <w:tcW w:w="1060" w:type="dxa"/>
            <w:vAlign w:val="bottom"/>
            <w:gridSpan w:val="4"/>
            <w:shd w:val="clear" w:color="auto" w:fill="E5FFFF"/>
          </w:tcPr>
          <w:p>
            <w:pPr>
              <w:jc w:val="right"/>
              <w:ind w:right="121"/>
              <w:spacing w:after="0"/>
              <w:rPr>
                <w:sz w:val="20"/>
                <w:szCs w:val="20"/>
                <w:color w:val="auto"/>
              </w:rPr>
            </w:pPr>
            <w:r>
              <w:rPr>
                <w:rFonts w:ascii="Arial" w:cs="Arial" w:eastAsia="Arial" w:hAnsi="Arial"/>
                <w:sz w:val="18"/>
                <w:szCs w:val="18"/>
                <w:color w:val="auto"/>
              </w:rPr>
              <w:t>(5,590)</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0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1060" w:type="dxa"/>
            <w:vAlign w:val="bottom"/>
            <w:gridSpan w:val="4"/>
          </w:tcPr>
          <w:p>
            <w:pPr>
              <w:jc w:val="right"/>
              <w:ind w:right="121"/>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8"/>
                <w:szCs w:val="18"/>
                <w:color w:val="auto"/>
              </w:rPr>
              <w:t>(2,598)</w:t>
            </w:r>
          </w:p>
        </w:tc>
      </w:tr>
      <w:tr>
        <w:trPr>
          <w:trHeight w:val="229"/>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Capital contributions from minority investor</w:t>
            </w:r>
          </w:p>
        </w:tc>
        <w:tc>
          <w:tcPr>
            <w:tcW w:w="1060" w:type="dxa"/>
            <w:vAlign w:val="bottom"/>
            <w:gridSpan w:val="4"/>
            <w:shd w:val="clear" w:color="auto" w:fill="E5FFFF"/>
          </w:tcPr>
          <w:p>
            <w:pPr>
              <w:jc w:val="right"/>
              <w:ind w:right="181"/>
              <w:spacing w:after="0"/>
              <w:rPr>
                <w:sz w:val="20"/>
                <w:szCs w:val="20"/>
                <w:color w:val="auto"/>
              </w:rPr>
            </w:pPr>
            <w:r>
              <w:rPr>
                <w:rFonts w:ascii="Arial" w:cs="Arial" w:eastAsia="Arial" w:hAnsi="Arial"/>
                <w:sz w:val="18"/>
                <w:szCs w:val="18"/>
                <w:color w:val="auto"/>
              </w:rPr>
              <w:t>23</w:t>
            </w:r>
          </w:p>
        </w:tc>
        <w:tc>
          <w:tcPr>
            <w:tcW w:w="2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680" w:type="dxa"/>
            <w:vAlign w:val="bottom"/>
            <w:gridSpan w:val="3"/>
            <w:shd w:val="clear" w:color="auto" w:fill="E5FFFF"/>
          </w:tcPr>
          <w:p>
            <w:pPr>
              <w:jc w:val="right"/>
              <w:ind w:right="61"/>
              <w:spacing w:after="0"/>
              <w:rPr>
                <w:sz w:val="20"/>
                <w:szCs w:val="20"/>
                <w:color w:val="auto"/>
              </w:rPr>
            </w:pPr>
            <w:r>
              <w:rPr>
                <w:rFonts w:ascii="Arial" w:cs="Arial" w:eastAsia="Arial" w:hAnsi="Arial"/>
                <w:sz w:val="18"/>
                <w:szCs w:val="18"/>
                <w:color w:val="auto"/>
              </w:rPr>
              <w:t>185</w:t>
            </w:r>
          </w:p>
        </w:tc>
      </w:tr>
      <w:tr>
        <w:trPr>
          <w:trHeight w:val="210"/>
        </w:trPr>
        <w:tc>
          <w:tcPr>
            <w:tcW w:w="91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(5,724</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(2,413</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0"/>
        </w:trPr>
        <w:tc>
          <w:tcPr>
            <w:tcW w:w="9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(27,113)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23,642</w:t>
            </w:r>
          </w:p>
        </w:tc>
      </w:tr>
      <w:tr>
        <w:trPr>
          <w:trHeight w:val="230"/>
        </w:trPr>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180,771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188,812</w:t>
            </w:r>
          </w:p>
        </w:tc>
      </w:tr>
      <w:tr>
        <w:trPr>
          <w:trHeight w:val="223"/>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153,658</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$ 212,454</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80" w:space="720"/>
            <w:col w:w="2140"/>
          </w:cols>
          <w:pgMar w:left="320" w:top="405"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9100" w:type="dxa"/>
            <w:vAlign w:val="bottom"/>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7"/>
        </w:trPr>
        <w:tc>
          <w:tcPr>
            <w:tcW w:w="9100" w:type="dxa"/>
            <w:vAlign w:val="bottom"/>
            <w:tcBorders>
              <w:top w:val="single" w:sz="8" w:color="E5FFFF"/>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Non cash financing activities – Stock awards accrued</w:t>
            </w: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171</w:t>
            </w:r>
          </w:p>
        </w:tc>
        <w:tc>
          <w:tcPr>
            <w:tcW w:w="100" w:type="dxa"/>
            <w:vAlign w:val="bottom"/>
            <w:tcBorders>
              <w:top w:val="single" w:sz="8" w:color="E5FFFF"/>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Non cash financing activities – Stock awards issued</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100" w:type="dxa"/>
            <w:vAlign w:val="bottom"/>
            <w:tcBorders>
              <w:bottom w:val="single" w:sz="8" w:color="E5FF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w:t>
            </w:r>
          </w:p>
        </w:tc>
        <w:tc>
          <w:tcPr>
            <w:tcW w:w="46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10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Initial right-of-use assets and liabilities recorded upon adoption of ASC 842</w:t>
            </w: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20,918</w:t>
            </w:r>
          </w:p>
        </w:tc>
        <w:tc>
          <w:tcPr>
            <w:tcW w:w="100" w:type="dxa"/>
            <w:vAlign w:val="bottom"/>
            <w:tcBorders>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100" w:type="dxa"/>
            <w:vAlign w:val="bottom"/>
            <w:tcBorders>
              <w:bottom w:val="single" w:sz="8" w:color="E5FF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1,863</w:t>
            </w:r>
          </w:p>
        </w:tc>
        <w:tc>
          <w:tcPr>
            <w:tcW w:w="46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432</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1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Reconciliation of total cash, cash equivalents and restricted cash:</w:t>
            </w:r>
          </w:p>
        </w:tc>
        <w:tc>
          <w:tcPr>
            <w:tcW w:w="16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152,708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212,232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E5FFFF"/>
          </w:tcPr>
          <w:p>
            <w:pPr>
              <w:spacing w:after="0"/>
              <w:rPr>
                <w:sz w:val="19"/>
                <w:szCs w:val="19"/>
                <w:color w:val="auto"/>
              </w:rPr>
            </w:pPr>
          </w:p>
        </w:tc>
        <w:tc>
          <w:tcPr>
            <w:tcW w:w="110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950</w:t>
            </w:r>
          </w:p>
        </w:tc>
        <w:tc>
          <w:tcPr>
            <w:tcW w:w="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7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153,658</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212,454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 w:name="page8"/>
    <w:bookmarkEnd w:id="7"/>
    <w:p>
      <w:pPr>
        <w:ind w:left="218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139"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July 31, 2020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39"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2020 included in these financial statements has been derived from the audited consolidated financial statements included in the Company’s Annual Report on Form 10-K for the year ended January 31, 2020 (fiscal year 2019). It is suggested that these unaudited consolidated condensed financial statements be read in conjunction with the consolidated financial statements and the notes thereto included in the Company’s Annual Report on Form 10-K for the year ended January 31, 2020. The results of operations for the interim periods are not necessarily indicative of the results to be expected for the year.</w:t>
      </w:r>
    </w:p>
    <w:p>
      <w:pPr>
        <w:spacing w:after="0" w:line="200" w:lineRule="exact"/>
        <w:rPr>
          <w:sz w:val="20"/>
          <w:szCs w:val="20"/>
          <w:color w:val="auto"/>
        </w:rPr>
      </w:pPr>
    </w:p>
    <w:p>
      <w:pPr>
        <w:spacing w:after="0" w:line="235"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w:t>
      </w:r>
    </w:p>
    <w:p>
      <w:pPr>
        <w:spacing w:after="0" w:line="214"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Nature of Operations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200" w:firstLine="648"/>
        <w:spacing w:after="0" w:line="246" w:lineRule="auto"/>
        <w:rPr>
          <w:sz w:val="20"/>
          <w:szCs w:val="20"/>
          <w:color w:val="auto"/>
        </w:rPr>
      </w:pPr>
      <w:r>
        <w:rPr>
          <w:rFonts w:ascii="Arial" w:cs="Arial" w:eastAsia="Arial" w:hAnsi="Arial"/>
          <w:sz w:val="21"/>
          <w:szCs w:val="21"/>
          <w:color w:val="auto"/>
        </w:rPr>
        <w:t>The interim consolidated condensed financial statements have been prepared in accordance with the accounting policies described in the notes to the consolidated financial statements included in the Company’s fiscal year 2019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For ethanol and by-products segment sales, 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 Net sales and revenue also includes net gains or losses from derivative financial instruments related to products sold.</w:t>
      </w:r>
    </w:p>
    <w:p>
      <w:pPr>
        <w:spacing w:after="0" w:line="170"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For refined coal segment sales, the Company recognizes sales of refined coal when obligations under the term of the contract with its customer are satisfied; this occurs when title and control of the product transfers to its customer, generally upon the coal leaving the refined coal plant. Refined coal sales are recorded net of the cost of coal as the Company purchases the coal feedstock from the customer to which the processed refined coal is sold.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Cost of sales includes depreciation, costs of raw materials, inbound freight charges, purchasing and receiving costs, inspection costs, other distribution expenses, warehousing costs, plant management, certain compensations costs, general facility overhead charges and net gains or losses from derivative financial instruments related to commodities purchased.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The Company includes non-production related costs such as professional fees, selling charges and certain payroll in SG&amp;A expenses.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9"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 expected to be used by the Company and sales of ethanol, distillers grains and non-food grade corn oil quantities expected to be produced by the Company over a reasonable period of time in the normal course of business.</w:t>
      </w:r>
    </w:p>
    <w:p>
      <w:pPr>
        <w:spacing w:after="0" w:line="174"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9" w:name="page10"/>
    <w:bookmarkEnd w:id="9"/>
    <w:p>
      <w:pPr>
        <w:ind w:right="40"/>
        <w:spacing w:after="0" w:line="235" w:lineRule="auto"/>
        <w:rPr>
          <w:sz w:val="20"/>
          <w:szCs w:val="20"/>
          <w:color w:val="auto"/>
        </w:rPr>
      </w:pPr>
      <w:r>
        <w:rPr>
          <w:rFonts w:ascii="Arial" w:cs="Arial" w:eastAsia="Arial" w:hAnsi="Arial"/>
          <w:sz w:val="22"/>
          <w:szCs w:val="22"/>
          <w:color w:val="auto"/>
        </w:rPr>
        <w:t>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300" w:firstLine="648"/>
        <w:spacing w:after="0" w:line="257" w:lineRule="auto"/>
        <w:rPr>
          <w:sz w:val="20"/>
          <w:szCs w:val="20"/>
          <w:color w:val="auto"/>
        </w:rPr>
      </w:pPr>
      <w:r>
        <w:rPr>
          <w:rFonts w:ascii="Arial" w:cs="Arial" w:eastAsia="Arial" w:hAnsi="Arial"/>
          <w:sz w:val="21"/>
          <w:szCs w:val="21"/>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and six months ended July 31, 2020 and 2019.</w:t>
      </w:r>
    </w:p>
    <w:p>
      <w:pPr>
        <w:spacing w:after="0" w:line="196"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evidence, it is more likely than not that some or all of the deferred tax assets will not be realized. The Company paid income taxes of approximately $0.3 million and received refunds of income taxes of approximately $0.3 million during the six months ended July 31, 2020. The Company paid no income taxes nor received refunds of income taxes during the six months ended July 31, 2019.</w:t>
      </w:r>
    </w:p>
    <w:p>
      <w:pPr>
        <w:spacing w:after="0" w:line="177"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As of July 31, 2020, and January 31, 2020, total unrecognized tax benefits were approximately $7,298,000 and $7,353,000, respectively. Accrued penalties and interest were approximately $19,000 and approximately $17,000 at July 31, 2020 and January 31, 2020, respectively. If the Company were to prevail on all unrecognized tax benefits recorded, the provision for income taxes would be reduced by approximately $7.4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 Company recorded approximately $0.3 million and approximately $1.3 million of inventory write-downs in cost of sales at July 31, 2020 and January 31, 2020, respectively. Fluctuations in the write-down of inventory generally relate to the levels and composition of such inventory and changes in commodity prices at a given point in time. The components of inventory are as follows as of the dates</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presented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rPr>
        <w:t>Ethanol and other 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34924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Work in process</w:t>
      </w:r>
    </w:p>
    <w:p>
      <w:pPr>
        <w:spacing w:after="0"/>
        <w:rPr>
          <w:sz w:val="20"/>
          <w:szCs w:val="20"/>
          <w:color w:val="auto"/>
        </w:rPr>
      </w:pPr>
      <w:r>
        <w:rPr>
          <w:rFonts w:ascii="Arial" w:cs="Arial" w:eastAsia="Arial" w:hAnsi="Arial"/>
          <w:sz w:val="22"/>
          <w:szCs w:val="22"/>
          <w:color w:val="auto"/>
        </w:rPr>
        <w:t>Grain and other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34924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Total</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20" w:type="dxa"/>
            <w:vAlign w:val="bottom"/>
            <w:gridSpan w:val="4"/>
          </w:tcPr>
          <w:p>
            <w:pPr>
              <w:jc w:val="center"/>
              <w:ind w:right="100"/>
              <w:spacing w:after="0"/>
              <w:rPr>
                <w:sz w:val="20"/>
                <w:szCs w:val="20"/>
                <w:color w:val="auto"/>
              </w:rPr>
            </w:pPr>
            <w:r>
              <w:rPr>
                <w:rFonts w:ascii="Arial" w:cs="Arial" w:eastAsia="Arial" w:hAnsi="Arial"/>
                <w:sz w:val="22"/>
                <w:szCs w:val="22"/>
                <w:b w:val="1"/>
                <w:bCs w:val="1"/>
                <w:color w:val="auto"/>
                <w:w w:val="89"/>
              </w:rPr>
              <w:t>July 31,</w:t>
            </w:r>
          </w:p>
        </w:tc>
        <w:tc>
          <w:tcPr>
            <w:tcW w:w="1700" w:type="dxa"/>
            <w:vAlign w:val="bottom"/>
            <w:gridSpan w:val="5"/>
          </w:tcPr>
          <w:p>
            <w:pPr>
              <w:jc w:val="right"/>
              <w:ind w:right="100"/>
              <w:spacing w:after="0"/>
              <w:rPr>
                <w:sz w:val="20"/>
                <w:szCs w:val="20"/>
                <w:color w:val="auto"/>
              </w:rPr>
            </w:pPr>
            <w:r>
              <w:rPr>
                <w:rFonts w:ascii="Arial" w:cs="Arial" w:eastAsia="Arial" w:hAnsi="Arial"/>
                <w:sz w:val="22"/>
                <w:szCs w:val="22"/>
                <w:b w:val="1"/>
                <w:bCs w:val="1"/>
                <w:color w:val="auto"/>
              </w:rPr>
              <w:t>January 31,</w:t>
            </w:r>
          </w:p>
        </w:tc>
      </w:tr>
      <w:tr>
        <w:trPr>
          <w:trHeight w:val="230"/>
        </w:trPr>
        <w:tc>
          <w:tcPr>
            <w:tcW w:w="200" w:type="dxa"/>
            <w:vAlign w:val="bottom"/>
            <w:gridSpan w:val="2"/>
          </w:tcPr>
          <w:p>
            <w:pPr>
              <w:spacing w:after="0"/>
              <w:rPr>
                <w:sz w:val="19"/>
                <w:szCs w:val="19"/>
                <w:color w:val="auto"/>
              </w:rPr>
            </w:pPr>
          </w:p>
        </w:tc>
        <w:tc>
          <w:tcPr>
            <w:tcW w:w="380" w:type="dxa"/>
            <w:vAlign w:val="bottom"/>
          </w:tcPr>
          <w:p>
            <w:pPr>
              <w:jc w:val="right"/>
              <w:spacing w:after="0" w:line="230" w:lineRule="exact"/>
              <w:rPr>
                <w:sz w:val="20"/>
                <w:szCs w:val="20"/>
                <w:color w:val="auto"/>
              </w:rPr>
            </w:pPr>
            <w:r>
              <w:rPr>
                <w:rFonts w:ascii="Arial" w:cs="Arial" w:eastAsia="Arial" w:hAnsi="Arial"/>
                <w:sz w:val="22"/>
                <w:szCs w:val="22"/>
                <w:b w:val="1"/>
                <w:bCs w:val="1"/>
                <w:color w:val="auto"/>
                <w:w w:val="73"/>
              </w:rPr>
              <w:t>2020</w:t>
            </w:r>
          </w:p>
        </w:tc>
        <w:tc>
          <w:tcPr>
            <w:tcW w:w="240" w:type="dxa"/>
            <w:vAlign w:val="bottom"/>
          </w:tcPr>
          <w:p>
            <w:pPr>
              <w:spacing w:after="0"/>
              <w:rPr>
                <w:sz w:val="19"/>
                <w:szCs w:val="19"/>
                <w:color w:val="auto"/>
              </w:rPr>
            </w:pPr>
          </w:p>
        </w:tc>
        <w:tc>
          <w:tcPr>
            <w:tcW w:w="1700" w:type="dxa"/>
            <w:vAlign w:val="bottom"/>
            <w:gridSpan w:val="5"/>
          </w:tcPr>
          <w:p>
            <w:pPr>
              <w:ind w:left="840"/>
              <w:spacing w:after="0" w:line="230" w:lineRule="exact"/>
              <w:rPr>
                <w:sz w:val="20"/>
                <w:szCs w:val="20"/>
                <w:color w:val="auto"/>
              </w:rPr>
            </w:pPr>
            <w:r>
              <w:rPr>
                <w:rFonts w:ascii="Arial" w:cs="Arial" w:eastAsia="Arial" w:hAnsi="Arial"/>
                <w:sz w:val="22"/>
                <w:szCs w:val="22"/>
                <w:b w:val="1"/>
                <w:bCs w:val="1"/>
                <w:color w:val="auto"/>
              </w:rPr>
              <w:t>2020</w:t>
            </w:r>
          </w:p>
        </w:tc>
      </w:tr>
      <w:tr>
        <w:trPr>
          <w:trHeight w:val="20"/>
        </w:trPr>
        <w:tc>
          <w:tcPr>
            <w:tcW w:w="200" w:type="dxa"/>
            <w:vAlign w:val="bottom"/>
            <w:tcBorders>
              <w:right w:val="single" w:sz="8" w:color="auto"/>
            </w:tcBorders>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85"/>
        </w:trPr>
        <w:tc>
          <w:tcPr>
            <w:tcW w:w="2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7,821</w:t>
            </w:r>
          </w:p>
        </w:tc>
        <w:tc>
          <w:tcPr>
            <w:tcW w:w="1020" w:type="dxa"/>
            <w:vAlign w:val="bottom"/>
            <w:gridSpan w:val="3"/>
          </w:tcPr>
          <w:p>
            <w:pPr>
              <w:ind w:left="820"/>
              <w:spacing w:after="0"/>
              <w:rPr>
                <w:sz w:val="20"/>
                <w:szCs w:val="20"/>
                <w:color w:val="auto"/>
              </w:rPr>
            </w:pPr>
            <w:r>
              <w:rPr>
                <w:rFonts w:ascii="Arial" w:cs="Arial" w:eastAsia="Arial" w:hAnsi="Arial"/>
                <w:sz w:val="22"/>
                <w:szCs w:val="22"/>
                <w:color w:val="auto"/>
              </w:rPr>
              <w:t>$</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98"/>
              </w:rPr>
              <w:t>10,864</w:t>
            </w:r>
          </w:p>
        </w:tc>
      </w:tr>
      <w:tr>
        <w:trPr>
          <w:trHeight w:val="257"/>
        </w:trPr>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3,774</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3,258</w:t>
            </w:r>
          </w:p>
        </w:tc>
      </w:tr>
      <w:tr>
        <w:trPr>
          <w:trHeight w:val="264"/>
        </w:trPr>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18,788</w:t>
            </w:r>
          </w:p>
        </w:tc>
        <w:tc>
          <w:tcPr>
            <w:tcW w:w="8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8"/>
              </w:rPr>
              <w:t>21,512</w:t>
            </w:r>
          </w:p>
        </w:tc>
      </w:tr>
      <w:tr>
        <w:trPr>
          <w:trHeight w:val="250"/>
        </w:trPr>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2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w w:val="89"/>
              </w:rPr>
              <w:t>30,383</w:t>
            </w:r>
          </w:p>
        </w:tc>
        <w:tc>
          <w:tcPr>
            <w:tcW w:w="820" w:type="dxa"/>
            <w:vAlign w:val="bottom"/>
          </w:tcPr>
          <w:p>
            <w:pPr>
              <w:spacing w:after="0"/>
              <w:rPr>
                <w:sz w:val="21"/>
                <w:szCs w:val="21"/>
                <w:color w:val="auto"/>
              </w:rPr>
            </w:pP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rPr>
              <w:t>$</w:t>
            </w:r>
          </w:p>
        </w:tc>
        <w:tc>
          <w:tcPr>
            <w:tcW w:w="68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w w:val="98"/>
              </w:rPr>
              <w:t>35,634</w:t>
            </w:r>
          </w:p>
        </w:tc>
      </w:tr>
      <w:tr>
        <w:trPr>
          <w:trHeight w:val="20"/>
        </w:trPr>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668" w:lineRule="exact"/>
        <w:rPr>
          <w:sz w:val="20"/>
          <w:szCs w:val="20"/>
          <w:color w:val="auto"/>
        </w:rPr>
      </w:pPr>
    </w:p>
    <w:p>
      <w:pPr>
        <w:sectPr>
          <w:pgSz w:w="11900" w:h="16838" w:orient="portrait"/>
          <w:cols w:equalWidth="0" w:num="2">
            <w:col w:w="5120" w:space="720"/>
            <w:col w:w="5400"/>
          </w:cols>
          <w:pgMar w:left="320" w:top="402" w:right="339" w:bottom="1440" w:gutter="0" w:footer="0" w:header="0"/>
        </w:sectPr>
      </w:pPr>
    </w:p>
    <w:p>
      <w:pPr>
        <w:spacing w:after="0" w:line="39" w:lineRule="exact"/>
        <w:rPr>
          <w:sz w:val="20"/>
          <w:szCs w:val="20"/>
          <w:color w:val="auto"/>
        </w:rPr>
      </w:pPr>
    </w:p>
    <w:p>
      <w:pPr>
        <w:ind w:right="16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5 to 40 years for buildings and improvements, and 2 to 20 years for fixtures and equipment.</w:t>
      </w:r>
    </w:p>
    <w:p>
      <w:pPr>
        <w:spacing w:after="0" w:line="196"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In accordance with ASC 360-10 “</w:t>
      </w:r>
      <w:r>
        <w:rPr>
          <w:rFonts w:ascii="Arial" w:cs="Arial" w:eastAsia="Arial" w:hAnsi="Arial"/>
          <w:sz w:val="21"/>
          <w:szCs w:val="21"/>
          <w:i w:val="1"/>
          <w:iCs w:val="1"/>
          <w:color w:val="auto"/>
        </w:rPr>
        <w:t>Impairment or Disposal of Long-Lived Assets</w:t>
      </w:r>
      <w:r>
        <w:rPr>
          <w:rFonts w:ascii="Arial" w:cs="Arial" w:eastAsia="Arial" w:hAnsi="Arial"/>
          <w:sz w:val="21"/>
          <w:szCs w:val="21"/>
          <w:color w:val="auto"/>
        </w:rPr>
        <w:t>”, the carrying value of long-lived assets is assessed for recoverability by management when changes in circumstances indicate that the carrying amount may not be recoverable. The Company concluded that the impact of the COVID-19 pandemic and other factors are an indicator that impairment may exist related to certain of its long-lived assets. As a result, the Company performed an impairment analysis and determined that there was no impairment. Although it is not possible to reliably estimate the duration of the pandemic and its financial impact, a prolonged significant downturn in the economy could negatively impact the Company’s results of operations and significantly reduce its expectation for future sales, profits and cash flows. Such a reduction in expected future performance could result in the impairment of long-lived assets in subsequent events. There were no impairment charges in the first six months of fiscal years 2020 or 2019.</w:t>
      </w:r>
    </w:p>
    <w:p>
      <w:pPr>
        <w:spacing w:after="0" w:line="211" w:lineRule="exact"/>
        <w:rPr>
          <w:sz w:val="20"/>
          <w:szCs w:val="20"/>
          <w:color w:val="auto"/>
        </w:rPr>
      </w:pPr>
    </w:p>
    <w:p>
      <w:pPr>
        <w:ind w:right="28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1" w:name="page12"/>
    <w:bookmarkEnd w:id="11"/>
    <w:p>
      <w:pPr>
        <w:ind w:right="6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Short-term investments are considered held to maturity, and, therefore are carried at amortized historical cost.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39"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The Company has no components of other comprehensive income, and therefore, comprehensive income equals net income.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39"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9"/>
          <w:szCs w:val="19"/>
          <w:color w:val="auto"/>
        </w:rPr>
        <w:t>In December 2019, the Financial Accounting Standards Board (“FASB”) issued Accounting Standards Update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which simplifies the accounting for income taxes by removing certain exceptions to the general principles in Topic 740. The Company will be required to adopt this update effective February 1, 2021. The Company has not determined the effect of this update on its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4"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14 for disaggregation of net sales and revenue by operating segment and by product.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At July 31, 2020,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2" w:name="page13"/>
    <w:bookmarkEnd w:id="12"/>
    <w:p>
      <w:pPr>
        <w:ind w:right="360"/>
        <w:spacing w:after="0" w:line="257" w:lineRule="auto"/>
        <w:rPr>
          <w:sz w:val="20"/>
          <w:szCs w:val="20"/>
          <w:color w:val="auto"/>
        </w:rPr>
      </w:pPr>
      <w:r>
        <w:rPr>
          <w:rFonts w:ascii="Arial" w:cs="Arial" w:eastAsia="Arial" w:hAnsi="Arial"/>
          <w:sz w:val="21"/>
          <w:szCs w:val="21"/>
          <w:color w:val="auto"/>
        </w:rPr>
        <w:t>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Variable lease expense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Total lease expense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80" w:type="dxa"/>
            <w:vAlign w:val="bottom"/>
          </w:tcPr>
          <w:p>
            <w:pPr>
              <w:spacing w:after="0"/>
              <w:rPr>
                <w:sz w:val="22"/>
                <w:szCs w:val="22"/>
                <w:color w:val="auto"/>
              </w:rPr>
            </w:pPr>
          </w:p>
        </w:tc>
        <w:tc>
          <w:tcPr>
            <w:tcW w:w="3200" w:type="dxa"/>
            <w:vAlign w:val="bottom"/>
            <w:gridSpan w:val="7"/>
          </w:tcPr>
          <w:p>
            <w:pPr>
              <w:ind w:left="220"/>
              <w:spacing w:after="0"/>
              <w:rPr>
                <w:sz w:val="20"/>
                <w:szCs w:val="20"/>
                <w:color w:val="auto"/>
              </w:rPr>
            </w:pPr>
            <w:r>
              <w:rPr>
                <w:rFonts w:ascii="Arial" w:cs="Arial" w:eastAsia="Arial" w:hAnsi="Arial"/>
                <w:sz w:val="22"/>
                <w:szCs w:val="22"/>
                <w:b w:val="1"/>
                <w:bCs w:val="1"/>
                <w:color w:val="auto"/>
              </w:rPr>
              <w:t>Three Months Ended</w:t>
            </w:r>
          </w:p>
        </w:tc>
        <w:tc>
          <w:tcPr>
            <w:tcW w:w="380" w:type="dxa"/>
            <w:vAlign w:val="bottom"/>
          </w:tcPr>
          <w:p>
            <w:pPr>
              <w:spacing w:after="0"/>
              <w:rPr>
                <w:sz w:val="22"/>
                <w:szCs w:val="22"/>
                <w:color w:val="auto"/>
              </w:rPr>
            </w:pPr>
          </w:p>
        </w:tc>
        <w:tc>
          <w:tcPr>
            <w:tcW w:w="2760" w:type="dxa"/>
            <w:vAlign w:val="bottom"/>
            <w:gridSpan w:val="7"/>
          </w:tcPr>
          <w:p>
            <w:pPr>
              <w:ind w:left="340"/>
              <w:spacing w:after="0"/>
              <w:rPr>
                <w:sz w:val="20"/>
                <w:szCs w:val="20"/>
                <w:color w:val="auto"/>
              </w:rPr>
            </w:pPr>
            <w:r>
              <w:rPr>
                <w:rFonts w:ascii="Arial" w:cs="Arial" w:eastAsia="Arial" w:hAnsi="Arial"/>
                <w:sz w:val="22"/>
                <w:szCs w:val="22"/>
                <w:b w:val="1"/>
                <w:bCs w:val="1"/>
                <w:color w:val="auto"/>
              </w:rPr>
              <w:t>Six Months Ended</w:t>
            </w:r>
          </w:p>
        </w:tc>
      </w:tr>
      <w:tr>
        <w:trPr>
          <w:trHeight w:val="270"/>
        </w:trPr>
        <w:tc>
          <w:tcPr>
            <w:tcW w:w="1820" w:type="dxa"/>
            <w:vAlign w:val="bottom"/>
            <w:gridSpan w:val="4"/>
          </w:tcPr>
          <w:p>
            <w:pPr>
              <w:ind w:left="120"/>
              <w:spacing w:after="0"/>
              <w:rPr>
                <w:sz w:val="20"/>
                <w:szCs w:val="20"/>
                <w:color w:val="auto"/>
              </w:rPr>
            </w:pPr>
            <w:r>
              <w:rPr>
                <w:rFonts w:ascii="Arial" w:cs="Arial" w:eastAsia="Arial" w:hAnsi="Arial"/>
                <w:sz w:val="22"/>
                <w:szCs w:val="22"/>
                <w:b w:val="1"/>
                <w:bCs w:val="1"/>
                <w:color w:val="auto"/>
              </w:rPr>
              <w:t>July 31, 2020</w:t>
            </w:r>
          </w:p>
        </w:tc>
        <w:tc>
          <w:tcPr>
            <w:tcW w:w="1760" w:type="dxa"/>
            <w:vAlign w:val="bottom"/>
            <w:gridSpan w:val="4"/>
          </w:tcPr>
          <w:p>
            <w:pPr>
              <w:ind w:left="80"/>
              <w:spacing w:after="0"/>
              <w:rPr>
                <w:sz w:val="20"/>
                <w:szCs w:val="20"/>
                <w:color w:val="auto"/>
              </w:rPr>
            </w:pPr>
            <w:r>
              <w:rPr>
                <w:rFonts w:ascii="Arial" w:cs="Arial" w:eastAsia="Arial" w:hAnsi="Arial"/>
                <w:sz w:val="22"/>
                <w:szCs w:val="22"/>
                <w:b w:val="1"/>
                <w:bCs w:val="1"/>
                <w:color w:val="auto"/>
              </w:rPr>
              <w:t>July 31, 2019</w:t>
            </w:r>
          </w:p>
        </w:tc>
        <w:tc>
          <w:tcPr>
            <w:tcW w:w="1760" w:type="dxa"/>
            <w:vAlign w:val="bottom"/>
            <w:gridSpan w:val="4"/>
          </w:tcPr>
          <w:p>
            <w:pPr>
              <w:ind w:left="80"/>
              <w:spacing w:after="0"/>
              <w:rPr>
                <w:sz w:val="20"/>
                <w:szCs w:val="20"/>
                <w:color w:val="auto"/>
              </w:rPr>
            </w:pPr>
            <w:r>
              <w:rPr>
                <w:rFonts w:ascii="Arial" w:cs="Arial" w:eastAsia="Arial" w:hAnsi="Arial"/>
                <w:sz w:val="22"/>
                <w:szCs w:val="22"/>
                <w:b w:val="1"/>
                <w:bCs w:val="1"/>
                <w:color w:val="auto"/>
              </w:rPr>
              <w:t>July 31, 2020</w:t>
            </w:r>
          </w:p>
        </w:tc>
        <w:tc>
          <w:tcPr>
            <w:tcW w:w="1380" w:type="dxa"/>
            <w:vAlign w:val="bottom"/>
            <w:gridSpan w:val="4"/>
          </w:tcPr>
          <w:p>
            <w:pPr>
              <w:ind w:left="80"/>
              <w:spacing w:after="0"/>
              <w:rPr>
                <w:sz w:val="20"/>
                <w:szCs w:val="20"/>
                <w:color w:val="auto"/>
              </w:rPr>
            </w:pPr>
            <w:r>
              <w:rPr>
                <w:rFonts w:ascii="Arial" w:cs="Arial" w:eastAsia="Arial" w:hAnsi="Arial"/>
                <w:sz w:val="22"/>
                <w:szCs w:val="22"/>
                <w:b w:val="1"/>
                <w:bCs w:val="1"/>
                <w:color w:val="auto"/>
                <w:w w:val="94"/>
              </w:rPr>
              <w:t>July 31, 2019</w:t>
            </w:r>
          </w:p>
        </w:tc>
      </w:tr>
      <w:tr>
        <w:trPr>
          <w:trHeight w:val="472"/>
        </w:trPr>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22"/>
                <w:szCs w:val="22"/>
                <w:color w:val="auto"/>
              </w:rPr>
              <w:t>$ 1,548</w:t>
            </w:r>
          </w:p>
        </w:tc>
        <w:tc>
          <w:tcPr>
            <w:tcW w:w="3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22"/>
                <w:szCs w:val="22"/>
                <w:color w:val="auto"/>
              </w:rPr>
              <w:t>$1,701</w:t>
            </w: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22"/>
                <w:szCs w:val="22"/>
                <w:color w:val="auto"/>
              </w:rPr>
              <w:t>$3,234</w:t>
            </w:r>
          </w:p>
        </w:tc>
        <w:tc>
          <w:tcPr>
            <w:tcW w:w="380" w:type="dxa"/>
            <w:vAlign w:val="bottom"/>
          </w:tcPr>
          <w:p>
            <w:pPr>
              <w:spacing w:after="0"/>
              <w:rPr>
                <w:sz w:val="24"/>
                <w:szCs w:val="24"/>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22"/>
                <w:szCs w:val="22"/>
                <w:color w:val="auto"/>
              </w:rPr>
              <w:t>$3,310</w:t>
            </w:r>
          </w:p>
        </w:tc>
        <w:tc>
          <w:tcPr>
            <w:tcW w:w="400" w:type="dxa"/>
            <w:vAlign w:val="bottom"/>
            <w:tcBorders>
              <w:top w:val="single" w:sz="8" w:color="auto"/>
            </w:tcBorders>
          </w:tcPr>
          <w:p>
            <w:pPr>
              <w:spacing w:after="0"/>
              <w:rPr>
                <w:sz w:val="24"/>
                <w:szCs w:val="24"/>
                <w:color w:val="auto"/>
              </w:rPr>
            </w:pPr>
          </w:p>
        </w:tc>
      </w:tr>
      <w:tr>
        <w:trPr>
          <w:trHeight w:val="264"/>
        </w:trPr>
        <w:tc>
          <w:tcPr>
            <w:tcW w:w="1060" w:type="dxa"/>
            <w:vAlign w:val="bottom"/>
            <w:gridSpan w:val="2"/>
          </w:tcPr>
          <w:p>
            <w:pPr>
              <w:jc w:val="right"/>
              <w:spacing w:after="0"/>
              <w:rPr>
                <w:sz w:val="20"/>
                <w:szCs w:val="20"/>
                <w:color w:val="auto"/>
              </w:rPr>
            </w:pPr>
            <w:r>
              <w:rPr>
                <w:rFonts w:ascii="Arial" w:cs="Arial" w:eastAsia="Arial" w:hAnsi="Arial"/>
                <w:sz w:val="22"/>
                <w:szCs w:val="22"/>
                <w:color w:val="auto"/>
              </w:rPr>
              <w:t>207</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159</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22"/>
                <w:szCs w:val="22"/>
                <w:color w:val="auto"/>
              </w:rPr>
              <w:t>338</w:t>
            </w:r>
          </w:p>
        </w:tc>
        <w:tc>
          <w:tcPr>
            <w:tcW w:w="3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22"/>
                <w:szCs w:val="22"/>
                <w:color w:val="auto"/>
              </w:rPr>
              <w:t>352</w:t>
            </w:r>
          </w:p>
        </w:tc>
        <w:tc>
          <w:tcPr>
            <w:tcW w:w="400" w:type="dxa"/>
            <w:vAlign w:val="bottom"/>
          </w:tcPr>
          <w:p>
            <w:pPr>
              <w:spacing w:after="0"/>
              <w:rPr>
                <w:sz w:val="22"/>
                <w:szCs w:val="22"/>
                <w:color w:val="auto"/>
              </w:rPr>
            </w:pPr>
          </w:p>
        </w:tc>
      </w:tr>
      <w:tr>
        <w:trPr>
          <w:trHeight w:val="250"/>
        </w:trPr>
        <w:tc>
          <w:tcPr>
            <w:tcW w:w="380" w:type="dxa"/>
            <w:vAlign w:val="bottom"/>
          </w:tcPr>
          <w:p>
            <w:pPr>
              <w:spacing w:after="0"/>
              <w:rPr>
                <w:sz w:val="21"/>
                <w:szCs w:val="21"/>
                <w:color w:val="auto"/>
              </w:rPr>
            </w:pPr>
          </w:p>
        </w:tc>
        <w:tc>
          <w:tcPr>
            <w:tcW w:w="68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w w:val="89"/>
              </w:rPr>
              <w:t>$ 1,755</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1,860</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3,572</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56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0"/>
              </w:rPr>
              <w:t>$</w:t>
            </w:r>
            <w:r>
              <w:rPr>
                <w:rFonts w:ascii="Arial" w:cs="Arial" w:eastAsia="Arial" w:hAnsi="Arial"/>
                <w:sz w:val="22"/>
                <w:szCs w:val="22"/>
                <w:color w:val="auto"/>
                <w:w w:val="80"/>
              </w:rPr>
              <w:t>3,662</w:t>
            </w:r>
          </w:p>
        </w:tc>
        <w:tc>
          <w:tcPr>
            <w:tcW w:w="4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-513715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-196850</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720"/>
          </w:cols>
          <w:pgMar w:left="320" w:top="402" w:right="3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July 31, 2020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Years Ended January 31,</w:t>
            </w:r>
          </w:p>
        </w:tc>
        <w:tc>
          <w:tcPr>
            <w:tcW w:w="1160" w:type="dxa"/>
            <w:vAlign w:val="bottom"/>
            <w:gridSpan w:val="4"/>
          </w:tcPr>
          <w:p>
            <w:pPr>
              <w:ind w:left="180"/>
              <w:spacing w:after="0"/>
              <w:rPr>
                <w:sz w:val="20"/>
                <w:szCs w:val="20"/>
                <w:color w:val="auto"/>
              </w:rPr>
            </w:pPr>
            <w:r>
              <w:rPr>
                <w:rFonts w:ascii="Arial" w:cs="Arial" w:eastAsia="Arial" w:hAnsi="Arial"/>
                <w:sz w:val="22"/>
                <w:szCs w:val="22"/>
                <w:b w:val="1"/>
                <w:bCs w:val="1"/>
                <w:color w:val="auto"/>
                <w:w w:val="99"/>
              </w:rPr>
              <w:t>Minimum</w:t>
            </w:r>
          </w:p>
        </w:tc>
        <w:tc>
          <w:tcPr>
            <w:tcW w:w="0" w:type="dxa"/>
            <w:vAlign w:val="bottom"/>
          </w:tcPr>
          <w:p>
            <w:pPr>
              <w:spacing w:after="0"/>
              <w:rPr>
                <w:sz w:val="1"/>
                <w:szCs w:val="1"/>
                <w:color w:val="auto"/>
              </w:rPr>
            </w:pPr>
          </w:p>
        </w:tc>
      </w:tr>
      <w:tr>
        <w:trPr>
          <w:trHeight w:val="243"/>
        </w:trPr>
        <w:tc>
          <w:tcPr>
            <w:tcW w:w="502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3"/>
              </w:rPr>
              <w:t>Rentals</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2021</w:t>
            </w:r>
          </w:p>
        </w:tc>
        <w:tc>
          <w:tcPr>
            <w:tcW w:w="50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75"/>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3,024</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2022</w:t>
            </w:r>
          </w:p>
        </w:tc>
        <w:tc>
          <w:tcPr>
            <w:tcW w:w="2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5,376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2023</w:t>
            </w:r>
          </w:p>
        </w:tc>
        <w:tc>
          <w:tcPr>
            <w:tcW w:w="270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3,669</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2024</w:t>
            </w:r>
          </w:p>
        </w:tc>
        <w:tc>
          <w:tcPr>
            <w:tcW w:w="2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2,503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2025</w:t>
            </w:r>
          </w:p>
        </w:tc>
        <w:tc>
          <w:tcPr>
            <w:tcW w:w="270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1,646</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E5FFFF"/>
            </w:tcBorders>
            <w:gridSpan w:val="2"/>
          </w:tcPr>
          <w:p>
            <w:pPr>
              <w:spacing w:after="0"/>
              <w:rPr>
                <w:sz w:val="20"/>
                <w:szCs w:val="20"/>
                <w:color w:val="auto"/>
              </w:rPr>
            </w:pPr>
            <w:r>
              <w:rPr>
                <w:rFonts w:ascii="Arial" w:cs="Arial" w:eastAsia="Arial" w:hAnsi="Arial"/>
                <w:sz w:val="22"/>
                <w:szCs w:val="22"/>
                <w:color w:val="auto"/>
              </w:rPr>
              <w:t>Thereafter</w:t>
            </w:r>
          </w:p>
        </w:tc>
        <w:tc>
          <w:tcPr>
            <w:tcW w:w="40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w:t>
            </w:r>
          </w:p>
        </w:tc>
        <w:tc>
          <w:tcPr>
            <w:tcW w:w="6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20" w:type="dxa"/>
            <w:vAlign w:val="bottom"/>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4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6"/>
              </w:rPr>
              <w:t>16,267</w:t>
            </w:r>
          </w:p>
        </w:tc>
        <w:tc>
          <w:tcPr>
            <w:tcW w:w="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E5FFFF"/>
            </w:tcBorders>
            <w:gridSpan w:val="2"/>
          </w:tcPr>
          <w:p>
            <w:pPr>
              <w:spacing w:after="0"/>
              <w:rPr>
                <w:sz w:val="20"/>
                <w:szCs w:val="20"/>
                <w:color w:val="auto"/>
              </w:rPr>
            </w:pPr>
            <w:r>
              <w:rPr>
                <w:rFonts w:ascii="Arial" w:cs="Arial" w:eastAsia="Arial" w:hAnsi="Arial"/>
                <w:sz w:val="22"/>
                <w:szCs w:val="22"/>
                <w:color w:val="auto"/>
              </w:rPr>
              <w:t>Less: present value discount</w:t>
            </w:r>
          </w:p>
        </w:tc>
        <w:tc>
          <w:tcPr>
            <w:tcW w:w="40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1,357</w:t>
            </w:r>
          </w:p>
        </w:tc>
        <w:tc>
          <w:tcPr>
            <w:tcW w:w="6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E5FFFF"/>
            </w:tcBorders>
            <w:gridSpan w:val="2"/>
            <w:shd w:val="clear" w:color="auto" w:fill="E5FFFF"/>
          </w:tcPr>
          <w:p>
            <w:pPr>
              <w:spacing w:after="0" w:line="250" w:lineRule="exact"/>
              <w:rPr>
                <w:sz w:val="20"/>
                <w:szCs w:val="20"/>
                <w:color w:val="auto"/>
              </w:rPr>
            </w:pPr>
            <w:r>
              <w:rPr>
                <w:rFonts w:ascii="Arial" w:cs="Arial" w:eastAsia="Arial" w:hAnsi="Arial"/>
                <w:sz w:val="22"/>
                <w:szCs w:val="22"/>
                <w:color w:val="auto"/>
              </w:rPr>
              <w:t>Operating lease liabilities</w:t>
            </w:r>
          </w:p>
        </w:tc>
        <w:tc>
          <w:tcPr>
            <w:tcW w:w="400" w:type="dxa"/>
            <w:vAlign w:val="bottom"/>
            <w:tcBorders>
              <w:bottom w:val="single" w:sz="8" w:color="E5FFFF"/>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9"/>
                <w:szCs w:val="19"/>
                <w:u w:val="single" w:color="auto"/>
                <w:color w:val="auto"/>
                <w:w w:val="75"/>
              </w:rPr>
              <w:t>$</w:t>
            </w:r>
          </w:p>
        </w:tc>
        <w:tc>
          <w:tcPr>
            <w:tcW w:w="60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6"/>
              </w:rPr>
              <w:t>14,910</w:t>
            </w:r>
          </w:p>
        </w:tc>
        <w:tc>
          <w:tcPr>
            <w:tcW w:w="60" w:type="dxa"/>
            <w:vAlign w:val="bottom"/>
            <w:tcBorders>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At July 31, 2020, the weighted average remaining lease term is 3.3 years and the weighted average discount rate is 5.27% for the above leases.</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3" w:name="page14"/>
    <w:bookmarkEnd w:id="13"/>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January 31, 2020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Years Ended January 31,</w:t>
            </w:r>
          </w:p>
        </w:tc>
        <w:tc>
          <w:tcPr>
            <w:tcW w:w="1160" w:type="dxa"/>
            <w:vAlign w:val="bottom"/>
            <w:gridSpan w:val="4"/>
          </w:tcPr>
          <w:p>
            <w:pPr>
              <w:ind w:left="180"/>
              <w:spacing w:after="0"/>
              <w:rPr>
                <w:sz w:val="20"/>
                <w:szCs w:val="20"/>
                <w:color w:val="auto"/>
              </w:rPr>
            </w:pPr>
            <w:r>
              <w:rPr>
                <w:rFonts w:ascii="Arial" w:cs="Arial" w:eastAsia="Arial" w:hAnsi="Arial"/>
                <w:sz w:val="22"/>
                <w:szCs w:val="22"/>
                <w:b w:val="1"/>
                <w:bCs w:val="1"/>
                <w:color w:val="auto"/>
                <w:w w:val="99"/>
              </w:rPr>
              <w:t>Minimum</w:t>
            </w:r>
          </w:p>
        </w:tc>
        <w:tc>
          <w:tcPr>
            <w:tcW w:w="0" w:type="dxa"/>
            <w:vAlign w:val="bottom"/>
          </w:tcPr>
          <w:p>
            <w:pPr>
              <w:spacing w:after="0"/>
              <w:rPr>
                <w:sz w:val="1"/>
                <w:szCs w:val="1"/>
                <w:color w:val="auto"/>
              </w:rPr>
            </w:pPr>
          </w:p>
        </w:tc>
      </w:tr>
      <w:tr>
        <w:trPr>
          <w:trHeight w:val="243"/>
        </w:trPr>
        <w:tc>
          <w:tcPr>
            <w:tcW w:w="502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3"/>
              </w:rPr>
              <w:t>Rentals</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2021</w:t>
            </w:r>
          </w:p>
        </w:tc>
        <w:tc>
          <w:tcPr>
            <w:tcW w:w="2700" w:type="dxa"/>
            <w:vAlign w:val="bottom"/>
            <w:shd w:val="clear" w:color="auto" w:fill="E5FFFF"/>
          </w:tcPr>
          <w:p>
            <w:pPr>
              <w:spacing w:after="0"/>
              <w:rPr>
                <w:sz w:val="21"/>
                <w:szCs w:val="21"/>
                <w:color w:val="auto"/>
              </w:rPr>
            </w:pPr>
          </w:p>
        </w:tc>
        <w:tc>
          <w:tcPr>
            <w:tcW w:w="50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w w:val="75"/>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5,668</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2022</w:t>
            </w:r>
          </w:p>
        </w:tc>
        <w:tc>
          <w:tcPr>
            <w:tcW w:w="2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4,958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2023</w:t>
            </w:r>
          </w:p>
        </w:tc>
        <w:tc>
          <w:tcPr>
            <w:tcW w:w="270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3,251</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2024</w:t>
            </w:r>
          </w:p>
        </w:tc>
        <w:tc>
          <w:tcPr>
            <w:tcW w:w="2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2,085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2025</w:t>
            </w:r>
          </w:p>
        </w:tc>
        <w:tc>
          <w:tcPr>
            <w:tcW w:w="270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1,228</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E5FFFF"/>
            </w:tcBorders>
            <w:gridSpan w:val="2"/>
          </w:tcPr>
          <w:p>
            <w:pPr>
              <w:spacing w:after="0"/>
              <w:rPr>
                <w:sz w:val="20"/>
                <w:szCs w:val="20"/>
                <w:color w:val="auto"/>
              </w:rPr>
            </w:pPr>
            <w:r>
              <w:rPr>
                <w:rFonts w:ascii="Arial" w:cs="Arial" w:eastAsia="Arial" w:hAnsi="Arial"/>
                <w:sz w:val="22"/>
                <w:szCs w:val="22"/>
                <w:color w:val="auto"/>
              </w:rPr>
              <w:t>Thereafter</w:t>
            </w:r>
          </w:p>
        </w:tc>
        <w:tc>
          <w:tcPr>
            <w:tcW w:w="40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w:t>
            </w:r>
          </w:p>
        </w:tc>
        <w:tc>
          <w:tcPr>
            <w:tcW w:w="6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20" w:type="dxa"/>
            <w:vAlign w:val="bottom"/>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4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6"/>
              </w:rPr>
              <w:t>17,219</w:t>
            </w:r>
          </w:p>
        </w:tc>
        <w:tc>
          <w:tcPr>
            <w:tcW w:w="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E5FFFF"/>
            </w:tcBorders>
            <w:gridSpan w:val="2"/>
          </w:tcPr>
          <w:p>
            <w:pPr>
              <w:spacing w:after="0"/>
              <w:rPr>
                <w:sz w:val="20"/>
                <w:szCs w:val="20"/>
                <w:color w:val="auto"/>
              </w:rPr>
            </w:pPr>
            <w:r>
              <w:rPr>
                <w:rFonts w:ascii="Arial" w:cs="Arial" w:eastAsia="Arial" w:hAnsi="Arial"/>
                <w:sz w:val="22"/>
                <w:szCs w:val="22"/>
                <w:color w:val="auto"/>
              </w:rPr>
              <w:t>Less: present value discount</w:t>
            </w:r>
          </w:p>
        </w:tc>
        <w:tc>
          <w:tcPr>
            <w:tcW w:w="40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1,596</w:t>
            </w:r>
          </w:p>
        </w:tc>
        <w:tc>
          <w:tcPr>
            <w:tcW w:w="6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E5FFFF"/>
            </w:tcBorders>
            <w:gridSpan w:val="2"/>
            <w:shd w:val="clear" w:color="auto" w:fill="E5FFFF"/>
          </w:tcPr>
          <w:p>
            <w:pPr>
              <w:spacing w:after="0" w:line="250" w:lineRule="exact"/>
              <w:rPr>
                <w:sz w:val="20"/>
                <w:szCs w:val="20"/>
                <w:color w:val="auto"/>
              </w:rPr>
            </w:pPr>
            <w:r>
              <w:rPr>
                <w:rFonts w:ascii="Arial" w:cs="Arial" w:eastAsia="Arial" w:hAnsi="Arial"/>
                <w:sz w:val="22"/>
                <w:szCs w:val="22"/>
                <w:color w:val="auto"/>
              </w:rPr>
              <w:t>Operating lease liabilities</w:t>
            </w:r>
          </w:p>
        </w:tc>
        <w:tc>
          <w:tcPr>
            <w:tcW w:w="400" w:type="dxa"/>
            <w:vAlign w:val="bottom"/>
            <w:tcBorders>
              <w:bottom w:val="single" w:sz="8" w:color="E5FFFF"/>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9"/>
                <w:szCs w:val="19"/>
                <w:u w:val="single" w:color="auto"/>
                <w:color w:val="auto"/>
                <w:w w:val="75"/>
              </w:rPr>
              <w:t>$</w:t>
            </w:r>
          </w:p>
        </w:tc>
        <w:tc>
          <w:tcPr>
            <w:tcW w:w="60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6"/>
              </w:rPr>
              <w:t>15,623</w:t>
            </w:r>
          </w:p>
        </w:tc>
        <w:tc>
          <w:tcPr>
            <w:tcW w:w="60" w:type="dxa"/>
            <w:vAlign w:val="bottom"/>
            <w:tcBorders>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At January 31, 2020, the weighted average remaining lease term was 3.5 years and the weighted average discount rate was 5.46% for the above leases.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4"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4" w:name="page15"/>
    <w:bookmarkEnd w:id="14"/>
    <w:p>
      <w:pPr>
        <w:ind w:right="100"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220" w:firstLine="8"/>
        <w:spacing w:after="0" w:line="287" w:lineRule="auto"/>
        <w:tabs>
          <w:tab w:leader="none" w:pos="258" w:val="left"/>
        </w:tabs>
        <w:numPr>
          <w:ilvl w:val="0"/>
          <w:numId w:val="3"/>
        </w:numPr>
        <w:rPr>
          <w:rFonts w:ascii="Arial" w:cs="Arial" w:eastAsia="Arial" w:hAnsi="Arial"/>
          <w:sz w:val="19"/>
          <w:szCs w:val="19"/>
          <w:color w:val="auto"/>
        </w:rPr>
      </w:pPr>
      <w:r>
        <w:rPr>
          <w:rFonts w:ascii="Arial" w:cs="Arial" w:eastAsia="Arial" w:hAnsi="Arial"/>
          <w:sz w:val="19"/>
          <w:szCs w:val="19"/>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July 31, 2020 are summarized below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80" w:type="dxa"/>
            <w:vAlign w:val="bottom"/>
          </w:tcPr>
          <w:p>
            <w:pPr>
              <w:spacing w:after="0"/>
              <w:rPr>
                <w:sz w:val="23"/>
                <w:szCs w:val="23"/>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22"/>
                <w:szCs w:val="22"/>
                <w:b w:val="1"/>
                <w:bCs w:val="1"/>
                <w:color w:val="auto"/>
                <w:w w:val="85"/>
              </w:rPr>
              <w:t>Level 1</w:t>
            </w:r>
          </w:p>
        </w:tc>
        <w:tc>
          <w:tcPr>
            <w:tcW w:w="1100" w:type="dxa"/>
            <w:vAlign w:val="bottom"/>
            <w:gridSpan w:val="4"/>
          </w:tcPr>
          <w:p>
            <w:pPr>
              <w:ind w:left="60"/>
              <w:spacing w:after="0"/>
              <w:rPr>
                <w:sz w:val="20"/>
                <w:szCs w:val="20"/>
                <w:color w:val="auto"/>
              </w:rPr>
            </w:pPr>
            <w:r>
              <w:rPr>
                <w:rFonts w:ascii="Arial" w:cs="Arial" w:eastAsia="Arial" w:hAnsi="Arial"/>
                <w:sz w:val="22"/>
                <w:szCs w:val="22"/>
                <w:b w:val="1"/>
                <w:bCs w:val="1"/>
                <w:color w:val="auto"/>
              </w:rPr>
              <w:t>Level 2</w:t>
            </w:r>
          </w:p>
        </w:tc>
        <w:tc>
          <w:tcPr>
            <w:tcW w:w="1100" w:type="dxa"/>
            <w:vAlign w:val="bottom"/>
            <w:gridSpan w:val="4"/>
          </w:tcPr>
          <w:p>
            <w:pPr>
              <w:ind w:left="40"/>
              <w:spacing w:after="0"/>
              <w:rPr>
                <w:sz w:val="20"/>
                <w:szCs w:val="20"/>
                <w:color w:val="auto"/>
              </w:rPr>
            </w:pPr>
            <w:r>
              <w:rPr>
                <w:rFonts w:ascii="Arial" w:cs="Arial" w:eastAsia="Arial" w:hAnsi="Arial"/>
                <w:sz w:val="22"/>
                <w:szCs w:val="22"/>
                <w:b w:val="1"/>
                <w:bCs w:val="1"/>
                <w:color w:val="auto"/>
              </w:rPr>
              <w:t>Level 3</w:t>
            </w:r>
          </w:p>
        </w:tc>
        <w:tc>
          <w:tcPr>
            <w:tcW w:w="1240" w:type="dxa"/>
            <w:vAlign w:val="bottom"/>
            <w:gridSpan w:val="4"/>
          </w:tcPr>
          <w:p>
            <w:pPr>
              <w:ind w:left="160"/>
              <w:spacing w:after="0"/>
              <w:rPr>
                <w:sz w:val="20"/>
                <w:szCs w:val="20"/>
                <w:color w:val="auto"/>
              </w:rPr>
            </w:pPr>
            <w:r>
              <w:rPr>
                <w:rFonts w:ascii="Arial" w:cs="Arial" w:eastAsia="Arial" w:hAnsi="Arial"/>
                <w:sz w:val="22"/>
                <w:szCs w:val="22"/>
                <w:b w:val="1"/>
                <w:bCs w:val="1"/>
                <w:color w:val="auto"/>
              </w:rPr>
              <w:t>Fair Value</w:t>
            </w:r>
          </w:p>
        </w:tc>
      </w:tr>
      <w:tr>
        <w:trPr>
          <w:trHeight w:val="237"/>
        </w:trPr>
        <w:tc>
          <w:tcPr>
            <w:tcW w:w="5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48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7"/>
              </w:rPr>
              <w:t>341</w:t>
            </w:r>
          </w:p>
        </w:tc>
        <w:tc>
          <w:tcPr>
            <w:tcW w:w="38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5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341</w:t>
            </w:r>
          </w:p>
        </w:tc>
      </w:tr>
      <w:tr>
        <w:trPr>
          <w:trHeight w:val="243"/>
        </w:trPr>
        <w:tc>
          <w:tcPr>
            <w:tcW w:w="5080" w:type="dxa"/>
            <w:vAlign w:val="bottom"/>
          </w:tcPr>
          <w:p>
            <w:pPr>
              <w:spacing w:after="0" w:line="243" w:lineRule="exact"/>
              <w:rPr>
                <w:sz w:val="20"/>
                <w:szCs w:val="20"/>
                <w:color w:val="auto"/>
              </w:rPr>
            </w:pPr>
            <w:r>
              <w:rPr>
                <w:rFonts w:ascii="Arial" w:cs="Arial" w:eastAsia="Arial" w:hAnsi="Arial"/>
                <w:sz w:val="22"/>
                <w:szCs w:val="22"/>
                <w:color w:val="auto"/>
              </w:rPr>
              <w:t>Forward purchase contracts (2)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13</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w:t>
            </w:r>
          </w:p>
        </w:tc>
      </w:tr>
      <w:tr>
        <w:trPr>
          <w:trHeight w:val="257"/>
        </w:trPr>
        <w:tc>
          <w:tcPr>
            <w:tcW w:w="5080" w:type="dxa"/>
            <w:vAlign w:val="bottom"/>
            <w:shd w:val="clear" w:color="auto" w:fill="E5FFFF"/>
          </w:tcPr>
          <w:p>
            <w:pPr>
              <w:spacing w:after="0"/>
              <w:rPr>
                <w:sz w:val="20"/>
                <w:szCs w:val="20"/>
                <w:color w:val="auto"/>
              </w:rPr>
            </w:pPr>
            <w:r>
              <w:rPr>
                <w:rFonts w:ascii="Arial" w:cs="Arial" w:eastAsia="Arial" w:hAnsi="Arial"/>
                <w:sz w:val="22"/>
                <w:szCs w:val="22"/>
                <w:color w:val="auto"/>
              </w:rPr>
              <w:t>Commodity futures (2)</w:t>
            </w:r>
          </w:p>
        </w:tc>
        <w:tc>
          <w:tcPr>
            <w:tcW w:w="2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700" w:type="dxa"/>
            <w:vAlign w:val="bottom"/>
            <w:gridSpan w:val="2"/>
            <w:shd w:val="clear" w:color="auto" w:fill="E5FFFF"/>
          </w:tcPr>
          <w:p>
            <w:pPr>
              <w:jc w:val="right"/>
              <w:ind w:right="380"/>
              <w:spacing w:after="0"/>
              <w:rPr>
                <w:sz w:val="20"/>
                <w:szCs w:val="20"/>
                <w:color w:val="auto"/>
              </w:rPr>
            </w:pPr>
            <w:r>
              <w:rPr>
                <w:rFonts w:ascii="Arial" w:cs="Arial" w:eastAsia="Arial" w:hAnsi="Arial"/>
                <w:sz w:val="22"/>
                <w:szCs w:val="22"/>
                <w:color w:val="auto"/>
                <w:w w:val="81"/>
              </w:rPr>
              <w:t>416</w:t>
            </w:r>
          </w:p>
        </w:tc>
        <w:tc>
          <w:tcPr>
            <w:tcW w:w="2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3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spacing w:after="0"/>
              <w:rPr>
                <w:sz w:val="22"/>
                <w:szCs w:val="22"/>
                <w:color w:val="auto"/>
              </w:rPr>
            </w:pPr>
          </w:p>
        </w:tc>
        <w:tc>
          <w:tcPr>
            <w:tcW w:w="4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416</w:t>
            </w:r>
          </w:p>
        </w:tc>
      </w:tr>
      <w:tr>
        <w:trPr>
          <w:trHeight w:val="250"/>
        </w:trPr>
        <w:tc>
          <w:tcPr>
            <w:tcW w:w="5080" w:type="dxa"/>
            <w:vAlign w:val="bottom"/>
          </w:tcPr>
          <w:p>
            <w:pPr>
              <w:spacing w:after="0" w:line="250" w:lineRule="exact"/>
              <w:rPr>
                <w:sz w:val="20"/>
                <w:szCs w:val="20"/>
                <w:color w:val="auto"/>
              </w:rPr>
            </w:pPr>
            <w:r>
              <w:rPr>
                <w:rFonts w:ascii="Arial" w:cs="Arial" w:eastAsia="Arial" w:hAnsi="Arial"/>
                <w:sz w:val="22"/>
                <w:szCs w:val="22"/>
                <w:color w:val="auto"/>
              </w:rPr>
              <w:t>Total assets</w:t>
            </w:r>
          </w:p>
        </w:tc>
        <w:tc>
          <w:tcPr>
            <w:tcW w:w="2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1"/>
              </w:rPr>
              <w:t>$</w:t>
            </w:r>
          </w:p>
        </w:tc>
        <w:tc>
          <w:tcPr>
            <w:tcW w:w="3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429</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u w:val="single" w:color="auto"/>
                <w:color w:val="auto"/>
                <w:w w:val="75"/>
              </w:rPr>
              <w:t>$</w:t>
            </w:r>
          </w:p>
        </w:tc>
        <w:tc>
          <w:tcPr>
            <w:tcW w:w="3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7"/>
              </w:rPr>
              <w:t>341</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4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770</w:t>
            </w:r>
          </w:p>
        </w:tc>
        <w:tc>
          <w:tcPr>
            <w:tcW w:w="10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Forward purchase contracts (3)</w:t>
            </w:r>
          </w:p>
        </w:tc>
        <w:tc>
          <w:tcPr>
            <w:tcW w:w="48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w w:val="81"/>
              </w:rPr>
              <w:t>558</w:t>
            </w:r>
          </w:p>
        </w:tc>
        <w:tc>
          <w:tcPr>
            <w:tcW w:w="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5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558</w:t>
            </w:r>
          </w:p>
        </w:tc>
      </w:tr>
      <w:tr>
        <w:trPr>
          <w:trHeight w:val="257"/>
        </w:trPr>
        <w:tc>
          <w:tcPr>
            <w:tcW w:w="5080" w:type="dxa"/>
            <w:vAlign w:val="bottom"/>
          </w:tcPr>
          <w:p>
            <w:pPr>
              <w:spacing w:after="0"/>
              <w:rPr>
                <w:sz w:val="20"/>
                <w:szCs w:val="20"/>
                <w:color w:val="auto"/>
              </w:rPr>
            </w:pPr>
            <w:r>
              <w:rPr>
                <w:rFonts w:ascii="Arial" w:cs="Arial" w:eastAsia="Arial" w:hAnsi="Arial"/>
                <w:sz w:val="22"/>
                <w:szCs w:val="22"/>
                <w:color w:val="auto"/>
              </w:rPr>
              <w:t>Commodity futures (3)</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w w:val="81"/>
              </w:rPr>
              <w:t>197</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22"/>
                <w:szCs w:val="22"/>
                <w:color w:val="auto"/>
              </w:rPr>
              <w:t>197</w:t>
            </w:r>
          </w:p>
        </w:tc>
      </w:tr>
      <w:tr>
        <w:trPr>
          <w:trHeight w:val="250"/>
        </w:trPr>
        <w:tc>
          <w:tcPr>
            <w:tcW w:w="50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liabilities</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u w:val="single" w:color="auto"/>
                <w:color w:val="auto"/>
                <w:w w:val="81"/>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755</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3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4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755</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2020 are summarized below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80" w:type="dxa"/>
            <w:vAlign w:val="bottom"/>
          </w:tcPr>
          <w:p>
            <w:pPr>
              <w:spacing w:after="0"/>
              <w:rPr>
                <w:sz w:val="23"/>
                <w:szCs w:val="23"/>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22"/>
                <w:szCs w:val="22"/>
                <w:b w:val="1"/>
                <w:bCs w:val="1"/>
                <w:color w:val="auto"/>
                <w:w w:val="85"/>
              </w:rPr>
              <w:t>Level 1</w:t>
            </w:r>
          </w:p>
        </w:tc>
        <w:tc>
          <w:tcPr>
            <w:tcW w:w="1100" w:type="dxa"/>
            <w:vAlign w:val="bottom"/>
            <w:gridSpan w:val="4"/>
          </w:tcPr>
          <w:p>
            <w:pPr>
              <w:ind w:left="60"/>
              <w:spacing w:after="0"/>
              <w:rPr>
                <w:sz w:val="20"/>
                <w:szCs w:val="20"/>
                <w:color w:val="auto"/>
              </w:rPr>
            </w:pPr>
            <w:r>
              <w:rPr>
                <w:rFonts w:ascii="Arial" w:cs="Arial" w:eastAsia="Arial" w:hAnsi="Arial"/>
                <w:sz w:val="22"/>
                <w:szCs w:val="22"/>
                <w:b w:val="1"/>
                <w:bCs w:val="1"/>
                <w:color w:val="auto"/>
              </w:rPr>
              <w:t>Level 2</w:t>
            </w:r>
          </w:p>
        </w:tc>
        <w:tc>
          <w:tcPr>
            <w:tcW w:w="1100" w:type="dxa"/>
            <w:vAlign w:val="bottom"/>
            <w:gridSpan w:val="4"/>
          </w:tcPr>
          <w:p>
            <w:pPr>
              <w:ind w:left="40"/>
              <w:spacing w:after="0"/>
              <w:rPr>
                <w:sz w:val="20"/>
                <w:szCs w:val="20"/>
                <w:color w:val="auto"/>
              </w:rPr>
            </w:pPr>
            <w:r>
              <w:rPr>
                <w:rFonts w:ascii="Arial" w:cs="Arial" w:eastAsia="Arial" w:hAnsi="Arial"/>
                <w:sz w:val="22"/>
                <w:szCs w:val="22"/>
                <w:b w:val="1"/>
                <w:bCs w:val="1"/>
                <w:color w:val="auto"/>
              </w:rPr>
              <w:t>Level 3</w:t>
            </w:r>
          </w:p>
        </w:tc>
        <w:tc>
          <w:tcPr>
            <w:tcW w:w="1240" w:type="dxa"/>
            <w:vAlign w:val="bottom"/>
            <w:gridSpan w:val="5"/>
          </w:tcPr>
          <w:p>
            <w:pPr>
              <w:jc w:val="right"/>
              <w:ind w:right="100"/>
              <w:spacing w:after="0"/>
              <w:rPr>
                <w:sz w:val="20"/>
                <w:szCs w:val="20"/>
                <w:color w:val="auto"/>
              </w:rPr>
            </w:pPr>
            <w:r>
              <w:rPr>
                <w:rFonts w:ascii="Arial" w:cs="Arial" w:eastAsia="Arial" w:hAnsi="Arial"/>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48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7"/>
              </w:rPr>
              <w:t>341</w:t>
            </w:r>
          </w:p>
        </w:tc>
        <w:tc>
          <w:tcPr>
            <w:tcW w:w="38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4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341</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0"/>
                <w:szCs w:val="20"/>
                <w:color w:val="auto"/>
              </w:rPr>
            </w:pPr>
            <w:r>
              <w:rPr>
                <w:rFonts w:ascii="Arial" w:cs="Arial" w:eastAsia="Arial" w:hAnsi="Arial"/>
                <w:sz w:val="22"/>
                <w:szCs w:val="22"/>
                <w:color w:val="auto"/>
              </w:rPr>
              <w:t>Commodity futures (2)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w w:val="81"/>
              </w:rPr>
              <w:t>352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22"/>
                <w:szCs w:val="22"/>
                <w:color w:val="auto"/>
              </w:rPr>
              <w:t>352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assets</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u w:val="single" w:color="auto"/>
                <w:color w:val="auto"/>
                <w:w w:val="81"/>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352</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u w:val="single" w:color="auto"/>
                <w:color w:val="auto"/>
                <w:w w:val="75"/>
              </w:rPr>
              <w:t>$</w:t>
            </w:r>
          </w:p>
        </w:tc>
        <w:tc>
          <w:tcPr>
            <w:tcW w:w="3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7"/>
              </w:rPr>
              <w:t>341</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4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693</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22"/>
                <w:szCs w:val="22"/>
                <w:color w:val="auto"/>
              </w:rPr>
              <w:t>Forward purchase contract liability (3)</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080" w:type="dxa"/>
            <w:vAlign w:val="bottom"/>
            <w:vMerge w:val="continue"/>
          </w:tcPr>
          <w:p>
            <w:pPr>
              <w:spacing w:after="0"/>
              <w:rPr>
                <w:sz w:val="24"/>
                <w:szCs w:val="24"/>
                <w:color w:val="auto"/>
              </w:rPr>
            </w:pPr>
          </w:p>
        </w:tc>
        <w:tc>
          <w:tcPr>
            <w:tcW w:w="480" w:type="dxa"/>
            <w:vAlign w:val="bottom"/>
            <w:gridSpan w:val="2"/>
          </w:tcPr>
          <w:p>
            <w:pPr>
              <w:jc w:val="right"/>
              <w:ind w:right="3"/>
              <w:spacing w:after="0"/>
              <w:rPr>
                <w:sz w:val="20"/>
                <w:szCs w:val="20"/>
                <w:color w:val="auto"/>
              </w:rPr>
            </w:pPr>
            <w:r>
              <w:rPr>
                <w:rFonts w:ascii="Arial" w:cs="Arial" w:eastAsia="Arial" w:hAnsi="Arial"/>
                <w:sz w:val="22"/>
                <w:szCs w:val="22"/>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22"/>
                <w:szCs w:val="22"/>
                <w:u w:val="single" w:color="auto"/>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w w:val="81"/>
              </w:rPr>
              <w:t>230</w:t>
            </w:r>
          </w:p>
        </w:tc>
        <w:tc>
          <w:tcPr>
            <w:tcW w:w="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4"/>
                <w:szCs w:val="24"/>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22"/>
                <w:szCs w:val="22"/>
                <w:color w:val="auto"/>
              </w:rPr>
              <w:t>230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ind w:right="460" w:firstLine="656"/>
        <w:spacing w:after="0" w:line="230"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forward purchase contract asset and the commodity futures asset are included in “Prepaid expenses and other current assets” on the accompanying Consolidated Condensed Balance Sheets.</w:t>
      </w:r>
    </w:p>
    <w:p>
      <w:pPr>
        <w:spacing w:after="0" w:line="1" w:lineRule="exact"/>
        <w:rPr>
          <w:rFonts w:ascii="Arial" w:cs="Arial" w:eastAsia="Arial" w:hAnsi="Arial"/>
          <w:sz w:val="22"/>
          <w:szCs w:val="22"/>
          <w:color w:val="auto"/>
        </w:rPr>
      </w:pPr>
    </w:p>
    <w:p>
      <w:pPr>
        <w:ind w:right="380" w:firstLine="656"/>
        <w:spacing w:after="0" w:line="236"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forward purchase contract liability and the commodity futures liability are included in “Accrued expenses and other current liabilities” on the accompanying Consolidated Condensed Balance Sheets.</w:t>
      </w:r>
    </w:p>
    <w:p>
      <w:pPr>
        <w:spacing w:after="0" w:line="214"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assets measured at fair value on a non-recurring basis at July 31, 2020 or January 31, 2020.</w:t>
      </w:r>
    </w:p>
    <w:p>
      <w:pPr>
        <w:spacing w:after="0" w:line="17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22"/>
                <w:szCs w:val="22"/>
                <w:b w:val="1"/>
                <w:bCs w:val="1"/>
                <w:color w:val="auto"/>
                <w:w w:val="89"/>
              </w:rPr>
              <w:t>July 31,</w:t>
            </w:r>
          </w:p>
        </w:tc>
        <w:tc>
          <w:tcPr>
            <w:tcW w:w="1820" w:type="dxa"/>
            <w:vAlign w:val="bottom"/>
            <w:gridSpan w:val="6"/>
          </w:tcPr>
          <w:p>
            <w:pPr>
              <w:jc w:val="center"/>
              <w:ind w:left="392"/>
              <w:spacing w:after="0"/>
              <w:rPr>
                <w:sz w:val="20"/>
                <w:szCs w:val="20"/>
                <w:color w:val="auto"/>
              </w:rPr>
            </w:pPr>
            <w:r>
              <w:rPr>
                <w:rFonts w:ascii="Arial" w:cs="Arial" w:eastAsia="Arial" w:hAnsi="Arial"/>
                <w:sz w:val="22"/>
                <w:szCs w:val="22"/>
                <w:b w:val="1"/>
                <w:bCs w:val="1"/>
                <w:color w:val="auto"/>
                <w:w w:val="89"/>
              </w:rPr>
              <w:t>January 31,</w:t>
            </w:r>
          </w:p>
        </w:tc>
      </w:tr>
      <w:tr>
        <w:trPr>
          <w:trHeight w:val="230"/>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3"/>
              </w:rPr>
              <w:t>2020</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7"/>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Land and improvements</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26,244</w:t>
            </w:r>
          </w:p>
        </w:tc>
        <w:tc>
          <w:tcPr>
            <w:tcW w:w="9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21,957</w:t>
            </w:r>
          </w:p>
        </w:tc>
        <w:tc>
          <w:tcPr>
            <w:tcW w:w="60" w:type="dxa"/>
            <w:vAlign w:val="bottom"/>
            <w:shd w:val="clear" w:color="auto" w:fill="E5FFFF"/>
          </w:tcPr>
          <w:p>
            <w:pPr>
              <w:spacing w:after="0"/>
              <w:rPr>
                <w:sz w:val="21"/>
                <w:szCs w:val="21"/>
                <w:color w:val="auto"/>
              </w:rPr>
            </w:pPr>
          </w:p>
        </w:tc>
      </w:tr>
      <w:tr>
        <w:trPr>
          <w:trHeight w:val="243"/>
        </w:trPr>
        <w:tc>
          <w:tcPr>
            <w:tcW w:w="5080" w:type="dxa"/>
            <w:vAlign w:val="bottom"/>
          </w:tcPr>
          <w:p>
            <w:pPr>
              <w:spacing w:after="0" w:line="243" w:lineRule="exact"/>
              <w:rPr>
                <w:sz w:val="20"/>
                <w:szCs w:val="20"/>
                <w:color w:val="auto"/>
              </w:rPr>
            </w:pPr>
            <w:r>
              <w:rPr>
                <w:rFonts w:ascii="Arial" w:cs="Arial" w:eastAsia="Arial" w:hAnsi="Arial"/>
                <w:sz w:val="22"/>
                <w:szCs w:val="22"/>
                <w:color w:val="auto"/>
              </w:rPr>
              <w:t>Buildings and improvements</w:t>
            </w:r>
          </w:p>
        </w:tc>
        <w:tc>
          <w:tcPr>
            <w:tcW w:w="12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23,643</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23,643</w:t>
            </w:r>
          </w:p>
        </w:tc>
        <w:tc>
          <w:tcPr>
            <w:tcW w:w="60" w:type="dxa"/>
            <w:vAlign w:val="bottom"/>
          </w:tcPr>
          <w:p>
            <w:pPr>
              <w:spacing w:after="0"/>
              <w:rPr>
                <w:sz w:val="21"/>
                <w:szCs w:val="21"/>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Machinery, equipment and fixtures</w:t>
            </w:r>
          </w:p>
        </w:tc>
        <w:tc>
          <w:tcPr>
            <w:tcW w:w="12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301,411</w:t>
            </w:r>
          </w:p>
        </w:tc>
        <w:tc>
          <w:tcPr>
            <w:tcW w:w="8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300,972</w:t>
            </w:r>
          </w:p>
        </w:tc>
        <w:tc>
          <w:tcPr>
            <w:tcW w:w="60" w:type="dxa"/>
            <w:vAlign w:val="bottom"/>
            <w:shd w:val="clear" w:color="auto" w:fill="E5FFFF"/>
          </w:tcPr>
          <w:p>
            <w:pPr>
              <w:spacing w:after="0"/>
              <w:rPr>
                <w:sz w:val="21"/>
                <w:szCs w:val="21"/>
                <w:color w:val="auto"/>
              </w:rPr>
            </w:pPr>
          </w:p>
        </w:tc>
      </w:tr>
      <w:tr>
        <w:trPr>
          <w:trHeight w:val="256"/>
        </w:trPr>
        <w:tc>
          <w:tcPr>
            <w:tcW w:w="508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Construction in progress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608</w:t>
            </w:r>
          </w:p>
        </w:tc>
        <w:tc>
          <w:tcPr>
            <w:tcW w:w="80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193</w:t>
            </w:r>
          </w:p>
        </w:tc>
        <w:tc>
          <w:tcPr>
            <w:tcW w:w="60" w:type="dxa"/>
            <w:vAlign w:val="bottom"/>
            <w:tcBorders>
              <w:bottom w:val="single" w:sz="8" w:color="E5FFFF"/>
            </w:tcBorders>
          </w:tcPr>
          <w:p>
            <w:pPr>
              <w:spacing w:after="0"/>
              <w:rPr>
                <w:sz w:val="22"/>
                <w:szCs w:val="22"/>
                <w:color w:val="auto"/>
              </w:rPr>
            </w:pPr>
          </w:p>
        </w:tc>
      </w:tr>
      <w:tr>
        <w:trPr>
          <w:trHeight w:val="237"/>
        </w:trPr>
        <w:tc>
          <w:tcPr>
            <w:tcW w:w="50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840" w:type="dxa"/>
            <w:vAlign w:val="bottom"/>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351,906</w:t>
            </w:r>
          </w:p>
        </w:tc>
        <w:tc>
          <w:tcPr>
            <w:tcW w:w="8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860" w:type="dxa"/>
            <w:vAlign w:val="bottom"/>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346,765</w:t>
            </w:r>
          </w:p>
        </w:tc>
        <w:tc>
          <w:tcPr>
            <w:tcW w:w="60" w:type="dxa"/>
            <w:vAlign w:val="bottom"/>
            <w:shd w:val="clear" w:color="auto" w:fill="E5FFFF"/>
          </w:tcPr>
          <w:p>
            <w:pPr>
              <w:spacing w:after="0"/>
              <w:rPr>
                <w:sz w:val="20"/>
                <w:szCs w:val="20"/>
                <w:color w:val="auto"/>
              </w:rPr>
            </w:pPr>
          </w:p>
        </w:tc>
      </w:tr>
      <w:tr>
        <w:trPr>
          <w:trHeight w:val="257"/>
        </w:trPr>
        <w:tc>
          <w:tcPr>
            <w:tcW w:w="508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Less: accumulated depreciation</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87"/>
              </w:rPr>
              <w:t>(193,393)</w:t>
            </w:r>
          </w:p>
        </w:tc>
        <w:tc>
          <w:tcPr>
            <w:tcW w:w="80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89"/>
              </w:rPr>
              <w:t>(183,438)</w:t>
            </w:r>
          </w:p>
        </w:tc>
        <w:tc>
          <w:tcPr>
            <w:tcW w:w="60" w:type="dxa"/>
            <w:vAlign w:val="bottom"/>
            <w:tcBorders>
              <w:bottom w:val="single" w:sz="8" w:color="E5FFFF"/>
            </w:tcBorders>
          </w:tcPr>
          <w:p>
            <w:pPr>
              <w:spacing w:after="0"/>
              <w:rPr>
                <w:sz w:val="22"/>
                <w:szCs w:val="22"/>
                <w:color w:val="auto"/>
              </w:rPr>
            </w:pPr>
          </w:p>
        </w:tc>
      </w:tr>
      <w:tr>
        <w:trPr>
          <w:trHeight w:val="250"/>
        </w:trPr>
        <w:tc>
          <w:tcPr>
            <w:tcW w:w="5080" w:type="dxa"/>
            <w:vAlign w:val="bottom"/>
            <w:tcBorders>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2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158,513</w:t>
            </w:r>
          </w:p>
        </w:tc>
        <w:tc>
          <w:tcPr>
            <w:tcW w:w="800" w:type="dxa"/>
            <w:vAlign w:val="bottom"/>
            <w:tcBorders>
              <w:bottom w:val="single" w:sz="8" w:color="E5FFFF"/>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163,327</w:t>
            </w:r>
          </w:p>
        </w:tc>
        <w:tc>
          <w:tcPr>
            <w:tcW w:w="60" w:type="dxa"/>
            <w:vAlign w:val="bottom"/>
            <w:tcBorders>
              <w:bottom w:val="single" w:sz="8" w:color="E5FFFF"/>
            </w:tcBorders>
            <w:shd w:val="clear" w:color="auto" w:fill="E5FFFF"/>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22"/>
                <w:szCs w:val="22"/>
                <w:b w:val="1"/>
                <w:bCs w:val="1"/>
                <w:color w:val="auto"/>
                <w:w w:val="96"/>
              </w:rPr>
              <w:t>July 31,</w:t>
            </w:r>
          </w:p>
        </w:tc>
        <w:tc>
          <w:tcPr>
            <w:tcW w:w="1740" w:type="dxa"/>
            <w:vAlign w:val="bottom"/>
            <w:gridSpan w:val="5"/>
          </w:tcPr>
          <w:p>
            <w:pPr>
              <w:jc w:val="center"/>
              <w:ind w:left="432"/>
              <w:spacing w:after="0"/>
              <w:rPr>
                <w:sz w:val="20"/>
                <w:szCs w:val="20"/>
                <w:color w:val="auto"/>
              </w:rPr>
            </w:pPr>
            <w:r>
              <w:rPr>
                <w:rFonts w:ascii="Arial" w:cs="Arial" w:eastAsia="Arial" w:hAnsi="Arial"/>
                <w:sz w:val="22"/>
                <w:szCs w:val="22"/>
                <w:b w:val="1"/>
                <w:bCs w:val="1"/>
                <w:color w:val="auto"/>
                <w:w w:val="89"/>
              </w:rPr>
              <w:t>January 31,</w:t>
            </w:r>
          </w:p>
        </w:tc>
      </w:tr>
      <w:tr>
        <w:trPr>
          <w:trHeight w:val="230"/>
        </w:trPr>
        <w:tc>
          <w:tcPr>
            <w:tcW w:w="4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20"/>
              <w:spacing w:after="0" w:line="230" w:lineRule="exact"/>
              <w:rPr>
                <w:sz w:val="20"/>
                <w:szCs w:val="20"/>
                <w:color w:val="auto"/>
              </w:rPr>
            </w:pPr>
            <w:r>
              <w:rPr>
                <w:rFonts w:ascii="Arial" w:cs="Arial" w:eastAsia="Arial" w:hAnsi="Arial"/>
                <w:sz w:val="22"/>
                <w:szCs w:val="22"/>
                <w:b w:val="1"/>
                <w:bCs w:val="1"/>
                <w:color w:val="auto"/>
                <w:w w:val="85"/>
              </w:rPr>
              <w:t>2020</w:t>
            </w:r>
          </w:p>
        </w:tc>
        <w:tc>
          <w:tcPr>
            <w:tcW w:w="1360" w:type="dxa"/>
            <w:vAlign w:val="bottom"/>
            <w:gridSpan w:val="3"/>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4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payroll and related items</w:t>
            </w:r>
          </w:p>
        </w:tc>
        <w:tc>
          <w:tcPr>
            <w:tcW w:w="1260" w:type="dxa"/>
            <w:vAlign w:val="bottom"/>
            <w:gridSpan w:val="2"/>
            <w:shd w:val="clear" w:color="auto" w:fill="E5FFFF"/>
          </w:tcPr>
          <w:p>
            <w:pPr>
              <w:jc w:val="right"/>
              <w:ind w:right="17"/>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410</w:t>
            </w:r>
          </w:p>
        </w:tc>
        <w:tc>
          <w:tcPr>
            <w:tcW w:w="16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$1,152</w:t>
            </w:r>
          </w:p>
        </w:tc>
        <w:tc>
          <w:tcPr>
            <w:tcW w:w="60" w:type="dxa"/>
            <w:vAlign w:val="bottom"/>
            <w:shd w:val="clear" w:color="auto" w:fill="E5FFFF"/>
          </w:tcPr>
          <w:p>
            <w:pPr>
              <w:spacing w:after="0"/>
              <w:rPr>
                <w:sz w:val="21"/>
                <w:szCs w:val="21"/>
                <w:color w:val="auto"/>
              </w:rPr>
            </w:pPr>
          </w:p>
        </w:tc>
      </w:tr>
      <w:tr>
        <w:trPr>
          <w:trHeight w:val="243"/>
        </w:trPr>
        <w:tc>
          <w:tcPr>
            <w:tcW w:w="4200" w:type="dxa"/>
            <w:vAlign w:val="bottom"/>
          </w:tcPr>
          <w:p>
            <w:pPr>
              <w:spacing w:after="0" w:line="243" w:lineRule="exact"/>
              <w:rPr>
                <w:sz w:val="20"/>
                <w:szCs w:val="20"/>
                <w:color w:val="auto"/>
              </w:rPr>
            </w:pPr>
            <w:r>
              <w:rPr>
                <w:rFonts w:ascii="Arial" w:cs="Arial" w:eastAsia="Arial" w:hAnsi="Arial"/>
                <w:sz w:val="22"/>
                <w:szCs w:val="22"/>
                <w:color w:val="auto"/>
              </w:rPr>
              <w:t>Accrued utility charges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1,467</w:t>
            </w:r>
          </w:p>
        </w:tc>
        <w:tc>
          <w:tcPr>
            <w:tcW w:w="16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2,398</w:t>
            </w:r>
          </w:p>
        </w:tc>
        <w:tc>
          <w:tcPr>
            <w:tcW w:w="60" w:type="dxa"/>
            <w:vAlign w:val="bottom"/>
          </w:tcPr>
          <w:p>
            <w:pPr>
              <w:spacing w:after="0"/>
              <w:rPr>
                <w:sz w:val="21"/>
                <w:szCs w:val="21"/>
                <w:color w:val="auto"/>
              </w:rPr>
            </w:pPr>
          </w:p>
        </w:tc>
      </w:tr>
      <w:tr>
        <w:trPr>
          <w:trHeight w:val="243"/>
        </w:trPr>
        <w:tc>
          <w:tcPr>
            <w:tcW w:w="4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transportation related items</w:t>
            </w:r>
          </w:p>
        </w:tc>
        <w:tc>
          <w:tcPr>
            <w:tcW w:w="10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1,500</w:t>
            </w:r>
          </w:p>
        </w:tc>
        <w:tc>
          <w:tcPr>
            <w:tcW w:w="16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1,500</w:t>
            </w:r>
          </w:p>
        </w:tc>
        <w:tc>
          <w:tcPr>
            <w:tcW w:w="60" w:type="dxa"/>
            <w:vAlign w:val="bottom"/>
            <w:shd w:val="clear" w:color="auto" w:fill="E5FFFF"/>
          </w:tcPr>
          <w:p>
            <w:pPr>
              <w:spacing w:after="0"/>
              <w:rPr>
                <w:sz w:val="21"/>
                <w:szCs w:val="21"/>
                <w:color w:val="auto"/>
              </w:rPr>
            </w:pPr>
          </w:p>
        </w:tc>
      </w:tr>
      <w:tr>
        <w:trPr>
          <w:trHeight w:val="243"/>
        </w:trPr>
        <w:tc>
          <w:tcPr>
            <w:tcW w:w="4200" w:type="dxa"/>
            <w:vAlign w:val="bottom"/>
          </w:tcPr>
          <w:p>
            <w:pPr>
              <w:spacing w:after="0" w:line="243" w:lineRule="exact"/>
              <w:rPr>
                <w:sz w:val="20"/>
                <w:szCs w:val="20"/>
                <w:color w:val="auto"/>
              </w:rPr>
            </w:pPr>
            <w:r>
              <w:rPr>
                <w:rFonts w:ascii="Arial" w:cs="Arial" w:eastAsia="Arial" w:hAnsi="Arial"/>
                <w:sz w:val="22"/>
                <w:szCs w:val="22"/>
                <w:color w:val="auto"/>
              </w:rPr>
              <w:t>Accrued real estate taxes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2,377</w:t>
            </w:r>
          </w:p>
        </w:tc>
        <w:tc>
          <w:tcPr>
            <w:tcW w:w="16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1,755</w:t>
            </w:r>
          </w:p>
        </w:tc>
        <w:tc>
          <w:tcPr>
            <w:tcW w:w="60" w:type="dxa"/>
            <w:vAlign w:val="bottom"/>
          </w:tcPr>
          <w:p>
            <w:pPr>
              <w:spacing w:after="0"/>
              <w:rPr>
                <w:sz w:val="21"/>
                <w:szCs w:val="21"/>
                <w:color w:val="auto"/>
              </w:rPr>
            </w:pPr>
          </w:p>
        </w:tc>
      </w:tr>
      <w:tr>
        <w:trPr>
          <w:trHeight w:val="243"/>
        </w:trPr>
        <w:tc>
          <w:tcPr>
            <w:tcW w:w="4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w:t>
            </w:r>
          </w:p>
        </w:tc>
        <w:tc>
          <w:tcPr>
            <w:tcW w:w="10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197</w:t>
            </w:r>
          </w:p>
        </w:tc>
        <w:tc>
          <w:tcPr>
            <w:tcW w:w="16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0" w:type="dxa"/>
            <w:vAlign w:val="bottom"/>
            <w:shd w:val="clear" w:color="auto" w:fill="E5FFFF"/>
          </w:tcPr>
          <w:p>
            <w:pPr>
              <w:spacing w:after="0"/>
              <w:rPr>
                <w:sz w:val="21"/>
                <w:szCs w:val="21"/>
                <w:color w:val="auto"/>
              </w:rPr>
            </w:pPr>
          </w:p>
        </w:tc>
      </w:tr>
      <w:tr>
        <w:trPr>
          <w:trHeight w:val="243"/>
        </w:trPr>
        <w:tc>
          <w:tcPr>
            <w:tcW w:w="4200" w:type="dxa"/>
            <w:vAlign w:val="bottom"/>
          </w:tcPr>
          <w:p>
            <w:pPr>
              <w:spacing w:after="0" w:line="243" w:lineRule="exact"/>
              <w:rPr>
                <w:sz w:val="20"/>
                <w:szCs w:val="20"/>
                <w:color w:val="auto"/>
              </w:rPr>
            </w:pPr>
            <w:r>
              <w:rPr>
                <w:rFonts w:ascii="Arial" w:cs="Arial" w:eastAsia="Arial" w:hAnsi="Arial"/>
                <w:sz w:val="22"/>
                <w:szCs w:val="22"/>
                <w:color w:val="auto"/>
              </w:rPr>
              <w:t>Forward purchase contracts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558</w:t>
            </w:r>
          </w:p>
        </w:tc>
        <w:tc>
          <w:tcPr>
            <w:tcW w:w="16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230</w:t>
            </w:r>
          </w:p>
        </w:tc>
        <w:tc>
          <w:tcPr>
            <w:tcW w:w="60" w:type="dxa"/>
            <w:vAlign w:val="bottom"/>
          </w:tcPr>
          <w:p>
            <w:pPr>
              <w:spacing w:after="0"/>
              <w:rPr>
                <w:sz w:val="21"/>
                <w:szCs w:val="21"/>
                <w:color w:val="auto"/>
              </w:rPr>
            </w:pPr>
          </w:p>
        </w:tc>
      </w:tr>
      <w:tr>
        <w:trPr>
          <w:trHeight w:val="243"/>
        </w:trPr>
        <w:tc>
          <w:tcPr>
            <w:tcW w:w="4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income taxes</w:t>
            </w:r>
          </w:p>
        </w:tc>
        <w:tc>
          <w:tcPr>
            <w:tcW w:w="10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27</w:t>
            </w:r>
          </w:p>
        </w:tc>
        <w:tc>
          <w:tcPr>
            <w:tcW w:w="16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68</w:t>
            </w:r>
          </w:p>
        </w:tc>
        <w:tc>
          <w:tcPr>
            <w:tcW w:w="60" w:type="dxa"/>
            <w:vAlign w:val="bottom"/>
            <w:shd w:val="clear" w:color="auto" w:fill="E5FFFF"/>
          </w:tcPr>
          <w:p>
            <w:pPr>
              <w:spacing w:after="0"/>
              <w:rPr>
                <w:sz w:val="21"/>
                <w:szCs w:val="21"/>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22"/>
                <w:szCs w:val="22"/>
                <w:color w:val="auto"/>
              </w:rPr>
              <w:t>Other</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759</w:t>
            </w:r>
          </w:p>
        </w:tc>
        <w:tc>
          <w:tcPr>
            <w:tcW w:w="1680" w:type="dxa"/>
            <w:vAlign w:val="bottom"/>
            <w:gridSpan w:val="4"/>
          </w:tcPr>
          <w:p>
            <w:pPr>
              <w:jc w:val="right"/>
              <w:spacing w:after="0"/>
              <w:rPr>
                <w:sz w:val="20"/>
                <w:szCs w:val="20"/>
                <w:color w:val="auto"/>
              </w:rPr>
            </w:pPr>
            <w:r>
              <w:rPr>
                <w:rFonts w:ascii="Arial" w:cs="Arial" w:eastAsia="Arial" w:hAnsi="Arial"/>
                <w:sz w:val="22"/>
                <w:szCs w:val="22"/>
                <w:color w:val="auto"/>
              </w:rPr>
              <w:t>661</w:t>
            </w:r>
          </w:p>
        </w:tc>
        <w:tc>
          <w:tcPr>
            <w:tcW w:w="60" w:type="dxa"/>
            <w:vAlign w:val="bottom"/>
          </w:tcPr>
          <w:p>
            <w:pPr>
              <w:spacing w:after="0"/>
              <w:rPr>
                <w:sz w:val="22"/>
                <w:szCs w:val="22"/>
                <w:color w:val="auto"/>
              </w:rPr>
            </w:pPr>
          </w:p>
        </w:tc>
      </w:tr>
      <w:tr>
        <w:trPr>
          <w:trHeight w:val="250"/>
        </w:trPr>
        <w:tc>
          <w:tcPr>
            <w:tcW w:w="42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04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17"/>
              <w:spacing w:after="0"/>
              <w:rPr>
                <w:sz w:val="20"/>
                <w:szCs w:val="20"/>
                <w:color w:val="auto"/>
              </w:rPr>
            </w:pPr>
            <w:r>
              <w:rPr>
                <w:rFonts w:ascii="Arial" w:cs="Arial" w:eastAsia="Arial" w:hAnsi="Arial"/>
                <w:sz w:val="19"/>
                <w:szCs w:val="19"/>
                <w:color w:val="auto"/>
                <w:w w:val="75"/>
              </w:rPr>
              <w:t>$</w:t>
            </w:r>
          </w:p>
        </w:tc>
        <w:tc>
          <w:tcPr>
            <w:tcW w:w="66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color w:val="auto"/>
              </w:rPr>
              <w:t>7,295</w:t>
            </w:r>
          </w:p>
        </w:tc>
        <w:tc>
          <w:tcPr>
            <w:tcW w:w="92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60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7,764</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 w:name="page17"/>
    <w:bookmarkEnd w:id="16"/>
    <w:p>
      <w:pPr>
        <w:ind w:right="60" w:firstLine="648"/>
        <w:spacing w:after="0" w:line="257"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5"/>
          </w:tcPr>
          <w:p>
            <w:pPr>
              <w:jc w:val="center"/>
              <w:spacing w:after="0"/>
              <w:rPr>
                <w:sz w:val="20"/>
                <w:szCs w:val="20"/>
                <w:color w:val="auto"/>
              </w:rPr>
            </w:pPr>
            <w:r>
              <w:rPr>
                <w:rFonts w:ascii="Arial" w:cs="Arial" w:eastAsia="Arial" w:hAnsi="Arial"/>
                <w:sz w:val="22"/>
                <w:szCs w:val="22"/>
                <w:b w:val="1"/>
                <w:bCs w:val="1"/>
                <w:color w:val="auto"/>
                <w:w w:val="86"/>
              </w:rPr>
              <w:t>Asset Derivatives</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6"/>
          </w:tcPr>
          <w:p>
            <w:pPr>
              <w:jc w:val="center"/>
              <w:ind w:right="40"/>
              <w:spacing w:after="0"/>
              <w:rPr>
                <w:sz w:val="20"/>
                <w:szCs w:val="20"/>
                <w:color w:val="auto"/>
              </w:rPr>
            </w:pPr>
            <w:r>
              <w:rPr>
                <w:rFonts w:ascii="Arial" w:cs="Arial" w:eastAsia="Arial" w:hAnsi="Arial"/>
                <w:sz w:val="22"/>
                <w:szCs w:val="22"/>
                <w:b w:val="1"/>
                <w:bCs w:val="1"/>
                <w:color w:val="auto"/>
                <w:w w:val="91"/>
              </w:rPr>
              <w:t>Liability Derivatives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gridSpan w:val="4"/>
          </w:tcPr>
          <w:p>
            <w:pPr>
              <w:jc w:val="center"/>
              <w:ind w:right="420"/>
              <w:spacing w:after="0" w:line="243" w:lineRule="exact"/>
              <w:rPr>
                <w:sz w:val="20"/>
                <w:szCs w:val="20"/>
                <w:color w:val="auto"/>
              </w:rPr>
            </w:pPr>
            <w:r>
              <w:rPr>
                <w:rFonts w:ascii="Arial" w:cs="Arial" w:eastAsia="Arial" w:hAnsi="Arial"/>
                <w:sz w:val="22"/>
                <w:szCs w:val="22"/>
                <w:b w:val="1"/>
                <w:bCs w:val="1"/>
                <w:color w:val="auto"/>
                <w:w w:val="93"/>
              </w:rPr>
              <w:t>Fair Value</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5"/>
          </w:tcPr>
          <w:p>
            <w:pPr>
              <w:jc w:val="center"/>
              <w:ind w:right="480"/>
              <w:spacing w:after="0" w:line="243" w:lineRule="exact"/>
              <w:rPr>
                <w:sz w:val="20"/>
                <w:szCs w:val="20"/>
                <w:color w:val="auto"/>
              </w:rPr>
            </w:pPr>
            <w:r>
              <w:rPr>
                <w:rFonts w:ascii="Arial" w:cs="Arial" w:eastAsia="Arial" w:hAnsi="Arial"/>
                <w:sz w:val="22"/>
                <w:szCs w:val="22"/>
                <w:b w:val="1"/>
                <w:bCs w:val="1"/>
                <w:color w:val="auto"/>
                <w:w w:val="93"/>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72"/>
              <w:spacing w:after="0" w:line="243" w:lineRule="exact"/>
              <w:rPr>
                <w:sz w:val="20"/>
                <w:szCs w:val="20"/>
                <w:color w:val="auto"/>
              </w:rPr>
            </w:pPr>
            <w:r>
              <w:rPr>
                <w:rFonts w:ascii="Arial" w:cs="Arial" w:eastAsia="Arial" w:hAnsi="Arial"/>
                <w:sz w:val="22"/>
                <w:szCs w:val="22"/>
                <w:b w:val="1"/>
                <w:bCs w:val="1"/>
                <w:color w:val="auto"/>
                <w:w w:val="96"/>
              </w:rPr>
              <w:t>July 31,</w:t>
            </w:r>
          </w:p>
        </w:tc>
        <w:tc>
          <w:tcPr>
            <w:tcW w:w="460" w:type="dxa"/>
            <w:vAlign w:val="bottom"/>
          </w:tcPr>
          <w:p>
            <w:pPr>
              <w:spacing w:after="0"/>
              <w:rPr>
                <w:sz w:val="21"/>
                <w:szCs w:val="21"/>
                <w:color w:val="auto"/>
              </w:rPr>
            </w:pPr>
          </w:p>
        </w:tc>
        <w:tc>
          <w:tcPr>
            <w:tcW w:w="1680" w:type="dxa"/>
            <w:vAlign w:val="bottom"/>
            <w:gridSpan w:val="4"/>
          </w:tcPr>
          <w:p>
            <w:pPr>
              <w:jc w:val="center"/>
              <w:ind w:right="440"/>
              <w:spacing w:after="0" w:line="243" w:lineRule="exact"/>
              <w:rPr>
                <w:sz w:val="20"/>
                <w:szCs w:val="20"/>
                <w:color w:val="auto"/>
              </w:rPr>
            </w:pPr>
            <w:r>
              <w:rPr>
                <w:rFonts w:ascii="Arial" w:cs="Arial" w:eastAsia="Arial" w:hAnsi="Arial"/>
                <w:sz w:val="22"/>
                <w:szCs w:val="22"/>
                <w:b w:val="1"/>
                <w:bCs w:val="1"/>
                <w:color w:val="auto"/>
                <w:w w:val="89"/>
              </w:rPr>
              <w:t>January 31,</w:t>
            </w:r>
          </w:p>
        </w:tc>
        <w:tc>
          <w:tcPr>
            <w:tcW w:w="180" w:type="dxa"/>
            <w:vAlign w:val="bottom"/>
          </w:tcPr>
          <w:p>
            <w:pPr>
              <w:spacing w:after="0"/>
              <w:rPr>
                <w:sz w:val="21"/>
                <w:szCs w:val="21"/>
                <w:color w:val="auto"/>
              </w:rPr>
            </w:pPr>
          </w:p>
        </w:tc>
        <w:tc>
          <w:tcPr>
            <w:tcW w:w="1060" w:type="dxa"/>
            <w:vAlign w:val="bottom"/>
            <w:gridSpan w:val="3"/>
          </w:tcPr>
          <w:p>
            <w:pPr>
              <w:jc w:val="center"/>
              <w:ind w:right="72"/>
              <w:spacing w:after="0" w:line="243" w:lineRule="exact"/>
              <w:rPr>
                <w:sz w:val="20"/>
                <w:szCs w:val="20"/>
                <w:color w:val="auto"/>
              </w:rPr>
            </w:pPr>
            <w:r>
              <w:rPr>
                <w:rFonts w:ascii="Arial" w:cs="Arial" w:eastAsia="Arial" w:hAnsi="Arial"/>
                <w:sz w:val="22"/>
                <w:szCs w:val="22"/>
                <w:b w:val="1"/>
                <w:bCs w:val="1"/>
                <w:color w:val="auto"/>
                <w:w w:val="89"/>
              </w:rPr>
              <w:t>July 31,</w:t>
            </w:r>
          </w:p>
        </w:tc>
        <w:tc>
          <w:tcPr>
            <w:tcW w:w="420" w:type="dxa"/>
            <w:vAlign w:val="bottom"/>
          </w:tcPr>
          <w:p>
            <w:pPr>
              <w:spacing w:after="0"/>
              <w:rPr>
                <w:sz w:val="21"/>
                <w:szCs w:val="21"/>
                <w:color w:val="auto"/>
              </w:rPr>
            </w:pPr>
          </w:p>
        </w:tc>
        <w:tc>
          <w:tcPr>
            <w:tcW w:w="1340" w:type="dxa"/>
            <w:vAlign w:val="bottom"/>
            <w:gridSpan w:val="5"/>
          </w:tcPr>
          <w:p>
            <w:pPr>
              <w:jc w:val="center"/>
              <w:ind w:right="100"/>
              <w:spacing w:after="0" w:line="243" w:lineRule="exact"/>
              <w:rPr>
                <w:sz w:val="20"/>
                <w:szCs w:val="20"/>
                <w:color w:val="auto"/>
              </w:rPr>
            </w:pPr>
            <w:r>
              <w:rPr>
                <w:rFonts w:ascii="Arial" w:cs="Arial" w:eastAsia="Arial" w:hAnsi="Arial"/>
                <w:sz w:val="22"/>
                <w:szCs w:val="22"/>
                <w:b w:val="1"/>
                <w:bCs w:val="1"/>
                <w:color w:val="auto"/>
                <w:w w:val="89"/>
              </w:rPr>
              <w:t>January 31,</w:t>
            </w:r>
          </w:p>
        </w:tc>
      </w:tr>
      <w:tr>
        <w:trPr>
          <w:trHeight w:val="230"/>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312"/>
              <w:spacing w:after="0" w:line="230" w:lineRule="exact"/>
              <w:rPr>
                <w:sz w:val="20"/>
                <w:szCs w:val="20"/>
                <w:color w:val="auto"/>
              </w:rPr>
            </w:pPr>
            <w:r>
              <w:rPr>
                <w:rFonts w:ascii="Arial" w:cs="Arial" w:eastAsia="Arial" w:hAnsi="Arial"/>
                <w:sz w:val="22"/>
                <w:szCs w:val="22"/>
                <w:b w:val="1"/>
                <w:bCs w:val="1"/>
                <w:color w:val="auto"/>
              </w:rPr>
              <w:t>2020</w:t>
            </w:r>
          </w:p>
        </w:tc>
        <w:tc>
          <w:tcPr>
            <w:tcW w:w="1300" w:type="dxa"/>
            <w:vAlign w:val="bottom"/>
            <w:gridSpan w:val="3"/>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400" w:type="dxa"/>
            <w:vAlign w:val="bottom"/>
          </w:tcPr>
          <w:p>
            <w:pPr>
              <w:spacing w:after="0"/>
              <w:rPr>
                <w:sz w:val="19"/>
                <w:szCs w:val="19"/>
                <w:color w:val="auto"/>
              </w:rPr>
            </w:pPr>
          </w:p>
        </w:tc>
        <w:tc>
          <w:tcPr>
            <w:tcW w:w="1300" w:type="dxa"/>
            <w:vAlign w:val="bottom"/>
            <w:gridSpan w:val="4"/>
          </w:tcPr>
          <w:p>
            <w:pPr>
              <w:jc w:val="right"/>
              <w:ind w:right="40"/>
              <w:spacing w:after="0" w:line="230" w:lineRule="exact"/>
              <w:rPr>
                <w:sz w:val="20"/>
                <w:szCs w:val="20"/>
                <w:color w:val="auto"/>
              </w:rPr>
            </w:pPr>
            <w:r>
              <w:rPr>
                <w:rFonts w:ascii="Arial" w:cs="Arial" w:eastAsia="Arial" w:hAnsi="Arial"/>
                <w:sz w:val="22"/>
                <w:szCs w:val="22"/>
                <w:b w:val="1"/>
                <w:bCs w:val="1"/>
                <w:color w:val="auto"/>
              </w:rPr>
              <w:t>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(1)</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416</w:t>
            </w:r>
          </w:p>
        </w:tc>
        <w:tc>
          <w:tcPr>
            <w:tcW w:w="860" w:type="dxa"/>
            <w:vAlign w:val="bottom"/>
            <w:gridSpan w:val="2"/>
            <w:shd w:val="clear" w:color="auto" w:fill="E5FFFF"/>
          </w:tcPr>
          <w:p>
            <w:pPr>
              <w:jc w:val="right"/>
              <w:ind w:right="197"/>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352</w:t>
            </w: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197</w:t>
            </w:r>
          </w:p>
        </w:tc>
        <w:tc>
          <w:tcPr>
            <w:tcW w:w="820" w:type="dxa"/>
            <w:vAlign w:val="bottom"/>
            <w:gridSpan w:val="2"/>
            <w:shd w:val="clear" w:color="auto" w:fill="E5FFFF"/>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56"/>
        </w:trPr>
        <w:tc>
          <w:tcPr>
            <w:tcW w:w="4840" w:type="dxa"/>
            <w:vAlign w:val="bottom"/>
          </w:tcPr>
          <w:p>
            <w:pPr>
              <w:spacing w:after="0"/>
              <w:rPr>
                <w:sz w:val="20"/>
                <w:szCs w:val="20"/>
                <w:color w:val="auto"/>
              </w:rPr>
            </w:pPr>
            <w:r>
              <w:rPr>
                <w:rFonts w:ascii="Arial" w:cs="Arial" w:eastAsia="Arial" w:hAnsi="Arial"/>
                <w:sz w:val="22"/>
                <w:szCs w:val="22"/>
                <w:color w:val="auto"/>
              </w:rPr>
              <w:t>Forward purchase contracts (2)</w:t>
            </w:r>
          </w:p>
        </w:tc>
        <w:tc>
          <w:tcPr>
            <w:tcW w:w="18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color w:val="auto"/>
              </w:rPr>
              <w:t>13</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22"/>
                <w:szCs w:val="22"/>
                <w:color w:val="auto"/>
              </w:rPr>
              <w:t>558</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22"/>
                <w:szCs w:val="22"/>
                <w:color w:val="auto"/>
                <w:w w:val="92"/>
              </w:rPr>
              <w:t>230</w:t>
            </w: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429</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97"/>
              <w:spacing w:after="0"/>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bottom w:val="single" w:sz="8" w:color="auto"/>
            </w:tcBorders>
            <w:shd w:val="clear" w:color="auto" w:fill="E5FFFF"/>
          </w:tcPr>
          <w:p>
            <w:pPr>
              <w:spacing w:after="0"/>
              <w:rPr>
                <w:sz w:val="21"/>
                <w:szCs w:val="21"/>
                <w:color w:val="auto"/>
              </w:rPr>
            </w:pPr>
          </w:p>
        </w:tc>
        <w:tc>
          <w:tcPr>
            <w:tcW w:w="4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352</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0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755</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72"/>
              <w:spacing w:after="0" w:line="250" w:lineRule="exact"/>
              <w:rPr>
                <w:sz w:val="20"/>
                <w:szCs w:val="20"/>
                <w:color w:val="auto"/>
              </w:rPr>
            </w:pPr>
            <w:r>
              <w:rPr>
                <w:rFonts w:ascii="Arial" w:cs="Arial" w:eastAsia="Arial" w:hAnsi="Arial"/>
                <w:sz w:val="22"/>
                <w:szCs w:val="22"/>
                <w:color w:val="auto"/>
                <w:w w:val="81"/>
              </w:rPr>
              <w:t>$</w:t>
            </w:r>
          </w:p>
        </w:tc>
        <w:tc>
          <w:tcPr>
            <w:tcW w:w="440" w:type="dxa"/>
            <w:vAlign w:val="bottom"/>
            <w:tcBorders>
              <w:top w:val="single" w:sz="8" w:color="auto"/>
              <w:bottom w:val="single" w:sz="8" w:color="auto"/>
            </w:tcBorders>
            <w:shd w:val="clear" w:color="auto" w:fill="E5FFFF"/>
          </w:tcPr>
          <w:p>
            <w:pPr>
              <w:spacing w:after="0"/>
              <w:rPr>
                <w:sz w:val="21"/>
                <w:szCs w:val="21"/>
                <w:color w:val="auto"/>
              </w:rPr>
            </w:pPr>
          </w:p>
        </w:tc>
        <w:tc>
          <w:tcPr>
            <w:tcW w:w="40" w:type="dxa"/>
            <w:vAlign w:val="bottom"/>
            <w:tcBorders>
              <w:top w:val="single" w:sz="8" w:color="auto"/>
              <w:bottom w:val="single" w:sz="8" w:color="auto"/>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2"/>
              </w:rPr>
              <w:t>230</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440" w:hanging="5"/>
        <w:spacing w:after="0" w:line="235" w:lineRule="auto"/>
        <w:tabs>
          <w:tab w:leader="none" w:pos="787"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Commodity futures assets are included in prepaid expenses and other current assets. These contracts are short/sell positions for approximately 4.5 million bushels of corn and approximately 5.5 million gallons of ethanol at July 31, 2020. These contracts are short/sell positions for approximately 3.7 million bushels of corn and long/buy positions for approximately 2.2 million bushels of corn at January 31, 2020. Commodity futures liabilities are included in accrued expenses and other current liabilities. These contracts are short/sell positions for approximately 2.8 million bushels of corn at July 31, 2020.</w:t>
      </w:r>
    </w:p>
    <w:p>
      <w:pPr>
        <w:spacing w:after="0" w:line="214" w:lineRule="exact"/>
        <w:rPr>
          <w:rFonts w:ascii="Arial" w:cs="Arial" w:eastAsia="Arial" w:hAnsi="Arial"/>
          <w:sz w:val="22"/>
          <w:szCs w:val="22"/>
          <w:color w:val="auto"/>
        </w:rPr>
      </w:pPr>
    </w:p>
    <w:p>
      <w:pPr>
        <w:jc w:val="both"/>
        <w:ind w:left="440" w:hanging="5"/>
        <w:spacing w:after="0" w:line="252" w:lineRule="auto"/>
        <w:tabs>
          <w:tab w:leader="none" w:pos="775" w:val="left"/>
        </w:tabs>
        <w:numPr>
          <w:ilvl w:val="0"/>
          <w:numId w:val="5"/>
        </w:numPr>
        <w:rPr>
          <w:rFonts w:ascii="Arial" w:cs="Arial" w:eastAsia="Arial" w:hAnsi="Arial"/>
          <w:sz w:val="21"/>
          <w:szCs w:val="21"/>
          <w:color w:val="auto"/>
        </w:rPr>
      </w:pPr>
      <w:r>
        <w:rPr>
          <w:rFonts w:ascii="Arial" w:cs="Arial" w:eastAsia="Arial" w:hAnsi="Arial"/>
          <w:sz w:val="21"/>
          <w:szCs w:val="21"/>
          <w:color w:val="auto"/>
        </w:rPr>
        <w:t>Forward purchase contracts assets are included in prepaid expenses and other current assets. These contracts are for purchases of approximately 1.3 million bushels of corn at July 31, 2020. Forward purchase contracts liabilities are included in accrued expenses and other current liabilities. These contracts are for purchases of approximately 1.9 million bushels of corn at July 31, 2020 and 1.6 million bushels of corn at January 31, 2020.</w:t>
      </w:r>
    </w:p>
    <w:p>
      <w:pPr>
        <w:spacing w:after="0" w:line="20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9"/>
          <w:szCs w:val="19"/>
          <w:color w:val="auto"/>
        </w:rPr>
        <w:t>As of July 31, 2020, and January 31, 2020, all the derivative financial instruments held by the Company were subject to enforceable master netting arrangements. The Company’s accounting policy is to offset positions and amounts owed or owing with the same counterparty. As of July 31, 2020, and January 31, 2020,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$950,000 and approximately $1,113,000 to secure the Company’s derivative position at July 31, 2020 and January 31, 2020, respectively.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(Losses) gains on the Company’s derivative financial instruments of approximately $(4,613,000) and approximately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$537,000 for the second quarter of fiscal years 2020 and 2019, respectively, were included in cost of sales on the Consolidated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Condensed Statements of Operations. (Losses) gains on the Company’s derivative financial instruments of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$(1,758,000) and approximately $1,230,000 for the first six months of fiscal years 2020 and 2019, respectively, were included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cost of sales on the Consolidated Condensed Statements of Operations.</w:t>
      </w:r>
    </w:p>
    <w:p>
      <w:pPr>
        <w:spacing w:after="0" w:line="215"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Losses on the Company’s derivative financial instruments of approximately $298,000 for the second quarter and first six months of fiscal year 2020 were included in net sales and revenue on the Consolidated Condensed Statements of Operations.</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Investments</w:t>
      </w:r>
    </w:p>
    <w:p>
      <w:pPr>
        <w:spacing w:after="0" w:line="23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July 31, 2020 and January 31, 2020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40" w:type="dxa"/>
            <w:vAlign w:val="bottom"/>
            <w:gridSpan w:val="3"/>
          </w:tcPr>
          <w:p>
            <w:pPr>
              <w:ind w:left="900"/>
              <w:spacing w:after="0"/>
              <w:rPr>
                <w:sz w:val="20"/>
                <w:szCs w:val="20"/>
                <w:color w:val="auto"/>
              </w:rPr>
            </w:pPr>
            <w:r>
              <w:rPr>
                <w:rFonts w:ascii="Arial" w:cs="Arial" w:eastAsia="Arial" w:hAnsi="Arial"/>
                <w:sz w:val="22"/>
                <w:szCs w:val="22"/>
                <w:b w:val="1"/>
                <w:bCs w:val="1"/>
                <w:color w:val="auto"/>
              </w:rPr>
              <w:t>Carrying Amount</w:t>
            </w:r>
          </w:p>
        </w:tc>
      </w:tr>
      <w:tr>
        <w:trPr>
          <w:trHeight w:val="230"/>
        </w:trPr>
        <w:tc>
          <w:tcPr>
            <w:tcW w:w="160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Entity</w:t>
            </w:r>
          </w:p>
        </w:tc>
        <w:tc>
          <w:tcPr>
            <w:tcW w:w="3240" w:type="dxa"/>
            <w:vAlign w:val="bottom"/>
            <w:gridSpan w:val="3"/>
          </w:tcPr>
          <w:p>
            <w:pPr>
              <w:jc w:val="center"/>
              <w:ind w:left="212"/>
              <w:spacing w:after="0" w:line="230" w:lineRule="exact"/>
              <w:rPr>
                <w:sz w:val="20"/>
                <w:szCs w:val="20"/>
                <w:color w:val="auto"/>
              </w:rPr>
            </w:pPr>
            <w:r>
              <w:rPr>
                <w:rFonts w:ascii="Arial" w:cs="Arial" w:eastAsia="Arial" w:hAnsi="Arial"/>
                <w:sz w:val="22"/>
                <w:szCs w:val="22"/>
                <w:b w:val="1"/>
                <w:bCs w:val="1"/>
                <w:color w:val="auto"/>
                <w:w w:val="87"/>
              </w:rPr>
              <w:t>Ownership Percentage</w:t>
            </w:r>
          </w:p>
        </w:tc>
        <w:tc>
          <w:tcPr>
            <w:tcW w:w="1600" w:type="dxa"/>
            <w:vAlign w:val="bottom"/>
            <w:gridSpan w:val="2"/>
          </w:tcPr>
          <w:p>
            <w:pPr>
              <w:jc w:val="center"/>
              <w:ind w:left="292"/>
              <w:spacing w:after="0" w:line="230" w:lineRule="exact"/>
              <w:rPr>
                <w:sz w:val="20"/>
                <w:szCs w:val="20"/>
                <w:color w:val="auto"/>
              </w:rPr>
            </w:pPr>
            <w:r>
              <w:rPr>
                <w:rFonts w:ascii="Arial" w:cs="Arial" w:eastAsia="Arial" w:hAnsi="Arial"/>
                <w:sz w:val="22"/>
                <w:szCs w:val="22"/>
                <w:b w:val="1"/>
                <w:bCs w:val="1"/>
                <w:color w:val="auto"/>
                <w:w w:val="88"/>
              </w:rPr>
              <w:t>July 31, 2020</w:t>
            </w:r>
          </w:p>
        </w:tc>
        <w:tc>
          <w:tcPr>
            <w:tcW w:w="2440" w:type="dxa"/>
            <w:vAlign w:val="bottom"/>
            <w:gridSpan w:val="2"/>
          </w:tcPr>
          <w:p>
            <w:pPr>
              <w:jc w:val="center"/>
              <w:ind w:left="752"/>
              <w:spacing w:after="0" w:line="230" w:lineRule="exact"/>
              <w:rPr>
                <w:sz w:val="20"/>
                <w:szCs w:val="20"/>
                <w:color w:val="auto"/>
              </w:rPr>
            </w:pPr>
            <w:r>
              <w:rPr>
                <w:rFonts w:ascii="Arial" w:cs="Arial" w:eastAsia="Arial" w:hAnsi="Arial"/>
                <w:sz w:val="22"/>
                <w:szCs w:val="22"/>
                <w:b w:val="1"/>
                <w:bCs w:val="1"/>
                <w:color w:val="auto"/>
                <w:w w:val="89"/>
              </w:rPr>
              <w:t>January 31, 2020</w:t>
            </w:r>
          </w:p>
        </w:tc>
      </w:tr>
      <w:tr>
        <w:trPr>
          <w:trHeight w:val="20"/>
        </w:trPr>
        <w:tc>
          <w:tcPr>
            <w:tcW w:w="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517"/>
        </w:trPr>
        <w:tc>
          <w:tcPr>
            <w:tcW w:w="160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2820" w:type="dxa"/>
            <w:vAlign w:val="bottom"/>
            <w:gridSpan w:val="2"/>
          </w:tcPr>
          <w:p>
            <w:pPr>
              <w:jc w:val="right"/>
              <w:ind w:right="760"/>
              <w:spacing w:after="0"/>
              <w:rPr>
                <w:sz w:val="20"/>
                <w:szCs w:val="20"/>
                <w:color w:val="auto"/>
              </w:rPr>
            </w:pPr>
            <w:r>
              <w:rPr>
                <w:rFonts w:ascii="Arial" w:cs="Arial" w:eastAsia="Arial" w:hAnsi="Arial"/>
                <w:sz w:val="22"/>
                <w:szCs w:val="22"/>
                <w:color w:val="auto"/>
              </w:rPr>
              <w:t>10.3%</w:t>
            </w:r>
          </w:p>
        </w:tc>
        <w:tc>
          <w:tcPr>
            <w:tcW w:w="420" w:type="dxa"/>
            <w:vAlign w:val="bottom"/>
          </w:tcPr>
          <w:p>
            <w:pPr>
              <w:spacing w:after="0"/>
              <w:rPr>
                <w:sz w:val="24"/>
                <w:szCs w:val="24"/>
                <w:color w:val="auto"/>
              </w:rPr>
            </w:pPr>
          </w:p>
        </w:tc>
        <w:tc>
          <w:tcPr>
            <w:tcW w:w="1600" w:type="dxa"/>
            <w:vAlign w:val="bottom"/>
            <w:gridSpan w:val="2"/>
          </w:tcPr>
          <w:p>
            <w:pPr>
              <w:jc w:val="right"/>
              <w:ind w:right="132"/>
              <w:spacing w:after="0"/>
              <w:rPr>
                <w:sz w:val="20"/>
                <w:szCs w:val="20"/>
                <w:color w:val="auto"/>
              </w:rPr>
            </w:pPr>
            <w:r>
              <w:rPr>
                <w:rFonts w:ascii="Arial" w:cs="Arial" w:eastAsia="Arial" w:hAnsi="Arial"/>
                <w:sz w:val="22"/>
                <w:szCs w:val="22"/>
                <w:color w:val="auto"/>
              </w:rPr>
              <w:t>$29,475</w:t>
            </w:r>
          </w:p>
        </w:tc>
        <w:tc>
          <w:tcPr>
            <w:tcW w:w="2440" w:type="dxa"/>
            <w:vAlign w:val="bottom"/>
            <w:gridSpan w:val="2"/>
          </w:tcPr>
          <w:p>
            <w:pPr>
              <w:jc w:val="right"/>
              <w:ind w:right="440"/>
              <w:spacing w:after="0"/>
              <w:rPr>
                <w:sz w:val="20"/>
                <w:szCs w:val="20"/>
                <w:color w:val="auto"/>
              </w:rPr>
            </w:pPr>
            <w:r>
              <w:rPr>
                <w:rFonts w:ascii="Arial" w:cs="Arial" w:eastAsia="Arial" w:hAnsi="Arial"/>
                <w:sz w:val="22"/>
                <w:szCs w:val="22"/>
                <w:color w:val="auto"/>
              </w:rPr>
              <w:t>$32,464</w:t>
            </w:r>
          </w:p>
        </w:tc>
      </w:tr>
    </w:tbl>
    <w:p>
      <w:pPr>
        <w:spacing w:after="0" w:line="212"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Undistributed earnings of the Company’s equity method investee totaled approximately $9.5 million and approximately $12.4 million at July 31, 2020 and January 31, 2020, respectively. The Company received dividends from its equity method investee of approximately $2.0 million in the first six months of fiscal year 2020. The company received no dividends from its equity method investee in the first six months of fiscal year 2019.</w:t>
      </w:r>
    </w:p>
    <w:p>
      <w:pPr>
        <w:spacing w:after="0" w:line="212"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320" w:type="dxa"/>
            <w:vAlign w:val="bottom"/>
            <w:gridSpan w:val="7"/>
          </w:tcPr>
          <w:p>
            <w:pPr>
              <w:jc w:val="right"/>
              <w:ind w:right="340"/>
              <w:spacing w:after="0"/>
              <w:rPr>
                <w:sz w:val="20"/>
                <w:szCs w:val="20"/>
                <w:color w:val="auto"/>
              </w:rPr>
            </w:pPr>
            <w:r>
              <w:rPr>
                <w:rFonts w:ascii="Arial" w:cs="Arial" w:eastAsia="Arial" w:hAnsi="Arial"/>
                <w:sz w:val="22"/>
                <w:szCs w:val="22"/>
                <w:b w:val="1"/>
                <w:bCs w:val="1"/>
                <w:color w:val="auto"/>
                <w:w w:val="90"/>
              </w:rPr>
              <w:t>Three Months Ended</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gridSpan w:val="6"/>
          </w:tcPr>
          <w:p>
            <w:pPr>
              <w:ind w:left="2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80"/>
        </w:trPr>
        <w:tc>
          <w:tcPr>
            <w:tcW w:w="4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2020</w:t>
            </w:r>
          </w:p>
        </w:tc>
        <w:tc>
          <w:tcPr>
            <w:tcW w:w="820" w:type="dxa"/>
            <w:vAlign w:val="bottom"/>
            <w:gridSpan w:val="2"/>
          </w:tcPr>
          <w:p>
            <w:pPr>
              <w:jc w:val="right"/>
              <w:spacing w:after="0"/>
              <w:rPr>
                <w:sz w:val="20"/>
                <w:szCs w:val="20"/>
                <w:color w:val="auto"/>
              </w:rPr>
            </w:pPr>
            <w:r>
              <w:rPr>
                <w:rFonts w:ascii="Arial" w:cs="Arial" w:eastAsia="Arial" w:hAnsi="Arial"/>
                <w:sz w:val="22"/>
                <w:szCs w:val="22"/>
                <w:b w:val="1"/>
                <w:bCs w:val="1"/>
                <w:color w:val="auto"/>
                <w:w w:val="96"/>
              </w:rPr>
              <w:t>July 31,</w:t>
            </w:r>
          </w:p>
        </w:tc>
        <w:tc>
          <w:tcPr>
            <w:tcW w:w="5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8"/>
              </w:rPr>
              <w:t>2019</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22"/>
                <w:szCs w:val="22"/>
                <w:b w:val="1"/>
                <w:bCs w:val="1"/>
                <w:color w:val="auto"/>
                <w:w w:val="85"/>
              </w:rPr>
              <w:t>2020</w:t>
            </w:r>
          </w:p>
        </w:tc>
        <w:tc>
          <w:tcPr>
            <w:tcW w:w="820" w:type="dxa"/>
            <w:vAlign w:val="bottom"/>
            <w:gridSpan w:val="2"/>
          </w:tcPr>
          <w:p>
            <w:pPr>
              <w:jc w:val="right"/>
              <w:spacing w:after="0"/>
              <w:rPr>
                <w:sz w:val="20"/>
                <w:szCs w:val="20"/>
                <w:color w:val="auto"/>
              </w:rPr>
            </w:pPr>
            <w:r>
              <w:rPr>
                <w:rFonts w:ascii="Arial" w:cs="Arial" w:eastAsia="Arial" w:hAnsi="Arial"/>
                <w:sz w:val="22"/>
                <w:szCs w:val="22"/>
                <w:b w:val="1"/>
                <w:bCs w:val="1"/>
                <w:color w:val="auto"/>
                <w:w w:val="96"/>
              </w:rPr>
              <w:t>July 31,</w:t>
            </w:r>
          </w:p>
        </w:tc>
        <w:tc>
          <w:tcPr>
            <w:tcW w:w="4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3"/>
              </w:rPr>
              <w:t>2019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3"/>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130,126</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w w:val="90"/>
              </w:rPr>
              <w:t>193,731</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w w:val="93"/>
              </w:rPr>
              <w:t>327,758</w:t>
            </w: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87"/>
              </w:rPr>
              <w:t>377,800</w:t>
            </w:r>
          </w:p>
        </w:tc>
        <w:tc>
          <w:tcPr>
            <w:tcW w:w="0" w:type="dxa"/>
            <w:vAlign w:val="bottom"/>
          </w:tcPr>
          <w:p>
            <w:pPr>
              <w:spacing w:after="0"/>
              <w:rPr>
                <w:sz w:val="1"/>
                <w:szCs w:val="1"/>
                <w:color w:val="auto"/>
              </w:rPr>
            </w:pPr>
          </w:p>
        </w:tc>
      </w:tr>
      <w:tr>
        <w:trPr>
          <w:trHeight w:val="243"/>
        </w:trPr>
        <w:tc>
          <w:tcPr>
            <w:tcW w:w="4420" w:type="dxa"/>
            <w:vAlign w:val="bottom"/>
          </w:tcPr>
          <w:p>
            <w:pPr>
              <w:spacing w:after="0" w:line="243" w:lineRule="exact"/>
              <w:rPr>
                <w:sz w:val="20"/>
                <w:szCs w:val="20"/>
                <w:color w:val="auto"/>
              </w:rPr>
            </w:pPr>
            <w:r>
              <w:rPr>
                <w:rFonts w:ascii="Arial" w:cs="Arial" w:eastAsia="Arial" w:hAnsi="Arial"/>
                <w:sz w:val="22"/>
                <w:szCs w:val="22"/>
                <w:color w:val="auto"/>
              </w:rPr>
              <w:t>Gross profit (loss)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3"/>
          </w:tcPr>
          <w:p>
            <w:pPr>
              <w:jc w:val="right"/>
              <w:ind w:right="112"/>
              <w:spacing w:after="0" w:line="243" w:lineRule="exact"/>
              <w:rPr>
                <w:sz w:val="20"/>
                <w:szCs w:val="20"/>
                <w:color w:val="auto"/>
              </w:rPr>
            </w:pPr>
            <w:r>
              <w:rPr>
                <w:rFonts w:ascii="Arial" w:cs="Arial" w:eastAsia="Arial" w:hAnsi="Arial"/>
                <w:sz w:val="22"/>
                <w:szCs w:val="22"/>
                <w:color w:val="auto"/>
              </w:rPr>
              <w:t>3,565</w:t>
            </w: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3"/>
          </w:tcPr>
          <w:p>
            <w:pPr>
              <w:jc w:val="right"/>
              <w:ind w:right="200"/>
              <w:spacing w:after="0" w:line="243" w:lineRule="exact"/>
              <w:rPr>
                <w:sz w:val="20"/>
                <w:szCs w:val="20"/>
                <w:color w:val="auto"/>
              </w:rPr>
            </w:pPr>
            <w:r>
              <w:rPr>
                <w:rFonts w:ascii="Arial" w:cs="Arial" w:eastAsia="Arial" w:hAnsi="Arial"/>
                <w:sz w:val="22"/>
                <w:szCs w:val="22"/>
                <w:color w:val="auto"/>
              </w:rPr>
              <w:t>7,026</w:t>
            </w: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tcPr>
          <w:p>
            <w:pPr>
              <w:jc w:val="right"/>
              <w:ind w:right="52"/>
              <w:spacing w:after="0" w:line="243" w:lineRule="exact"/>
              <w:rPr>
                <w:sz w:val="20"/>
                <w:szCs w:val="20"/>
                <w:color w:val="auto"/>
              </w:rPr>
            </w:pPr>
            <w:r>
              <w:rPr>
                <w:rFonts w:ascii="Arial" w:cs="Arial" w:eastAsia="Arial" w:hAnsi="Arial"/>
                <w:sz w:val="22"/>
                <w:szCs w:val="22"/>
                <w:color w:val="auto"/>
              </w:rPr>
              <w:t>(2,378)</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8,595</w:t>
            </w:r>
          </w:p>
        </w:tc>
        <w:tc>
          <w:tcPr>
            <w:tcW w:w="0" w:type="dxa"/>
            <w:vAlign w:val="bottom"/>
          </w:tcPr>
          <w:p>
            <w:pPr>
              <w:spacing w:after="0"/>
              <w:rPr>
                <w:sz w:val="1"/>
                <w:szCs w:val="1"/>
                <w:color w:val="auto"/>
              </w:rPr>
            </w:pPr>
          </w:p>
        </w:tc>
      </w:tr>
      <w:tr>
        <w:trPr>
          <w:trHeight w:val="243"/>
        </w:trPr>
        <w:tc>
          <w:tcPr>
            <w:tcW w:w="4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(Loss) income from continuing operations</w:t>
            </w: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3"/>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(4,914)</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2,320</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(9,540)</w:t>
            </w: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3,546</w:t>
            </w:r>
          </w:p>
        </w:tc>
        <w:tc>
          <w:tcPr>
            <w:tcW w:w="0" w:type="dxa"/>
            <w:vAlign w:val="bottom"/>
          </w:tcPr>
          <w:p>
            <w:pPr>
              <w:spacing w:after="0"/>
              <w:rPr>
                <w:sz w:val="1"/>
                <w:szCs w:val="1"/>
                <w:color w:val="auto"/>
              </w:rPr>
            </w:pPr>
          </w:p>
        </w:tc>
      </w:tr>
      <w:tr>
        <w:trPr>
          <w:trHeight w:val="274"/>
        </w:trPr>
        <w:tc>
          <w:tcPr>
            <w:tcW w:w="4420" w:type="dxa"/>
            <w:vAlign w:val="bottom"/>
          </w:tcPr>
          <w:p>
            <w:pPr>
              <w:spacing w:after="0"/>
              <w:rPr>
                <w:sz w:val="20"/>
                <w:szCs w:val="20"/>
                <w:color w:val="auto"/>
              </w:rPr>
            </w:pPr>
            <w:r>
              <w:rPr>
                <w:rFonts w:ascii="Arial" w:cs="Arial" w:eastAsia="Arial" w:hAnsi="Arial"/>
                <w:sz w:val="22"/>
                <w:szCs w:val="22"/>
                <w:color w:val="auto"/>
              </w:rPr>
              <w:t>Net (loss) income</w:t>
            </w:r>
          </w:p>
        </w:tc>
        <w:tc>
          <w:tcPr>
            <w:tcW w:w="88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gridSpan w:val="3"/>
          </w:tcPr>
          <w:p>
            <w:pPr>
              <w:jc w:val="right"/>
              <w:ind w:right="52"/>
              <w:spacing w:after="0"/>
              <w:rPr>
                <w:sz w:val="20"/>
                <w:szCs w:val="20"/>
                <w:color w:val="auto"/>
              </w:rPr>
            </w:pPr>
            <w:r>
              <w:rPr>
                <w:rFonts w:ascii="Arial" w:cs="Arial" w:eastAsia="Arial" w:hAnsi="Arial"/>
                <w:sz w:val="22"/>
                <w:szCs w:val="22"/>
                <w:color w:val="auto"/>
              </w:rPr>
              <w:t>(4,914)</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940" w:type="dxa"/>
            <w:vAlign w:val="bottom"/>
            <w:gridSpan w:val="3"/>
          </w:tcPr>
          <w:p>
            <w:pPr>
              <w:jc w:val="right"/>
              <w:ind w:right="200"/>
              <w:spacing w:after="0"/>
              <w:rPr>
                <w:sz w:val="20"/>
                <w:szCs w:val="20"/>
                <w:color w:val="auto"/>
              </w:rPr>
            </w:pPr>
            <w:r>
              <w:rPr>
                <w:rFonts w:ascii="Arial" w:cs="Arial" w:eastAsia="Arial" w:hAnsi="Arial"/>
                <w:sz w:val="22"/>
                <w:szCs w:val="22"/>
                <w:color w:val="auto"/>
              </w:rPr>
              <w:t>2,320</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gridSpan w:val="3"/>
          </w:tcPr>
          <w:p>
            <w:pPr>
              <w:jc w:val="right"/>
              <w:ind w:right="52"/>
              <w:spacing w:after="0"/>
              <w:rPr>
                <w:sz w:val="20"/>
                <w:szCs w:val="20"/>
                <w:color w:val="auto"/>
              </w:rPr>
            </w:pPr>
            <w:r>
              <w:rPr>
                <w:rFonts w:ascii="Arial" w:cs="Arial" w:eastAsia="Arial" w:hAnsi="Arial"/>
                <w:sz w:val="22"/>
                <w:szCs w:val="22"/>
                <w:color w:val="auto"/>
              </w:rPr>
              <w:t>(9,540)</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22"/>
                <w:szCs w:val="22"/>
                <w:color w:val="auto"/>
              </w:rPr>
              <w:t>3,546</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July 31, 2020, the Company owned certificates of deposit that had an amortized cost, or carrying value, of approximately $32,656,000. The contractual maturity of these investments was less than one year. The yield to maturity rate was approximately 0.3%. Unrealized gains or losses were insignificant.</w:t>
      </w:r>
    </w:p>
    <w:p>
      <w:pPr>
        <w:spacing w:after="0" w:line="21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January 31, 2020, the Company owned certificates of deposit that had an amortized cost, or carrying value, of approximately $26,073,000. The contractual maturity of these investments was less than one year. The yield to maturity rate was approximately 1.8%. Unrealized gains or losses were insignificant.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with no</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9"/>
          <w:szCs w:val="19"/>
          <w:color w:val="auto"/>
        </w:rPr>
        <w:t>adjustments for estimated forfeitures. The Company records noncash compensation expense related to liability and equity awards in its consolidated financial statements over the requisite service period on a straight-line basis. At July 31, 2020, 473,830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 on the</w:t>
      </w:r>
    </w:p>
    <w:p>
      <w:pPr>
        <w:jc w:val="both"/>
        <w:spacing w:after="0" w:line="224" w:lineRule="auto"/>
        <w:rPr>
          <w:sz w:val="20"/>
          <w:szCs w:val="20"/>
          <w:color w:val="auto"/>
        </w:rPr>
      </w:pPr>
      <w:r>
        <w:rPr>
          <w:rFonts w:ascii="Arial" w:cs="Arial" w:eastAsia="Arial" w:hAnsi="Arial"/>
          <w:sz w:val="22"/>
          <w:szCs w:val="22"/>
          <w:color w:val="auto"/>
        </w:rPr>
        <w:t>grant date. The 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2"/>
          <w:szCs w:val="22"/>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is not a business day, for all grants of restricted stock.</w:t>
      </w:r>
    </w:p>
    <w:p>
      <w:pPr>
        <w:spacing w:after="0" w:line="6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July 31, 2020 and January 31, 2020, unrecognized compensation cost related to nonvested restricted stock was approximately $314,000 and $220,000, respectively. The following tables summarize non-vested restricted stock award activity for the periods presented:</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gridSpan w:val="10"/>
          </w:tcPr>
          <w:p>
            <w:pPr>
              <w:jc w:val="right"/>
              <w:ind w:right="1500"/>
              <w:spacing w:after="0"/>
              <w:rPr>
                <w:sz w:val="20"/>
                <w:szCs w:val="20"/>
                <w:color w:val="auto"/>
              </w:rPr>
            </w:pPr>
            <w:r>
              <w:rPr>
                <w:rFonts w:ascii="Arial" w:cs="Arial" w:eastAsia="Arial" w:hAnsi="Arial"/>
                <w:sz w:val="22"/>
                <w:szCs w:val="22"/>
                <w:b w:val="1"/>
                <w:bCs w:val="1"/>
                <w:color w:val="auto"/>
                <w:w w:val="95"/>
              </w:rPr>
              <w:t>Six Months Ended July 31, 2020</w:t>
            </w:r>
          </w:p>
        </w:tc>
      </w:tr>
      <w:tr>
        <w:trPr>
          <w:trHeight w:val="449"/>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gridSpan w:val="4"/>
          </w:tcPr>
          <w:p>
            <w:pPr>
              <w:jc w:val="center"/>
              <w:ind w:right="460"/>
              <w:spacing w:after="0"/>
              <w:rPr>
                <w:sz w:val="20"/>
                <w:szCs w:val="20"/>
                <w:color w:val="auto"/>
              </w:rPr>
            </w:pPr>
            <w:r>
              <w:rPr>
                <w:rFonts w:ascii="Arial" w:cs="Arial" w:eastAsia="Arial" w:hAnsi="Arial"/>
                <w:sz w:val="22"/>
                <w:szCs w:val="22"/>
                <w:b w:val="1"/>
                <w:bCs w:val="1"/>
                <w:color w:val="auto"/>
                <w:w w:val="88"/>
              </w:rPr>
              <w:t>Weighted</w:t>
            </w:r>
          </w:p>
        </w:tc>
        <w:tc>
          <w:tcPr>
            <w:tcW w:w="2220" w:type="dxa"/>
            <w:vAlign w:val="bottom"/>
            <w:gridSpan w:val="3"/>
          </w:tcPr>
          <w:p>
            <w:pPr>
              <w:jc w:val="center"/>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4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gridSpan w:val="5"/>
          </w:tcPr>
          <w:p>
            <w:pPr>
              <w:jc w:val="center"/>
              <w:ind w:left="112"/>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220" w:type="dxa"/>
            <w:vAlign w:val="bottom"/>
            <w:gridSpan w:val="3"/>
          </w:tcPr>
          <w:p>
            <w:pPr>
              <w:jc w:val="center"/>
              <w:ind w:left="12"/>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43"/>
        </w:trPr>
        <w:tc>
          <w:tcPr>
            <w:tcW w:w="4540" w:type="dxa"/>
            <w:vAlign w:val="bottom"/>
          </w:tcPr>
          <w:p>
            <w:pPr>
              <w:spacing w:after="0"/>
              <w:rPr>
                <w:sz w:val="21"/>
                <w:szCs w:val="21"/>
                <w:color w:val="auto"/>
              </w:rPr>
            </w:pPr>
          </w:p>
        </w:tc>
        <w:tc>
          <w:tcPr>
            <w:tcW w:w="1140" w:type="dxa"/>
            <w:vAlign w:val="bottom"/>
            <w:gridSpan w:val="4"/>
          </w:tcPr>
          <w:p>
            <w:pPr>
              <w:jc w:val="center"/>
              <w:spacing w:after="0" w:line="243" w:lineRule="exact"/>
              <w:rPr>
                <w:sz w:val="20"/>
                <w:szCs w:val="20"/>
                <w:color w:val="auto"/>
              </w:rPr>
            </w:pPr>
            <w:r>
              <w:rPr>
                <w:rFonts w:ascii="Arial" w:cs="Arial" w:eastAsia="Arial" w:hAnsi="Arial"/>
                <w:sz w:val="22"/>
                <w:szCs w:val="22"/>
                <w:b w:val="1"/>
                <w:bCs w:val="1"/>
                <w:color w:val="auto"/>
                <w:w w:val="86"/>
              </w:rPr>
              <w:t>Non-Vested</w:t>
            </w:r>
          </w:p>
        </w:tc>
        <w:tc>
          <w:tcPr>
            <w:tcW w:w="2200" w:type="dxa"/>
            <w:vAlign w:val="bottom"/>
            <w:gridSpan w:val="5"/>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Date Fair Value</w:t>
            </w:r>
          </w:p>
        </w:tc>
        <w:tc>
          <w:tcPr>
            <w:tcW w:w="2220" w:type="dxa"/>
            <w:vAlign w:val="bottom"/>
            <w:gridSpan w:val="3"/>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Vesting Term</w:t>
            </w:r>
          </w:p>
        </w:tc>
      </w:tr>
      <w:tr>
        <w:trPr>
          <w:trHeight w:val="230"/>
        </w:trPr>
        <w:tc>
          <w:tcPr>
            <w:tcW w:w="4540" w:type="dxa"/>
            <w:vAlign w:val="bottom"/>
          </w:tcPr>
          <w:p>
            <w:pPr>
              <w:spacing w:after="0"/>
              <w:rPr>
                <w:sz w:val="19"/>
                <w:szCs w:val="19"/>
                <w:color w:val="auto"/>
              </w:rPr>
            </w:pPr>
          </w:p>
        </w:tc>
        <w:tc>
          <w:tcPr>
            <w:tcW w:w="1140" w:type="dxa"/>
            <w:vAlign w:val="bottom"/>
            <w:gridSpan w:val="4"/>
          </w:tcPr>
          <w:p>
            <w:pPr>
              <w:jc w:val="center"/>
              <w:spacing w:after="0" w:line="230" w:lineRule="exact"/>
              <w:rPr>
                <w:sz w:val="20"/>
                <w:szCs w:val="20"/>
                <w:color w:val="auto"/>
              </w:rPr>
            </w:pPr>
            <w:r>
              <w:rPr>
                <w:rFonts w:ascii="Arial" w:cs="Arial" w:eastAsia="Arial" w:hAnsi="Arial"/>
                <w:sz w:val="22"/>
                <w:szCs w:val="22"/>
                <w:b w:val="1"/>
                <w:bCs w:val="1"/>
                <w:color w:val="auto"/>
                <w:w w:val="84"/>
              </w:rPr>
              <w:t>Shares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center"/>
              <w:ind w:right="680"/>
              <w:spacing w:after="0" w:line="230" w:lineRule="exact"/>
              <w:rPr>
                <w:sz w:val="20"/>
                <w:szCs w:val="20"/>
                <w:color w:val="auto"/>
              </w:rPr>
            </w:pPr>
            <w:r>
              <w:rPr>
                <w:rFonts w:ascii="Arial" w:cs="Arial" w:eastAsia="Arial" w:hAnsi="Arial"/>
                <w:sz w:val="22"/>
                <w:szCs w:val="22"/>
                <w:b w:val="1"/>
                <w:bCs w:val="1"/>
                <w:color w:val="auto"/>
                <w:w w:val="88"/>
              </w:rPr>
              <w:t>(000’s)</w:t>
            </w:r>
          </w:p>
        </w:tc>
        <w:tc>
          <w:tcPr>
            <w:tcW w:w="740" w:type="dxa"/>
            <w:vAlign w:val="bottom"/>
          </w:tcPr>
          <w:p>
            <w:pPr>
              <w:spacing w:after="0"/>
              <w:rPr>
                <w:sz w:val="19"/>
                <w:szCs w:val="19"/>
                <w:color w:val="auto"/>
              </w:rPr>
            </w:pPr>
          </w:p>
        </w:tc>
        <w:tc>
          <w:tcPr>
            <w:tcW w:w="1480" w:type="dxa"/>
            <w:vAlign w:val="bottom"/>
            <w:gridSpan w:val="2"/>
          </w:tcPr>
          <w:p>
            <w:pPr>
              <w:jc w:val="center"/>
              <w:ind w:right="620"/>
              <w:spacing w:after="0" w:line="230" w:lineRule="exact"/>
              <w:rPr>
                <w:sz w:val="20"/>
                <w:szCs w:val="20"/>
                <w:color w:val="auto"/>
              </w:rPr>
            </w:pPr>
            <w:r>
              <w:rPr>
                <w:rFonts w:ascii="Arial" w:cs="Arial" w:eastAsia="Arial" w:hAnsi="Arial"/>
                <w:sz w:val="22"/>
                <w:szCs w:val="22"/>
                <w:b w:val="1"/>
                <w:bCs w:val="1"/>
                <w:color w:val="auto"/>
                <w:w w:val="87"/>
              </w:rPr>
              <w:t>(in years)</w:t>
            </w:r>
          </w:p>
        </w:tc>
      </w:tr>
      <w:tr>
        <w:trPr>
          <w:trHeight w:val="263"/>
        </w:trPr>
        <w:tc>
          <w:tcPr>
            <w:tcW w:w="4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20" w:type="dxa"/>
            <w:vAlign w:val="bottom"/>
          </w:tcPr>
          <w:p>
            <w:pPr>
              <w:spacing w:after="0"/>
              <w:rPr>
                <w:sz w:val="22"/>
                <w:szCs w:val="22"/>
                <w:color w:val="auto"/>
              </w:rPr>
            </w:pPr>
          </w:p>
        </w:tc>
      </w:tr>
      <w:tr>
        <w:trPr>
          <w:trHeight w:val="243"/>
        </w:trPr>
        <w:tc>
          <w:tcPr>
            <w:tcW w:w="45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2020</w:t>
            </w:r>
          </w:p>
        </w:tc>
        <w:tc>
          <w:tcPr>
            <w:tcW w:w="11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28,576</w:t>
            </w:r>
          </w:p>
        </w:tc>
        <w:tc>
          <w:tcPr>
            <w:tcW w:w="9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2,193</w:t>
            </w:r>
          </w:p>
        </w:tc>
        <w:tc>
          <w:tcPr>
            <w:tcW w:w="480" w:type="dxa"/>
            <w:vAlign w:val="bottom"/>
            <w:shd w:val="clear" w:color="auto" w:fill="E5FFFF"/>
          </w:tcPr>
          <w:p>
            <w:pPr>
              <w:spacing w:after="0"/>
              <w:rPr>
                <w:sz w:val="21"/>
                <w:szCs w:val="21"/>
                <w:color w:val="auto"/>
              </w:rPr>
            </w:pPr>
          </w:p>
        </w:tc>
        <w:tc>
          <w:tcPr>
            <w:tcW w:w="2220" w:type="dxa"/>
            <w:vAlign w:val="bottom"/>
            <w:gridSpan w:val="3"/>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2</w:t>
            </w:r>
          </w:p>
        </w:tc>
      </w:tr>
      <w:tr>
        <w:trPr>
          <w:trHeight w:val="243"/>
        </w:trPr>
        <w:tc>
          <w:tcPr>
            <w:tcW w:w="454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1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6,158</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416</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5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1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r>
      <w:tr>
        <w:trPr>
          <w:trHeight w:val="257"/>
        </w:trPr>
        <w:tc>
          <w:tcPr>
            <w:tcW w:w="4540" w:type="dxa"/>
            <w:vAlign w:val="bottom"/>
          </w:tcPr>
          <w:p>
            <w:pPr>
              <w:spacing w:after="0"/>
              <w:rPr>
                <w:sz w:val="20"/>
                <w:szCs w:val="20"/>
                <w:color w:val="auto"/>
              </w:rPr>
            </w:pPr>
            <w:r>
              <w:rPr>
                <w:rFonts w:ascii="Arial" w:cs="Arial" w:eastAsia="Arial" w:hAnsi="Arial"/>
                <w:sz w:val="22"/>
                <w:szCs w:val="22"/>
                <w:color w:val="auto"/>
              </w:rPr>
              <w:t>Vested</w:t>
            </w:r>
          </w:p>
        </w:tc>
        <w:tc>
          <w:tcPr>
            <w:tcW w:w="1140" w:type="dxa"/>
            <w:vAlign w:val="bottom"/>
            <w:gridSpan w:val="4"/>
          </w:tcPr>
          <w:p>
            <w:pPr>
              <w:jc w:val="right"/>
              <w:ind w:right="20"/>
              <w:spacing w:after="0"/>
              <w:rPr>
                <w:sz w:val="20"/>
                <w:szCs w:val="20"/>
                <w:color w:val="auto"/>
              </w:rPr>
            </w:pPr>
            <w:r>
              <w:rPr>
                <w:rFonts w:ascii="Arial" w:cs="Arial" w:eastAsia="Arial" w:hAnsi="Arial"/>
                <w:sz w:val="22"/>
                <w:szCs w:val="22"/>
                <w:color w:val="auto"/>
              </w:rPr>
              <w:t>15,029</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1,211</w:t>
            </w: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7"/>
        </w:trPr>
        <w:tc>
          <w:tcPr>
            <w:tcW w:w="4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4540" w:type="dxa"/>
            <w:vAlign w:val="bottom"/>
            <w:shd w:val="clear" w:color="auto" w:fill="E5FFFF"/>
          </w:tcPr>
          <w:p>
            <w:pPr>
              <w:spacing w:after="0"/>
              <w:rPr>
                <w:sz w:val="20"/>
                <w:szCs w:val="20"/>
                <w:color w:val="auto"/>
              </w:rPr>
            </w:pPr>
            <w:r>
              <w:rPr>
                <w:rFonts w:ascii="Arial" w:cs="Arial" w:eastAsia="Arial" w:hAnsi="Arial"/>
                <w:sz w:val="22"/>
                <w:szCs w:val="22"/>
                <w:color w:val="auto"/>
              </w:rPr>
              <w:t>Non-Vested at July 31, 2020</w:t>
            </w:r>
          </w:p>
        </w:tc>
        <w:tc>
          <w:tcPr>
            <w:tcW w:w="1140" w:type="dxa"/>
            <w:vAlign w:val="bottom"/>
            <w:gridSpan w:val="4"/>
            <w:shd w:val="clear" w:color="auto" w:fill="E5FFFF"/>
          </w:tcPr>
          <w:p>
            <w:pPr>
              <w:jc w:val="right"/>
              <w:ind w:right="20"/>
              <w:spacing w:after="0"/>
              <w:rPr>
                <w:sz w:val="20"/>
                <w:szCs w:val="20"/>
                <w:color w:val="auto"/>
              </w:rPr>
            </w:pPr>
            <w:r>
              <w:rPr>
                <w:rFonts w:ascii="Arial" w:cs="Arial" w:eastAsia="Arial" w:hAnsi="Arial"/>
                <w:sz w:val="22"/>
                <w:szCs w:val="22"/>
                <w:color w:val="auto"/>
              </w:rPr>
              <w:t>19,705</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1,398</w:t>
            </w:r>
          </w:p>
        </w:tc>
        <w:tc>
          <w:tcPr>
            <w:tcW w:w="480" w:type="dxa"/>
            <w:vAlign w:val="bottom"/>
            <w:shd w:val="clear" w:color="auto" w:fill="E5FFFF"/>
          </w:tcPr>
          <w:p>
            <w:pPr>
              <w:spacing w:after="0"/>
              <w:rPr>
                <w:sz w:val="23"/>
                <w:szCs w:val="23"/>
                <w:color w:val="auto"/>
              </w:rPr>
            </w:pPr>
          </w:p>
        </w:tc>
        <w:tc>
          <w:tcPr>
            <w:tcW w:w="2220" w:type="dxa"/>
            <w:vAlign w:val="bottom"/>
            <w:gridSpan w:val="3"/>
            <w:shd w:val="clear" w:color="auto" w:fill="E5FFFF"/>
          </w:tcPr>
          <w:p>
            <w:pPr>
              <w:jc w:val="right"/>
              <w:ind w:right="400"/>
              <w:spacing w:after="0"/>
              <w:rPr>
                <w:sz w:val="20"/>
                <w:szCs w:val="20"/>
                <w:color w:val="auto"/>
              </w:rPr>
            </w:pPr>
            <w:r>
              <w:rPr>
                <w:rFonts w:ascii="Arial" w:cs="Arial" w:eastAsia="Arial" w:hAnsi="Arial"/>
                <w:sz w:val="22"/>
                <w:szCs w:val="22"/>
                <w:color w:val="auto"/>
              </w:rPr>
              <w:t>2</w:t>
            </w:r>
          </w:p>
        </w:tc>
      </w:tr>
      <w:tr>
        <w:trPr>
          <w:trHeight w:val="20"/>
        </w:trPr>
        <w:tc>
          <w:tcPr>
            <w:tcW w:w="45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E5FFFF"/>
            </w:tcBorders>
            <w:gridSpan w:val="2"/>
          </w:tcPr>
          <w:p>
            <w:pPr>
              <w:spacing w:after="0" w:line="20" w:lineRule="exact"/>
              <w:rPr>
                <w:sz w:val="1"/>
                <w:szCs w:val="1"/>
                <w:color w:val="auto"/>
              </w:rPr>
            </w:pPr>
          </w:p>
        </w:tc>
        <w:tc>
          <w:tcPr>
            <w:tcW w:w="860" w:type="dxa"/>
            <w:vAlign w:val="bottom"/>
            <w:tcBorders>
              <w:top w:val="single" w:sz="8" w:color="E5FFFF"/>
            </w:tcBorders>
          </w:tcPr>
          <w:p>
            <w:pPr>
              <w:spacing w:after="0" w:line="20" w:lineRule="exact"/>
              <w:rPr>
                <w:sz w:val="1"/>
                <w:szCs w:val="1"/>
                <w:color w:val="auto"/>
              </w:rPr>
            </w:pPr>
          </w:p>
        </w:tc>
        <w:tc>
          <w:tcPr>
            <w:tcW w:w="620" w:type="dxa"/>
            <w:vAlign w:val="bottom"/>
            <w:tcBorders>
              <w:top w:val="single" w:sz="8" w:color="E5FFFF"/>
            </w:tcBorders>
          </w:tcPr>
          <w:p>
            <w:pPr>
              <w:spacing w:after="0" w:line="20" w:lineRule="exact"/>
              <w:rPr>
                <w:sz w:val="1"/>
                <w:szCs w:val="1"/>
                <w:color w:val="auto"/>
              </w:rPr>
            </w:pPr>
          </w:p>
        </w:tc>
      </w:tr>
      <w:tr>
        <w:trPr>
          <w:trHeight w:val="477"/>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8"/>
          </w:tcPr>
          <w:p>
            <w:pPr>
              <w:jc w:val="right"/>
              <w:ind w:right="1440"/>
              <w:spacing w:after="0"/>
              <w:rPr>
                <w:sz w:val="20"/>
                <w:szCs w:val="20"/>
                <w:color w:val="auto"/>
              </w:rPr>
            </w:pPr>
            <w:r>
              <w:rPr>
                <w:rFonts w:ascii="Arial" w:cs="Arial" w:eastAsia="Arial" w:hAnsi="Arial"/>
                <w:sz w:val="22"/>
                <w:szCs w:val="22"/>
                <w:b w:val="1"/>
                <w:bCs w:val="1"/>
                <w:color w:val="auto"/>
                <w:w w:val="88"/>
              </w:rPr>
              <w:t>Six Months Ended July 31, 2019</w:t>
            </w:r>
          </w:p>
        </w:tc>
      </w:tr>
      <w:tr>
        <w:trPr>
          <w:trHeight w:val="449"/>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gridSpan w:val="4"/>
          </w:tcPr>
          <w:p>
            <w:pPr>
              <w:jc w:val="center"/>
              <w:ind w:right="460"/>
              <w:spacing w:after="0"/>
              <w:rPr>
                <w:sz w:val="20"/>
                <w:szCs w:val="20"/>
                <w:color w:val="auto"/>
              </w:rPr>
            </w:pPr>
            <w:r>
              <w:rPr>
                <w:rFonts w:ascii="Arial" w:cs="Arial" w:eastAsia="Arial" w:hAnsi="Arial"/>
                <w:sz w:val="22"/>
                <w:szCs w:val="22"/>
                <w:b w:val="1"/>
                <w:bCs w:val="1"/>
                <w:color w:val="auto"/>
                <w:w w:val="88"/>
              </w:rPr>
              <w:t>Weighted</w:t>
            </w:r>
          </w:p>
        </w:tc>
        <w:tc>
          <w:tcPr>
            <w:tcW w:w="2220" w:type="dxa"/>
            <w:vAlign w:val="bottom"/>
            <w:gridSpan w:val="3"/>
          </w:tcPr>
          <w:p>
            <w:pPr>
              <w:jc w:val="center"/>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4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gridSpan w:val="5"/>
          </w:tcPr>
          <w:p>
            <w:pPr>
              <w:jc w:val="center"/>
              <w:ind w:left="112"/>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220" w:type="dxa"/>
            <w:vAlign w:val="bottom"/>
            <w:gridSpan w:val="3"/>
          </w:tcPr>
          <w:p>
            <w:pPr>
              <w:jc w:val="center"/>
              <w:ind w:left="12"/>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43"/>
        </w:trPr>
        <w:tc>
          <w:tcPr>
            <w:tcW w:w="4540" w:type="dxa"/>
            <w:vAlign w:val="bottom"/>
          </w:tcPr>
          <w:p>
            <w:pPr>
              <w:spacing w:after="0"/>
              <w:rPr>
                <w:sz w:val="21"/>
                <w:szCs w:val="21"/>
                <w:color w:val="auto"/>
              </w:rPr>
            </w:pPr>
          </w:p>
        </w:tc>
        <w:tc>
          <w:tcPr>
            <w:tcW w:w="1140" w:type="dxa"/>
            <w:vAlign w:val="bottom"/>
            <w:gridSpan w:val="4"/>
          </w:tcPr>
          <w:p>
            <w:pPr>
              <w:jc w:val="center"/>
              <w:spacing w:after="0" w:line="243" w:lineRule="exact"/>
              <w:rPr>
                <w:sz w:val="20"/>
                <w:szCs w:val="20"/>
                <w:color w:val="auto"/>
              </w:rPr>
            </w:pPr>
            <w:r>
              <w:rPr>
                <w:rFonts w:ascii="Arial" w:cs="Arial" w:eastAsia="Arial" w:hAnsi="Arial"/>
                <w:sz w:val="22"/>
                <w:szCs w:val="22"/>
                <w:b w:val="1"/>
                <w:bCs w:val="1"/>
                <w:color w:val="auto"/>
                <w:w w:val="86"/>
              </w:rPr>
              <w:t>Non-Vested</w:t>
            </w:r>
          </w:p>
        </w:tc>
        <w:tc>
          <w:tcPr>
            <w:tcW w:w="2200" w:type="dxa"/>
            <w:vAlign w:val="bottom"/>
            <w:gridSpan w:val="5"/>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Date Fair Value</w:t>
            </w:r>
          </w:p>
        </w:tc>
        <w:tc>
          <w:tcPr>
            <w:tcW w:w="2220" w:type="dxa"/>
            <w:vAlign w:val="bottom"/>
            <w:gridSpan w:val="3"/>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Vesting Term</w:t>
            </w:r>
          </w:p>
        </w:tc>
      </w:tr>
      <w:tr>
        <w:trPr>
          <w:trHeight w:val="230"/>
        </w:trPr>
        <w:tc>
          <w:tcPr>
            <w:tcW w:w="4540" w:type="dxa"/>
            <w:vAlign w:val="bottom"/>
          </w:tcPr>
          <w:p>
            <w:pPr>
              <w:spacing w:after="0"/>
              <w:rPr>
                <w:sz w:val="19"/>
                <w:szCs w:val="19"/>
                <w:color w:val="auto"/>
              </w:rPr>
            </w:pPr>
          </w:p>
        </w:tc>
        <w:tc>
          <w:tcPr>
            <w:tcW w:w="1140" w:type="dxa"/>
            <w:vAlign w:val="bottom"/>
            <w:gridSpan w:val="4"/>
          </w:tcPr>
          <w:p>
            <w:pPr>
              <w:jc w:val="center"/>
              <w:spacing w:after="0" w:line="230" w:lineRule="exact"/>
              <w:rPr>
                <w:sz w:val="20"/>
                <w:szCs w:val="20"/>
                <w:color w:val="auto"/>
              </w:rPr>
            </w:pPr>
            <w:r>
              <w:rPr>
                <w:rFonts w:ascii="Arial" w:cs="Arial" w:eastAsia="Arial" w:hAnsi="Arial"/>
                <w:sz w:val="22"/>
                <w:szCs w:val="22"/>
                <w:b w:val="1"/>
                <w:bCs w:val="1"/>
                <w:color w:val="auto"/>
                <w:w w:val="84"/>
              </w:rPr>
              <w:t>Shares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center"/>
              <w:ind w:right="680"/>
              <w:spacing w:after="0" w:line="230" w:lineRule="exact"/>
              <w:rPr>
                <w:sz w:val="20"/>
                <w:szCs w:val="20"/>
                <w:color w:val="auto"/>
              </w:rPr>
            </w:pPr>
            <w:r>
              <w:rPr>
                <w:rFonts w:ascii="Arial" w:cs="Arial" w:eastAsia="Arial" w:hAnsi="Arial"/>
                <w:sz w:val="22"/>
                <w:szCs w:val="22"/>
                <w:b w:val="1"/>
                <w:bCs w:val="1"/>
                <w:color w:val="auto"/>
                <w:w w:val="88"/>
              </w:rPr>
              <w:t>(000’s)</w:t>
            </w:r>
          </w:p>
        </w:tc>
        <w:tc>
          <w:tcPr>
            <w:tcW w:w="740" w:type="dxa"/>
            <w:vAlign w:val="bottom"/>
          </w:tcPr>
          <w:p>
            <w:pPr>
              <w:spacing w:after="0"/>
              <w:rPr>
                <w:sz w:val="19"/>
                <w:szCs w:val="19"/>
                <w:color w:val="auto"/>
              </w:rPr>
            </w:pPr>
          </w:p>
        </w:tc>
        <w:tc>
          <w:tcPr>
            <w:tcW w:w="1480" w:type="dxa"/>
            <w:vAlign w:val="bottom"/>
            <w:gridSpan w:val="2"/>
          </w:tcPr>
          <w:p>
            <w:pPr>
              <w:jc w:val="center"/>
              <w:ind w:right="620"/>
              <w:spacing w:after="0" w:line="230" w:lineRule="exact"/>
              <w:rPr>
                <w:sz w:val="20"/>
                <w:szCs w:val="20"/>
                <w:color w:val="auto"/>
              </w:rPr>
            </w:pPr>
            <w:r>
              <w:rPr>
                <w:rFonts w:ascii="Arial" w:cs="Arial" w:eastAsia="Arial" w:hAnsi="Arial"/>
                <w:sz w:val="22"/>
                <w:szCs w:val="22"/>
                <w:b w:val="1"/>
                <w:bCs w:val="1"/>
                <w:color w:val="auto"/>
                <w:w w:val="87"/>
              </w:rPr>
              <w:t>(in years)</w:t>
            </w:r>
          </w:p>
        </w:tc>
      </w:tr>
      <w:tr>
        <w:trPr>
          <w:trHeight w:val="264"/>
        </w:trPr>
        <w:tc>
          <w:tcPr>
            <w:tcW w:w="4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20" w:type="dxa"/>
            <w:vAlign w:val="bottom"/>
          </w:tcPr>
          <w:p>
            <w:pPr>
              <w:spacing w:after="0"/>
              <w:rPr>
                <w:sz w:val="22"/>
                <w:szCs w:val="22"/>
                <w:color w:val="auto"/>
              </w:rPr>
            </w:pPr>
          </w:p>
        </w:tc>
      </w:tr>
      <w:tr>
        <w:trPr>
          <w:trHeight w:val="243"/>
        </w:trPr>
        <w:tc>
          <w:tcPr>
            <w:tcW w:w="45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2019</w:t>
            </w:r>
          </w:p>
        </w:tc>
        <w:tc>
          <w:tcPr>
            <w:tcW w:w="11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38,036</w:t>
            </w:r>
          </w:p>
        </w:tc>
        <w:tc>
          <w:tcPr>
            <w:tcW w:w="9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2,935</w:t>
            </w:r>
          </w:p>
        </w:tc>
        <w:tc>
          <w:tcPr>
            <w:tcW w:w="480" w:type="dxa"/>
            <w:vAlign w:val="bottom"/>
            <w:shd w:val="clear" w:color="auto" w:fill="E5FFFF"/>
          </w:tcPr>
          <w:p>
            <w:pPr>
              <w:spacing w:after="0"/>
              <w:rPr>
                <w:sz w:val="21"/>
                <w:szCs w:val="21"/>
                <w:color w:val="auto"/>
              </w:rPr>
            </w:pPr>
          </w:p>
        </w:tc>
        <w:tc>
          <w:tcPr>
            <w:tcW w:w="2220" w:type="dxa"/>
            <w:vAlign w:val="bottom"/>
            <w:gridSpan w:val="3"/>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2</w:t>
            </w:r>
          </w:p>
        </w:tc>
      </w:tr>
      <w:tr>
        <w:trPr>
          <w:trHeight w:val="243"/>
        </w:trPr>
        <w:tc>
          <w:tcPr>
            <w:tcW w:w="454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1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9,442</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662</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5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1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r>
      <w:tr>
        <w:trPr>
          <w:trHeight w:val="257"/>
        </w:trPr>
        <w:tc>
          <w:tcPr>
            <w:tcW w:w="4540" w:type="dxa"/>
            <w:vAlign w:val="bottom"/>
          </w:tcPr>
          <w:p>
            <w:pPr>
              <w:spacing w:after="0"/>
              <w:rPr>
                <w:sz w:val="20"/>
                <w:szCs w:val="20"/>
                <w:color w:val="auto"/>
              </w:rPr>
            </w:pPr>
            <w:r>
              <w:rPr>
                <w:rFonts w:ascii="Arial" w:cs="Arial" w:eastAsia="Arial" w:hAnsi="Arial"/>
                <w:sz w:val="22"/>
                <w:szCs w:val="22"/>
                <w:color w:val="auto"/>
              </w:rPr>
              <w:t>Vested</w:t>
            </w:r>
          </w:p>
        </w:tc>
        <w:tc>
          <w:tcPr>
            <w:tcW w:w="1140" w:type="dxa"/>
            <w:vAlign w:val="bottom"/>
            <w:gridSpan w:val="4"/>
          </w:tcPr>
          <w:p>
            <w:pPr>
              <w:jc w:val="right"/>
              <w:ind w:right="20"/>
              <w:spacing w:after="0"/>
              <w:rPr>
                <w:sz w:val="20"/>
                <w:szCs w:val="20"/>
                <w:color w:val="auto"/>
              </w:rPr>
            </w:pPr>
            <w:r>
              <w:rPr>
                <w:rFonts w:ascii="Arial" w:cs="Arial" w:eastAsia="Arial" w:hAnsi="Arial"/>
                <w:sz w:val="22"/>
                <w:szCs w:val="22"/>
                <w:color w:val="auto"/>
              </w:rPr>
              <w:t>18,902</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1,404</w:t>
            </w: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6"/>
        </w:trPr>
        <w:tc>
          <w:tcPr>
            <w:tcW w:w="4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4540" w:type="dxa"/>
            <w:vAlign w:val="bottom"/>
            <w:shd w:val="clear" w:color="auto" w:fill="E5FFFF"/>
          </w:tcPr>
          <w:p>
            <w:pPr>
              <w:spacing w:after="0"/>
              <w:rPr>
                <w:sz w:val="20"/>
                <w:szCs w:val="20"/>
                <w:color w:val="auto"/>
              </w:rPr>
            </w:pPr>
            <w:r>
              <w:rPr>
                <w:rFonts w:ascii="Arial" w:cs="Arial" w:eastAsia="Arial" w:hAnsi="Arial"/>
                <w:sz w:val="22"/>
                <w:szCs w:val="22"/>
                <w:color w:val="auto"/>
              </w:rPr>
              <w:t>Non-Vested at July 31, 2019</w:t>
            </w:r>
          </w:p>
        </w:tc>
        <w:tc>
          <w:tcPr>
            <w:tcW w:w="1140" w:type="dxa"/>
            <w:vAlign w:val="bottom"/>
            <w:gridSpan w:val="4"/>
            <w:shd w:val="clear" w:color="auto" w:fill="E5FFFF"/>
          </w:tcPr>
          <w:p>
            <w:pPr>
              <w:jc w:val="right"/>
              <w:ind w:right="20"/>
              <w:spacing w:after="0"/>
              <w:rPr>
                <w:sz w:val="20"/>
                <w:szCs w:val="20"/>
                <w:color w:val="auto"/>
              </w:rPr>
            </w:pPr>
            <w:r>
              <w:rPr>
                <w:rFonts w:ascii="Arial" w:cs="Arial" w:eastAsia="Arial" w:hAnsi="Arial"/>
                <w:sz w:val="22"/>
                <w:szCs w:val="22"/>
                <w:color w:val="auto"/>
              </w:rPr>
              <w:t>28,576</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2,193</w:t>
            </w:r>
          </w:p>
        </w:tc>
        <w:tc>
          <w:tcPr>
            <w:tcW w:w="480" w:type="dxa"/>
            <w:vAlign w:val="bottom"/>
            <w:shd w:val="clear" w:color="auto" w:fill="E5FFFF"/>
          </w:tcPr>
          <w:p>
            <w:pPr>
              <w:spacing w:after="0"/>
              <w:rPr>
                <w:sz w:val="23"/>
                <w:szCs w:val="23"/>
                <w:color w:val="auto"/>
              </w:rPr>
            </w:pPr>
          </w:p>
        </w:tc>
        <w:tc>
          <w:tcPr>
            <w:tcW w:w="2220" w:type="dxa"/>
            <w:vAlign w:val="bottom"/>
            <w:gridSpan w:val="3"/>
            <w:shd w:val="clear" w:color="auto" w:fill="E5FFFF"/>
          </w:tcPr>
          <w:p>
            <w:pPr>
              <w:jc w:val="right"/>
              <w:ind w:right="400"/>
              <w:spacing w:after="0"/>
              <w:rPr>
                <w:sz w:val="20"/>
                <w:szCs w:val="20"/>
                <w:color w:val="auto"/>
              </w:rPr>
            </w:pPr>
            <w:r>
              <w:rPr>
                <w:rFonts w:ascii="Arial" w:cs="Arial" w:eastAsia="Arial" w:hAnsi="Arial"/>
                <w:sz w:val="22"/>
                <w:szCs w:val="22"/>
                <w:color w:val="auto"/>
              </w:rPr>
              <w:t>2</w:t>
            </w:r>
          </w:p>
        </w:tc>
      </w:tr>
      <w:tr>
        <w:trPr>
          <w:trHeight w:val="20"/>
        </w:trPr>
        <w:tc>
          <w:tcPr>
            <w:tcW w:w="45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E5FFFF"/>
            </w:tcBorders>
          </w:tcPr>
          <w:p>
            <w:pPr>
              <w:spacing w:after="0" w:line="20" w:lineRule="exact"/>
              <w:rPr>
                <w:sz w:val="1"/>
                <w:szCs w:val="1"/>
                <w:color w:val="auto"/>
              </w:rPr>
            </w:pPr>
          </w:p>
        </w:tc>
        <w:tc>
          <w:tcPr>
            <w:tcW w:w="620" w:type="dxa"/>
            <w:vAlign w:val="bottom"/>
            <w:tcBorders>
              <w:top w:val="single" w:sz="8" w:color="E5FFFF"/>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above tables include 14,777 and 24,219 non-vested shares at July 31, 2020 and 2019,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Note 11</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ind w:right="280" w:firstLine="648"/>
        <w:spacing w:after="0" w:line="257" w:lineRule="auto"/>
        <w:rPr>
          <w:sz w:val="20"/>
          <w:szCs w:val="20"/>
          <w:color w:val="auto"/>
        </w:rPr>
      </w:pPr>
      <w:r>
        <w:rPr>
          <w:rFonts w:ascii="Arial" w:cs="Arial" w:eastAsia="Arial" w:hAnsi="Arial"/>
          <w:sz w:val="21"/>
          <w:szCs w:val="21"/>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and six months ended July 31, 2020 and 2019.</w:t>
      </w:r>
    </w:p>
    <w:p>
      <w:pPr>
        <w:spacing w:after="0" w:line="196"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The Company’s income tax benefit was approximately 66.6% and approximately 358.7% for the three months ended July 31, 2020 and 2019, respectively. The Company’s income tax benefit was approximately 47.2% and approximately 687.1% for the six months ended July 31, 2020 and 2019, respectively. The fluctuation in the rate results primarily from the production tax credits the Company expects to receive associated with its refined coal segment relative to consolidated pre-tax income or loss. Through its refined coal operation, the Company earns production tax credits pursuant to IRC Section 45. The credits can be used to reduce future income tax liabilities for up to 20 years. The Company’s income tax benefit for the first six months of fiscal year 2020 includes approximately $1.8 million related to the lengthening of a net operating loss carryback allowed by the recently passed CARES Act.</w:t>
      </w:r>
    </w:p>
    <w:p>
      <w:pPr>
        <w:spacing w:after="0" w:line="207"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A reconciliation of the beginning and ending amount of unrecognized tax benefits, including interest and penalties, is as follows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80" w:type="dxa"/>
            <w:vAlign w:val="bottom"/>
            <w:gridSpan w:val="8"/>
          </w:tcPr>
          <w:p>
            <w:pPr>
              <w:ind w:left="4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80"/>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3"/>
              </w:rPr>
              <w:t>2020</w:t>
            </w:r>
          </w:p>
        </w:tc>
        <w:tc>
          <w:tcPr>
            <w:tcW w:w="940" w:type="dxa"/>
            <w:vAlign w:val="bottom"/>
            <w:gridSpan w:val="4"/>
          </w:tcPr>
          <w:p>
            <w:pPr>
              <w:jc w:val="right"/>
              <w:ind w:right="3"/>
              <w:spacing w:after="0"/>
              <w:rPr>
                <w:sz w:val="20"/>
                <w:szCs w:val="20"/>
                <w:color w:val="auto"/>
              </w:rPr>
            </w:pPr>
            <w:r>
              <w:rPr>
                <w:rFonts w:ascii="Arial" w:cs="Arial" w:eastAsia="Arial" w:hAnsi="Arial"/>
                <w:sz w:val="22"/>
                <w:szCs w:val="22"/>
                <w:b w:val="1"/>
                <w:bCs w:val="1"/>
                <w:color w:val="auto"/>
              </w:rPr>
              <w:t>July 31,</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22"/>
                <w:szCs w:val="22"/>
                <w:b w:val="1"/>
                <w:bCs w:val="1"/>
                <w:color w:val="auto"/>
                <w:w w:val="81"/>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80" w:type="dxa"/>
            <w:vAlign w:val="bottom"/>
            <w:gridSpan w:val="4"/>
            <w:shd w:val="clear" w:color="auto" w:fill="E5FFFF"/>
          </w:tcPr>
          <w:p>
            <w:pPr>
              <w:jc w:val="right"/>
              <w:ind w:right="460"/>
              <w:spacing w:after="0" w:line="243" w:lineRule="exact"/>
              <w:rPr>
                <w:sz w:val="20"/>
                <w:szCs w:val="20"/>
                <w:color w:val="auto"/>
              </w:rPr>
            </w:pPr>
            <w:r>
              <w:rPr>
                <w:rFonts w:ascii="Arial" w:cs="Arial" w:eastAsia="Arial" w:hAnsi="Arial"/>
                <w:sz w:val="22"/>
                <w:szCs w:val="22"/>
                <w:color w:val="auto"/>
              </w:rPr>
              <w:t>7,370</w:t>
            </w:r>
          </w:p>
        </w:tc>
        <w:tc>
          <w:tcPr>
            <w:tcW w:w="240" w:type="dxa"/>
            <w:vAlign w:val="bottom"/>
            <w:gridSpan w:val="2"/>
            <w:shd w:val="clear" w:color="auto" w:fill="E5FFFF"/>
          </w:tcPr>
          <w:p>
            <w:pPr>
              <w:jc w:val="right"/>
              <w:ind w:right="23"/>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9,232</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180" w:type="dxa"/>
            <w:vAlign w:val="bottom"/>
          </w:tcPr>
          <w:p>
            <w:pPr>
              <w:spacing w:after="0"/>
              <w:rPr>
                <w:sz w:val="21"/>
                <w:szCs w:val="21"/>
                <w:color w:val="auto"/>
              </w:rPr>
            </w:pPr>
          </w:p>
        </w:tc>
        <w:tc>
          <w:tcPr>
            <w:tcW w:w="1180" w:type="dxa"/>
            <w:vAlign w:val="bottom"/>
            <w:gridSpan w:val="4"/>
          </w:tcPr>
          <w:p>
            <w:pPr>
              <w:jc w:val="right"/>
              <w:ind w:right="400"/>
              <w:spacing w:after="0" w:line="243" w:lineRule="exact"/>
              <w:rPr>
                <w:sz w:val="20"/>
                <w:szCs w:val="20"/>
                <w:color w:val="auto"/>
              </w:rPr>
            </w:pPr>
            <w:r>
              <w:rPr>
                <w:rFonts w:ascii="Arial" w:cs="Arial" w:eastAsia="Arial" w:hAnsi="Arial"/>
                <w:sz w:val="22"/>
                <w:szCs w:val="22"/>
                <w:color w:val="auto"/>
              </w:rPr>
              <w:t>(53)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4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180" w:type="dxa"/>
            <w:vAlign w:val="bottom"/>
            <w:shd w:val="clear" w:color="auto" w:fill="E5FFFF"/>
          </w:tcPr>
          <w:p>
            <w:pPr>
              <w:spacing w:after="0"/>
              <w:rPr>
                <w:sz w:val="22"/>
                <w:szCs w:val="22"/>
                <w:color w:val="auto"/>
              </w:rPr>
            </w:pPr>
          </w:p>
        </w:tc>
        <w:tc>
          <w:tcPr>
            <w:tcW w:w="1180" w:type="dxa"/>
            <w:vAlign w:val="bottom"/>
            <w:gridSpan w:val="4"/>
            <w:shd w:val="clear" w:color="auto" w:fill="E5FFFF"/>
          </w:tcPr>
          <w:p>
            <w:pPr>
              <w:jc w:val="right"/>
              <w:ind w:right="460"/>
              <w:spacing w:after="0"/>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2"/>
                <w:szCs w:val="22"/>
                <w:color w:val="auto"/>
              </w:rPr>
              <w:t>Unrecognized tax benefits, end of period</w:t>
            </w: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7,317</w:t>
            </w:r>
          </w:p>
        </w:tc>
        <w:tc>
          <w:tcPr>
            <w:tcW w:w="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6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rPr>
              <w:t>9,334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Company is involved in various legal actions arising in the normal course of business. After taking into consideration legal counsels’ evaluations of such actions, management is of the opinion that their outcome will not have a material adverse effect on the Company’s Consolidated Condensed Financial Statements.</w:t>
      </w:r>
    </w:p>
    <w:p>
      <w:pPr>
        <w:spacing w:after="0" w:line="213" w:lineRule="exact"/>
        <w:rPr>
          <w:sz w:val="20"/>
          <w:szCs w:val="20"/>
          <w:color w:val="auto"/>
        </w:rPr>
      </w:pPr>
    </w:p>
    <w:p>
      <w:pPr>
        <w:ind w:right="460" w:firstLine="648"/>
        <w:spacing w:after="0" w:line="257" w:lineRule="auto"/>
        <w:rPr>
          <w:sz w:val="20"/>
          <w:szCs w:val="20"/>
          <w:color w:val="auto"/>
        </w:rPr>
      </w:pPr>
      <w:r>
        <w:rPr>
          <w:rFonts w:ascii="Arial" w:cs="Arial" w:eastAsia="Arial" w:hAnsi="Arial"/>
          <w:sz w:val="21"/>
          <w:szCs w:val="21"/>
          <w:color w:val="auto"/>
        </w:rPr>
        <w:t>As of July 31, 2020, One Earth and NuGen have combined forward purchase contracts for approximately 6.8 million bushels of corn, the principal raw material for their ethanol plants, and they have combined forward purchase contracts for approximately 1,647,000 MmBtu (million british thermal units) of natural gas.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0" w:name="page21"/>
    <w:bookmarkEnd w:id="20"/>
    <w:p>
      <w:pPr>
        <w:ind w:right="160" w:firstLine="648"/>
        <w:spacing w:after="0" w:line="328" w:lineRule="auto"/>
        <w:rPr>
          <w:sz w:val="20"/>
          <w:szCs w:val="20"/>
          <w:color w:val="auto"/>
        </w:rPr>
      </w:pPr>
      <w:r>
        <w:rPr>
          <w:rFonts w:ascii="Arial" w:cs="Arial" w:eastAsia="Arial" w:hAnsi="Arial"/>
          <w:sz w:val="19"/>
          <w:szCs w:val="19"/>
          <w:color w:val="auto"/>
        </w:rPr>
        <w:t>As of July 31, 2020, One Earth and NuGen have combined sales commitments for approximately 21.8 million gallons of ethanol, approximately 32,000 tons of distillers grains and approximately 5.2 million pounds of non-food grade corn oil.</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As of July 31, 2020, the refined coal entity has various agreements (site license, operating agreements, etc.) containing payment terms based upon production of refined coal under which the Company is required to pay various fees. These fees totaled approximately $1.1 million and approximately $1.2 million in the second quarter of fiscal years 2020 and 2019, respectively. Such fees totaled approximately $1.4 million and approximately $2.8 million for the six months ended July 31, 2020 and 2019,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During the second quarters of fiscal years 2020 and 2019, One Earth and NuGen purchased approximately $4.9 million and approximately $43.5 million, respectively, of corn (and other supplies) from minority equity investors and board members of those subsidiaries. Such purchases totaled approximately $17.2 million and approximately $90.2 million for the six months ended July 31, 2020 and 2019, respectively. The Company had amounts payable to related parties of approximately $0.6 million and approximately $0.7 million at July 31, 2020 and January 31, 2020, respectively.</w:t>
      </w:r>
    </w:p>
    <w:p>
      <w:pPr>
        <w:spacing w:after="0" w:line="2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During the second quarters of fiscal years 2020 and 2019, the Company recognized commission expense of approximately $0.2 million and income of approximately $0.3 million, respectively, payable to the minority investor in the refined coal entity. During the first six months of fiscal years 2020 and 2019, the company recognized commission income of approximately $0.1 million and income of approximately $0.3 million, respectively. The commission income or expense is associated with the refined coal acquisition. The Company had accrued liabilities related to the commission income or expense of approximately $0.2 million and approximately $0.5 million at July 31, 2020 and January 31,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Segment Reporting</w:t>
      </w:r>
    </w:p>
    <w:p>
      <w:pPr>
        <w:spacing w:after="0" w:line="239"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auto"/>
        </w:rPr>
        <w:t>The Company has two reportable segments: i) ethanol and by-products; and ii) refined coal. The Company evaluates the performance of each reportable segment based on segment profit. The following tables summarize segment and other results and assets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9"/>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9"/>
          </w:tcPr>
          <w:p>
            <w:pPr>
              <w:ind w:left="8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80"/>
        </w:trPr>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22"/>
                <w:szCs w:val="22"/>
                <w:b w:val="1"/>
                <w:bCs w:val="1"/>
                <w:color w:val="auto"/>
                <w:w w:val="85"/>
              </w:rPr>
              <w:t>2020</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5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2019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2020</w:t>
            </w:r>
          </w:p>
        </w:tc>
        <w:tc>
          <w:tcPr>
            <w:tcW w:w="92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5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8"/>
              </w:rPr>
              <w:t>2019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1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39,242</w:t>
            </w:r>
          </w:p>
        </w:tc>
        <w:tc>
          <w:tcPr>
            <w:tcW w:w="66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105,770</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w w:val="98"/>
              </w:rPr>
              <w:t>122,477</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w w:val="98"/>
              </w:rPr>
              <w:t>210,223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04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7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85</w:t>
            </w:r>
          </w:p>
        </w:tc>
        <w:tc>
          <w:tcPr>
            <w:tcW w:w="4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2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98</w:t>
            </w:r>
          </w:p>
        </w:tc>
        <w:tc>
          <w:tcPr>
            <w:tcW w:w="4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1240" w:type="dxa"/>
            <w:vAlign w:val="bottom"/>
            <w:gridSpan w:val="4"/>
            <w:shd w:val="clear" w:color="auto" w:fill="E5FFFF"/>
          </w:tcPr>
          <w:p>
            <w:pPr>
              <w:jc w:val="right"/>
              <w:ind w:right="440"/>
              <w:spacing w:after="0"/>
              <w:rPr>
                <w:sz w:val="20"/>
                <w:szCs w:val="20"/>
                <w:color w:val="auto"/>
              </w:rPr>
            </w:pPr>
            <w:r>
              <w:rPr>
                <w:rFonts w:ascii="Arial" w:cs="Arial" w:eastAsia="Arial" w:hAnsi="Arial"/>
                <w:sz w:val="22"/>
                <w:szCs w:val="22"/>
                <w:color w:val="auto"/>
              </w:rPr>
              <w:t>100</w:t>
            </w:r>
          </w:p>
        </w:tc>
        <w:tc>
          <w:tcPr>
            <w:tcW w:w="200" w:type="dxa"/>
            <w:vAlign w:val="bottom"/>
            <w:shd w:val="clear" w:color="auto" w:fill="E5FFFF"/>
          </w:tcPr>
          <w:p>
            <w:pPr>
              <w:spacing w:after="0"/>
              <w:rPr>
                <w:sz w:val="24"/>
                <w:szCs w:val="24"/>
                <w:color w:val="auto"/>
              </w:rPr>
            </w:pPr>
          </w:p>
        </w:tc>
        <w:tc>
          <w:tcPr>
            <w:tcW w:w="820" w:type="dxa"/>
            <w:vAlign w:val="bottom"/>
            <w:gridSpan w:val="4"/>
            <w:shd w:val="clear" w:color="auto" w:fill="E5FFFF"/>
          </w:tcPr>
          <w:p>
            <w:pPr>
              <w:jc w:val="right"/>
              <w:ind w:right="20"/>
              <w:spacing w:after="0"/>
              <w:rPr>
                <w:sz w:val="20"/>
                <w:szCs w:val="20"/>
                <w:color w:val="auto"/>
              </w:rPr>
            </w:pPr>
            <w:r>
              <w:rPr>
                <w:rFonts w:ascii="Arial" w:cs="Arial" w:eastAsia="Arial" w:hAnsi="Arial"/>
                <w:sz w:val="22"/>
                <w:szCs w:val="22"/>
                <w:color w:val="auto"/>
              </w:rPr>
              <w:t>220</w:t>
            </w:r>
          </w:p>
        </w:tc>
        <w:tc>
          <w:tcPr>
            <w:tcW w:w="8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7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39,327</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105,868</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w w:val="98"/>
              </w:rPr>
              <w:t>122,577</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w w:val="98"/>
              </w:rPr>
              <w:t>210,443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660" w:firstLine="656"/>
        <w:spacing w:after="0" w:line="196" w:lineRule="auto"/>
        <w:tabs>
          <w:tab w:leader="none" w:pos="783" w:val="left"/>
        </w:tabs>
        <w:numPr>
          <w:ilvl w:val="0"/>
          <w:numId w:val="6"/>
        </w:numPr>
        <w:rPr>
          <w:rFonts w:ascii="Arial" w:cs="Arial" w:eastAsia="Arial" w:hAnsi="Arial"/>
          <w:sz w:val="34"/>
          <w:szCs w:val="34"/>
          <w:color w:val="auto"/>
          <w:vertAlign w:val="superscript"/>
        </w:rPr>
      </w:pPr>
      <w:r>
        <w:rPr>
          <w:rFonts w:ascii="Arial" w:cs="Arial" w:eastAsia="Arial" w:hAnsi="Arial"/>
          <w:sz w:val="21"/>
          <w:szCs w:val="21"/>
          <w:color w:val="auto"/>
        </w:rPr>
        <w:t>The Company records sales in the refined coal segment net of the cost of coal as the Company purchases the coal feedstock from the customer to which refined coal is sold.</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8"/>
          </w:tcPr>
          <w:p>
            <w:pPr>
              <w:jc w:val="right"/>
              <w:ind w:right="600"/>
              <w:spacing w:after="0"/>
              <w:rPr>
                <w:sz w:val="20"/>
                <w:szCs w:val="20"/>
                <w:color w:val="auto"/>
              </w:rPr>
            </w:pPr>
            <w:r>
              <w:rPr>
                <w:rFonts w:ascii="Arial" w:cs="Arial" w:eastAsia="Arial" w:hAnsi="Arial"/>
                <w:sz w:val="22"/>
                <w:szCs w:val="22"/>
                <w:b w:val="1"/>
                <w:bCs w:val="1"/>
                <w:color w:val="auto"/>
                <w:w w:val="90"/>
              </w:rPr>
              <w:t>Three Months Ended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8"/>
          </w:tcPr>
          <w:p>
            <w:pPr>
              <w:ind w:left="4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3"/>
          </w:tcPr>
          <w:p>
            <w:pPr>
              <w:jc w:val="right"/>
              <w:ind w:right="12"/>
              <w:spacing w:after="0" w:line="243" w:lineRule="exact"/>
              <w:rPr>
                <w:sz w:val="20"/>
                <w:szCs w:val="20"/>
                <w:color w:val="auto"/>
              </w:rPr>
            </w:pPr>
            <w:r>
              <w:rPr>
                <w:rFonts w:ascii="Arial" w:cs="Arial" w:eastAsia="Arial" w:hAnsi="Arial"/>
                <w:sz w:val="22"/>
                <w:szCs w:val="22"/>
                <w:b w:val="1"/>
                <w:bCs w:val="1"/>
                <w:color w:val="auto"/>
              </w:rPr>
              <w:t>July 31,</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w w:val="96"/>
              </w:rPr>
              <w:t>July 31,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32"/>
              <w:spacing w:after="0" w:line="230" w:lineRule="exact"/>
              <w:rPr>
                <w:sz w:val="20"/>
                <w:szCs w:val="20"/>
                <w:color w:val="auto"/>
              </w:rPr>
            </w:pPr>
            <w:r>
              <w:rPr>
                <w:rFonts w:ascii="Arial" w:cs="Arial" w:eastAsia="Arial" w:hAnsi="Arial"/>
                <w:sz w:val="22"/>
                <w:szCs w:val="22"/>
                <w:b w:val="1"/>
                <w:bCs w:val="1"/>
                <w:color w:val="auto"/>
              </w:rPr>
              <w:t>2020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240"/>
              <w:spacing w:after="0" w:line="230" w:lineRule="exact"/>
              <w:rPr>
                <w:sz w:val="20"/>
                <w:szCs w:val="20"/>
                <w:color w:val="auto"/>
              </w:rPr>
            </w:pPr>
            <w:r>
              <w:rPr>
                <w:rFonts w:ascii="Arial" w:cs="Arial" w:eastAsia="Arial" w:hAnsi="Arial"/>
                <w:sz w:val="22"/>
                <w:szCs w:val="22"/>
                <w:b w:val="1"/>
                <w:bCs w:val="1"/>
                <w:color w:val="auto"/>
                <w:w w:val="81"/>
              </w:rPr>
              <w:t>2019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ind w:left="100"/>
              <w:spacing w:after="0" w:line="230" w:lineRule="exact"/>
              <w:rPr>
                <w:sz w:val="20"/>
                <w:szCs w:val="20"/>
                <w:color w:val="auto"/>
              </w:rPr>
            </w:pPr>
            <w:r>
              <w:rPr>
                <w:rFonts w:ascii="Arial" w:cs="Arial" w:eastAsia="Arial" w:hAnsi="Arial"/>
                <w:sz w:val="22"/>
                <w:szCs w:val="22"/>
                <w:b w:val="1"/>
                <w:bCs w:val="1"/>
                <w:color w:val="auto"/>
                <w:w w:val="85"/>
              </w:rPr>
              <w:t>2020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3"/>
              </w:rPr>
              <w:t>2019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Segment gross (loss) profit:</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40" w:type="dxa"/>
            <w:vAlign w:val="bottom"/>
            <w:gridSpan w:val="4"/>
          </w:tcPr>
          <w:p>
            <w:pPr>
              <w:jc w:val="right"/>
              <w:ind w:right="460"/>
              <w:spacing w:after="0" w:line="243" w:lineRule="exact"/>
              <w:rPr>
                <w:sz w:val="20"/>
                <w:szCs w:val="20"/>
                <w:color w:val="auto"/>
              </w:rPr>
            </w:pPr>
            <w:r>
              <w:rPr>
                <w:rFonts w:ascii="Arial" w:cs="Arial" w:eastAsia="Arial" w:hAnsi="Arial"/>
                <w:sz w:val="22"/>
                <w:szCs w:val="22"/>
                <w:color w:val="auto"/>
              </w:rPr>
              <w:t>553</w:t>
            </w:r>
          </w:p>
        </w:tc>
        <w:tc>
          <w:tcPr>
            <w:tcW w:w="26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6,169</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(7,670)</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12,284</w:t>
            </w:r>
          </w:p>
        </w:tc>
        <w:tc>
          <w:tcPr>
            <w:tcW w:w="0" w:type="dxa"/>
            <w:vAlign w:val="bottom"/>
          </w:tcPr>
          <w:p>
            <w:pPr>
              <w:spacing w:after="0"/>
              <w:rPr>
                <w:sz w:val="1"/>
                <w:szCs w:val="1"/>
                <w:color w:val="auto"/>
              </w:rPr>
            </w:pPr>
          </w:p>
        </w:tc>
      </w:tr>
      <w:tr>
        <w:trPr>
          <w:trHeight w:val="257"/>
        </w:trPr>
        <w:tc>
          <w:tcPr>
            <w:tcW w:w="620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120" w:type="dxa"/>
            <w:vAlign w:val="bottom"/>
            <w:shd w:val="clear" w:color="auto" w:fill="E5FFFF"/>
          </w:tcPr>
          <w:p>
            <w:pPr>
              <w:spacing w:after="0"/>
              <w:rPr>
                <w:sz w:val="22"/>
                <w:szCs w:val="22"/>
                <w:color w:val="auto"/>
              </w:rPr>
            </w:pPr>
          </w:p>
        </w:tc>
        <w:tc>
          <w:tcPr>
            <w:tcW w:w="1240" w:type="dxa"/>
            <w:vAlign w:val="bottom"/>
            <w:gridSpan w:val="4"/>
            <w:shd w:val="clear" w:color="auto" w:fill="E5FFFF"/>
          </w:tcPr>
          <w:p>
            <w:pPr>
              <w:jc w:val="right"/>
              <w:ind w:right="460"/>
              <w:spacing w:after="0"/>
              <w:rPr>
                <w:sz w:val="20"/>
                <w:szCs w:val="20"/>
                <w:color w:val="auto"/>
              </w:rPr>
            </w:pPr>
            <w:r>
              <w:rPr>
                <w:rFonts w:ascii="Arial" w:cs="Arial" w:eastAsia="Arial" w:hAnsi="Arial"/>
                <w:sz w:val="22"/>
                <w:szCs w:val="22"/>
                <w:color w:val="auto"/>
              </w:rPr>
              <w:t>(1,884)</w:t>
            </w:r>
          </w:p>
        </w:tc>
        <w:tc>
          <w:tcPr>
            <w:tcW w:w="260" w:type="dxa"/>
            <w:vAlign w:val="bottom"/>
            <w:shd w:val="clear" w:color="auto" w:fill="E5FFFF"/>
          </w:tcPr>
          <w:p>
            <w:pPr>
              <w:spacing w:after="0"/>
              <w:rPr>
                <w:sz w:val="22"/>
                <w:szCs w:val="22"/>
                <w:color w:val="auto"/>
              </w:rPr>
            </w:pPr>
          </w:p>
        </w:tc>
        <w:tc>
          <w:tcPr>
            <w:tcW w:w="1100" w:type="dxa"/>
            <w:vAlign w:val="bottom"/>
            <w:gridSpan w:val="3"/>
            <w:shd w:val="clear" w:color="auto" w:fill="E5FFFF"/>
          </w:tcPr>
          <w:p>
            <w:pPr>
              <w:jc w:val="right"/>
              <w:ind w:right="440"/>
              <w:spacing w:after="0"/>
              <w:rPr>
                <w:sz w:val="20"/>
                <w:szCs w:val="20"/>
                <w:color w:val="auto"/>
              </w:rPr>
            </w:pPr>
            <w:r>
              <w:rPr>
                <w:rFonts w:ascii="Arial" w:cs="Arial" w:eastAsia="Arial" w:hAnsi="Arial"/>
                <w:sz w:val="22"/>
                <w:szCs w:val="22"/>
                <w:color w:val="auto"/>
                <w:w w:val="91"/>
              </w:rPr>
              <w:t>(2,165)</w:t>
            </w:r>
          </w:p>
        </w:tc>
        <w:tc>
          <w:tcPr>
            <w:tcW w:w="120" w:type="dxa"/>
            <w:vAlign w:val="bottom"/>
            <w:shd w:val="clear" w:color="auto" w:fill="E5FFFF"/>
          </w:tcPr>
          <w:p>
            <w:pPr>
              <w:spacing w:after="0"/>
              <w:rPr>
                <w:sz w:val="22"/>
                <w:szCs w:val="22"/>
                <w:color w:val="auto"/>
              </w:rPr>
            </w:pPr>
          </w:p>
        </w:tc>
        <w:tc>
          <w:tcPr>
            <w:tcW w:w="1200" w:type="dxa"/>
            <w:vAlign w:val="bottom"/>
            <w:gridSpan w:val="4"/>
            <w:shd w:val="clear" w:color="auto" w:fill="E5FFFF"/>
          </w:tcPr>
          <w:p>
            <w:pPr>
              <w:jc w:val="right"/>
              <w:ind w:right="440"/>
              <w:spacing w:after="0"/>
              <w:rPr>
                <w:sz w:val="20"/>
                <w:szCs w:val="20"/>
                <w:color w:val="auto"/>
              </w:rPr>
            </w:pPr>
            <w:r>
              <w:rPr>
                <w:rFonts w:ascii="Arial" w:cs="Arial" w:eastAsia="Arial" w:hAnsi="Arial"/>
                <w:sz w:val="22"/>
                <w:szCs w:val="22"/>
                <w:color w:val="auto"/>
              </w:rPr>
              <w:t>(2,991)</w:t>
            </w:r>
          </w:p>
        </w:tc>
        <w:tc>
          <w:tcPr>
            <w:tcW w:w="180" w:type="dxa"/>
            <w:vAlign w:val="bottom"/>
            <w:shd w:val="clear" w:color="auto" w:fill="E5FFFF"/>
          </w:tcPr>
          <w:p>
            <w:pPr>
              <w:spacing w:after="0"/>
              <w:rPr>
                <w:sz w:val="22"/>
                <w:szCs w:val="22"/>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22"/>
                <w:szCs w:val="22"/>
                <w:color w:val="auto"/>
              </w:rPr>
              <w:t>(4,634)</w:t>
            </w:r>
          </w:p>
        </w:tc>
        <w:tc>
          <w:tcPr>
            <w:tcW w:w="0" w:type="dxa"/>
            <w:vAlign w:val="bottom"/>
          </w:tcPr>
          <w:p>
            <w:pPr>
              <w:spacing w:after="0"/>
              <w:rPr>
                <w:sz w:val="1"/>
                <w:szCs w:val="1"/>
                <w:color w:val="auto"/>
              </w:rPr>
            </w:pPr>
          </w:p>
        </w:tc>
      </w:tr>
      <w:tr>
        <w:trPr>
          <w:trHeight w:val="250"/>
        </w:trPr>
        <w:tc>
          <w:tcPr>
            <w:tcW w:w="6200" w:type="dxa"/>
            <w:vAlign w:val="bottom"/>
          </w:tcPr>
          <w:p>
            <w:pPr>
              <w:spacing w:after="0" w:line="250" w:lineRule="exact"/>
              <w:rPr>
                <w:sz w:val="20"/>
                <w:szCs w:val="20"/>
                <w:color w:val="auto"/>
              </w:rPr>
            </w:pPr>
            <w:r>
              <w:rPr>
                <w:rFonts w:ascii="Arial" w:cs="Arial" w:eastAsia="Arial" w:hAnsi="Arial"/>
                <w:sz w:val="22"/>
                <w:szCs w:val="22"/>
                <w:color w:val="auto"/>
              </w:rPr>
              <w:t>Total gross (loss)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(1,331)</w:t>
            </w:r>
          </w:p>
        </w:tc>
        <w:tc>
          <w:tcPr>
            <w:tcW w:w="4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6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rPr>
              <w:t>4,004</w:t>
            </w:r>
          </w:p>
        </w:tc>
        <w:tc>
          <w:tcPr>
            <w:tcW w:w="4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w w:val="90"/>
              </w:rPr>
              <w:t>(10,661)</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7,650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(Loss) income before income taxes:</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40" w:type="dxa"/>
            <w:vAlign w:val="bottom"/>
            <w:gridSpan w:val="4"/>
          </w:tcPr>
          <w:p>
            <w:pPr>
              <w:jc w:val="right"/>
              <w:ind w:right="460"/>
              <w:spacing w:after="0" w:line="243" w:lineRule="exact"/>
              <w:rPr>
                <w:sz w:val="20"/>
                <w:szCs w:val="20"/>
                <w:color w:val="auto"/>
              </w:rPr>
            </w:pPr>
            <w:r>
              <w:rPr>
                <w:rFonts w:ascii="Arial" w:cs="Arial" w:eastAsia="Arial" w:hAnsi="Arial"/>
                <w:sz w:val="22"/>
                <w:szCs w:val="22"/>
                <w:color w:val="auto"/>
              </w:rPr>
              <w:t>(3,259)</w:t>
            </w:r>
          </w:p>
        </w:tc>
        <w:tc>
          <w:tcPr>
            <w:tcW w:w="26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3,111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w w:val="90"/>
              </w:rPr>
              <w:t>(15,610)</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6,313</w:t>
            </w: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2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60"/>
              <w:spacing w:after="0" w:line="243" w:lineRule="exact"/>
              <w:rPr>
                <w:sz w:val="20"/>
                <w:szCs w:val="20"/>
                <w:color w:val="auto"/>
              </w:rPr>
            </w:pPr>
            <w:r>
              <w:rPr>
                <w:rFonts w:ascii="Arial" w:cs="Arial" w:eastAsia="Arial" w:hAnsi="Arial"/>
                <w:sz w:val="22"/>
                <w:szCs w:val="22"/>
                <w:color w:val="auto"/>
              </w:rPr>
              <w:t>(2,118)</w:t>
            </w:r>
          </w:p>
        </w:tc>
        <w:tc>
          <w:tcPr>
            <w:tcW w:w="260" w:type="dxa"/>
            <w:vAlign w:val="bottom"/>
            <w:shd w:val="clear" w:color="auto" w:fill="E5FFFF"/>
          </w:tcPr>
          <w:p>
            <w:pPr>
              <w:spacing w:after="0"/>
              <w:rPr>
                <w:sz w:val="21"/>
                <w:szCs w:val="21"/>
                <w:color w:val="auto"/>
              </w:rPr>
            </w:pPr>
          </w:p>
        </w:tc>
        <w:tc>
          <w:tcPr>
            <w:tcW w:w="1100" w:type="dxa"/>
            <w:vAlign w:val="bottom"/>
            <w:gridSpan w:val="3"/>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w w:val="91"/>
              </w:rPr>
              <w:t>(2,028)</w:t>
            </w:r>
          </w:p>
        </w:tc>
        <w:tc>
          <w:tcPr>
            <w:tcW w:w="120" w:type="dxa"/>
            <w:vAlign w:val="bottom"/>
            <w:shd w:val="clear" w:color="auto" w:fill="E5FFFF"/>
          </w:tcPr>
          <w:p>
            <w:pPr>
              <w:spacing w:after="0"/>
              <w:rPr>
                <w:sz w:val="21"/>
                <w:szCs w:val="21"/>
                <w:color w:val="auto"/>
              </w:rPr>
            </w:pPr>
          </w:p>
        </w:tc>
        <w:tc>
          <w:tcPr>
            <w:tcW w:w="120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(2,965)</w:t>
            </w:r>
          </w:p>
        </w:tc>
        <w:tc>
          <w:tcPr>
            <w:tcW w:w="180" w:type="dxa"/>
            <w:vAlign w:val="bottom"/>
            <w:shd w:val="clear" w:color="auto" w:fill="E5FFFF"/>
          </w:tcPr>
          <w:p>
            <w:pPr>
              <w:spacing w:after="0"/>
              <w:rPr>
                <w:sz w:val="21"/>
                <w:szCs w:val="21"/>
                <w:color w:val="auto"/>
              </w:rPr>
            </w:pPr>
          </w:p>
        </w:tc>
        <w:tc>
          <w:tcPr>
            <w:tcW w:w="82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(4,703)</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22"/>
                <w:szCs w:val="22"/>
                <w:color w:val="auto"/>
              </w:rPr>
              <w:t>Corporate and other</w:t>
            </w:r>
          </w:p>
        </w:tc>
        <w:tc>
          <w:tcPr>
            <w:tcW w:w="120" w:type="dxa"/>
            <w:vAlign w:val="bottom"/>
          </w:tcPr>
          <w:p>
            <w:pPr>
              <w:spacing w:after="0"/>
              <w:rPr>
                <w:sz w:val="22"/>
                <w:szCs w:val="22"/>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22"/>
                <w:szCs w:val="22"/>
                <w:color w:val="auto"/>
              </w:rPr>
              <w:t>(702)</w:t>
            </w:r>
          </w:p>
        </w:tc>
        <w:tc>
          <w:tcPr>
            <w:tcW w:w="260" w:type="dxa"/>
            <w:vAlign w:val="bottom"/>
          </w:tcPr>
          <w:p>
            <w:pPr>
              <w:spacing w:after="0"/>
              <w:rPr>
                <w:sz w:val="22"/>
                <w:szCs w:val="22"/>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22"/>
                <w:szCs w:val="22"/>
                <w:color w:val="auto"/>
              </w:rPr>
              <w:t>(352)</w:t>
            </w:r>
          </w:p>
        </w:tc>
        <w:tc>
          <w:tcPr>
            <w:tcW w:w="120" w:type="dxa"/>
            <w:vAlign w:val="bottom"/>
          </w:tcPr>
          <w:p>
            <w:pPr>
              <w:spacing w:after="0"/>
              <w:rPr>
                <w:sz w:val="22"/>
                <w:szCs w:val="22"/>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22"/>
                <w:szCs w:val="22"/>
                <w:color w:val="auto"/>
              </w:rPr>
              <w:t>(1,247)</w:t>
            </w:r>
          </w:p>
        </w:tc>
        <w:tc>
          <w:tcPr>
            <w:tcW w:w="180" w:type="dxa"/>
            <w:vAlign w:val="bottom"/>
          </w:tcPr>
          <w:p>
            <w:pPr>
              <w:spacing w:after="0"/>
              <w:rPr>
                <w:sz w:val="22"/>
                <w:szCs w:val="22"/>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22"/>
                <w:szCs w:val="22"/>
                <w:color w:val="auto"/>
              </w:rPr>
              <w:t>(712)</w:t>
            </w:r>
          </w:p>
        </w:tc>
        <w:tc>
          <w:tcPr>
            <w:tcW w:w="0" w:type="dxa"/>
            <w:vAlign w:val="bottom"/>
          </w:tcPr>
          <w:p>
            <w:pPr>
              <w:spacing w:after="0"/>
              <w:rPr>
                <w:sz w:val="1"/>
                <w:szCs w:val="1"/>
                <w:color w:val="auto"/>
              </w:rPr>
            </w:pPr>
          </w:p>
        </w:tc>
      </w:tr>
      <w:tr>
        <w:trPr>
          <w:trHeight w:val="250"/>
        </w:trPr>
        <w:tc>
          <w:tcPr>
            <w:tcW w:w="62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(loss) income before income taxes</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(6,079)</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66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color w:val="auto"/>
              </w:rPr>
              <w:t>731</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90"/>
              </w:rPr>
              <w:t>(19,822)</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898</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22"/>
                <w:szCs w:val="22"/>
                <w:color w:val="auto"/>
              </w:rPr>
              <w:t>Benefit (provision) for income taxes:</w:t>
            </w: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240" w:type="dxa"/>
            <w:vAlign w:val="bottom"/>
            <w:gridSpan w:val="4"/>
            <w:shd w:val="clear" w:color="auto" w:fill="E5FFFF"/>
          </w:tcPr>
          <w:p>
            <w:pPr>
              <w:jc w:val="right"/>
              <w:ind w:right="460"/>
              <w:spacing w:after="0" w:line="243" w:lineRule="exact"/>
              <w:rPr>
                <w:sz w:val="20"/>
                <w:szCs w:val="20"/>
                <w:color w:val="auto"/>
              </w:rPr>
            </w:pPr>
            <w:r>
              <w:rPr>
                <w:rFonts w:ascii="Arial" w:cs="Arial" w:eastAsia="Arial" w:hAnsi="Arial"/>
                <w:sz w:val="22"/>
                <w:szCs w:val="22"/>
                <w:color w:val="auto"/>
              </w:rPr>
              <w:t>893</w:t>
            </w:r>
          </w:p>
        </w:tc>
        <w:tc>
          <w:tcPr>
            <w:tcW w:w="260" w:type="dxa"/>
            <w:vAlign w:val="bottom"/>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3"/>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(619)</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5,054</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(1,105)</w:t>
            </w:r>
          </w:p>
        </w:tc>
        <w:tc>
          <w:tcPr>
            <w:tcW w:w="0" w:type="dxa"/>
            <w:vAlign w:val="bottom"/>
          </w:tcPr>
          <w:p>
            <w:pPr>
              <w:spacing w:after="0"/>
              <w:rPr>
                <w:sz w:val="1"/>
                <w:szCs w:val="1"/>
                <w:color w:val="auto"/>
              </w:rPr>
            </w:pPr>
          </w:p>
        </w:tc>
      </w:tr>
      <w:tr>
        <w:trPr>
          <w:trHeight w:val="243"/>
        </w:trPr>
        <w:tc>
          <w:tcPr>
            <w:tcW w:w="620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20" w:type="dxa"/>
            <w:vAlign w:val="bottom"/>
          </w:tcPr>
          <w:p>
            <w:pPr>
              <w:spacing w:after="0"/>
              <w:rPr>
                <w:sz w:val="21"/>
                <w:szCs w:val="21"/>
                <w:color w:val="auto"/>
              </w:rPr>
            </w:pPr>
          </w:p>
        </w:tc>
        <w:tc>
          <w:tcPr>
            <w:tcW w:w="1240" w:type="dxa"/>
            <w:vAlign w:val="bottom"/>
            <w:gridSpan w:val="4"/>
          </w:tcPr>
          <w:p>
            <w:pPr>
              <w:jc w:val="right"/>
              <w:ind w:right="460"/>
              <w:spacing w:after="0" w:line="243" w:lineRule="exact"/>
              <w:rPr>
                <w:sz w:val="20"/>
                <w:szCs w:val="20"/>
                <w:color w:val="auto"/>
              </w:rPr>
            </w:pPr>
            <w:r>
              <w:rPr>
                <w:rFonts w:ascii="Arial" w:cs="Arial" w:eastAsia="Arial" w:hAnsi="Arial"/>
                <w:sz w:val="22"/>
                <w:szCs w:val="22"/>
                <w:color w:val="auto"/>
              </w:rPr>
              <w:t>2,919</w:t>
            </w:r>
          </w:p>
        </w:tc>
        <w:tc>
          <w:tcPr>
            <w:tcW w:w="260" w:type="dxa"/>
            <w:vAlign w:val="bottom"/>
          </w:tcPr>
          <w:p>
            <w:pPr>
              <w:spacing w:after="0"/>
              <w:rPr>
                <w:sz w:val="21"/>
                <w:szCs w:val="21"/>
                <w:color w:val="auto"/>
              </w:rPr>
            </w:pPr>
          </w:p>
        </w:tc>
        <w:tc>
          <w:tcPr>
            <w:tcW w:w="110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3,155</w:t>
            </w:r>
          </w:p>
        </w:tc>
        <w:tc>
          <w:tcPr>
            <w:tcW w:w="120" w:type="dxa"/>
            <w:vAlign w:val="bottom"/>
          </w:tcPr>
          <w:p>
            <w:pPr>
              <w:spacing w:after="0"/>
              <w:rPr>
                <w:sz w:val="21"/>
                <w:szCs w:val="21"/>
                <w:color w:val="auto"/>
              </w:rPr>
            </w:pPr>
          </w:p>
        </w:tc>
        <w:tc>
          <w:tcPr>
            <w:tcW w:w="120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3,878</w:t>
            </w:r>
          </w:p>
        </w:tc>
        <w:tc>
          <w:tcPr>
            <w:tcW w:w="180" w:type="dxa"/>
            <w:vAlign w:val="bottom"/>
          </w:tcPr>
          <w:p>
            <w:pPr>
              <w:spacing w:after="0"/>
              <w:rPr>
                <w:sz w:val="21"/>
                <w:szCs w:val="21"/>
                <w:color w:val="auto"/>
              </w:rPr>
            </w:pPr>
          </w:p>
        </w:tc>
        <w:tc>
          <w:tcPr>
            <w:tcW w:w="82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7,101</w:t>
            </w:r>
          </w:p>
        </w:tc>
        <w:tc>
          <w:tcPr>
            <w:tcW w:w="0" w:type="dxa"/>
            <w:vAlign w:val="bottom"/>
          </w:tcPr>
          <w:p>
            <w:pPr>
              <w:spacing w:after="0"/>
              <w:rPr>
                <w:sz w:val="1"/>
                <w:szCs w:val="1"/>
                <w:color w:val="auto"/>
              </w:rPr>
            </w:pPr>
          </w:p>
        </w:tc>
      </w:tr>
      <w:tr>
        <w:trPr>
          <w:trHeight w:val="257"/>
        </w:trPr>
        <w:tc>
          <w:tcPr>
            <w:tcW w:w="620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20" w:type="dxa"/>
            <w:vAlign w:val="bottom"/>
            <w:shd w:val="clear" w:color="auto" w:fill="E5FFFF"/>
          </w:tcPr>
          <w:p>
            <w:pPr>
              <w:spacing w:after="0"/>
              <w:rPr>
                <w:sz w:val="22"/>
                <w:szCs w:val="22"/>
                <w:color w:val="auto"/>
              </w:rPr>
            </w:pPr>
          </w:p>
        </w:tc>
        <w:tc>
          <w:tcPr>
            <w:tcW w:w="1240" w:type="dxa"/>
            <w:vAlign w:val="bottom"/>
            <w:gridSpan w:val="4"/>
            <w:shd w:val="clear" w:color="auto" w:fill="E5FFFF"/>
          </w:tcPr>
          <w:p>
            <w:pPr>
              <w:jc w:val="right"/>
              <w:ind w:right="460"/>
              <w:spacing w:after="0"/>
              <w:rPr>
                <w:sz w:val="20"/>
                <w:szCs w:val="20"/>
                <w:color w:val="auto"/>
              </w:rPr>
            </w:pPr>
            <w:r>
              <w:rPr>
                <w:rFonts w:ascii="Arial" w:cs="Arial" w:eastAsia="Arial" w:hAnsi="Arial"/>
                <w:sz w:val="22"/>
                <w:szCs w:val="22"/>
                <w:color w:val="auto"/>
              </w:rPr>
              <w:t>234</w:t>
            </w:r>
          </w:p>
        </w:tc>
        <w:tc>
          <w:tcPr>
            <w:tcW w:w="260" w:type="dxa"/>
            <w:vAlign w:val="bottom"/>
            <w:shd w:val="clear" w:color="auto" w:fill="E5FFFF"/>
          </w:tcPr>
          <w:p>
            <w:pPr>
              <w:spacing w:after="0"/>
              <w:rPr>
                <w:sz w:val="22"/>
                <w:szCs w:val="22"/>
                <w:color w:val="auto"/>
              </w:rPr>
            </w:pPr>
          </w:p>
        </w:tc>
        <w:tc>
          <w:tcPr>
            <w:tcW w:w="1100" w:type="dxa"/>
            <w:vAlign w:val="bottom"/>
            <w:gridSpan w:val="3"/>
            <w:shd w:val="clear" w:color="auto" w:fill="E5FFFF"/>
          </w:tcPr>
          <w:p>
            <w:pPr>
              <w:jc w:val="right"/>
              <w:ind w:right="440"/>
              <w:spacing w:after="0"/>
              <w:rPr>
                <w:sz w:val="20"/>
                <w:szCs w:val="20"/>
                <w:color w:val="auto"/>
              </w:rPr>
            </w:pPr>
            <w:r>
              <w:rPr>
                <w:rFonts w:ascii="Arial" w:cs="Arial" w:eastAsia="Arial" w:hAnsi="Arial"/>
                <w:sz w:val="22"/>
                <w:szCs w:val="22"/>
                <w:color w:val="auto"/>
              </w:rPr>
              <w:t>86</w:t>
            </w:r>
          </w:p>
        </w:tc>
        <w:tc>
          <w:tcPr>
            <w:tcW w:w="120" w:type="dxa"/>
            <w:vAlign w:val="bottom"/>
            <w:shd w:val="clear" w:color="auto" w:fill="E5FFFF"/>
          </w:tcPr>
          <w:p>
            <w:pPr>
              <w:spacing w:after="0"/>
              <w:rPr>
                <w:sz w:val="22"/>
                <w:szCs w:val="22"/>
                <w:color w:val="auto"/>
              </w:rPr>
            </w:pPr>
          </w:p>
        </w:tc>
        <w:tc>
          <w:tcPr>
            <w:tcW w:w="1200" w:type="dxa"/>
            <w:vAlign w:val="bottom"/>
            <w:gridSpan w:val="4"/>
            <w:shd w:val="clear" w:color="auto" w:fill="E5FFFF"/>
          </w:tcPr>
          <w:p>
            <w:pPr>
              <w:jc w:val="right"/>
              <w:ind w:right="440"/>
              <w:spacing w:after="0"/>
              <w:rPr>
                <w:sz w:val="20"/>
                <w:szCs w:val="20"/>
                <w:color w:val="auto"/>
              </w:rPr>
            </w:pPr>
            <w:r>
              <w:rPr>
                <w:rFonts w:ascii="Arial" w:cs="Arial" w:eastAsia="Arial" w:hAnsi="Arial"/>
                <w:sz w:val="22"/>
                <w:szCs w:val="22"/>
                <w:color w:val="auto"/>
              </w:rPr>
              <w:t>427</w:t>
            </w:r>
          </w:p>
        </w:tc>
        <w:tc>
          <w:tcPr>
            <w:tcW w:w="180" w:type="dxa"/>
            <w:vAlign w:val="bottom"/>
            <w:shd w:val="clear" w:color="auto" w:fill="E5FFFF"/>
          </w:tcPr>
          <w:p>
            <w:pPr>
              <w:spacing w:after="0"/>
              <w:rPr>
                <w:sz w:val="22"/>
                <w:szCs w:val="22"/>
                <w:color w:val="auto"/>
              </w:rPr>
            </w:pPr>
          </w:p>
        </w:tc>
        <w:tc>
          <w:tcPr>
            <w:tcW w:w="820" w:type="dxa"/>
            <w:vAlign w:val="bottom"/>
            <w:gridSpan w:val="4"/>
            <w:shd w:val="clear" w:color="auto" w:fill="E5FFFF"/>
          </w:tcPr>
          <w:p>
            <w:pPr>
              <w:jc w:val="right"/>
              <w:ind w:right="100"/>
              <w:spacing w:after="0"/>
              <w:rPr>
                <w:sz w:val="20"/>
                <w:szCs w:val="20"/>
                <w:color w:val="auto"/>
              </w:rPr>
            </w:pPr>
            <w:r>
              <w:rPr>
                <w:rFonts w:ascii="Arial" w:cs="Arial" w:eastAsia="Arial" w:hAnsi="Arial"/>
                <w:sz w:val="22"/>
                <w:szCs w:val="22"/>
                <w:color w:val="auto"/>
              </w:rPr>
              <w:t>174</w:t>
            </w:r>
          </w:p>
        </w:tc>
        <w:tc>
          <w:tcPr>
            <w:tcW w:w="0" w:type="dxa"/>
            <w:vAlign w:val="bottom"/>
          </w:tcPr>
          <w:p>
            <w:pPr>
              <w:spacing w:after="0"/>
              <w:rPr>
                <w:sz w:val="1"/>
                <w:szCs w:val="1"/>
                <w:color w:val="auto"/>
              </w:rPr>
            </w:pPr>
          </w:p>
        </w:tc>
      </w:tr>
      <w:tr>
        <w:trPr>
          <w:trHeight w:val="250"/>
        </w:trPr>
        <w:tc>
          <w:tcPr>
            <w:tcW w:w="6200" w:type="dxa"/>
            <w:vAlign w:val="bottom"/>
          </w:tcPr>
          <w:p>
            <w:pPr>
              <w:spacing w:after="0" w:line="250" w:lineRule="exact"/>
              <w:rPr>
                <w:sz w:val="20"/>
                <w:szCs w:val="20"/>
                <w:color w:val="auto"/>
              </w:rPr>
            </w:pPr>
            <w:r>
              <w:rPr>
                <w:rFonts w:ascii="Arial" w:cs="Arial" w:eastAsia="Arial" w:hAnsi="Arial"/>
                <w:sz w:val="22"/>
                <w:szCs w:val="22"/>
                <w:color w:val="auto"/>
              </w:rPr>
              <w:t>Total benefit for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4,046</w:t>
            </w:r>
          </w:p>
        </w:tc>
        <w:tc>
          <w:tcPr>
            <w:tcW w:w="4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6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rPr>
              <w:t>2,622</w:t>
            </w:r>
          </w:p>
        </w:tc>
        <w:tc>
          <w:tcPr>
            <w:tcW w:w="4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9,359</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6,170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Segment (loss) profit (net of noncontrolling interests):</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40" w:type="dxa"/>
            <w:vAlign w:val="bottom"/>
            <w:gridSpan w:val="4"/>
          </w:tcPr>
          <w:p>
            <w:pPr>
              <w:jc w:val="right"/>
              <w:ind w:right="460"/>
              <w:spacing w:after="0" w:line="243" w:lineRule="exact"/>
              <w:rPr>
                <w:sz w:val="20"/>
                <w:szCs w:val="20"/>
                <w:color w:val="auto"/>
              </w:rPr>
            </w:pPr>
            <w:r>
              <w:rPr>
                <w:rFonts w:ascii="Arial" w:cs="Arial" w:eastAsia="Arial" w:hAnsi="Arial"/>
                <w:sz w:val="22"/>
                <w:szCs w:val="22"/>
                <w:color w:val="auto"/>
              </w:rPr>
              <w:t>(2,178)</w:t>
            </w:r>
          </w:p>
        </w:tc>
        <w:tc>
          <w:tcPr>
            <w:tcW w:w="26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1,305</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(9,611)</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3,014</w:t>
            </w: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2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60"/>
              <w:spacing w:after="0" w:line="243" w:lineRule="exact"/>
              <w:rPr>
                <w:sz w:val="20"/>
                <w:szCs w:val="20"/>
                <w:color w:val="auto"/>
              </w:rPr>
            </w:pPr>
            <w:r>
              <w:rPr>
                <w:rFonts w:ascii="Arial" w:cs="Arial" w:eastAsia="Arial" w:hAnsi="Arial"/>
                <w:sz w:val="22"/>
                <w:szCs w:val="22"/>
                <w:color w:val="auto"/>
              </w:rPr>
              <w:t>898</w:t>
            </w:r>
          </w:p>
        </w:tc>
        <w:tc>
          <w:tcPr>
            <w:tcW w:w="260" w:type="dxa"/>
            <w:vAlign w:val="bottom"/>
            <w:shd w:val="clear" w:color="auto" w:fill="E5FFFF"/>
          </w:tcPr>
          <w:p>
            <w:pPr>
              <w:spacing w:after="0"/>
              <w:rPr>
                <w:sz w:val="21"/>
                <w:szCs w:val="21"/>
                <w:color w:val="auto"/>
              </w:rPr>
            </w:pPr>
          </w:p>
        </w:tc>
        <w:tc>
          <w:tcPr>
            <w:tcW w:w="1100" w:type="dxa"/>
            <w:vAlign w:val="bottom"/>
            <w:gridSpan w:val="3"/>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1,216</w:t>
            </w:r>
          </w:p>
        </w:tc>
        <w:tc>
          <w:tcPr>
            <w:tcW w:w="120" w:type="dxa"/>
            <w:vAlign w:val="bottom"/>
            <w:shd w:val="clear" w:color="auto" w:fill="E5FFFF"/>
          </w:tcPr>
          <w:p>
            <w:pPr>
              <w:spacing w:after="0"/>
              <w:rPr>
                <w:sz w:val="21"/>
                <w:szCs w:val="21"/>
                <w:color w:val="auto"/>
              </w:rPr>
            </w:pPr>
          </w:p>
        </w:tc>
        <w:tc>
          <w:tcPr>
            <w:tcW w:w="120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1,048</w:t>
            </w:r>
          </w:p>
        </w:tc>
        <w:tc>
          <w:tcPr>
            <w:tcW w:w="180" w:type="dxa"/>
            <w:vAlign w:val="bottom"/>
            <w:shd w:val="clear" w:color="auto" w:fill="E5FFFF"/>
          </w:tcPr>
          <w:p>
            <w:pPr>
              <w:spacing w:after="0"/>
              <w:rPr>
                <w:sz w:val="21"/>
                <w:szCs w:val="21"/>
                <w:color w:val="auto"/>
              </w:rPr>
            </w:pPr>
          </w:p>
        </w:tc>
        <w:tc>
          <w:tcPr>
            <w:tcW w:w="82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2,602</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22"/>
                <w:szCs w:val="22"/>
                <w:color w:val="auto"/>
              </w:rPr>
              <w:t>Corporate and other</w:t>
            </w:r>
          </w:p>
        </w:tc>
        <w:tc>
          <w:tcPr>
            <w:tcW w:w="120" w:type="dxa"/>
            <w:vAlign w:val="bottom"/>
          </w:tcPr>
          <w:p>
            <w:pPr>
              <w:spacing w:after="0"/>
              <w:rPr>
                <w:sz w:val="22"/>
                <w:szCs w:val="22"/>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22"/>
                <w:szCs w:val="22"/>
                <w:color w:val="auto"/>
              </w:rPr>
              <w:t>(468)</w:t>
            </w:r>
          </w:p>
        </w:tc>
        <w:tc>
          <w:tcPr>
            <w:tcW w:w="260" w:type="dxa"/>
            <w:vAlign w:val="bottom"/>
          </w:tcPr>
          <w:p>
            <w:pPr>
              <w:spacing w:after="0"/>
              <w:rPr>
                <w:sz w:val="22"/>
                <w:szCs w:val="22"/>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22"/>
                <w:szCs w:val="22"/>
                <w:color w:val="auto"/>
              </w:rPr>
              <w:t>(265)</w:t>
            </w:r>
          </w:p>
        </w:tc>
        <w:tc>
          <w:tcPr>
            <w:tcW w:w="120" w:type="dxa"/>
            <w:vAlign w:val="bottom"/>
          </w:tcPr>
          <w:p>
            <w:pPr>
              <w:spacing w:after="0"/>
              <w:rPr>
                <w:sz w:val="22"/>
                <w:szCs w:val="22"/>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22"/>
                <w:szCs w:val="22"/>
                <w:color w:val="auto"/>
              </w:rPr>
              <w:t>(820)</w:t>
            </w:r>
          </w:p>
        </w:tc>
        <w:tc>
          <w:tcPr>
            <w:tcW w:w="180" w:type="dxa"/>
            <w:vAlign w:val="bottom"/>
          </w:tcPr>
          <w:p>
            <w:pPr>
              <w:spacing w:after="0"/>
              <w:rPr>
                <w:sz w:val="22"/>
                <w:szCs w:val="22"/>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22"/>
                <w:szCs w:val="22"/>
                <w:color w:val="auto"/>
              </w:rPr>
              <w:t>(539)</w:t>
            </w:r>
          </w:p>
        </w:tc>
        <w:tc>
          <w:tcPr>
            <w:tcW w:w="0" w:type="dxa"/>
            <w:vAlign w:val="bottom"/>
          </w:tcPr>
          <w:p>
            <w:pPr>
              <w:spacing w:after="0"/>
              <w:rPr>
                <w:sz w:val="1"/>
                <w:szCs w:val="1"/>
                <w:color w:val="auto"/>
              </w:rPr>
            </w:pPr>
          </w:p>
        </w:tc>
      </w:tr>
      <w:tr>
        <w:trPr>
          <w:trHeight w:val="250"/>
        </w:trPr>
        <w:tc>
          <w:tcPr>
            <w:tcW w:w="62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Net (loss) income attributable to REX common shareholders</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(1,748)</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66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color w:val="auto"/>
              </w:rPr>
              <w:t>2,256</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(9,383)</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5,077</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320" w:type="dxa"/>
            <w:vAlign w:val="bottom"/>
            <w:gridSpan w:val="4"/>
          </w:tcPr>
          <w:p>
            <w:pPr>
              <w:jc w:val="center"/>
              <w:ind w:right="440"/>
              <w:spacing w:after="0"/>
              <w:rPr>
                <w:sz w:val="20"/>
                <w:szCs w:val="20"/>
                <w:color w:val="auto"/>
              </w:rPr>
            </w:pPr>
            <w:r>
              <w:rPr>
                <w:rFonts w:ascii="Arial" w:cs="Arial" w:eastAsia="Arial" w:hAnsi="Arial"/>
                <w:sz w:val="22"/>
                <w:szCs w:val="22"/>
                <w:b w:val="1"/>
                <w:bCs w:val="1"/>
                <w:color w:val="auto"/>
                <w:w w:val="89"/>
              </w:rPr>
              <w:t>July 31,</w:t>
            </w:r>
          </w:p>
        </w:tc>
        <w:tc>
          <w:tcPr>
            <w:tcW w:w="3840" w:type="dxa"/>
            <w:vAlign w:val="bottom"/>
            <w:gridSpan w:val="4"/>
          </w:tcPr>
          <w:p>
            <w:pPr>
              <w:spacing w:after="0"/>
              <w:rPr>
                <w:sz w:val="20"/>
                <w:szCs w:val="20"/>
                <w:color w:val="auto"/>
              </w:rPr>
            </w:pPr>
            <w:r>
              <w:rPr>
                <w:rFonts w:ascii="Arial" w:cs="Arial" w:eastAsia="Arial" w:hAnsi="Arial"/>
                <w:sz w:val="22"/>
                <w:szCs w:val="22"/>
                <w:b w:val="1"/>
                <w:bCs w:val="1"/>
                <w:color w:val="auto"/>
              </w:rPr>
              <w:t>January 31,</w:t>
            </w:r>
          </w:p>
        </w:tc>
        <w:tc>
          <w:tcPr>
            <w:tcW w:w="0" w:type="dxa"/>
            <w:vAlign w:val="bottom"/>
          </w:tcPr>
          <w:p>
            <w:pPr>
              <w:spacing w:after="0"/>
              <w:rPr>
                <w:sz w:val="1"/>
                <w:szCs w:val="1"/>
                <w:color w:val="auto"/>
              </w:rPr>
            </w:pPr>
          </w:p>
        </w:tc>
      </w:tr>
      <w:tr>
        <w:trPr>
          <w:trHeight w:val="230"/>
        </w:trPr>
        <w:tc>
          <w:tcPr>
            <w:tcW w:w="3820" w:type="dxa"/>
            <w:vAlign w:val="bottom"/>
          </w:tcPr>
          <w:p>
            <w:pPr>
              <w:spacing w:after="0" w:line="230" w:lineRule="exact"/>
              <w:rPr>
                <w:sz w:val="20"/>
                <w:szCs w:val="20"/>
                <w:color w:val="auto"/>
              </w:rPr>
            </w:pPr>
            <w:r>
              <w:rPr>
                <w:rFonts w:ascii="Arial" w:cs="Arial" w:eastAsia="Arial" w:hAnsi="Arial"/>
                <w:sz w:val="22"/>
                <w:szCs w:val="22"/>
                <w:color w:val="auto"/>
              </w:rPr>
              <w:t>Assets:</w:t>
            </w:r>
          </w:p>
        </w:tc>
        <w:tc>
          <w:tcPr>
            <w:tcW w:w="2920" w:type="dxa"/>
            <w:vAlign w:val="bottom"/>
            <w:gridSpan w:val="3"/>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320"/>
              <w:spacing w:after="0" w:line="230" w:lineRule="exact"/>
              <w:rPr>
                <w:sz w:val="20"/>
                <w:szCs w:val="20"/>
                <w:color w:val="auto"/>
              </w:rPr>
            </w:pPr>
            <w:r>
              <w:rPr>
                <w:rFonts w:ascii="Arial" w:cs="Arial" w:eastAsia="Arial" w:hAnsi="Arial"/>
                <w:sz w:val="22"/>
                <w:szCs w:val="22"/>
                <w:b w:val="1"/>
                <w:bCs w:val="1"/>
                <w:color w:val="auto"/>
                <w:w w:val="85"/>
              </w:rPr>
              <w:t>2020</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3580" w:type="dxa"/>
            <w:vAlign w:val="bottom"/>
            <w:gridSpan w:val="5"/>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$ 379,399</w:t>
            </w:r>
          </w:p>
        </w:tc>
        <w:tc>
          <w:tcPr>
            <w:tcW w:w="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3520" w:type="dxa"/>
            <w:vAlign w:val="bottom"/>
            <w:gridSpan w:val="3"/>
            <w:shd w:val="clear" w:color="auto" w:fill="E5FFFF"/>
          </w:tcPr>
          <w:p>
            <w:pPr>
              <w:jc w:val="right"/>
              <w:ind w:right="2760"/>
              <w:spacing w:after="0" w:line="243" w:lineRule="exact"/>
              <w:rPr>
                <w:sz w:val="20"/>
                <w:szCs w:val="20"/>
                <w:color w:val="auto"/>
              </w:rPr>
            </w:pPr>
            <w:r>
              <w:rPr>
                <w:rFonts w:ascii="Arial" w:cs="Arial" w:eastAsia="Arial" w:hAnsi="Arial"/>
                <w:sz w:val="22"/>
                <w:szCs w:val="22"/>
                <w:color w:val="auto"/>
                <w:w w:val="93"/>
              </w:rPr>
              <w:t>408,746</w:t>
            </w:r>
          </w:p>
        </w:tc>
        <w:tc>
          <w:tcPr>
            <w:tcW w:w="0" w:type="dxa"/>
            <w:vAlign w:val="bottom"/>
          </w:tcPr>
          <w:p>
            <w:pPr>
              <w:spacing w:after="0"/>
              <w:rPr>
                <w:sz w:val="1"/>
                <w:szCs w:val="1"/>
                <w:color w:val="auto"/>
              </w:rPr>
            </w:pPr>
          </w:p>
        </w:tc>
      </w:tr>
      <w:tr>
        <w:trPr>
          <w:trHeight w:val="243"/>
        </w:trPr>
        <w:tc>
          <w:tcPr>
            <w:tcW w:w="382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3580" w:type="dxa"/>
            <w:vAlign w:val="bottom"/>
            <w:gridSpan w:val="5"/>
          </w:tcPr>
          <w:p>
            <w:pPr>
              <w:jc w:val="right"/>
              <w:ind w:right="420"/>
              <w:spacing w:after="0" w:line="243" w:lineRule="exact"/>
              <w:rPr>
                <w:sz w:val="20"/>
                <w:szCs w:val="20"/>
                <w:color w:val="auto"/>
              </w:rPr>
            </w:pPr>
            <w:r>
              <w:rPr>
                <w:rFonts w:ascii="Arial" w:cs="Arial" w:eastAsia="Arial" w:hAnsi="Arial"/>
                <w:sz w:val="22"/>
                <w:szCs w:val="22"/>
                <w:color w:val="auto"/>
              </w:rPr>
              <w:t>4,868</w:t>
            </w:r>
          </w:p>
        </w:tc>
        <w:tc>
          <w:tcPr>
            <w:tcW w:w="320" w:type="dxa"/>
            <w:vAlign w:val="bottom"/>
          </w:tcPr>
          <w:p>
            <w:pPr>
              <w:spacing w:after="0"/>
              <w:rPr>
                <w:sz w:val="21"/>
                <w:szCs w:val="21"/>
                <w:color w:val="auto"/>
              </w:rPr>
            </w:pPr>
          </w:p>
        </w:tc>
        <w:tc>
          <w:tcPr>
            <w:tcW w:w="3520" w:type="dxa"/>
            <w:vAlign w:val="bottom"/>
            <w:gridSpan w:val="3"/>
          </w:tcPr>
          <w:p>
            <w:pPr>
              <w:jc w:val="right"/>
              <w:ind w:right="2760"/>
              <w:spacing w:after="0" w:line="243" w:lineRule="exact"/>
              <w:rPr>
                <w:sz w:val="20"/>
                <w:szCs w:val="20"/>
                <w:color w:val="auto"/>
              </w:rPr>
            </w:pPr>
            <w:r>
              <w:rPr>
                <w:rFonts w:ascii="Arial" w:cs="Arial" w:eastAsia="Arial" w:hAnsi="Arial"/>
                <w:sz w:val="22"/>
                <w:szCs w:val="22"/>
                <w:color w:val="auto"/>
              </w:rPr>
              <w:t>6,101</w:t>
            </w:r>
          </w:p>
        </w:tc>
        <w:tc>
          <w:tcPr>
            <w:tcW w:w="0" w:type="dxa"/>
            <w:vAlign w:val="bottom"/>
          </w:tcPr>
          <w:p>
            <w:pPr>
              <w:spacing w:after="0"/>
              <w:rPr>
                <w:sz w:val="1"/>
                <w:szCs w:val="1"/>
                <w:color w:val="auto"/>
              </w:rPr>
            </w:pPr>
          </w:p>
        </w:tc>
      </w:tr>
      <w:tr>
        <w:trPr>
          <w:trHeight w:val="257"/>
        </w:trPr>
        <w:tc>
          <w:tcPr>
            <w:tcW w:w="382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3580" w:type="dxa"/>
            <w:vAlign w:val="bottom"/>
            <w:gridSpan w:val="5"/>
            <w:shd w:val="clear" w:color="auto" w:fill="E5FFFF"/>
          </w:tcPr>
          <w:p>
            <w:pPr>
              <w:jc w:val="right"/>
              <w:ind w:right="420"/>
              <w:spacing w:after="0"/>
              <w:rPr>
                <w:sz w:val="20"/>
                <w:szCs w:val="20"/>
                <w:color w:val="auto"/>
              </w:rPr>
            </w:pPr>
            <w:r>
              <w:rPr>
                <w:rFonts w:ascii="Arial" w:cs="Arial" w:eastAsia="Arial" w:hAnsi="Arial"/>
                <w:sz w:val="22"/>
                <w:szCs w:val="22"/>
                <w:color w:val="auto"/>
              </w:rPr>
              <w:t>88,071</w:t>
            </w:r>
          </w:p>
        </w:tc>
        <w:tc>
          <w:tcPr>
            <w:tcW w:w="320" w:type="dxa"/>
            <w:vAlign w:val="bottom"/>
            <w:shd w:val="clear" w:color="auto" w:fill="E5FFFF"/>
          </w:tcPr>
          <w:p>
            <w:pPr>
              <w:spacing w:after="0"/>
              <w:rPr>
                <w:sz w:val="22"/>
                <w:szCs w:val="22"/>
                <w:color w:val="auto"/>
              </w:rPr>
            </w:pPr>
          </w:p>
        </w:tc>
        <w:tc>
          <w:tcPr>
            <w:tcW w:w="3520" w:type="dxa"/>
            <w:vAlign w:val="bottom"/>
            <w:gridSpan w:val="3"/>
            <w:shd w:val="clear" w:color="auto" w:fill="E5FFFF"/>
          </w:tcPr>
          <w:p>
            <w:pPr>
              <w:jc w:val="right"/>
              <w:ind w:right="2760"/>
              <w:spacing w:after="0"/>
              <w:rPr>
                <w:sz w:val="20"/>
                <w:szCs w:val="20"/>
                <w:color w:val="auto"/>
              </w:rPr>
            </w:pPr>
            <w:r>
              <w:rPr>
                <w:rFonts w:ascii="Arial" w:cs="Arial" w:eastAsia="Arial" w:hAnsi="Arial"/>
                <w:sz w:val="22"/>
                <w:szCs w:val="22"/>
                <w:color w:val="auto"/>
              </w:rPr>
              <w:t>85,655</w:t>
            </w:r>
          </w:p>
        </w:tc>
        <w:tc>
          <w:tcPr>
            <w:tcW w:w="0" w:type="dxa"/>
            <w:vAlign w:val="bottom"/>
          </w:tcPr>
          <w:p>
            <w:pPr>
              <w:spacing w:after="0"/>
              <w:rPr>
                <w:sz w:val="1"/>
                <w:szCs w:val="1"/>
                <w:color w:val="auto"/>
              </w:rPr>
            </w:pPr>
          </w:p>
        </w:tc>
      </w:tr>
      <w:tr>
        <w:trPr>
          <w:trHeight w:val="250"/>
        </w:trPr>
        <w:tc>
          <w:tcPr>
            <w:tcW w:w="3820" w:type="dxa"/>
            <w:vAlign w:val="bottom"/>
          </w:tcPr>
          <w:p>
            <w:pPr>
              <w:spacing w:after="0" w:line="250" w:lineRule="exact"/>
              <w:rPr>
                <w:sz w:val="20"/>
                <w:szCs w:val="20"/>
                <w:color w:val="auto"/>
              </w:rPr>
            </w:pPr>
            <w:r>
              <w:rPr>
                <w:rFonts w:ascii="Arial" w:cs="Arial" w:eastAsia="Arial" w:hAnsi="Arial"/>
                <w:sz w:val="22"/>
                <w:szCs w:val="22"/>
                <w:color w:val="auto"/>
              </w:rPr>
              <w:t>Total assets</w:t>
            </w:r>
          </w:p>
        </w:tc>
        <w:tc>
          <w:tcPr>
            <w:tcW w:w="2260" w:type="dxa"/>
            <w:vAlign w:val="bottom"/>
          </w:tcPr>
          <w:p>
            <w:pPr>
              <w:spacing w:after="0"/>
              <w:rPr>
                <w:sz w:val="21"/>
                <w:szCs w:val="21"/>
                <w:color w:val="auto"/>
              </w:rPr>
            </w:pPr>
          </w:p>
        </w:tc>
        <w:tc>
          <w:tcPr>
            <w:tcW w:w="9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w w:val="89"/>
              </w:rPr>
              <w:t>$ 472,338</w:t>
            </w:r>
          </w:p>
        </w:tc>
        <w:tc>
          <w:tcPr>
            <w:tcW w:w="4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7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w w:val="93"/>
              </w:rPr>
              <w:t>500,502</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60" w:type="dxa"/>
            <w:vAlign w:val="bottom"/>
            <w:vMerge w:val="restart"/>
          </w:tcPr>
          <w:p>
            <w:pPr>
              <w:jc w:val="right"/>
              <w:ind w:right="252"/>
              <w:spacing w:after="0"/>
              <w:rPr>
                <w:sz w:val="20"/>
                <w:szCs w:val="20"/>
                <w:color w:val="auto"/>
              </w:rPr>
            </w:pPr>
            <w:r>
              <w:rPr>
                <w:rFonts w:ascii="Arial" w:cs="Arial" w:eastAsia="Arial" w:hAnsi="Arial"/>
                <w:sz w:val="22"/>
                <w:szCs w:val="22"/>
                <w:color w:val="auto"/>
              </w:rPr>
              <w:t>22</w:t>
            </w: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8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2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7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-1113790</wp:posOffset>
            </wp:positionV>
            <wp:extent cx="168021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0210" cy="1543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-805180</wp:posOffset>
            </wp:positionV>
            <wp:extent cx="168021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0210" cy="16319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3"/>
        </w:trPr>
        <w:tc>
          <w:tcPr>
            <w:tcW w:w="5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9"/>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ind w:left="8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80"/>
        </w:trPr>
        <w:tc>
          <w:tcPr>
            <w:tcW w:w="5140" w:type="dxa"/>
            <w:vAlign w:val="bottom"/>
            <w:vMerge w:val="restart"/>
          </w:tcPr>
          <w:p>
            <w:pPr>
              <w:spacing w:after="0"/>
              <w:rPr>
                <w:sz w:val="20"/>
                <w:szCs w:val="20"/>
                <w:color w:val="auto"/>
              </w:rPr>
            </w:pPr>
            <w:r>
              <w:rPr>
                <w:rFonts w:ascii="Arial" w:cs="Arial" w:eastAsia="Arial" w:hAnsi="Arial"/>
                <w:sz w:val="22"/>
                <w:szCs w:val="22"/>
                <w:color w:val="auto"/>
                <w:w w:val="99"/>
              </w:rPr>
              <w:t>Sales of products, ethanol and by-products segment: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22"/>
                <w:szCs w:val="22"/>
                <w:b w:val="1"/>
                <w:bCs w:val="1"/>
                <w:color w:val="auto"/>
                <w:w w:val="85"/>
              </w:rPr>
              <w:t>2020</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5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2019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2020</w:t>
            </w:r>
          </w:p>
        </w:tc>
        <w:tc>
          <w:tcPr>
            <w:tcW w:w="92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5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8"/>
              </w:rPr>
              <w:t>2019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1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32,524</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83,219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93,121</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w w:val="98"/>
              </w:rPr>
              <w:t>160,837</w:t>
            </w:r>
          </w:p>
        </w:tc>
        <w:tc>
          <w:tcPr>
            <w:tcW w:w="0" w:type="dxa"/>
            <w:vAlign w:val="bottom"/>
          </w:tcPr>
          <w:p>
            <w:pPr>
              <w:spacing w:after="0"/>
              <w:rPr>
                <w:sz w:val="1"/>
                <w:szCs w:val="1"/>
                <w:color w:val="auto"/>
              </w:rPr>
            </w:pP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5,480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15,887</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24,398</w:t>
            </w:r>
          </w:p>
        </w:tc>
        <w:tc>
          <w:tcPr>
            <w:tcW w:w="200" w:type="dxa"/>
            <w:vAlign w:val="bottom"/>
          </w:tcPr>
          <w:p>
            <w:pPr>
              <w:spacing w:after="0"/>
              <w:rPr>
                <w:sz w:val="21"/>
                <w:szCs w:val="21"/>
                <w:color w:val="auto"/>
              </w:rPr>
            </w:pPr>
          </w:p>
        </w:tc>
        <w:tc>
          <w:tcPr>
            <w:tcW w:w="90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34,561</w:t>
            </w:r>
          </w:p>
        </w:tc>
        <w:tc>
          <w:tcPr>
            <w:tcW w:w="0" w:type="dxa"/>
            <w:vAlign w:val="bottom"/>
          </w:tcPr>
          <w:p>
            <w:pPr>
              <w:spacing w:after="0"/>
              <w:rPr>
                <w:sz w:val="1"/>
                <w:szCs w:val="1"/>
                <w:color w:val="auto"/>
              </w:rPr>
            </w:pPr>
          </w:p>
        </w:tc>
      </w:tr>
      <w:tr>
        <w:trPr>
          <w:trHeight w:val="243"/>
        </w:trPr>
        <w:tc>
          <w:tcPr>
            <w:tcW w:w="51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6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1,313</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4,599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4,501</w:t>
            </w:r>
          </w:p>
        </w:tc>
        <w:tc>
          <w:tcPr>
            <w:tcW w:w="200" w:type="dxa"/>
            <w:vAlign w:val="bottom"/>
            <w:shd w:val="clear" w:color="auto" w:fill="E5FFFF"/>
          </w:tcPr>
          <w:p>
            <w:pPr>
              <w:spacing w:after="0"/>
              <w:rPr>
                <w:sz w:val="21"/>
                <w:szCs w:val="21"/>
                <w:color w:val="auto"/>
              </w:rPr>
            </w:pPr>
          </w:p>
        </w:tc>
        <w:tc>
          <w:tcPr>
            <w:tcW w:w="90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9,582</w:t>
            </w:r>
          </w:p>
        </w:tc>
        <w:tc>
          <w:tcPr>
            <w:tcW w:w="0" w:type="dxa"/>
            <w:vAlign w:val="bottom"/>
          </w:tcPr>
          <w:p>
            <w:pPr>
              <w:spacing w:after="0"/>
              <w:rPr>
                <w:sz w:val="1"/>
                <w:szCs w:val="1"/>
                <w:color w:val="auto"/>
              </w:rPr>
            </w:pP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2,004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666</w:t>
            </w:r>
          </w:p>
        </w:tc>
        <w:tc>
          <w:tcPr>
            <w:tcW w:w="200" w:type="dxa"/>
            <w:vAlign w:val="bottom"/>
          </w:tcPr>
          <w:p>
            <w:pPr>
              <w:spacing w:after="0"/>
              <w:rPr>
                <w:sz w:val="21"/>
                <w:szCs w:val="21"/>
                <w:color w:val="auto"/>
              </w:rPr>
            </w:pPr>
          </w:p>
        </w:tc>
        <w:tc>
          <w:tcPr>
            <w:tcW w:w="90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5,144</w:t>
            </w:r>
          </w:p>
        </w:tc>
        <w:tc>
          <w:tcPr>
            <w:tcW w:w="0" w:type="dxa"/>
            <w:vAlign w:val="bottom"/>
          </w:tcPr>
          <w:p>
            <w:pPr>
              <w:spacing w:after="0"/>
              <w:rPr>
                <w:sz w:val="1"/>
                <w:szCs w:val="1"/>
                <w:color w:val="auto"/>
              </w:rPr>
            </w:pPr>
          </w:p>
        </w:tc>
      </w:tr>
      <w:tr>
        <w:trPr>
          <w:trHeight w:val="243"/>
        </w:trPr>
        <w:tc>
          <w:tcPr>
            <w:tcW w:w="51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6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(298)</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(298)</w:t>
            </w:r>
          </w:p>
        </w:tc>
        <w:tc>
          <w:tcPr>
            <w:tcW w:w="200" w:type="dxa"/>
            <w:vAlign w:val="bottom"/>
            <w:shd w:val="clear" w:color="auto" w:fill="E5FFFF"/>
          </w:tcPr>
          <w:p>
            <w:pPr>
              <w:spacing w:after="0"/>
              <w:rPr>
                <w:sz w:val="21"/>
                <w:szCs w:val="21"/>
                <w:color w:val="auto"/>
              </w:rPr>
            </w:pPr>
          </w:p>
        </w:tc>
        <w:tc>
          <w:tcPr>
            <w:tcW w:w="90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0"/>
                <w:szCs w:val="20"/>
                <w:color w:val="auto"/>
              </w:rPr>
            </w:pPr>
            <w:r>
              <w:rPr>
                <w:rFonts w:ascii="Arial" w:cs="Arial" w:eastAsia="Arial" w:hAnsi="Arial"/>
                <w:sz w:val="22"/>
                <w:szCs w:val="22"/>
                <w:color w:val="auto"/>
              </w:rPr>
              <w:t>Other</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14</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61</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89</w:t>
            </w:r>
          </w:p>
        </w:tc>
        <w:tc>
          <w:tcPr>
            <w:tcW w:w="200" w:type="dxa"/>
            <w:vAlign w:val="bottom"/>
          </w:tcPr>
          <w:p>
            <w:pPr>
              <w:spacing w:after="0"/>
              <w:rPr>
                <w:sz w:val="22"/>
                <w:szCs w:val="22"/>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50"/>
        </w:trPr>
        <w:tc>
          <w:tcPr>
            <w:tcW w:w="51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60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39,242</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105,770</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122,477</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210,223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22"/>
                <w:szCs w:val="22"/>
                <w:color w:val="auto"/>
              </w:rPr>
              <w:t>Sales of products, refined coal segment:</w:t>
            </w: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1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80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85</w:t>
            </w:r>
          </w:p>
        </w:tc>
        <w:tc>
          <w:tcPr>
            <w:tcW w:w="660" w:type="dxa"/>
            <w:vAlign w:val="bottom"/>
            <w:gridSpan w:val="2"/>
            <w:shd w:val="clear" w:color="auto" w:fill="E5FFFF"/>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98</w:t>
            </w:r>
          </w:p>
        </w:tc>
        <w:tc>
          <w:tcPr>
            <w:tcW w:w="44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4"/>
            <w:shd w:val="clear" w:color="auto" w:fill="E5FFFF"/>
          </w:tcPr>
          <w:p>
            <w:pPr>
              <w:jc w:val="right"/>
              <w:ind w:right="440"/>
              <w:spacing w:after="0"/>
              <w:rPr>
                <w:sz w:val="20"/>
                <w:szCs w:val="20"/>
                <w:color w:val="auto"/>
              </w:rPr>
            </w:pPr>
            <w:r>
              <w:rPr>
                <w:rFonts w:ascii="Arial" w:cs="Arial" w:eastAsia="Arial" w:hAnsi="Arial"/>
                <w:sz w:val="22"/>
                <w:szCs w:val="22"/>
                <w:color w:val="auto"/>
              </w:rPr>
              <w:t>100</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4"/>
            <w:shd w:val="clear" w:color="auto" w:fill="E5FFFF"/>
          </w:tcPr>
          <w:p>
            <w:pPr>
              <w:jc w:val="right"/>
              <w:ind w:right="100"/>
              <w:spacing w:after="0"/>
              <w:rPr>
                <w:sz w:val="20"/>
                <w:szCs w:val="20"/>
                <w:color w:val="auto"/>
              </w:rPr>
            </w:pPr>
            <w:r>
              <w:rPr>
                <w:rFonts w:ascii="Arial" w:cs="Arial" w:eastAsia="Arial" w:hAnsi="Arial"/>
                <w:sz w:val="22"/>
                <w:szCs w:val="22"/>
                <w:color w:val="auto"/>
              </w:rPr>
              <w:t>220</w:t>
            </w:r>
          </w:p>
        </w:tc>
        <w:tc>
          <w:tcPr>
            <w:tcW w:w="0" w:type="dxa"/>
            <w:vAlign w:val="bottom"/>
          </w:tcPr>
          <w:p>
            <w:pPr>
              <w:spacing w:after="0"/>
              <w:rPr>
                <w:sz w:val="1"/>
                <w:szCs w:val="1"/>
                <w:color w:val="auto"/>
              </w:rPr>
            </w:pPr>
          </w:p>
        </w:tc>
      </w:tr>
      <w:tr>
        <w:trPr>
          <w:trHeight w:val="20"/>
        </w:trPr>
        <w:tc>
          <w:tcPr>
            <w:tcW w:w="5140" w:type="dxa"/>
            <w:vAlign w:val="bottom"/>
            <w:tcBorders>
              <w:top w:val="single" w:sz="8" w:color="E5FFFF"/>
            </w:tcBorders>
          </w:tcPr>
          <w:p>
            <w:pPr>
              <w:spacing w:after="0" w:line="20" w:lineRule="exact"/>
              <w:rPr>
                <w:sz w:val="1"/>
                <w:szCs w:val="1"/>
                <w:color w:val="auto"/>
              </w:rPr>
            </w:pPr>
          </w:p>
        </w:tc>
        <w:tc>
          <w:tcPr>
            <w:tcW w:w="6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At July 31, 2020, investments in our ethanol business include equity investments in three ethanol limited liability companies, in two of which we have a majority ownership interest. The following table is a summary of ethanol gallons shipped at our plants: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1360" w:type="dxa"/>
            <w:vAlign w:val="bottom"/>
            <w:tcBorders>
              <w:top w:val="single" w:sz="8" w:color="auto"/>
            </w:tcBorders>
          </w:tcPr>
          <w:p>
            <w:pPr>
              <w:jc w:val="center"/>
              <w:ind w:left="192"/>
              <w:spacing w:after="0" w:line="229" w:lineRule="exact"/>
              <w:rPr>
                <w:sz w:val="20"/>
                <w:szCs w:val="20"/>
                <w:color w:val="auto"/>
              </w:rPr>
            </w:pPr>
            <w:r>
              <w:rPr>
                <w:rFonts w:ascii="Arial" w:cs="Arial" w:eastAsia="Arial" w:hAnsi="Arial"/>
                <w:sz w:val="22"/>
                <w:szCs w:val="22"/>
                <w:b w:val="1"/>
                <w:bCs w:val="1"/>
                <w:color w:val="auto"/>
                <w:w w:val="92"/>
              </w:rPr>
              <w:t>Trailing 12</w:t>
            </w:r>
          </w:p>
        </w:tc>
        <w:tc>
          <w:tcPr>
            <w:tcW w:w="340" w:type="dxa"/>
            <w:vAlign w:val="bottom"/>
            <w:tcBorders>
              <w:top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4"/>
              </w:rPr>
              <w:t>REX’s</w:t>
            </w:r>
          </w:p>
        </w:tc>
        <w:tc>
          <w:tcPr>
            <w:tcW w:w="1920" w:type="dxa"/>
            <w:vAlign w:val="bottom"/>
            <w:tcBorders>
              <w:top w:val="single" w:sz="8" w:color="auto"/>
            </w:tcBorders>
          </w:tcPr>
          <w:p>
            <w:pPr>
              <w:jc w:val="center"/>
              <w:ind w:left="192"/>
              <w:spacing w:after="0" w:line="229" w:lineRule="exact"/>
              <w:rPr>
                <w:sz w:val="20"/>
                <w:szCs w:val="20"/>
                <w:color w:val="auto"/>
              </w:rPr>
            </w:pPr>
            <w:r>
              <w:rPr>
                <w:rFonts w:ascii="Arial" w:cs="Arial" w:eastAsia="Arial" w:hAnsi="Arial"/>
                <w:sz w:val="22"/>
                <w:szCs w:val="22"/>
                <w:b w:val="1"/>
                <w:bCs w:val="1"/>
                <w:color w:val="auto"/>
                <w:w w:val="91"/>
              </w:rPr>
              <w:t>Current Effective</w:t>
            </w:r>
          </w:p>
        </w:tc>
        <w:tc>
          <w:tcPr>
            <w:tcW w:w="3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60" w:type="dxa"/>
            <w:vAlign w:val="bottom"/>
          </w:tcPr>
          <w:p>
            <w:pPr>
              <w:jc w:val="center"/>
              <w:ind w:left="192"/>
              <w:spacing w:after="0" w:line="217" w:lineRule="exact"/>
              <w:rPr>
                <w:sz w:val="20"/>
                <w:szCs w:val="20"/>
                <w:color w:val="auto"/>
              </w:rPr>
            </w:pPr>
            <w:r>
              <w:rPr>
                <w:rFonts w:ascii="Arial" w:cs="Arial" w:eastAsia="Arial" w:hAnsi="Arial"/>
                <w:sz w:val="22"/>
                <w:szCs w:val="22"/>
                <w:b w:val="1"/>
                <w:bCs w:val="1"/>
                <w:color w:val="auto"/>
                <w:w w:val="89"/>
              </w:rPr>
              <w:t>Months</w:t>
            </w:r>
          </w:p>
        </w:tc>
        <w:tc>
          <w:tcPr>
            <w:tcW w:w="3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vMerge w:val="continue"/>
          </w:tcPr>
          <w:p>
            <w:pPr>
              <w:spacing w:after="0"/>
              <w:rPr>
                <w:sz w:val="18"/>
                <w:szCs w:val="18"/>
                <w:color w:val="auto"/>
              </w:rPr>
            </w:pPr>
          </w:p>
        </w:tc>
        <w:tc>
          <w:tcPr>
            <w:tcW w:w="1920" w:type="dxa"/>
            <w:vAlign w:val="bottom"/>
          </w:tcPr>
          <w:p>
            <w:pPr>
              <w:jc w:val="center"/>
              <w:ind w:left="192"/>
              <w:spacing w:after="0" w:line="217" w:lineRule="exact"/>
              <w:rPr>
                <w:sz w:val="20"/>
                <w:szCs w:val="20"/>
                <w:color w:val="auto"/>
              </w:rPr>
            </w:pPr>
            <w:r>
              <w:rPr>
                <w:rFonts w:ascii="Arial" w:cs="Arial" w:eastAsia="Arial" w:hAnsi="Arial"/>
                <w:sz w:val="22"/>
                <w:szCs w:val="22"/>
                <w:b w:val="1"/>
                <w:bCs w:val="1"/>
                <w:color w:val="auto"/>
                <w:w w:val="89"/>
              </w:rPr>
              <w:t>Ownership of</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tcPr>
          <w:p>
            <w:pPr>
              <w:spacing w:after="0"/>
              <w:rPr>
                <w:sz w:val="21"/>
                <w:szCs w:val="21"/>
                <w:color w:val="auto"/>
              </w:rPr>
            </w:pPr>
          </w:p>
        </w:tc>
        <w:tc>
          <w:tcPr>
            <w:tcW w:w="136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91"/>
              </w:rPr>
              <w:t>Ethanol</w:t>
            </w:r>
          </w:p>
        </w:tc>
        <w:tc>
          <w:tcPr>
            <w:tcW w:w="34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5"/>
              </w:rPr>
              <w:t>Current</w:t>
            </w:r>
          </w:p>
        </w:tc>
        <w:tc>
          <w:tcPr>
            <w:tcW w:w="192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92"/>
              </w:rPr>
              <w:t>Trailing 12</w:t>
            </w: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tcPr>
          <w:p>
            <w:pPr>
              <w:spacing w:after="0"/>
              <w:rPr>
                <w:sz w:val="21"/>
                <w:szCs w:val="21"/>
                <w:color w:val="auto"/>
              </w:rPr>
            </w:pPr>
          </w:p>
        </w:tc>
        <w:tc>
          <w:tcPr>
            <w:tcW w:w="136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86"/>
              </w:rPr>
              <w:t>Gallons</w:t>
            </w:r>
          </w:p>
        </w:tc>
        <w:tc>
          <w:tcPr>
            <w:tcW w:w="34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Effective</w:t>
            </w:r>
          </w:p>
        </w:tc>
        <w:tc>
          <w:tcPr>
            <w:tcW w:w="192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90"/>
              </w:rPr>
              <w:t>Months Ethanol</w:t>
            </w: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tcPr>
          <w:p>
            <w:pPr>
              <w:ind w:left="2540"/>
              <w:spacing w:after="0" w:line="243" w:lineRule="exact"/>
              <w:rPr>
                <w:sz w:val="20"/>
                <w:szCs w:val="20"/>
                <w:color w:val="auto"/>
              </w:rPr>
            </w:pPr>
            <w:r>
              <w:rPr>
                <w:rFonts w:ascii="Arial" w:cs="Arial" w:eastAsia="Arial" w:hAnsi="Arial"/>
                <w:sz w:val="22"/>
                <w:szCs w:val="22"/>
                <w:b w:val="1"/>
                <w:bCs w:val="1"/>
                <w:color w:val="auto"/>
              </w:rPr>
              <w:t>Entity</w:t>
            </w:r>
          </w:p>
        </w:tc>
        <w:tc>
          <w:tcPr>
            <w:tcW w:w="136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7"/>
              </w:rPr>
              <w:t>Shipped</w:t>
            </w:r>
          </w:p>
        </w:tc>
        <w:tc>
          <w:tcPr>
            <w:tcW w:w="34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Ownership</w:t>
            </w:r>
          </w:p>
        </w:tc>
        <w:tc>
          <w:tcPr>
            <w:tcW w:w="192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7"/>
              </w:rPr>
              <w:t>Gallons Shipped</w:t>
            </w: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Interest</w:t>
            </w: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640" w:type="dxa"/>
            <w:vAlign w:val="bottom"/>
            <w:tcBorders>
              <w:left w:val="single" w:sz="8" w:color="auto"/>
              <w:bottom w:val="single" w:sz="8" w:color="auto"/>
              <w:right w:val="single" w:sz="8" w:color="auto"/>
            </w:tcBorders>
            <w:shd w:val="clear" w:color="auto" w:fill="E5FFFF"/>
          </w:tcPr>
          <w:p>
            <w:pPr>
              <w:ind w:left="120"/>
              <w:spacing w:after="0" w:line="251" w:lineRule="exact"/>
              <w:rPr>
                <w:sz w:val="20"/>
                <w:szCs w:val="20"/>
                <w:color w:val="auto"/>
              </w:rPr>
            </w:pPr>
            <w:r>
              <w:rPr>
                <w:rFonts w:ascii="Arial" w:cs="Arial" w:eastAsia="Arial" w:hAnsi="Arial"/>
                <w:sz w:val="22"/>
                <w:szCs w:val="22"/>
                <w:color w:val="auto"/>
              </w:rPr>
              <w:t>One Earth Energy, LLC</w:t>
            </w:r>
          </w:p>
        </w:tc>
        <w:tc>
          <w:tcPr>
            <w:tcW w:w="1700" w:type="dxa"/>
            <w:vAlign w:val="bottom"/>
            <w:tcBorders>
              <w:bottom w:val="single" w:sz="8" w:color="auto"/>
              <w:right w:val="single" w:sz="8" w:color="auto"/>
            </w:tcBorders>
            <w:gridSpan w:val="2"/>
            <w:shd w:val="clear" w:color="auto" w:fill="E5FFFF"/>
          </w:tcPr>
          <w:p>
            <w:pPr>
              <w:jc w:val="right"/>
              <w:ind w:right="32"/>
              <w:spacing w:after="0" w:line="251" w:lineRule="exact"/>
              <w:rPr>
                <w:sz w:val="20"/>
                <w:szCs w:val="20"/>
                <w:color w:val="auto"/>
              </w:rPr>
            </w:pPr>
            <w:r>
              <w:rPr>
                <w:rFonts w:ascii="Arial" w:cs="Arial" w:eastAsia="Arial" w:hAnsi="Arial"/>
                <w:sz w:val="22"/>
                <w:szCs w:val="22"/>
                <w:color w:val="auto"/>
              </w:rPr>
              <w:t>115.7 M</w:t>
            </w:r>
          </w:p>
        </w:tc>
        <w:tc>
          <w:tcPr>
            <w:tcW w:w="1660" w:type="dxa"/>
            <w:vAlign w:val="bottom"/>
            <w:tcBorders>
              <w:bottom w:val="single" w:sz="8" w:color="auto"/>
              <w:right w:val="single" w:sz="8" w:color="auto"/>
            </w:tcBorders>
            <w:shd w:val="clear" w:color="auto" w:fill="E5FFFF"/>
          </w:tcPr>
          <w:p>
            <w:pPr>
              <w:jc w:val="right"/>
              <w:ind w:right="12"/>
              <w:spacing w:after="0" w:line="251" w:lineRule="exact"/>
              <w:rPr>
                <w:sz w:val="20"/>
                <w:szCs w:val="20"/>
                <w:color w:val="auto"/>
              </w:rPr>
            </w:pPr>
            <w:r>
              <w:rPr>
                <w:rFonts w:ascii="Arial" w:cs="Arial" w:eastAsia="Arial" w:hAnsi="Arial"/>
                <w:sz w:val="22"/>
                <w:szCs w:val="22"/>
                <w:color w:val="auto"/>
              </w:rPr>
              <w:t>75.3%</w:t>
            </w:r>
          </w:p>
        </w:tc>
        <w:tc>
          <w:tcPr>
            <w:tcW w:w="2240" w:type="dxa"/>
            <w:vAlign w:val="bottom"/>
            <w:tcBorders>
              <w:bottom w:val="single" w:sz="8" w:color="auto"/>
              <w:right w:val="single" w:sz="8" w:color="auto"/>
            </w:tcBorders>
            <w:gridSpan w:val="2"/>
            <w:shd w:val="clear" w:color="auto" w:fill="E5FFFF"/>
          </w:tcPr>
          <w:p>
            <w:pPr>
              <w:jc w:val="right"/>
              <w:ind w:right="12"/>
              <w:spacing w:after="0" w:line="251" w:lineRule="exact"/>
              <w:rPr>
                <w:sz w:val="20"/>
                <w:szCs w:val="20"/>
                <w:color w:val="auto"/>
              </w:rPr>
            </w:pPr>
            <w:r>
              <w:rPr>
                <w:rFonts w:ascii="Arial" w:cs="Arial" w:eastAsia="Arial" w:hAnsi="Arial"/>
                <w:sz w:val="22"/>
                <w:szCs w:val="22"/>
                <w:color w:val="auto"/>
              </w:rPr>
              <w:t>87.1 M</w:t>
            </w: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NuGen Energy, LLC</w:t>
            </w:r>
          </w:p>
        </w:tc>
        <w:tc>
          <w:tcPr>
            <w:tcW w:w="1700" w:type="dxa"/>
            <w:vAlign w:val="bottom"/>
            <w:tcBorders>
              <w:bottom w:val="single" w:sz="8" w:color="auto"/>
              <w:right w:val="single" w:sz="8" w:color="auto"/>
            </w:tcBorders>
            <w:gridSpan w:val="2"/>
          </w:tcPr>
          <w:p>
            <w:pPr>
              <w:jc w:val="right"/>
              <w:ind w:right="32"/>
              <w:spacing w:after="0" w:line="250" w:lineRule="exact"/>
              <w:rPr>
                <w:sz w:val="20"/>
                <w:szCs w:val="20"/>
                <w:color w:val="auto"/>
              </w:rPr>
            </w:pPr>
            <w:r>
              <w:rPr>
                <w:rFonts w:ascii="Arial" w:cs="Arial" w:eastAsia="Arial" w:hAnsi="Arial"/>
                <w:sz w:val="22"/>
                <w:szCs w:val="22"/>
                <w:color w:val="auto"/>
              </w:rPr>
              <w:t>72.6 M</w:t>
            </w:r>
          </w:p>
        </w:tc>
        <w:tc>
          <w:tcPr>
            <w:tcW w:w="1660" w:type="dxa"/>
            <w:vAlign w:val="bottom"/>
            <w:tcBorders>
              <w:bottom w:val="single" w:sz="8" w:color="auto"/>
              <w:right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rPr>
              <w:t>99.5%</w:t>
            </w:r>
          </w:p>
        </w:tc>
        <w:tc>
          <w:tcPr>
            <w:tcW w:w="2240" w:type="dxa"/>
            <w:vAlign w:val="bottom"/>
            <w:tcBorders>
              <w:bottom w:val="single" w:sz="8" w:color="auto"/>
              <w:right w:val="single" w:sz="8" w:color="auto"/>
            </w:tcBorders>
            <w:gridSpan w:val="2"/>
          </w:tcPr>
          <w:p>
            <w:pPr>
              <w:jc w:val="right"/>
              <w:ind w:right="12"/>
              <w:spacing w:after="0" w:line="250" w:lineRule="exact"/>
              <w:rPr>
                <w:sz w:val="20"/>
                <w:szCs w:val="20"/>
                <w:color w:val="auto"/>
              </w:rPr>
            </w:pPr>
            <w:r>
              <w:rPr>
                <w:rFonts w:ascii="Arial" w:cs="Arial" w:eastAsia="Arial" w:hAnsi="Arial"/>
                <w:sz w:val="22"/>
                <w:szCs w:val="22"/>
                <w:color w:val="auto"/>
              </w:rPr>
              <w:t>72.2 M</w:t>
            </w:r>
          </w:p>
        </w:tc>
        <w:tc>
          <w:tcPr>
            <w:tcW w:w="0" w:type="dxa"/>
            <w:vAlign w:val="bottom"/>
          </w:tcPr>
          <w:p>
            <w:pPr>
              <w:spacing w:after="0"/>
              <w:rPr>
                <w:sz w:val="1"/>
                <w:szCs w:val="1"/>
                <w:color w:val="auto"/>
              </w:rPr>
            </w:pPr>
          </w:p>
        </w:tc>
      </w:tr>
      <w:tr>
        <w:trPr>
          <w:trHeight w:val="237"/>
        </w:trPr>
        <w:tc>
          <w:tcPr>
            <w:tcW w:w="5640" w:type="dxa"/>
            <w:vAlign w:val="bottom"/>
            <w:tcBorders>
              <w:left w:val="single" w:sz="8" w:color="auto"/>
              <w:right w:val="single" w:sz="8" w:color="auto"/>
            </w:tcBorders>
            <w:shd w:val="clear" w:color="auto" w:fill="E5FFFF"/>
          </w:tcPr>
          <w:p>
            <w:pPr>
              <w:ind w:left="120"/>
              <w:spacing w:after="0" w:line="237" w:lineRule="exact"/>
              <w:rPr>
                <w:sz w:val="20"/>
                <w:szCs w:val="20"/>
                <w:color w:val="auto"/>
              </w:rPr>
            </w:pPr>
            <w:r>
              <w:rPr>
                <w:rFonts w:ascii="Arial" w:cs="Arial" w:eastAsia="Arial" w:hAnsi="Arial"/>
                <w:sz w:val="22"/>
                <w:szCs w:val="22"/>
                <w:color w:val="auto"/>
              </w:rPr>
              <w:t>Big River Resources, LLC:</w:t>
            </w:r>
          </w:p>
        </w:tc>
        <w:tc>
          <w:tcPr>
            <w:tcW w:w="1360" w:type="dxa"/>
            <w:vAlign w:val="bottom"/>
            <w:shd w:val="clear" w:color="auto" w:fill="E5FFFF"/>
          </w:tcPr>
          <w:p>
            <w:pPr>
              <w:spacing w:after="0"/>
              <w:rPr>
                <w:sz w:val="20"/>
                <w:szCs w:val="20"/>
                <w:color w:val="auto"/>
              </w:rPr>
            </w:pPr>
          </w:p>
        </w:tc>
        <w:tc>
          <w:tcPr>
            <w:tcW w:w="340" w:type="dxa"/>
            <w:vAlign w:val="bottom"/>
            <w:tcBorders>
              <w:right w:val="single" w:sz="8" w:color="auto"/>
            </w:tcBorders>
            <w:shd w:val="clear" w:color="auto" w:fill="E5FFFF"/>
          </w:tcPr>
          <w:p>
            <w:pPr>
              <w:spacing w:after="0"/>
              <w:rPr>
                <w:sz w:val="20"/>
                <w:szCs w:val="20"/>
                <w:color w:val="auto"/>
              </w:rPr>
            </w:pPr>
          </w:p>
        </w:tc>
        <w:tc>
          <w:tcPr>
            <w:tcW w:w="1660" w:type="dxa"/>
            <w:vAlign w:val="bottom"/>
            <w:tcBorders>
              <w:right w:val="single" w:sz="8" w:color="auto"/>
            </w:tcBorders>
            <w:shd w:val="clear" w:color="auto" w:fill="E5FFFF"/>
          </w:tcPr>
          <w:p>
            <w:pPr>
              <w:spacing w:after="0"/>
              <w:rPr>
                <w:sz w:val="20"/>
                <w:szCs w:val="20"/>
                <w:color w:val="auto"/>
              </w:rPr>
            </w:pPr>
          </w:p>
        </w:tc>
        <w:tc>
          <w:tcPr>
            <w:tcW w:w="1920" w:type="dxa"/>
            <w:vAlign w:val="bottom"/>
            <w:shd w:val="clear" w:color="auto" w:fill="E5FFFF"/>
          </w:tcPr>
          <w:p>
            <w:pPr>
              <w:spacing w:after="0"/>
              <w:rPr>
                <w:sz w:val="20"/>
                <w:szCs w:val="20"/>
                <w:color w:val="auto"/>
              </w:rPr>
            </w:pPr>
          </w:p>
        </w:tc>
        <w:tc>
          <w:tcPr>
            <w:tcW w:w="320" w:type="dxa"/>
            <w:vAlign w:val="bottom"/>
            <w:tcBorders>
              <w:right w:val="single" w:sz="8" w:color="auto"/>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Resources W Burlington, LLC</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103.8</w:t>
            </w:r>
          </w:p>
        </w:tc>
        <w:tc>
          <w:tcPr>
            <w:tcW w:w="340" w:type="dxa"/>
            <w:vAlign w:val="bottom"/>
            <w:tcBorders>
              <w:right w:val="single" w:sz="8" w:color="auto"/>
            </w:tcBorders>
          </w:tcPr>
          <w:p>
            <w:pPr>
              <w:jc w:val="right"/>
              <w:ind w:right="32"/>
              <w:spacing w:after="0" w:line="243" w:lineRule="exact"/>
              <w:rPr>
                <w:sz w:val="20"/>
                <w:szCs w:val="20"/>
                <w:color w:val="auto"/>
              </w:rPr>
            </w:pPr>
            <w:r>
              <w:rPr>
                <w:rFonts w:ascii="Arial" w:cs="Arial" w:eastAsia="Arial" w:hAnsi="Arial"/>
                <w:sz w:val="22"/>
                <w:szCs w:val="22"/>
                <w:color w:val="auto"/>
                <w:w w:val="97"/>
              </w:rPr>
              <w:t>M</w:t>
            </w:r>
          </w:p>
        </w:tc>
        <w:tc>
          <w:tcPr>
            <w:tcW w:w="166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c>
          <w:tcPr>
            <w:tcW w:w="32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w w:val="97"/>
              </w:rPr>
              <w:t>M</w:t>
            </w: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shd w:val="clear" w:color="auto" w:fill="E5FFFF"/>
          </w:tcPr>
          <w:p>
            <w:pPr>
              <w:ind w:left="300"/>
              <w:spacing w:after="0" w:line="243" w:lineRule="exact"/>
              <w:rPr>
                <w:sz w:val="20"/>
                <w:szCs w:val="20"/>
                <w:color w:val="auto"/>
              </w:rPr>
            </w:pPr>
            <w:r>
              <w:rPr>
                <w:rFonts w:ascii="Arial" w:cs="Arial" w:eastAsia="Arial" w:hAnsi="Arial"/>
                <w:sz w:val="22"/>
                <w:szCs w:val="22"/>
                <w:color w:val="auto"/>
              </w:rPr>
              <w:t>Big River Resources Galva, LLC</w:t>
            </w:r>
          </w:p>
        </w:tc>
        <w:tc>
          <w:tcPr>
            <w:tcW w:w="1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112.0</w:t>
            </w:r>
          </w:p>
        </w:tc>
        <w:tc>
          <w:tcPr>
            <w:tcW w:w="340" w:type="dxa"/>
            <w:vAlign w:val="bottom"/>
            <w:tcBorders>
              <w:right w:val="single" w:sz="8" w:color="auto"/>
            </w:tcBorders>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w w:val="97"/>
              </w:rPr>
              <w:t>M</w:t>
            </w:r>
          </w:p>
        </w:tc>
        <w:tc>
          <w:tcPr>
            <w:tcW w:w="1660" w:type="dxa"/>
            <w:vAlign w:val="bottom"/>
            <w:tcBorders>
              <w:right w:val="single" w:sz="8" w:color="auto"/>
            </w:tcBorders>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1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11.5</w:t>
            </w:r>
          </w:p>
        </w:tc>
        <w:tc>
          <w:tcPr>
            <w:tcW w:w="320" w:type="dxa"/>
            <w:vAlign w:val="bottom"/>
            <w:tcBorders>
              <w:right w:val="single" w:sz="8" w:color="auto"/>
            </w:tcBorders>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w w:val="97"/>
              </w:rPr>
              <w:t>M</w:t>
            </w: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United Energy, LLC</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117.9</w:t>
            </w:r>
          </w:p>
        </w:tc>
        <w:tc>
          <w:tcPr>
            <w:tcW w:w="340" w:type="dxa"/>
            <w:vAlign w:val="bottom"/>
            <w:tcBorders>
              <w:right w:val="single" w:sz="8" w:color="auto"/>
            </w:tcBorders>
          </w:tcPr>
          <w:p>
            <w:pPr>
              <w:jc w:val="right"/>
              <w:ind w:right="32"/>
              <w:spacing w:after="0" w:line="243" w:lineRule="exact"/>
              <w:rPr>
                <w:sz w:val="20"/>
                <w:szCs w:val="20"/>
                <w:color w:val="auto"/>
              </w:rPr>
            </w:pPr>
            <w:r>
              <w:rPr>
                <w:rFonts w:ascii="Arial" w:cs="Arial" w:eastAsia="Arial" w:hAnsi="Arial"/>
                <w:sz w:val="22"/>
                <w:szCs w:val="22"/>
                <w:color w:val="auto"/>
                <w:w w:val="97"/>
              </w:rPr>
              <w:t>M</w:t>
            </w:r>
          </w:p>
        </w:tc>
        <w:tc>
          <w:tcPr>
            <w:tcW w:w="166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5.7%</w:t>
            </w:r>
          </w:p>
        </w:tc>
        <w:tc>
          <w:tcPr>
            <w:tcW w:w="192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c>
          <w:tcPr>
            <w:tcW w:w="32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w w:val="97"/>
              </w:rPr>
              <w:t>M</w:t>
            </w:r>
          </w:p>
        </w:tc>
        <w:tc>
          <w:tcPr>
            <w:tcW w:w="0" w:type="dxa"/>
            <w:vAlign w:val="bottom"/>
          </w:tcPr>
          <w:p>
            <w:pPr>
              <w:spacing w:after="0"/>
              <w:rPr>
                <w:sz w:val="1"/>
                <w:szCs w:val="1"/>
                <w:color w:val="auto"/>
              </w:rPr>
            </w:pPr>
          </w:p>
        </w:tc>
      </w:tr>
      <w:tr>
        <w:trPr>
          <w:trHeight w:val="243"/>
        </w:trPr>
        <w:tc>
          <w:tcPr>
            <w:tcW w:w="5640" w:type="dxa"/>
            <w:vAlign w:val="bottom"/>
            <w:tcBorders>
              <w:left w:val="single" w:sz="8" w:color="auto"/>
              <w:bottom w:val="single" w:sz="8" w:color="auto"/>
              <w:right w:val="single" w:sz="8" w:color="auto"/>
            </w:tcBorders>
            <w:shd w:val="clear" w:color="auto" w:fill="E5FFFF"/>
          </w:tcPr>
          <w:p>
            <w:pPr>
              <w:ind w:left="300"/>
              <w:spacing w:after="0" w:line="243" w:lineRule="exact"/>
              <w:rPr>
                <w:sz w:val="20"/>
                <w:szCs w:val="20"/>
                <w:color w:val="auto"/>
              </w:rPr>
            </w:pPr>
            <w:r>
              <w:rPr>
                <w:rFonts w:ascii="Arial" w:cs="Arial" w:eastAsia="Arial" w:hAnsi="Arial"/>
                <w:sz w:val="22"/>
                <w:szCs w:val="22"/>
                <w:color w:val="auto"/>
              </w:rPr>
              <w:t>Big River Resources Boyceville, LLC</w:t>
            </w:r>
          </w:p>
        </w:tc>
        <w:tc>
          <w:tcPr>
            <w:tcW w:w="1360" w:type="dxa"/>
            <w:vAlign w:val="bottom"/>
            <w:tcBorders>
              <w:bottom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54.3</w:t>
            </w:r>
          </w:p>
        </w:tc>
        <w:tc>
          <w:tcPr>
            <w:tcW w:w="340" w:type="dxa"/>
            <w:vAlign w:val="bottom"/>
            <w:tcBorders>
              <w:bottom w:val="single" w:sz="8" w:color="auto"/>
              <w:right w:val="single" w:sz="8" w:color="auto"/>
            </w:tcBorders>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w w:val="97"/>
              </w:rPr>
              <w:t>M</w:t>
            </w:r>
          </w:p>
        </w:tc>
        <w:tc>
          <w:tcPr>
            <w:tcW w:w="1660" w:type="dxa"/>
            <w:vAlign w:val="bottom"/>
            <w:tcBorders>
              <w:bottom w:val="single" w:sz="8" w:color="auto"/>
              <w:right w:val="single" w:sz="8" w:color="auto"/>
            </w:tcBorders>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1920" w:type="dxa"/>
            <w:vAlign w:val="bottom"/>
            <w:tcBorders>
              <w:bottom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5.6</w:t>
            </w:r>
          </w:p>
        </w:tc>
        <w:tc>
          <w:tcPr>
            <w:tcW w:w="320" w:type="dxa"/>
            <w:vAlign w:val="bottom"/>
            <w:tcBorders>
              <w:bottom w:val="single" w:sz="8" w:color="auto"/>
              <w:right w:val="single" w:sz="8" w:color="auto"/>
            </w:tcBorders>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w w:val="97"/>
              </w:rPr>
              <w:t>M</w:t>
            </w:r>
          </w:p>
        </w:tc>
        <w:tc>
          <w:tcPr>
            <w:tcW w:w="0" w:type="dxa"/>
            <w:vAlign w:val="bottom"/>
          </w:tcPr>
          <w:p>
            <w:pPr>
              <w:spacing w:after="0"/>
              <w:rPr>
                <w:sz w:val="1"/>
                <w:szCs w:val="1"/>
                <w:color w:val="auto"/>
              </w:rPr>
            </w:pPr>
          </w:p>
        </w:tc>
      </w:tr>
      <w:tr>
        <w:trPr>
          <w:trHeight w:val="236"/>
        </w:trPr>
        <w:tc>
          <w:tcPr>
            <w:tcW w:w="56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Total</w:t>
            </w:r>
          </w:p>
        </w:tc>
        <w:tc>
          <w:tcPr>
            <w:tcW w:w="1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576.3</w:t>
            </w:r>
          </w:p>
        </w:tc>
        <w:tc>
          <w:tcPr>
            <w:tcW w:w="340" w:type="dxa"/>
            <w:vAlign w:val="bottom"/>
            <w:tcBorders>
              <w:bottom w:val="single" w:sz="8" w:color="auto"/>
              <w:right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w w:val="97"/>
              </w:rPr>
              <w:t>M</w:t>
            </w:r>
          </w:p>
        </w:tc>
        <w:tc>
          <w:tcPr>
            <w:tcW w:w="166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193.8</w:t>
            </w:r>
          </w:p>
        </w:tc>
        <w:tc>
          <w:tcPr>
            <w:tcW w:w="32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w w:val="97"/>
              </w:rPr>
              <w:t>M</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due to several factors that affect commodity prices in general, including crop conditions, global health pandemics, the amount of corn stored on farms, weather, federal policy and foreign trade. Because the market prices of ethanol and distillers grains are not always directly related to corn prices (for example, demand for crude and other</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23" w:name="page24"/>
    <w:bookmarkEnd w:id="23"/>
    <w:p>
      <w:pPr>
        <w:ind w:right="40"/>
        <w:spacing w:after="0" w:line="236" w:lineRule="auto"/>
        <w:rPr>
          <w:sz w:val="20"/>
          <w:szCs w:val="20"/>
          <w:color w:val="auto"/>
        </w:rPr>
      </w:pPr>
      <w:r>
        <w:rPr>
          <w:rFonts w:ascii="Arial" w:cs="Arial" w:eastAsia="Arial" w:hAnsi="Arial"/>
          <w:sz w:val="22"/>
          <w:szCs w:val="22"/>
          <w:color w:val="auto"/>
        </w:rPr>
        <w:t>energy and related prices, the export market demand for ethanol and distillers grains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7"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On August 10, 2017, we purchased the entire ownership interest of an entity that owns a refined coal facility, through a 95.35% owned subsidiary, for approximately $12.0 million. We began operating the refined coal facility immediately after the acquisition. We expect that the revenues from the sale of refined coal produced in the facility will be subsidized by federal production tax credits through November 2021, subject to meeting qualified emissions reductions as governed by Section 45 of the Internal Revenue Code. In order to maintain compliance with Section 45 of the Internal Revenue Code, we are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$7.30 per ton of refined coal produced and sold during calendar year 2020. The tax credits can be earned for refined coal produced and sold by our facility through November 2021.</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4" w:name="page25"/>
    <w:bookmarkEnd w:id="24"/>
    <w:p>
      <w:pPr>
        <w:ind w:right="20" w:firstLine="648"/>
        <w:spacing w:after="0" w:line="248" w:lineRule="auto"/>
        <w:rPr>
          <w:sz w:val="20"/>
          <w:szCs w:val="20"/>
          <w:color w:val="auto"/>
        </w:rPr>
      </w:pPr>
      <w:r>
        <w:rPr>
          <w:rFonts w:ascii="Arial" w:cs="Arial" w:eastAsia="Arial" w:hAnsi="Arial"/>
          <w:sz w:val="21"/>
          <w:szCs w:val="21"/>
          <w:color w:val="auto"/>
        </w:rPr>
        <w:t>The refined coal facility is located at the site of a utility-owned electrical generating power station, which is our refined coal operation’s sole customer. Refined coal production and sales vary depending on fluctuations in demand from the site host utility, which generally changes based upon weather conditions in the geographic markets the utility serves and competing energy prices and supplies and the state of the economy. We have contracted with an experienced third party to operate and maintain the refined coal facility and to provide us with management reporting and operating data as required. We do not have any employees on site at the refined coal facility.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214"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We have agreed to fund direct patent expenses relating to patent applications and defense, annual annuity fees and maintenance on a country by country basis, with the right to terminate funding and transfer related patent rights to Hytken. We have funded all costs relating to new intellectual property, consultants, research and development, pilot field tests and equipment purchases with respect to the proposed commercialization stage of the technology. To date, we have paid and expensed approximately $2.5 million cumulatively primarily for patents, purchases of certain equipment and other expenses. We have not yet tested or proven the commercial feasibility of the technology.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During the three months ended July 31, 2020, we did not change any of our critical accounting policies as disclosed in our 2019 Annual Report on Form 10-K as filed with the Securities and Exchange Commission on April 1, 2020.</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2020” means the period February 1, 2020 to January 31,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During fiscal years 2020 and 2019, operating results in our ethanol and by-products segment have been adversely affected by a weak margin environment highlighted by higher costs for corn, lower availability of local corn, lower oil prices resulting from an oversupply of oil, the EPA granting small refiner waivers, and in the first quarter of fiscal year 2020, the outbreak of a new strain of the coronavirus “COVID-19”.</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ind w:right="200" w:firstLine="648"/>
        <w:spacing w:after="0" w:line="235" w:lineRule="auto"/>
        <w:rPr>
          <w:sz w:val="20"/>
          <w:szCs w:val="20"/>
          <w:color w:val="auto"/>
        </w:rPr>
      </w:pPr>
      <w:r>
        <w:rPr>
          <w:rFonts w:ascii="Arial" w:cs="Arial" w:eastAsia="Arial" w:hAnsi="Arial"/>
          <w:sz w:val="22"/>
          <w:szCs w:val="22"/>
          <w:color w:val="auto"/>
        </w:rPr>
        <w:t>Weather conditions delayed, and in some cases prevented the planting of corn in much of the United States during 2019. Weather also contributed to intermittent logistical delays during fiscal year 2019. Throughout the first six months of fiscal year 2020 and most of fiscal year 2019, we struggled to obtain adequate supplies of corn at our NuGen facility, on a consistent basis, at acceptable price levels. Consequently, we were not able to operate our NuGen ethanol plant at production levels near our historical averages. We cannot reasonably predict the likelihood of future period production levels compared to historical averages.</w:t>
      </w:r>
    </w:p>
    <w:p>
      <w:pPr>
        <w:spacing w:after="0" w:line="21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9"/>
          <w:szCs w:val="19"/>
          <w:color w:val="auto"/>
        </w:rPr>
        <w:t>During the early months of 2020, COVID-19 spread into the United States and other countries. In an effort to contain the spread of this virus, there have been various government mandated restrictions, in addition to voluntary privately implemented restrictions, including limiting public gatherings, retail store closures, restrictions on employees working and the quarantining of people who may have been exposed to the virus. This has led to reduced demand for gasoline and ethanol. The duration of the resulting downturn in economic activity is unknown and has led to historically low ethanol pricing. Consequently, we idled our NuGen and One Earth ethanol plants in late March of 2020. In May of 2020, businesses and other activities slowly began to reopen, which led to an increase in demand for gasoline and ethanol, and in related prices. As a result, we resumed production operations at the One Earth ethanol plant in late May of 2020 and at NuGen in late June of 2020. In addition, recent actions by the Federal Reserve, related to the COVID-19 outbreak, have reduced interest rates. Given the amount of cash and short-term investments we have, this will significantly reduce our interest income in future periods, depending on the length of time interest rates remain at these levels. The impacts of the COVID-19 outbreak on our business operations, including the duration and impact on ethanol demand, cannot be reasonably estimated at this time, although a future prolonged production stoppage at our plants would have a further material adverse impact on our results of operations, financial condition and cash flows in fiscal year 2020.</w:t>
      </w:r>
    </w:p>
    <w:p>
      <w:pPr>
        <w:spacing w:after="0" w:line="200" w:lineRule="exact"/>
        <w:rPr>
          <w:sz w:val="20"/>
          <w:szCs w:val="20"/>
          <w:color w:val="auto"/>
        </w:rPr>
      </w:pP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Under the Renewable Fuel Standard “RFS”, the EPA assigns individual refiners, blenders and importers the volume of renewable fuels they are obligated to use based on their percentage of total domestic transportation fuel sales. The EPA can waive the obligation for individual small refineries that are experiencing “disproportionate economic hardship” due to compliance with the RFS. Until recent years, the EPA approved relatively few such waivers. The EPA approved 31 small refiner waivers related to their 2018 Renewable Fuel Standard compliance obligations, which is estimated to effectively reduce the obligation for ethanol in 2018 by 1.4 billion gallons. The EPA previously granted waivers for 2016 and 2017 totaling approximately 2.6 billion gallons. These actions affect current year demand as obligated parties such as refiners can use the waivers granted by the EPA to help them meet their obligations in different years. There continues to be uncertainty regarding how the EPA will administer the small refiner waivers. We believe the waivers have resulted in reduced domestic ethanol demand. There are three small refiner waiver requests filed for the 2020 compliance year, 28 small refiner waiver requests filed for the 2019 compliance year and 67 prior year waiver requests for compliance years 2011 through 2018. The prior year waiver requests are widely viewed as an attempt by oil</w:t>
      </w:r>
    </w:p>
    <w:p>
      <w:pPr>
        <w:spacing w:after="0" w:line="2" w:lineRule="exact"/>
        <w:rPr>
          <w:sz w:val="20"/>
          <w:szCs w:val="20"/>
          <w:color w:val="auto"/>
        </w:rPr>
      </w:pPr>
    </w:p>
    <w:p>
      <w:pPr>
        <w:jc w:val="both"/>
        <w:ind w:right="120"/>
        <w:spacing w:after="0" w:line="217" w:lineRule="auto"/>
        <w:rPr>
          <w:sz w:val="20"/>
          <w:szCs w:val="20"/>
          <w:color w:val="auto"/>
        </w:rPr>
      </w:pPr>
      <w:r>
        <w:rPr>
          <w:rFonts w:ascii="Arial" w:cs="Arial" w:eastAsia="Arial" w:hAnsi="Arial"/>
          <w:sz w:val="21"/>
          <w:szCs w:val="21"/>
          <w:color w:val="auto"/>
        </w:rPr>
        <w:t>refiners to work around a January 2020 ruling by the 10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U.S. Circuit Court of Appeals that vacated the EPA’s approval of three small refiner waivers, saying that the agency exceeded its authority in approving the waivers because the Clean Air Act prevents the EPA from extending waivers to any refiner whose previous waivers had lapsed.</w:t>
      </w:r>
    </w:p>
    <w:p>
      <w:pPr>
        <w:spacing w:after="0" w:line="213" w:lineRule="exact"/>
        <w:rPr>
          <w:sz w:val="20"/>
          <w:szCs w:val="20"/>
          <w:color w:val="auto"/>
        </w:rPr>
      </w:pPr>
    </w:p>
    <w:p>
      <w:pPr>
        <w:ind w:right="160" w:firstLine="648"/>
        <w:spacing w:after="0" w:line="249" w:lineRule="auto"/>
        <w:rPr>
          <w:sz w:val="20"/>
          <w:szCs w:val="20"/>
          <w:color w:val="auto"/>
        </w:rPr>
      </w:pPr>
      <w:r>
        <w:rPr>
          <w:rFonts w:ascii="Arial" w:cs="Arial" w:eastAsia="Arial" w:hAnsi="Arial"/>
          <w:sz w:val="21"/>
          <w:szCs w:val="21"/>
          <w:color w:val="auto"/>
        </w:rPr>
        <w:t>During the first six months of fiscal year 2020 and throughout fiscal year 2019, operating results in our refined coal segment have been adversely affected by lower utility plant demand from our only customer. Projections, provided by the utility plant, for the next twelve months indicate this trend may continue and may be further impacted by the COVID-19 pandemic. While this leads to lower pre-tax losses from this segment, it also leads to lower tax benefits from Section 45 credits being recognized. Ultimately, this results in lower amounts of segment profit.</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21"/>
          <w:szCs w:val="21"/>
          <w:color w:val="auto"/>
        </w:rPr>
        <w:t>Should these trends and uncertainties continue, our future operating results are likely to be negatively impacted.</w:t>
      </w:r>
    </w:p>
    <w:p>
      <w:pPr>
        <w:spacing w:after="0" w:line="24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For a detailed analysis of period to period changes, see the segment discussion that follows this section as that discussion reflects how management views and monitors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Three and Six Months Ended July 31, 2020 and 2019</w:t>
      </w:r>
    </w:p>
    <w:p>
      <w:pPr>
        <w:spacing w:after="0" w:line="239"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Net sales and revenue in the quarter ended July 31, 2020 were approximately $39.3 million compared to approximately $105.9 million in the prior year’s second quarter, representing a decrease of approximately $66.5 million, which was primarily caused by lower sales in our ethanol and by-products segment. Net sales and revenue in the first six months of fiscal year 2020 were approximately $122.6 million compared to approximately $210.4 million in the first six months of fiscal year 2019, representing a decrease of approximately $87.9 million, which was primarily caused by lower sales in our ethanol and by-products segment of approximately $87.7 million. The decline in ethanol and by-products segment net sales and revenue reflects significantly lower production volumes during fiscal year 2020. This relates primarily to diminished local availability of corn, the effects of the COVID-19 outbreak on ethanol demand and lower ethanol pricing which resulted in the idling of the NuGen and One Earth ethanol plants in March of 2020. We resumed production operations at One Earth in late May of 2020 and at NuGen in late June of 2020.</w:t>
      </w:r>
    </w:p>
    <w:p>
      <w:pPr>
        <w:spacing w:after="0" w:line="208"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Gross loss for the second quarter of fiscal year 2020 was approximately $1.3 million, compared to gross profit of approximately $4.0 million for the second quarter of fiscal year 2019. Gross profit for the second quarter of fiscal year 2020 decreased by approximately $5.6 million compared to the prior year second quarter as a result of operations in the ethanol and by-products segment. Gross loss in the refined coal segment was $1.9 million in the second quarter of fiscal year 2020 compared to $2.2 million in the second quarter of fiscal year 2019. Gross loss for the first six months of fiscal year 2020 was approximately $10.7 million compared to gross profit of approximately $7.7 million for the first six months of fiscal year 2019. Gross profit for the first six months of fiscal year 2020 decreased by approximately $20.0 million compared to the first six months of fiscal year 2019 as a result of operations in the ethanol and by-products segment and increased by approximately $1.6 million as a result of operations in the refined coal segment.</w:t>
      </w:r>
    </w:p>
    <w:p>
      <w:pPr>
        <w:spacing w:after="0" w:line="211"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SG&amp;A expenses were approximately $4.4 million for the second quarter of fiscal year 2020, compared to approximately $4.8 million of expenses for the second quarter of fiscal year 2019. The decrease is primarily related to lower ethanol freight charges consistent with lower production and sales. SG&amp;A expenses were approximately $9.0 million for the first six months of fiscal year 2020, compared to approximately $9.5 million of expenses for the first six months of fiscal year 2019. The decrease is primarily related to a decrease in incentive compensation expense associated with lower profitability in fiscal year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7" w:name="page28"/>
    <w:bookmarkEnd w:id="27"/>
    <w:p>
      <w:pPr>
        <w:ind w:right="40" w:firstLine="648"/>
        <w:spacing w:after="0" w:line="275" w:lineRule="auto"/>
        <w:rPr>
          <w:sz w:val="20"/>
          <w:szCs w:val="20"/>
          <w:color w:val="auto"/>
        </w:rPr>
      </w:pPr>
      <w:r>
        <w:rPr>
          <w:rFonts w:ascii="Arial" w:cs="Arial" w:eastAsia="Arial" w:hAnsi="Arial"/>
          <w:sz w:val="19"/>
          <w:szCs w:val="19"/>
          <w:color w:val="auto"/>
        </w:rPr>
        <w:t>During the second quarter of fiscal year 2020, we recognized a loss of approximately $0.5 million compared to income of approximately $0.2 million for the second quarter of fiscal year 2019, from our equity investment in Big River, which is included in our ethanol and by-products segment results. We recognized a loss of approximately $1.0 million for the first six months of fiscal year 2020 compared to income of approximately $0.4 million for the first six months of fiscal year 2019. Big River has interests in four ethanol production plants that shipped approximately 388 million gallons in the trailing twelve months ended July 31, 2020 and has an effective ownership of ethanol gallons shipped for the same period of approximately 335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84"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Interest and other income was approximately $0.2 million for the second quarter of fiscal year 2020 compared to approximately $1.3 million for the second quarter of fiscal year 2019. Interest and other income was approximately $0.9 million for the first six months of fiscal year 2020 compared to approximately $2.4 million for the first six months of fiscal year 2019. Interest income has decreased as yields on our excess cash decreased compared to fiscal year 2019 and our excess cash investment balances decreased compared to fiscal year 2019.</w:t>
      </w:r>
    </w:p>
    <w:p>
      <w:pPr>
        <w:spacing w:after="0" w:line="214"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As a result of the foregoing, loss before income taxes was approximately $6.1 million for the second quarter of fiscal year 2020 versus income of approximately $0.7 million for the second quarter of fiscal year 2019. Loss before income taxes was approximately $19.8 million for the first six months of fiscal year 2020 versus income of approximately $0.9 million for the first six months of fiscal year 2019.</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We determined that small changes in estimated “ordinary” income would result in significant changes in the estimated annual effective tax rate. Thus, the Company used a discrete effective tax rate method to calculate the provision or benefit for income taxes for the three and six months ended July 31, 2020 and 2019. Our tax benefit was approximately 66.6% and approximately 358.7% for the three months ended July 31, 2020 and 2019, respectively, and was approximately 47.2% and was approximately 687.1% for the first six months of fiscal years 2020 and 2019, respectively. The fluctuation in the rate results primarily from the production tax credits we expect to receive associated with our refined coal segment relative to pre-tax income or loss. Our income tax benefit for the first six months of fiscal year 2020 includes approximately $1.8 million related to the lengthening of a net operating loss carryback allowed by the recently passed CARES Act.</w:t>
      </w:r>
    </w:p>
    <w:p>
      <w:pPr>
        <w:spacing w:after="0" w:line="184"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As a result of the foregoing, net loss was approximately $2.0 million for the second quarter of fiscal year 2020 compared to net income of approximately $3.4 million for the second quarter of fiscal year 2019. Net loss was approximately $10.5 million for the first six months of fiscal year 2020 compared to net income of approximately $7.1 million for the first six months of fiscal year 2019.</w:t>
      </w:r>
    </w:p>
    <w:p>
      <w:pPr>
        <w:spacing w:after="0" w:line="212"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Loss (income) related to noncontrolling interests was approximately $0.3 million and approximately $(1.1) million during the second quarters of fiscal years 2020 and 2019, respectively, and was approximately $1.1 million and approximately $(2.0) million during the first six months of fiscal years 2020 and 2019, respectively. These amounts represent the other owners’ share of the income or loss of NuGen, One Earth and the refined coal entity.</w:t>
      </w:r>
    </w:p>
    <w:p>
      <w:pPr>
        <w:spacing w:after="0" w:line="212"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As a result of the foregoing, net loss attributable to REX common shareholders for the second quarter of fiscal year 2020 was approximately $1.7 million, a decrease of approximately $4.0 million from net income attributable to REX common shareholders of approximately $2.3 million for the second quarter</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8" w:name="page29"/>
    <w:bookmarkEnd w:id="28"/>
    <w:p>
      <w:pPr>
        <w:jc w:val="both"/>
        <w:ind w:right="1020"/>
        <w:spacing w:after="0" w:line="257" w:lineRule="auto"/>
        <w:rPr>
          <w:sz w:val="20"/>
          <w:szCs w:val="20"/>
          <w:color w:val="auto"/>
        </w:rPr>
      </w:pPr>
      <w:r>
        <w:rPr>
          <w:rFonts w:ascii="Arial" w:cs="Arial" w:eastAsia="Arial" w:hAnsi="Arial"/>
          <w:sz w:val="21"/>
          <w:szCs w:val="21"/>
          <w:color w:val="auto"/>
        </w:rPr>
        <w:t>of fiscal year 2019. Net loss attributable to REX common shareholders for the first six months of fiscal year 2020 was approximately $9.4 million, a decrease of approximately $14.5 million from net income attributable to REX common shareholders of approximately $5.1 million for the first six months of fiscal year 2019.</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Results</w:t>
      </w:r>
    </w:p>
    <w:p>
      <w:pPr>
        <w:spacing w:after="0" w:line="239"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We have two reportable segments: i) ethanol and by-products; and ii) refined coal. We evaluate the performance of each reportable segment based on segment profit. Segment profit excludes indirect interest income and certain other items that are included in net income determined in accordance with accounting principles generally accepted in the United States of America. Segment profit includes realized and unrealized gains and losses on derivative financial instruments and the provision/benefit for income taxes.</w:t>
      </w:r>
    </w:p>
    <w:p>
      <w:pPr>
        <w:spacing w:after="0" w:line="214" w:lineRule="exact"/>
        <w:rPr>
          <w:sz w:val="20"/>
          <w:szCs w:val="20"/>
          <w:color w:val="auto"/>
        </w:rPr>
      </w:pPr>
    </w:p>
    <w:p>
      <w:pPr>
        <w:ind w:right="500" w:firstLine="648"/>
        <w:spacing w:after="0" w:line="257" w:lineRule="auto"/>
        <w:rPr>
          <w:sz w:val="20"/>
          <w:szCs w:val="20"/>
          <w:color w:val="auto"/>
        </w:rPr>
      </w:pPr>
      <w:r>
        <w:rPr>
          <w:rFonts w:ascii="Arial" w:cs="Arial" w:eastAsia="Arial" w:hAnsi="Arial"/>
          <w:sz w:val="21"/>
          <w:szCs w:val="21"/>
          <w:color w:val="auto"/>
        </w:rPr>
        <w:t>The following sections discuss the results of operations for each of our business segments and corporate and other. Amounts in the corporate and other category include activities that are not separately reportable or related to a segment. The following tables summarizes segment and other results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jc w:val="right"/>
              <w:ind w:right="220"/>
              <w:spacing w:after="0"/>
              <w:rPr>
                <w:sz w:val="20"/>
                <w:szCs w:val="20"/>
                <w:color w:val="auto"/>
              </w:rPr>
            </w:pPr>
            <w:r>
              <w:rPr>
                <w:rFonts w:ascii="Arial" w:cs="Arial" w:eastAsia="Arial" w:hAnsi="Arial"/>
                <w:sz w:val="22"/>
                <w:szCs w:val="22"/>
                <w:b w:val="1"/>
                <w:bCs w:val="1"/>
                <w:color w:val="auto"/>
                <w:w w:val="91"/>
              </w:rPr>
              <w:t>Three Months Ended</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8"/>
          </w:tcPr>
          <w:p>
            <w:pPr>
              <w:ind w:left="40"/>
              <w:spacing w:after="0"/>
              <w:rPr>
                <w:sz w:val="20"/>
                <w:szCs w:val="20"/>
                <w:color w:val="auto"/>
              </w:rPr>
            </w:pPr>
            <w:r>
              <w:rPr>
                <w:rFonts w:ascii="Arial" w:cs="Arial" w:eastAsia="Arial" w:hAnsi="Arial"/>
                <w:sz w:val="22"/>
                <w:szCs w:val="22"/>
                <w:b w:val="1"/>
                <w:bCs w:val="1"/>
                <w:color w:val="auto"/>
              </w:rPr>
              <w:t>Six Months Ended</w:t>
            </w:r>
          </w:p>
        </w:tc>
      </w:tr>
      <w:tr>
        <w:trPr>
          <w:trHeight w:val="243"/>
        </w:trPr>
        <w:tc>
          <w:tcPr>
            <w:tcW w:w="5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rPr>
              <w:t>July 31,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w w:val="99"/>
              </w:rPr>
              <w:t>July 31,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152"/>
              <w:spacing w:after="0" w:line="230" w:lineRule="exact"/>
              <w:rPr>
                <w:sz w:val="20"/>
                <w:szCs w:val="20"/>
                <w:color w:val="auto"/>
              </w:rPr>
            </w:pPr>
            <w:r>
              <w:rPr>
                <w:rFonts w:ascii="Arial" w:cs="Arial" w:eastAsia="Arial" w:hAnsi="Arial"/>
                <w:sz w:val="22"/>
                <w:szCs w:val="22"/>
                <w:b w:val="1"/>
                <w:bCs w:val="1"/>
                <w:color w:val="auto"/>
              </w:rPr>
              <w:t>2020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8"/>
              </w:rPr>
              <w:t>2019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52"/>
              <w:spacing w:after="0" w:line="230" w:lineRule="exact"/>
              <w:rPr>
                <w:sz w:val="20"/>
                <w:szCs w:val="20"/>
                <w:color w:val="auto"/>
              </w:rPr>
            </w:pPr>
            <w:r>
              <w:rPr>
                <w:rFonts w:ascii="Arial" w:cs="Arial" w:eastAsia="Arial" w:hAnsi="Arial"/>
                <w:sz w:val="22"/>
                <w:szCs w:val="22"/>
                <w:b w:val="1"/>
                <w:bCs w:val="1"/>
                <w:color w:val="auto"/>
              </w:rPr>
              <w:t>2020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8"/>
              </w:rPr>
              <w:t>2019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4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39,242</w:t>
            </w:r>
          </w:p>
        </w:tc>
        <w:tc>
          <w:tcPr>
            <w:tcW w:w="64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3"/>
          </w:tcPr>
          <w:p>
            <w:pPr>
              <w:jc w:val="right"/>
              <w:spacing w:after="0" w:line="243" w:lineRule="exact"/>
              <w:rPr>
                <w:sz w:val="20"/>
                <w:szCs w:val="20"/>
                <w:color w:val="auto"/>
              </w:rPr>
            </w:pPr>
            <w:r>
              <w:rPr>
                <w:rFonts w:ascii="Arial" w:cs="Arial" w:eastAsia="Arial" w:hAnsi="Arial"/>
                <w:sz w:val="22"/>
                <w:szCs w:val="22"/>
                <w:color w:val="auto"/>
                <w:w w:val="95"/>
              </w:rPr>
              <w:t>105,770</w:t>
            </w:r>
          </w:p>
        </w:tc>
        <w:tc>
          <w:tcPr>
            <w:tcW w:w="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4"/>
          </w:tcPr>
          <w:p>
            <w:pPr>
              <w:jc w:val="right"/>
              <w:ind w:right="400"/>
              <w:spacing w:after="0" w:line="243" w:lineRule="exact"/>
              <w:rPr>
                <w:sz w:val="20"/>
                <w:szCs w:val="20"/>
                <w:color w:val="auto"/>
              </w:rPr>
            </w:pPr>
            <w:r>
              <w:rPr>
                <w:rFonts w:ascii="Arial" w:cs="Arial" w:eastAsia="Arial" w:hAnsi="Arial"/>
                <w:sz w:val="22"/>
                <w:szCs w:val="22"/>
                <w:color w:val="auto"/>
                <w:w w:val="95"/>
              </w:rPr>
              <w:t>122,477</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w w:val="93"/>
              </w:rPr>
              <w:t>210,223</w:t>
            </w:r>
          </w:p>
        </w:tc>
        <w:tc>
          <w:tcPr>
            <w:tcW w:w="100" w:type="dxa"/>
            <w:vAlign w:val="bottom"/>
          </w:tcPr>
          <w:p>
            <w:pPr>
              <w:spacing w:after="0"/>
              <w:rPr>
                <w:sz w:val="21"/>
                <w:szCs w:val="21"/>
                <w:color w:val="auto"/>
              </w:rPr>
            </w:pPr>
          </w:p>
        </w:tc>
      </w:tr>
      <w:tr>
        <w:trPr>
          <w:trHeight w:val="311"/>
        </w:trPr>
        <w:tc>
          <w:tcPr>
            <w:tcW w:w="546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60" w:type="dxa"/>
            <w:vAlign w:val="bottom"/>
            <w:shd w:val="clear" w:color="auto" w:fill="E5FFFF"/>
          </w:tcPr>
          <w:p>
            <w:pPr>
              <w:spacing w:after="0"/>
              <w:rPr>
                <w:sz w:val="24"/>
                <w:szCs w:val="24"/>
                <w:color w:val="auto"/>
              </w:rPr>
            </w:pPr>
          </w:p>
        </w:tc>
        <w:tc>
          <w:tcPr>
            <w:tcW w:w="82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85</w:t>
            </w:r>
          </w:p>
        </w:tc>
        <w:tc>
          <w:tcPr>
            <w:tcW w:w="4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8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98</w:t>
            </w:r>
          </w:p>
        </w:tc>
        <w:tc>
          <w:tcPr>
            <w:tcW w:w="4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180" w:type="dxa"/>
            <w:vAlign w:val="bottom"/>
            <w:gridSpan w:val="4"/>
            <w:shd w:val="clear" w:color="auto" w:fill="E5FFFF"/>
          </w:tcPr>
          <w:p>
            <w:pPr>
              <w:jc w:val="right"/>
              <w:ind w:right="400"/>
              <w:spacing w:after="0"/>
              <w:rPr>
                <w:sz w:val="20"/>
                <w:szCs w:val="20"/>
                <w:color w:val="auto"/>
              </w:rPr>
            </w:pPr>
            <w:r>
              <w:rPr>
                <w:rFonts w:ascii="Arial" w:cs="Arial" w:eastAsia="Arial" w:hAnsi="Arial"/>
                <w:sz w:val="22"/>
                <w:szCs w:val="22"/>
                <w:color w:val="auto"/>
              </w:rPr>
              <w:t>100</w:t>
            </w:r>
          </w:p>
        </w:tc>
        <w:tc>
          <w:tcPr>
            <w:tcW w:w="200" w:type="dxa"/>
            <w:vAlign w:val="bottom"/>
            <w:shd w:val="clear" w:color="auto" w:fill="E5FFFF"/>
          </w:tcPr>
          <w:p>
            <w:pPr>
              <w:spacing w:after="0"/>
              <w:rPr>
                <w:sz w:val="24"/>
                <w:szCs w:val="24"/>
                <w:color w:val="auto"/>
              </w:rPr>
            </w:pPr>
          </w:p>
        </w:tc>
        <w:tc>
          <w:tcPr>
            <w:tcW w:w="76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220</w:t>
            </w:r>
          </w:p>
        </w:tc>
        <w:tc>
          <w:tcPr>
            <w:tcW w:w="100" w:type="dxa"/>
            <w:vAlign w:val="bottom"/>
            <w:shd w:val="clear" w:color="auto" w:fill="E5FFFF"/>
          </w:tcPr>
          <w:p>
            <w:pPr>
              <w:spacing w:after="0"/>
              <w:rPr>
                <w:sz w:val="24"/>
                <w:szCs w:val="24"/>
                <w:color w:val="auto"/>
              </w:rPr>
            </w:pPr>
          </w:p>
        </w:tc>
      </w:tr>
      <w:tr>
        <w:trPr>
          <w:trHeight w:val="250"/>
        </w:trPr>
        <w:tc>
          <w:tcPr>
            <w:tcW w:w="546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39,327</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w w:val="95"/>
              </w:rPr>
              <w:t>105,868</w:t>
            </w:r>
          </w:p>
        </w:tc>
        <w:tc>
          <w:tcPr>
            <w:tcW w:w="4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w w:val="95"/>
              </w:rPr>
              <w:t>122,577</w:t>
            </w:r>
          </w:p>
        </w:tc>
        <w:tc>
          <w:tcPr>
            <w:tcW w:w="4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w w:val="93"/>
              </w:rPr>
              <w:t>210,443</w:t>
            </w:r>
          </w:p>
        </w:tc>
        <w:tc>
          <w:tcPr>
            <w:tcW w:w="100" w:type="dxa"/>
            <w:vAlign w:val="bottom"/>
          </w:tcPr>
          <w:p>
            <w:pPr>
              <w:spacing w:after="0"/>
              <w:rPr>
                <w:sz w:val="21"/>
                <w:szCs w:val="2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shd w:val="clear" w:color="auto" w:fill="E5FFFF"/>
          </w:tcPr>
          <w:p>
            <w:pPr>
              <w:spacing w:after="0"/>
              <w:rPr>
                <w:sz w:val="20"/>
                <w:szCs w:val="20"/>
                <w:color w:val="auto"/>
              </w:rPr>
            </w:pPr>
            <w:r>
              <w:rPr>
                <w:rFonts w:ascii="Arial" w:cs="Arial" w:eastAsia="Arial" w:hAnsi="Arial"/>
                <w:sz w:val="22"/>
                <w:szCs w:val="22"/>
                <w:color w:val="auto"/>
              </w:rPr>
              <w:t>Segment gross (loss) profit:</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300" w:type="dxa"/>
            <w:vAlign w:val="bottom"/>
          </w:tcPr>
          <w:p>
            <w:pPr>
              <w:jc w:val="right"/>
              <w:ind w:right="72"/>
              <w:spacing w:after="0" w:line="243" w:lineRule="exact"/>
              <w:rPr>
                <w:sz w:val="20"/>
                <w:szCs w:val="20"/>
                <w:color w:val="auto"/>
              </w:rPr>
            </w:pPr>
            <w:r>
              <w:rPr>
                <w:rFonts w:ascii="Arial" w:cs="Arial" w:eastAsia="Arial" w:hAnsi="Arial"/>
                <w:sz w:val="22"/>
                <w:szCs w:val="22"/>
                <w:color w:val="auto"/>
                <w:w w:val="81"/>
              </w:rPr>
              <w: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553</w:t>
            </w:r>
          </w:p>
        </w:tc>
        <w:tc>
          <w:tcPr>
            <w:tcW w:w="660" w:type="dxa"/>
            <w:vAlign w:val="bottom"/>
            <w:gridSpan w:val="2"/>
          </w:tcPr>
          <w:p>
            <w:pPr>
              <w:jc w:val="right"/>
              <w:ind w:right="23"/>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6,169</w:t>
            </w:r>
          </w:p>
        </w:tc>
        <w:tc>
          <w:tcPr>
            <w:tcW w:w="5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(7,670)</w:t>
            </w:r>
          </w:p>
        </w:tc>
        <w:tc>
          <w:tcPr>
            <w:tcW w:w="220" w:type="dxa"/>
            <w:vAlign w:val="bottom"/>
          </w:tcPr>
          <w:p>
            <w:pPr>
              <w:jc w:val="right"/>
              <w:ind w:right="23"/>
              <w:spacing w:after="0"/>
              <w:rPr>
                <w:sz w:val="20"/>
                <w:szCs w:val="20"/>
                <w:color w:val="auto"/>
              </w:rPr>
            </w:pPr>
            <w:r>
              <w:rPr>
                <w:rFonts w:ascii="Arial" w:cs="Arial" w:eastAsia="Arial" w:hAnsi="Arial"/>
                <w:sz w:val="19"/>
                <w:szCs w:val="19"/>
                <w:color w:val="auto"/>
                <w:w w:val="75"/>
              </w:rPr>
              <w:t>$</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12,284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546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300" w:type="dxa"/>
            <w:vAlign w:val="bottom"/>
            <w:shd w:val="clear" w:color="auto" w:fill="E5FFFF"/>
          </w:tcPr>
          <w:p>
            <w:pPr>
              <w:spacing w:after="0"/>
              <w:rPr>
                <w:sz w:val="22"/>
                <w:szCs w:val="22"/>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2"/>
                <w:szCs w:val="22"/>
                <w:color w:val="auto"/>
                <w:w w:val="94"/>
              </w:rPr>
              <w:t>(1,884)</w:t>
            </w:r>
          </w:p>
        </w:tc>
        <w:tc>
          <w:tcPr>
            <w:tcW w:w="4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(2,165)</w:t>
            </w:r>
          </w:p>
        </w:tc>
        <w:tc>
          <w:tcPr>
            <w:tcW w:w="40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400"/>
              <w:spacing w:after="0"/>
              <w:rPr>
                <w:sz w:val="20"/>
                <w:szCs w:val="20"/>
                <w:color w:val="auto"/>
              </w:rPr>
            </w:pPr>
            <w:r>
              <w:rPr>
                <w:rFonts w:ascii="Arial" w:cs="Arial" w:eastAsia="Arial" w:hAnsi="Arial"/>
                <w:sz w:val="22"/>
                <w:szCs w:val="22"/>
                <w:color w:val="auto"/>
              </w:rPr>
              <w:t>(2,991)</w:t>
            </w:r>
          </w:p>
        </w:tc>
        <w:tc>
          <w:tcPr>
            <w:tcW w:w="220" w:type="dxa"/>
            <w:vAlign w:val="bottom"/>
            <w:shd w:val="clear" w:color="auto" w:fill="E5FFFF"/>
          </w:tcPr>
          <w:p>
            <w:pPr>
              <w:spacing w:after="0"/>
              <w:rPr>
                <w:sz w:val="22"/>
                <w:szCs w:val="22"/>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(4,634)</w:t>
            </w:r>
          </w:p>
        </w:tc>
        <w:tc>
          <w:tcPr>
            <w:tcW w:w="100" w:type="dxa"/>
            <w:vAlign w:val="bottom"/>
            <w:shd w:val="clear" w:color="auto" w:fill="E5FF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460" w:type="dxa"/>
            <w:vAlign w:val="bottom"/>
          </w:tcPr>
          <w:p>
            <w:pPr>
              <w:spacing w:after="0" w:line="250" w:lineRule="exact"/>
              <w:rPr>
                <w:sz w:val="20"/>
                <w:szCs w:val="20"/>
                <w:color w:val="auto"/>
              </w:rPr>
            </w:pPr>
            <w:r>
              <w:rPr>
                <w:rFonts w:ascii="Arial" w:cs="Arial" w:eastAsia="Arial" w:hAnsi="Arial"/>
                <w:sz w:val="22"/>
                <w:szCs w:val="22"/>
                <w:color w:val="auto"/>
              </w:rPr>
              <w:t>Total gross (loss) profit</w:t>
            </w:r>
          </w:p>
        </w:tc>
        <w:tc>
          <w:tcPr>
            <w:tcW w:w="300" w:type="dxa"/>
            <w:vAlign w:val="bottom"/>
            <w:tcBorders>
              <w:top w:val="single" w:sz="8" w:color="auto"/>
              <w:bottom w:val="single" w:sz="8" w:color="auto"/>
            </w:tcBorders>
          </w:tcPr>
          <w:p>
            <w:pPr>
              <w:jc w:val="right"/>
              <w:ind w:right="72"/>
              <w:spacing w:after="0" w:line="250" w:lineRule="exact"/>
              <w:rPr>
                <w:sz w:val="20"/>
                <w:szCs w:val="20"/>
                <w:color w:val="auto"/>
              </w:rPr>
            </w:pPr>
            <w:r>
              <w:rPr>
                <w:rFonts w:ascii="Arial" w:cs="Arial" w:eastAsia="Arial" w:hAnsi="Arial"/>
                <w:sz w:val="22"/>
                <w:szCs w:val="22"/>
                <w:color w:val="auto"/>
                <w:w w:val="81"/>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4"/>
              </w:rPr>
              <w:t>(1,331)</w:t>
            </w:r>
          </w:p>
        </w:tc>
        <w:tc>
          <w:tcPr>
            <w:tcW w:w="4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4,004</w:t>
            </w:r>
          </w:p>
        </w:tc>
        <w:tc>
          <w:tcPr>
            <w:tcW w:w="4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(10,661)</w:t>
            </w:r>
          </w:p>
        </w:tc>
        <w:tc>
          <w:tcPr>
            <w:tcW w:w="4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7,650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4"/>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4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(Loss) income before income taxes:</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300" w:type="dxa"/>
            <w:vAlign w:val="bottom"/>
          </w:tcPr>
          <w:p>
            <w:pPr>
              <w:jc w:val="right"/>
              <w:ind w:right="72"/>
              <w:spacing w:after="0" w:line="243" w:lineRule="exact"/>
              <w:rPr>
                <w:sz w:val="20"/>
                <w:szCs w:val="20"/>
                <w:color w:val="auto"/>
              </w:rPr>
            </w:pPr>
            <w:r>
              <w:rPr>
                <w:rFonts w:ascii="Arial" w:cs="Arial" w:eastAsia="Arial" w:hAnsi="Arial"/>
                <w:sz w:val="22"/>
                <w:szCs w:val="22"/>
                <w:color w:val="auto"/>
                <w:w w:val="81"/>
              </w:rPr>
              <w: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w w:val="94"/>
              </w:rPr>
              <w:t>(3,259)</w:t>
            </w:r>
          </w:p>
        </w:tc>
        <w:tc>
          <w:tcPr>
            <w:tcW w:w="660" w:type="dxa"/>
            <w:vAlign w:val="bottom"/>
            <w:gridSpan w:val="2"/>
          </w:tcPr>
          <w:p>
            <w:pPr>
              <w:jc w:val="right"/>
              <w:ind w:right="23"/>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3,111</w:t>
            </w:r>
          </w:p>
        </w:tc>
        <w:tc>
          <w:tcPr>
            <w:tcW w:w="5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w w:val="95"/>
              </w:rPr>
              <w:t>(15,610)</w:t>
            </w:r>
          </w:p>
        </w:tc>
        <w:tc>
          <w:tcPr>
            <w:tcW w:w="220" w:type="dxa"/>
            <w:vAlign w:val="bottom"/>
          </w:tcPr>
          <w:p>
            <w:pPr>
              <w:jc w:val="right"/>
              <w:ind w:right="23"/>
              <w:spacing w:after="0"/>
              <w:rPr>
                <w:sz w:val="20"/>
                <w:szCs w:val="20"/>
                <w:color w:val="auto"/>
              </w:rPr>
            </w:pPr>
            <w:r>
              <w:rPr>
                <w:rFonts w:ascii="Arial" w:cs="Arial" w:eastAsia="Arial" w:hAnsi="Arial"/>
                <w:sz w:val="19"/>
                <w:szCs w:val="19"/>
                <w:color w:val="auto"/>
                <w:w w:val="75"/>
              </w:rPr>
              <w:t>$</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6,313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4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(2,118)</w:t>
            </w: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(2,028)</w:t>
            </w:r>
          </w:p>
        </w:tc>
        <w:tc>
          <w:tcPr>
            <w:tcW w:w="4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(2,965)</w:t>
            </w: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(4,703)</w:t>
            </w:r>
          </w:p>
        </w:tc>
        <w:tc>
          <w:tcPr>
            <w:tcW w:w="100" w:type="dxa"/>
            <w:vAlign w:val="bottom"/>
            <w:shd w:val="clear" w:color="auto" w:fill="E5FFFF"/>
          </w:tcPr>
          <w:p>
            <w:pPr>
              <w:spacing w:after="0"/>
              <w:rPr>
                <w:sz w:val="21"/>
                <w:szCs w:val="21"/>
                <w:color w:val="auto"/>
              </w:rPr>
            </w:pPr>
          </w:p>
        </w:tc>
        <w:tc>
          <w:tcPr>
            <w:tcW w:w="560" w:type="dxa"/>
            <w:vAlign w:val="bottom"/>
          </w:tcPr>
          <w:p>
            <w:pPr>
              <w:spacing w:after="0"/>
              <w:rPr>
                <w:sz w:val="21"/>
                <w:szCs w:val="2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22"/>
                <w:szCs w:val="22"/>
                <w:color w:val="auto"/>
              </w:rPr>
              <w:t>Corporate and other</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(702)</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(352)</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22"/>
                <w:szCs w:val="22"/>
                <w:color w:val="auto"/>
              </w:rPr>
              <w:t>(1,247)</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(712)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4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(loss) income before income taxes</w:t>
            </w:r>
          </w:p>
        </w:tc>
        <w:tc>
          <w:tcPr>
            <w:tcW w:w="300" w:type="dxa"/>
            <w:vAlign w:val="bottom"/>
            <w:tcBorders>
              <w:top w:val="single" w:sz="8" w:color="auto"/>
              <w:bottom w:val="single" w:sz="8" w:color="auto"/>
            </w:tcBorders>
            <w:shd w:val="clear" w:color="auto" w:fill="E5FFFF"/>
          </w:tcPr>
          <w:p>
            <w:pPr>
              <w:jc w:val="right"/>
              <w:ind w:right="72"/>
              <w:spacing w:after="0" w:line="250" w:lineRule="exact"/>
              <w:rPr>
                <w:sz w:val="20"/>
                <w:szCs w:val="20"/>
                <w:color w:val="auto"/>
              </w:rPr>
            </w:pPr>
            <w:r>
              <w:rPr>
                <w:rFonts w:ascii="Arial" w:cs="Arial" w:eastAsia="Arial" w:hAnsi="Arial"/>
                <w:sz w:val="22"/>
                <w:szCs w:val="22"/>
                <w:color w:val="auto"/>
                <w:w w:val="81"/>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4"/>
              </w:rPr>
              <w:t>(6,079)</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731</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5"/>
              </w:rPr>
              <w:t>(19,822)</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898</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3"/>
        </w:trPr>
        <w:tc>
          <w:tcPr>
            <w:tcW w:w="54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w w:val="97"/>
              </w:rPr>
              <w:t>29</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0"/>
        </w:trPr>
        <w:tc>
          <w:tcPr>
            <w:tcW w:w="54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Benefit (provision) for income taxes: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Ethanol and by-products</w:t>
      </w:r>
    </w:p>
    <w:p>
      <w:pPr>
        <w:spacing w:after="0" w:line="230" w:lineRule="auto"/>
        <w:rPr>
          <w:sz w:val="20"/>
          <w:szCs w:val="20"/>
          <w:color w:val="auto"/>
        </w:rPr>
      </w:pPr>
      <w:r>
        <w:rPr>
          <w:rFonts w:ascii="Arial" w:cs="Arial" w:eastAsia="Arial" w:hAnsi="Arial"/>
          <w:sz w:val="22"/>
          <w:szCs w:val="22"/>
          <w:color w:val="auto"/>
        </w:rPr>
        <w:t>Refined coal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Corporate and other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Total benefit for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9"/>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7"/>
          </w:tcPr>
          <w:p>
            <w:pPr>
              <w:jc w:val="right"/>
              <w:ind w:right="380"/>
              <w:spacing w:after="0"/>
              <w:rPr>
                <w:sz w:val="20"/>
                <w:szCs w:val="20"/>
                <w:color w:val="auto"/>
              </w:rPr>
            </w:pPr>
            <w:r>
              <w:rPr>
                <w:rFonts w:ascii="Arial" w:cs="Arial" w:eastAsia="Arial" w:hAnsi="Arial"/>
                <w:sz w:val="22"/>
                <w:szCs w:val="22"/>
                <w:b w:val="1"/>
                <w:bCs w:val="1"/>
                <w:color w:val="auto"/>
                <w:w w:val="92"/>
              </w:rPr>
              <w:t>Six Months Ended</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440" w:type="dxa"/>
            <w:vAlign w:val="bottom"/>
            <w:vMerge w:val="restart"/>
          </w:tcPr>
          <w:p>
            <w:pPr>
              <w:spacing w:after="0"/>
              <w:rPr>
                <w:sz w:val="20"/>
                <w:szCs w:val="20"/>
                <w:color w:val="auto"/>
              </w:rPr>
            </w:pPr>
            <w:r>
              <w:rPr>
                <w:rFonts w:ascii="Arial" w:cs="Arial" w:eastAsia="Arial" w:hAnsi="Arial"/>
                <w:sz w:val="22"/>
                <w:szCs w:val="22"/>
                <w:b w:val="1"/>
                <w:bCs w:val="1"/>
                <w:color w:val="auto"/>
                <w:w w:val="85"/>
              </w:rPr>
              <w:t>2020</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 w:type="dxa"/>
            <w:vAlign w:val="bottom"/>
            <w:vMerge w:val="restart"/>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5"/>
              </w:rPr>
              <w:t>2019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5"/>
              </w:rPr>
              <w:t>2020</w:t>
            </w:r>
          </w:p>
        </w:tc>
        <w:tc>
          <w:tcPr>
            <w:tcW w:w="92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5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8"/>
              </w:rPr>
              <w:t>2019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00" w:type="dxa"/>
            <w:vAlign w:val="bottom"/>
            <w:gridSpan w:val="2"/>
          </w:tcPr>
          <w:p>
            <w:pPr>
              <w:jc w:val="right"/>
              <w:spacing w:after="0"/>
              <w:rPr>
                <w:sz w:val="20"/>
                <w:szCs w:val="20"/>
                <w:color w:val="auto"/>
              </w:rPr>
            </w:pPr>
            <w:r>
              <w:rPr>
                <w:rFonts w:ascii="Arial" w:cs="Arial" w:eastAsia="Arial" w:hAnsi="Arial"/>
                <w:sz w:val="22"/>
                <w:szCs w:val="22"/>
                <w:color w:val="auto"/>
                <w:w w:val="81"/>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22"/>
                <w:szCs w:val="22"/>
                <w:color w:val="auto"/>
              </w:rPr>
              <w:t>893</w:t>
            </w:r>
          </w:p>
        </w:tc>
        <w:tc>
          <w:tcPr>
            <w:tcW w:w="660" w:type="dxa"/>
            <w:vAlign w:val="bottom"/>
            <w:gridSpan w:val="2"/>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(619)</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5,054</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gridSpan w:val="3"/>
          </w:tcPr>
          <w:p>
            <w:pPr>
              <w:jc w:val="right"/>
              <w:spacing w:after="0"/>
              <w:rPr>
                <w:sz w:val="20"/>
                <w:szCs w:val="20"/>
                <w:color w:val="auto"/>
              </w:rPr>
            </w:pPr>
            <w:r>
              <w:rPr>
                <w:rFonts w:ascii="Arial" w:cs="Arial" w:eastAsia="Arial" w:hAnsi="Arial"/>
                <w:sz w:val="22"/>
                <w:szCs w:val="22"/>
                <w:color w:val="auto"/>
              </w:rPr>
              <w:t>(1,105)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2,919</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3,155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3,878</w:t>
            </w:r>
          </w:p>
        </w:tc>
        <w:tc>
          <w:tcPr>
            <w:tcW w:w="20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22"/>
                <w:szCs w:val="22"/>
                <w:color w:val="auto"/>
              </w:rPr>
              <w:t>7,101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234</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86</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427</w:t>
            </w:r>
          </w:p>
        </w:tc>
        <w:tc>
          <w:tcPr>
            <w:tcW w:w="20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22"/>
                <w:szCs w:val="22"/>
                <w:color w:val="auto"/>
              </w:rPr>
              <w:t>174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4,046</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2,622</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9,359</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color w:val="auto"/>
              </w:rPr>
              <w:t>6,170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-822325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-513715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-196850</wp:posOffset>
            </wp:positionV>
            <wp:extent cx="71323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386" w:right="339" w:bottom="1440" w:gutter="0" w:footer="0" w:header="0"/>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tcPr>
          <w:p>
            <w:pPr>
              <w:spacing w:after="0"/>
              <w:rPr>
                <w:sz w:val="20"/>
                <w:szCs w:val="20"/>
                <w:color w:val="auto"/>
              </w:rPr>
            </w:pPr>
            <w:r>
              <w:rPr>
                <w:rFonts w:ascii="Arial" w:cs="Arial" w:eastAsia="Arial" w:hAnsi="Arial"/>
                <w:sz w:val="22"/>
                <w:szCs w:val="22"/>
                <w:color w:val="auto"/>
              </w:rPr>
              <w:t>Segment (loss) profit (net of noncontrolling interests):</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5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500" w:type="dxa"/>
            <w:vAlign w:val="bottom"/>
            <w:gridSpan w:val="2"/>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(2,178)</w:t>
            </w:r>
          </w:p>
        </w:tc>
        <w:tc>
          <w:tcPr>
            <w:tcW w:w="780" w:type="dxa"/>
            <w:vAlign w:val="bottom"/>
            <w:gridSpan w:val="2"/>
            <w:shd w:val="clear" w:color="auto" w:fill="E5FFFF"/>
          </w:tcPr>
          <w:p>
            <w:pPr>
              <w:jc w:val="right"/>
              <w:ind w:right="123"/>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1,305</w:t>
            </w:r>
          </w:p>
        </w:tc>
        <w:tc>
          <w:tcPr>
            <w:tcW w:w="440" w:type="dxa"/>
            <w:vAlign w:val="bottom"/>
            <w:shd w:val="clear" w:color="auto" w:fill="E5FFFF"/>
          </w:tcPr>
          <w:p>
            <w:pPr>
              <w:spacing w:after="0"/>
              <w:rPr>
                <w:sz w:val="21"/>
                <w:szCs w:val="21"/>
                <w:color w:val="auto"/>
              </w:rPr>
            </w:pPr>
          </w:p>
        </w:tc>
        <w:tc>
          <w:tcPr>
            <w:tcW w:w="240" w:type="dxa"/>
            <w:vAlign w:val="bottom"/>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20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(9,611)</w:t>
            </w:r>
          </w:p>
        </w:tc>
        <w:tc>
          <w:tcPr>
            <w:tcW w:w="30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w w:val="75"/>
              </w:rPr>
              <w:t>$</w:t>
            </w: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3,014</w:t>
            </w:r>
          </w:p>
        </w:tc>
        <w:tc>
          <w:tcPr>
            <w:tcW w:w="80" w:type="dxa"/>
            <w:vAlign w:val="bottom"/>
            <w:shd w:val="clear" w:color="auto" w:fill="E5FFFF"/>
          </w:tcPr>
          <w:p>
            <w:pPr>
              <w:spacing w:after="0"/>
              <w:rPr>
                <w:sz w:val="21"/>
                <w:szCs w:val="2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898</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1,216</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1,048</w:t>
            </w:r>
          </w:p>
        </w:tc>
        <w:tc>
          <w:tcPr>
            <w:tcW w:w="30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2,602</w:t>
            </w:r>
          </w:p>
        </w:tc>
        <w:tc>
          <w:tcPr>
            <w:tcW w:w="80" w:type="dxa"/>
            <w:vAlign w:val="bottom"/>
          </w:tcPr>
          <w:p>
            <w:pPr>
              <w:spacing w:after="0"/>
              <w:rPr>
                <w:sz w:val="21"/>
                <w:szCs w:val="21"/>
                <w:color w:val="auto"/>
              </w:rPr>
            </w:pPr>
          </w:p>
        </w:tc>
      </w:tr>
      <w:tr>
        <w:trPr>
          <w:trHeight w:val="257"/>
        </w:trPr>
        <w:tc>
          <w:tcPr>
            <w:tcW w:w="550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24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(468)</w:t>
            </w:r>
          </w:p>
        </w:tc>
        <w:tc>
          <w:tcPr>
            <w:tcW w:w="46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(265)</w:t>
            </w:r>
          </w:p>
        </w:tc>
        <w:tc>
          <w:tcPr>
            <w:tcW w:w="4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22"/>
                <w:szCs w:val="22"/>
                <w:color w:val="auto"/>
              </w:rPr>
              <w:t>(820)</w:t>
            </w:r>
          </w:p>
        </w:tc>
        <w:tc>
          <w:tcPr>
            <w:tcW w:w="300" w:type="dxa"/>
            <w:vAlign w:val="bottom"/>
            <w:shd w:val="clear" w:color="auto" w:fill="E5FFFF"/>
          </w:tcPr>
          <w:p>
            <w:pPr>
              <w:spacing w:after="0"/>
              <w:rPr>
                <w:sz w:val="22"/>
                <w:szCs w:val="22"/>
                <w:color w:val="auto"/>
              </w:rPr>
            </w:pP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(539)</w:t>
            </w:r>
          </w:p>
        </w:tc>
        <w:tc>
          <w:tcPr>
            <w:tcW w:w="80" w:type="dxa"/>
            <w:vAlign w:val="bottom"/>
            <w:shd w:val="clear" w:color="auto" w:fill="E5FFFF"/>
          </w:tcPr>
          <w:p>
            <w:pPr>
              <w:spacing w:after="0"/>
              <w:rPr>
                <w:sz w:val="22"/>
                <w:szCs w:val="22"/>
                <w:color w:val="auto"/>
              </w:rPr>
            </w:pPr>
          </w:p>
        </w:tc>
      </w:tr>
      <w:tr>
        <w:trPr>
          <w:trHeight w:val="250"/>
        </w:trPr>
        <w:tc>
          <w:tcPr>
            <w:tcW w:w="5500" w:type="dxa"/>
            <w:vAlign w:val="bottom"/>
          </w:tcPr>
          <w:p>
            <w:pPr>
              <w:spacing w:after="0" w:line="250" w:lineRule="exact"/>
              <w:rPr>
                <w:sz w:val="20"/>
                <w:szCs w:val="20"/>
                <w:color w:val="auto"/>
              </w:rPr>
            </w:pPr>
            <w:r>
              <w:rPr>
                <w:rFonts w:ascii="Arial" w:cs="Arial" w:eastAsia="Arial" w:hAnsi="Arial"/>
                <w:sz w:val="22"/>
                <w:szCs w:val="22"/>
                <w:color w:val="auto"/>
                <w:w w:val="93"/>
              </w:rPr>
              <w:t>Net (loss) income attributable to REX common shareholders</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(1,748)</w:t>
            </w:r>
          </w:p>
        </w:tc>
        <w:tc>
          <w:tcPr>
            <w:tcW w:w="4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2,256</w:t>
            </w:r>
          </w:p>
        </w:tc>
        <w:tc>
          <w:tcPr>
            <w:tcW w:w="4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(9,383)</w:t>
            </w:r>
          </w:p>
        </w:tc>
        <w:tc>
          <w:tcPr>
            <w:tcW w:w="4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5,077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jc w:val="both"/>
        <w:ind w:right="360" w:firstLine="648"/>
        <w:spacing w:after="0"/>
        <w:rPr>
          <w:sz w:val="20"/>
          <w:szCs w:val="20"/>
          <w:color w:val="auto"/>
        </w:rPr>
      </w:pPr>
      <w:r>
        <w:rPr>
          <w:rFonts w:ascii="Arial" w:cs="Arial" w:eastAsia="Arial" w:hAnsi="Arial"/>
          <w:sz w:val="22"/>
          <w:szCs w:val="22"/>
          <w:color w:val="auto"/>
        </w:rPr>
        <w:t>The ethanol and by-products segment includes the consolidated financial results of One Earth and NuGen, our equity investment in Big River and certain administrative expenses. The following table summarizes net sales and revenue from One Earth and NuGen by product group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9"/>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ind w:left="8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80"/>
        </w:trPr>
        <w:tc>
          <w:tcPr>
            <w:tcW w:w="5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22"/>
                <w:szCs w:val="22"/>
                <w:b w:val="1"/>
                <w:bCs w:val="1"/>
                <w:color w:val="auto"/>
                <w:w w:val="85"/>
              </w:rPr>
              <w:t>2020</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5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2019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2020</w:t>
            </w:r>
          </w:p>
        </w:tc>
        <w:tc>
          <w:tcPr>
            <w:tcW w:w="92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5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8"/>
              </w:rPr>
              <w:t>2019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020" w:type="dxa"/>
            <w:vAlign w:val="bottom"/>
            <w:vMerge w:val="restart"/>
          </w:tcPr>
          <w:p>
            <w:pPr>
              <w:spacing w:after="0"/>
              <w:rPr>
                <w:sz w:val="20"/>
                <w:szCs w:val="20"/>
                <w:color w:val="auto"/>
              </w:rPr>
            </w:pPr>
            <w:r>
              <w:rPr>
                <w:rFonts w:ascii="Arial" w:cs="Arial" w:eastAsia="Arial" w:hAnsi="Arial"/>
                <w:sz w:val="22"/>
                <w:szCs w:val="22"/>
                <w:color w:val="auto"/>
                <w:w w:val="97"/>
              </w:rPr>
              <w:t>Sales of products, ethanol and by-products segment:</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020" w:type="dxa"/>
            <w:vAlign w:val="bottom"/>
            <w:vMerge w:val="continue"/>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9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32,524</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83,219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93,121</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w w:val="98"/>
              </w:rPr>
              <w:t>160,837</w:t>
            </w:r>
          </w:p>
        </w:tc>
        <w:tc>
          <w:tcPr>
            <w:tcW w:w="0" w:type="dxa"/>
            <w:vAlign w:val="bottom"/>
          </w:tcPr>
          <w:p>
            <w:pPr>
              <w:spacing w:after="0"/>
              <w:rPr>
                <w:sz w:val="1"/>
                <w:szCs w:val="1"/>
                <w:color w:val="auto"/>
              </w:rPr>
            </w:pP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5,480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15,887</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24,398</w:t>
            </w:r>
          </w:p>
        </w:tc>
        <w:tc>
          <w:tcPr>
            <w:tcW w:w="200" w:type="dxa"/>
            <w:vAlign w:val="bottom"/>
          </w:tcPr>
          <w:p>
            <w:pPr>
              <w:spacing w:after="0"/>
              <w:rPr>
                <w:sz w:val="21"/>
                <w:szCs w:val="21"/>
                <w:color w:val="auto"/>
              </w:rPr>
            </w:pPr>
          </w:p>
        </w:tc>
        <w:tc>
          <w:tcPr>
            <w:tcW w:w="90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34,561</w:t>
            </w:r>
          </w:p>
        </w:tc>
        <w:tc>
          <w:tcPr>
            <w:tcW w:w="0" w:type="dxa"/>
            <w:vAlign w:val="bottom"/>
          </w:tcPr>
          <w:p>
            <w:pPr>
              <w:spacing w:after="0"/>
              <w:rPr>
                <w:sz w:val="1"/>
                <w:szCs w:val="1"/>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7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1,313</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4,599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4,501</w:t>
            </w:r>
          </w:p>
        </w:tc>
        <w:tc>
          <w:tcPr>
            <w:tcW w:w="200" w:type="dxa"/>
            <w:vAlign w:val="bottom"/>
            <w:shd w:val="clear" w:color="auto" w:fill="E5FFFF"/>
          </w:tcPr>
          <w:p>
            <w:pPr>
              <w:spacing w:after="0"/>
              <w:rPr>
                <w:sz w:val="21"/>
                <w:szCs w:val="21"/>
                <w:color w:val="auto"/>
              </w:rPr>
            </w:pPr>
          </w:p>
        </w:tc>
        <w:tc>
          <w:tcPr>
            <w:tcW w:w="90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9,582</w:t>
            </w:r>
          </w:p>
        </w:tc>
        <w:tc>
          <w:tcPr>
            <w:tcW w:w="0" w:type="dxa"/>
            <w:vAlign w:val="bottom"/>
          </w:tcPr>
          <w:p>
            <w:pPr>
              <w:spacing w:after="0"/>
              <w:rPr>
                <w:sz w:val="1"/>
                <w:szCs w:val="1"/>
                <w:color w:val="auto"/>
              </w:rPr>
            </w:pP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2,004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666</w:t>
            </w:r>
          </w:p>
        </w:tc>
        <w:tc>
          <w:tcPr>
            <w:tcW w:w="200" w:type="dxa"/>
            <w:vAlign w:val="bottom"/>
          </w:tcPr>
          <w:p>
            <w:pPr>
              <w:spacing w:after="0"/>
              <w:rPr>
                <w:sz w:val="21"/>
                <w:szCs w:val="21"/>
                <w:color w:val="auto"/>
              </w:rPr>
            </w:pPr>
          </w:p>
        </w:tc>
        <w:tc>
          <w:tcPr>
            <w:tcW w:w="90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5,144</w:t>
            </w:r>
          </w:p>
        </w:tc>
        <w:tc>
          <w:tcPr>
            <w:tcW w:w="0" w:type="dxa"/>
            <w:vAlign w:val="bottom"/>
          </w:tcPr>
          <w:p>
            <w:pPr>
              <w:spacing w:after="0"/>
              <w:rPr>
                <w:sz w:val="1"/>
                <w:szCs w:val="1"/>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7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(298)</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(298)</w:t>
            </w:r>
          </w:p>
        </w:tc>
        <w:tc>
          <w:tcPr>
            <w:tcW w:w="200" w:type="dxa"/>
            <w:vAlign w:val="bottom"/>
            <w:shd w:val="clear" w:color="auto" w:fill="E5FFFF"/>
          </w:tcPr>
          <w:p>
            <w:pPr>
              <w:spacing w:after="0"/>
              <w:rPr>
                <w:sz w:val="21"/>
                <w:szCs w:val="21"/>
                <w:color w:val="auto"/>
              </w:rPr>
            </w:pPr>
          </w:p>
        </w:tc>
        <w:tc>
          <w:tcPr>
            <w:tcW w:w="90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22"/>
                <w:szCs w:val="22"/>
                <w:color w:val="auto"/>
              </w:rPr>
              <w:t>Other</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14</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61</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89</w:t>
            </w:r>
          </w:p>
        </w:tc>
        <w:tc>
          <w:tcPr>
            <w:tcW w:w="200" w:type="dxa"/>
            <w:vAlign w:val="bottom"/>
          </w:tcPr>
          <w:p>
            <w:pPr>
              <w:spacing w:after="0"/>
              <w:rPr>
                <w:sz w:val="22"/>
                <w:szCs w:val="22"/>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50"/>
        </w:trPr>
        <w:tc>
          <w:tcPr>
            <w:tcW w:w="50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7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39,242</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105,770</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122,477</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210,223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30</w:t>
            </w: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0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6"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color w:val="auto"/>
        </w:rPr>
        <w:t>The following table summarizes selected operating data from One Earth and NuGen: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40" w:type="dxa"/>
            <w:vAlign w:val="bottom"/>
            <w:gridSpan w:val="7"/>
          </w:tcPr>
          <w:p>
            <w:pPr>
              <w:jc w:val="right"/>
              <w:ind w:right="420"/>
              <w:spacing w:after="0"/>
              <w:rPr>
                <w:sz w:val="20"/>
                <w:szCs w:val="20"/>
                <w:color w:val="auto"/>
              </w:rPr>
            </w:pPr>
            <w:r>
              <w:rPr>
                <w:rFonts w:ascii="Arial" w:cs="Arial" w:eastAsia="Arial" w:hAnsi="Arial"/>
                <w:sz w:val="22"/>
                <w:szCs w:val="22"/>
                <w:b w:val="1"/>
                <w:bCs w:val="1"/>
                <w:color w:val="auto"/>
                <w:w w:val="91"/>
              </w:rPr>
              <w:t>Three Months Ended</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0"/>
              </w:rPr>
              <w:t>Six Months Ended</w:t>
            </w:r>
          </w:p>
        </w:tc>
      </w:tr>
      <w:tr>
        <w:trPr>
          <w:trHeight w:val="243"/>
        </w:trPr>
        <w:tc>
          <w:tcPr>
            <w:tcW w:w="5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b w:val="1"/>
                <w:bCs w:val="1"/>
                <w:color w:val="auto"/>
              </w:rPr>
              <w:t>July 31,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Arial" w:cs="Arial" w:eastAsia="Arial" w:hAnsi="Arial"/>
                <w:sz w:val="22"/>
                <w:szCs w:val="22"/>
                <w:b w:val="1"/>
                <w:bCs w:val="1"/>
                <w:color w:val="auto"/>
                <w:w w:val="99"/>
              </w:rPr>
              <w:t>July 31,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30"/>
        </w:trPr>
        <w:tc>
          <w:tcPr>
            <w:tcW w:w="5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ind w:right="372"/>
              <w:spacing w:after="0" w:line="230" w:lineRule="exact"/>
              <w:rPr>
                <w:sz w:val="20"/>
                <w:szCs w:val="20"/>
                <w:color w:val="auto"/>
              </w:rPr>
            </w:pPr>
            <w:r>
              <w:rPr>
                <w:rFonts w:ascii="Arial" w:cs="Arial" w:eastAsia="Arial" w:hAnsi="Arial"/>
                <w:sz w:val="22"/>
                <w:szCs w:val="22"/>
                <w:b w:val="1"/>
                <w:bCs w:val="1"/>
                <w:color w:val="auto"/>
              </w:rPr>
              <w:t>2020</w:t>
            </w:r>
          </w:p>
        </w:tc>
        <w:tc>
          <w:tcPr>
            <w:tcW w:w="420" w:type="dxa"/>
            <w:vAlign w:val="bottom"/>
          </w:tcPr>
          <w:p>
            <w:pPr>
              <w:spacing w:after="0"/>
              <w:rPr>
                <w:sz w:val="19"/>
                <w:szCs w:val="19"/>
                <w:color w:val="auto"/>
              </w:rPr>
            </w:pPr>
          </w:p>
        </w:tc>
        <w:tc>
          <w:tcPr>
            <w:tcW w:w="50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8"/>
              </w:rPr>
              <w:t>2019</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3"/>
          </w:tcPr>
          <w:p>
            <w:pPr>
              <w:jc w:val="right"/>
              <w:ind w:right="352"/>
              <w:spacing w:after="0" w:line="230" w:lineRule="exact"/>
              <w:rPr>
                <w:sz w:val="20"/>
                <w:szCs w:val="20"/>
                <w:color w:val="auto"/>
              </w:rPr>
            </w:pPr>
            <w:r>
              <w:rPr>
                <w:rFonts w:ascii="Arial" w:cs="Arial" w:eastAsia="Arial" w:hAnsi="Arial"/>
                <w:sz w:val="22"/>
                <w:szCs w:val="22"/>
                <w:b w:val="1"/>
                <w:bCs w:val="1"/>
                <w:color w:val="auto"/>
              </w:rPr>
              <w:t>2020</w:t>
            </w:r>
          </w:p>
        </w:tc>
        <w:tc>
          <w:tcPr>
            <w:tcW w:w="400" w:type="dxa"/>
            <w:vAlign w:val="bottom"/>
          </w:tcPr>
          <w:p>
            <w:pPr>
              <w:spacing w:after="0"/>
              <w:rPr>
                <w:sz w:val="19"/>
                <w:szCs w:val="19"/>
                <w:color w:val="auto"/>
              </w:rPr>
            </w:pPr>
          </w:p>
        </w:tc>
        <w:tc>
          <w:tcPr>
            <w:tcW w:w="50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8"/>
              </w:rPr>
              <w:t>2019</w:t>
            </w:r>
          </w:p>
        </w:tc>
        <w:tc>
          <w:tcPr>
            <w:tcW w:w="360" w:type="dxa"/>
            <w:vAlign w:val="bottom"/>
          </w:tcPr>
          <w:p>
            <w:pPr>
              <w:spacing w:after="0"/>
              <w:rPr>
                <w:sz w:val="19"/>
                <w:szCs w:val="19"/>
                <w:color w:val="auto"/>
              </w:rPr>
            </w:pPr>
          </w:p>
        </w:tc>
      </w:tr>
      <w:tr>
        <w:trPr>
          <w:trHeight w:val="263"/>
        </w:trPr>
        <w:tc>
          <w:tcPr>
            <w:tcW w:w="5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gallon of ethanol</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3"/>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1.23</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1.38</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1.25</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1.32</w:t>
            </w: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340" w:type="dxa"/>
            <w:vAlign w:val="bottom"/>
          </w:tcPr>
          <w:p>
            <w:pPr>
              <w:spacing w:after="0"/>
              <w:rPr>
                <w:sz w:val="21"/>
                <w:szCs w:val="21"/>
                <w:color w:val="auto"/>
              </w:rPr>
            </w:pPr>
          </w:p>
        </w:tc>
        <w:tc>
          <w:tcPr>
            <w:tcW w:w="1040" w:type="dxa"/>
            <w:vAlign w:val="bottom"/>
            <w:gridSpan w:val="3"/>
          </w:tcPr>
          <w:p>
            <w:pPr>
              <w:jc w:val="right"/>
              <w:ind w:right="112"/>
              <w:spacing w:after="0" w:line="243" w:lineRule="exact"/>
              <w:rPr>
                <w:sz w:val="20"/>
                <w:szCs w:val="20"/>
                <w:color w:val="auto"/>
              </w:rPr>
            </w:pPr>
            <w:r>
              <w:rPr>
                <w:rFonts w:ascii="Arial" w:cs="Arial" w:eastAsia="Arial" w:hAnsi="Arial"/>
                <w:sz w:val="22"/>
                <w:szCs w:val="22"/>
                <w:color w:val="auto"/>
              </w:rPr>
              <w:t>26.5</w:t>
            </w:r>
          </w:p>
        </w:tc>
        <w:tc>
          <w:tcPr>
            <w:tcW w:w="420" w:type="dxa"/>
            <w:vAlign w:val="bottom"/>
          </w:tcPr>
          <w:p>
            <w:pPr>
              <w:spacing w:after="0"/>
              <w:rPr>
                <w:sz w:val="21"/>
                <w:szCs w:val="21"/>
                <w:color w:val="auto"/>
              </w:rPr>
            </w:pPr>
          </w:p>
        </w:tc>
        <w:tc>
          <w:tcPr>
            <w:tcW w:w="980" w:type="dxa"/>
            <w:vAlign w:val="bottom"/>
            <w:gridSpan w:val="3"/>
          </w:tcPr>
          <w:p>
            <w:pPr>
              <w:jc w:val="right"/>
              <w:ind w:right="200"/>
              <w:spacing w:after="0" w:line="243" w:lineRule="exact"/>
              <w:rPr>
                <w:sz w:val="20"/>
                <w:szCs w:val="20"/>
                <w:color w:val="auto"/>
              </w:rPr>
            </w:pPr>
            <w:r>
              <w:rPr>
                <w:rFonts w:ascii="Arial" w:cs="Arial" w:eastAsia="Arial" w:hAnsi="Arial"/>
                <w:sz w:val="22"/>
                <w:szCs w:val="22"/>
                <w:color w:val="auto"/>
              </w:rPr>
              <w:t>60.4</w:t>
            </w:r>
          </w:p>
        </w:tc>
        <w:tc>
          <w:tcPr>
            <w:tcW w:w="380" w:type="dxa"/>
            <w:vAlign w:val="bottom"/>
          </w:tcPr>
          <w:p>
            <w:pPr>
              <w:spacing w:after="0"/>
              <w:rPr>
                <w:sz w:val="21"/>
                <w:szCs w:val="21"/>
                <w:color w:val="auto"/>
              </w:rPr>
            </w:pPr>
          </w:p>
        </w:tc>
        <w:tc>
          <w:tcPr>
            <w:tcW w:w="980" w:type="dxa"/>
            <w:vAlign w:val="bottom"/>
            <w:gridSpan w:val="3"/>
          </w:tcPr>
          <w:p>
            <w:pPr>
              <w:jc w:val="right"/>
              <w:ind w:right="92"/>
              <w:spacing w:after="0" w:line="243" w:lineRule="exact"/>
              <w:rPr>
                <w:sz w:val="20"/>
                <w:szCs w:val="20"/>
                <w:color w:val="auto"/>
              </w:rPr>
            </w:pPr>
            <w:r>
              <w:rPr>
                <w:rFonts w:ascii="Arial" w:cs="Arial" w:eastAsia="Arial" w:hAnsi="Arial"/>
                <w:sz w:val="22"/>
                <w:szCs w:val="22"/>
                <w:color w:val="auto"/>
              </w:rPr>
              <w:t>74.8</w:t>
            </w:r>
          </w:p>
        </w:tc>
        <w:tc>
          <w:tcPr>
            <w:tcW w:w="400" w:type="dxa"/>
            <w:vAlign w:val="bottom"/>
          </w:tcPr>
          <w:p>
            <w:pPr>
              <w:spacing w:after="0"/>
              <w:rPr>
                <w:sz w:val="21"/>
                <w:szCs w:val="21"/>
                <w:color w:val="auto"/>
              </w:rPr>
            </w:pPr>
          </w:p>
        </w:tc>
        <w:tc>
          <w:tcPr>
            <w:tcW w:w="8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121.7</w:t>
            </w: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3"/>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135.54</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135.46</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143.24</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138.92</w:t>
            </w: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340" w:type="dxa"/>
            <w:vAlign w:val="bottom"/>
          </w:tcPr>
          <w:p>
            <w:pPr>
              <w:spacing w:after="0"/>
              <w:rPr>
                <w:sz w:val="21"/>
                <w:szCs w:val="21"/>
                <w:color w:val="auto"/>
              </w:rPr>
            </w:pPr>
          </w:p>
        </w:tc>
        <w:tc>
          <w:tcPr>
            <w:tcW w:w="1040" w:type="dxa"/>
            <w:vAlign w:val="bottom"/>
            <w:gridSpan w:val="3"/>
          </w:tcPr>
          <w:p>
            <w:pPr>
              <w:jc w:val="right"/>
              <w:ind w:right="112"/>
              <w:spacing w:after="0" w:line="243" w:lineRule="exact"/>
              <w:rPr>
                <w:sz w:val="20"/>
                <w:szCs w:val="20"/>
                <w:color w:val="auto"/>
              </w:rPr>
            </w:pPr>
            <w:r>
              <w:rPr>
                <w:rFonts w:ascii="Arial" w:cs="Arial" w:eastAsia="Arial" w:hAnsi="Arial"/>
                <w:sz w:val="22"/>
                <w:szCs w:val="22"/>
                <w:color w:val="auto"/>
              </w:rPr>
              <w:t>40,429</w:t>
            </w:r>
          </w:p>
        </w:tc>
        <w:tc>
          <w:tcPr>
            <w:tcW w:w="420" w:type="dxa"/>
            <w:vAlign w:val="bottom"/>
          </w:tcPr>
          <w:p>
            <w:pPr>
              <w:spacing w:after="0"/>
              <w:rPr>
                <w:sz w:val="21"/>
                <w:szCs w:val="21"/>
                <w:color w:val="auto"/>
              </w:rPr>
            </w:pPr>
          </w:p>
        </w:tc>
        <w:tc>
          <w:tcPr>
            <w:tcW w:w="980" w:type="dxa"/>
            <w:vAlign w:val="bottom"/>
            <w:gridSpan w:val="3"/>
          </w:tcPr>
          <w:p>
            <w:pPr>
              <w:jc w:val="right"/>
              <w:ind w:right="200"/>
              <w:spacing w:after="0" w:line="243" w:lineRule="exact"/>
              <w:rPr>
                <w:sz w:val="20"/>
                <w:szCs w:val="20"/>
                <w:color w:val="auto"/>
              </w:rPr>
            </w:pPr>
            <w:r>
              <w:rPr>
                <w:rFonts w:ascii="Arial" w:cs="Arial" w:eastAsia="Arial" w:hAnsi="Arial"/>
                <w:sz w:val="22"/>
                <w:szCs w:val="22"/>
                <w:color w:val="auto"/>
                <w:w w:val="95"/>
              </w:rPr>
              <w:t>117,280</w:t>
            </w:r>
          </w:p>
        </w:tc>
        <w:tc>
          <w:tcPr>
            <w:tcW w:w="380" w:type="dxa"/>
            <w:vAlign w:val="bottom"/>
          </w:tcPr>
          <w:p>
            <w:pPr>
              <w:spacing w:after="0"/>
              <w:rPr>
                <w:sz w:val="21"/>
                <w:szCs w:val="21"/>
                <w:color w:val="auto"/>
              </w:rPr>
            </w:pPr>
          </w:p>
        </w:tc>
        <w:tc>
          <w:tcPr>
            <w:tcW w:w="980" w:type="dxa"/>
            <w:vAlign w:val="bottom"/>
            <w:gridSpan w:val="3"/>
          </w:tcPr>
          <w:p>
            <w:pPr>
              <w:jc w:val="right"/>
              <w:ind w:right="92"/>
              <w:spacing w:after="0" w:line="243" w:lineRule="exact"/>
              <w:rPr>
                <w:sz w:val="20"/>
                <w:szCs w:val="20"/>
                <w:color w:val="auto"/>
              </w:rPr>
            </w:pPr>
            <w:r>
              <w:rPr>
                <w:rFonts w:ascii="Arial" w:cs="Arial" w:eastAsia="Arial" w:hAnsi="Arial"/>
                <w:sz w:val="22"/>
                <w:szCs w:val="22"/>
                <w:color w:val="auto"/>
                <w:w w:val="95"/>
              </w:rPr>
              <w:t>170,324</w:t>
            </w:r>
          </w:p>
        </w:tc>
        <w:tc>
          <w:tcPr>
            <w:tcW w:w="400" w:type="dxa"/>
            <w:vAlign w:val="bottom"/>
          </w:tcPr>
          <w:p>
            <w:pPr>
              <w:spacing w:after="0"/>
              <w:rPr>
                <w:sz w:val="21"/>
                <w:szCs w:val="21"/>
                <w:color w:val="auto"/>
              </w:rPr>
            </w:pPr>
          </w:p>
        </w:tc>
        <w:tc>
          <w:tcPr>
            <w:tcW w:w="8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w w:val="93"/>
              </w:rPr>
              <w:t>248,770</w:t>
            </w: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2"/>
              </w:rPr>
              <w:t>Average selling price per pound of non-food grade corn oil</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3"/>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0.24</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0.25</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0.25</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0.25</w:t>
            </w: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color w:val="auto"/>
              </w:rPr>
              <w:t>Pounds of non-food grade corn oil sold (in millions)</w:t>
            </w:r>
          </w:p>
        </w:tc>
        <w:tc>
          <w:tcPr>
            <w:tcW w:w="340" w:type="dxa"/>
            <w:vAlign w:val="bottom"/>
          </w:tcPr>
          <w:p>
            <w:pPr>
              <w:spacing w:after="0"/>
              <w:rPr>
                <w:sz w:val="21"/>
                <w:szCs w:val="21"/>
                <w:color w:val="auto"/>
              </w:rPr>
            </w:pPr>
          </w:p>
        </w:tc>
        <w:tc>
          <w:tcPr>
            <w:tcW w:w="1040" w:type="dxa"/>
            <w:vAlign w:val="bottom"/>
            <w:gridSpan w:val="3"/>
          </w:tcPr>
          <w:p>
            <w:pPr>
              <w:jc w:val="right"/>
              <w:ind w:right="112"/>
              <w:spacing w:after="0" w:line="243" w:lineRule="exact"/>
              <w:rPr>
                <w:sz w:val="20"/>
                <w:szCs w:val="20"/>
                <w:color w:val="auto"/>
              </w:rPr>
            </w:pPr>
            <w:r>
              <w:rPr>
                <w:rFonts w:ascii="Arial" w:cs="Arial" w:eastAsia="Arial" w:hAnsi="Arial"/>
                <w:sz w:val="22"/>
                <w:szCs w:val="22"/>
                <w:color w:val="auto"/>
              </w:rPr>
              <w:t>5.4</w:t>
            </w:r>
          </w:p>
        </w:tc>
        <w:tc>
          <w:tcPr>
            <w:tcW w:w="420" w:type="dxa"/>
            <w:vAlign w:val="bottom"/>
          </w:tcPr>
          <w:p>
            <w:pPr>
              <w:spacing w:after="0"/>
              <w:rPr>
                <w:sz w:val="21"/>
                <w:szCs w:val="21"/>
                <w:color w:val="auto"/>
              </w:rPr>
            </w:pPr>
          </w:p>
        </w:tc>
        <w:tc>
          <w:tcPr>
            <w:tcW w:w="980" w:type="dxa"/>
            <w:vAlign w:val="bottom"/>
            <w:gridSpan w:val="3"/>
          </w:tcPr>
          <w:p>
            <w:pPr>
              <w:jc w:val="right"/>
              <w:ind w:right="200"/>
              <w:spacing w:after="0" w:line="243" w:lineRule="exact"/>
              <w:rPr>
                <w:sz w:val="20"/>
                <w:szCs w:val="20"/>
                <w:color w:val="auto"/>
              </w:rPr>
            </w:pPr>
            <w:r>
              <w:rPr>
                <w:rFonts w:ascii="Arial" w:cs="Arial" w:eastAsia="Arial" w:hAnsi="Arial"/>
                <w:sz w:val="22"/>
                <w:szCs w:val="22"/>
                <w:color w:val="auto"/>
              </w:rPr>
              <w:t>18.1</w:t>
            </w:r>
          </w:p>
        </w:tc>
        <w:tc>
          <w:tcPr>
            <w:tcW w:w="380" w:type="dxa"/>
            <w:vAlign w:val="bottom"/>
          </w:tcPr>
          <w:p>
            <w:pPr>
              <w:spacing w:after="0"/>
              <w:rPr>
                <w:sz w:val="21"/>
                <w:szCs w:val="21"/>
                <w:color w:val="auto"/>
              </w:rPr>
            </w:pPr>
          </w:p>
        </w:tc>
        <w:tc>
          <w:tcPr>
            <w:tcW w:w="980" w:type="dxa"/>
            <w:vAlign w:val="bottom"/>
            <w:gridSpan w:val="3"/>
          </w:tcPr>
          <w:p>
            <w:pPr>
              <w:jc w:val="right"/>
              <w:ind w:right="92"/>
              <w:spacing w:after="0" w:line="243" w:lineRule="exact"/>
              <w:rPr>
                <w:sz w:val="20"/>
                <w:szCs w:val="20"/>
                <w:color w:val="auto"/>
              </w:rPr>
            </w:pPr>
            <w:r>
              <w:rPr>
                <w:rFonts w:ascii="Arial" w:cs="Arial" w:eastAsia="Arial" w:hAnsi="Arial"/>
                <w:sz w:val="22"/>
                <w:szCs w:val="22"/>
                <w:color w:val="auto"/>
              </w:rPr>
              <w:t>18.1</w:t>
            </w:r>
          </w:p>
        </w:tc>
        <w:tc>
          <w:tcPr>
            <w:tcW w:w="400" w:type="dxa"/>
            <w:vAlign w:val="bottom"/>
          </w:tcPr>
          <w:p>
            <w:pPr>
              <w:spacing w:after="0"/>
              <w:rPr>
                <w:sz w:val="21"/>
                <w:szCs w:val="21"/>
                <w:color w:val="auto"/>
              </w:rPr>
            </w:pPr>
          </w:p>
        </w:tc>
        <w:tc>
          <w:tcPr>
            <w:tcW w:w="8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37.9</w:t>
            </w: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6"/>
              </w:rPr>
              <w:t>Average selling price per ton of modified distillers grains</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3"/>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31.87</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53.01</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49.32</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60.12</w:t>
            </w: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340" w:type="dxa"/>
            <w:vAlign w:val="bottom"/>
          </w:tcPr>
          <w:p>
            <w:pPr>
              <w:spacing w:after="0"/>
              <w:rPr>
                <w:sz w:val="21"/>
                <w:szCs w:val="21"/>
                <w:color w:val="auto"/>
              </w:rPr>
            </w:pPr>
          </w:p>
        </w:tc>
        <w:tc>
          <w:tcPr>
            <w:tcW w:w="1040" w:type="dxa"/>
            <w:vAlign w:val="bottom"/>
            <w:gridSpan w:val="3"/>
          </w:tcPr>
          <w:p>
            <w:pPr>
              <w:jc w:val="right"/>
              <w:ind w:right="112"/>
              <w:spacing w:after="0" w:line="243" w:lineRule="exact"/>
              <w:rPr>
                <w:sz w:val="20"/>
                <w:szCs w:val="20"/>
                <w:color w:val="auto"/>
              </w:rPr>
            </w:pPr>
            <w:r>
              <w:rPr>
                <w:rFonts w:ascii="Arial" w:cs="Arial" w:eastAsia="Arial" w:hAnsi="Arial"/>
                <w:sz w:val="22"/>
                <w:szCs w:val="22"/>
                <w:color w:val="auto"/>
              </w:rPr>
              <w:t>6,566</w:t>
            </w:r>
          </w:p>
        </w:tc>
        <w:tc>
          <w:tcPr>
            <w:tcW w:w="420" w:type="dxa"/>
            <w:vAlign w:val="bottom"/>
          </w:tcPr>
          <w:p>
            <w:pPr>
              <w:spacing w:after="0"/>
              <w:rPr>
                <w:sz w:val="21"/>
                <w:szCs w:val="21"/>
                <w:color w:val="auto"/>
              </w:rPr>
            </w:pPr>
          </w:p>
        </w:tc>
        <w:tc>
          <w:tcPr>
            <w:tcW w:w="980" w:type="dxa"/>
            <w:vAlign w:val="bottom"/>
            <w:gridSpan w:val="3"/>
          </w:tcPr>
          <w:p>
            <w:pPr>
              <w:jc w:val="right"/>
              <w:ind w:right="200"/>
              <w:spacing w:after="0" w:line="243" w:lineRule="exact"/>
              <w:rPr>
                <w:sz w:val="20"/>
                <w:szCs w:val="20"/>
                <w:color w:val="auto"/>
              </w:rPr>
            </w:pPr>
            <w:r>
              <w:rPr>
                <w:rFonts w:ascii="Arial" w:cs="Arial" w:eastAsia="Arial" w:hAnsi="Arial"/>
                <w:sz w:val="22"/>
                <w:szCs w:val="22"/>
                <w:color w:val="auto"/>
              </w:rPr>
              <w:t>37,795</w:t>
            </w:r>
          </w:p>
        </w:tc>
        <w:tc>
          <w:tcPr>
            <w:tcW w:w="380" w:type="dxa"/>
            <w:vAlign w:val="bottom"/>
          </w:tcPr>
          <w:p>
            <w:pPr>
              <w:spacing w:after="0"/>
              <w:rPr>
                <w:sz w:val="21"/>
                <w:szCs w:val="21"/>
                <w:color w:val="auto"/>
              </w:rPr>
            </w:pPr>
          </w:p>
        </w:tc>
        <w:tc>
          <w:tcPr>
            <w:tcW w:w="980" w:type="dxa"/>
            <w:vAlign w:val="bottom"/>
            <w:gridSpan w:val="3"/>
          </w:tcPr>
          <w:p>
            <w:pPr>
              <w:jc w:val="right"/>
              <w:ind w:right="92"/>
              <w:spacing w:after="0" w:line="243" w:lineRule="exact"/>
              <w:rPr>
                <w:sz w:val="20"/>
                <w:szCs w:val="20"/>
                <w:color w:val="auto"/>
              </w:rPr>
            </w:pPr>
            <w:r>
              <w:rPr>
                <w:rFonts w:ascii="Arial" w:cs="Arial" w:eastAsia="Arial" w:hAnsi="Arial"/>
                <w:sz w:val="22"/>
                <w:szCs w:val="22"/>
                <w:color w:val="auto"/>
              </w:rPr>
              <w:t>13,507</w:t>
            </w:r>
          </w:p>
        </w:tc>
        <w:tc>
          <w:tcPr>
            <w:tcW w:w="400" w:type="dxa"/>
            <w:vAlign w:val="bottom"/>
          </w:tcPr>
          <w:p>
            <w:pPr>
              <w:spacing w:after="0"/>
              <w:rPr>
                <w:sz w:val="21"/>
                <w:szCs w:val="21"/>
                <w:color w:val="auto"/>
              </w:rPr>
            </w:pPr>
          </w:p>
        </w:tc>
        <w:tc>
          <w:tcPr>
            <w:tcW w:w="8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85,555</w:t>
            </w: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3"/>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3.63</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3.80</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3"/>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3.86</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3.65</w:t>
            </w:r>
          </w:p>
        </w:tc>
      </w:tr>
      <w:tr>
        <w:trPr>
          <w:trHeight w:val="274"/>
        </w:trPr>
        <w:tc>
          <w:tcPr>
            <w:tcW w:w="528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gridSpan w:val="3"/>
          </w:tcPr>
          <w:p>
            <w:pPr>
              <w:jc w:val="right"/>
              <w:ind w:right="112"/>
              <w:spacing w:after="0"/>
              <w:rPr>
                <w:sz w:val="20"/>
                <w:szCs w:val="20"/>
                <w:color w:val="auto"/>
              </w:rPr>
            </w:pPr>
            <w:r>
              <w:rPr>
                <w:rFonts w:ascii="Arial" w:cs="Arial" w:eastAsia="Arial" w:hAnsi="Arial"/>
                <w:sz w:val="22"/>
                <w:szCs w:val="22"/>
                <w:color w:val="auto"/>
              </w:rPr>
              <w:t>2.92</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22"/>
                <w:szCs w:val="22"/>
                <w:color w:val="auto"/>
              </w:rPr>
              <w:t>2.63</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gridSpan w:val="3"/>
          </w:tcPr>
          <w:p>
            <w:pPr>
              <w:jc w:val="right"/>
              <w:ind w:right="92"/>
              <w:spacing w:after="0"/>
              <w:rPr>
                <w:sz w:val="20"/>
                <w:szCs w:val="20"/>
                <w:color w:val="auto"/>
              </w:rPr>
            </w:pPr>
            <w:r>
              <w:rPr>
                <w:rFonts w:ascii="Arial" w:cs="Arial" w:eastAsia="Arial" w:hAnsi="Arial"/>
                <w:sz w:val="22"/>
                <w:szCs w:val="22"/>
                <w:color w:val="auto"/>
              </w:rPr>
              <w:t>3.60</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22"/>
                <w:szCs w:val="22"/>
                <w:color w:val="auto"/>
              </w:rPr>
              <w:t>3.16</w:t>
            </w:r>
          </w:p>
        </w:tc>
      </w:tr>
    </w:tbl>
    <w:p>
      <w:pPr>
        <w:spacing w:after="0" w:line="1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Ethanol sales decreased from approximately $83.2 million in the second quarter of fiscal year 2019 to approximately $32.5 million in the second quarter of fiscal year 2020, primarily as a result of a 56% decrease in gallons sold compared to the second quarter of fiscal year 2019 as both of our consolidated ethanol plants were in production for approximately only one month during the second quarter of fiscal year 2020. Dried distillers grains sales decreased from approximately $15.9 million in the second quarter of fiscal year 2019 to approximately $5.5 million in the second quarter of fiscal year 2020, primarily as a result of a 66% decrease in tons sold compared to the second quarter of fiscal year 2019. Non-food grade corn oil sales were approximately $1.3 million in the second quarter of fiscal year 2020 compared to approximately $4.6 million in the second quarter of fiscal year 2019. The decrease was primarily a result of a 70% decrease in pounds sold compared to the second quarter of fiscal year 2019. Modified distillers grains sales were approximately $0.2 million in the second quarter of fiscal year 2020 compared to approximately $2.0 million in the second quarter of fiscal year 2019. The decrease was primarily a result of an 83% decrease in tons sold compared to the second quarter of fiscal year 2019.</w:t>
      </w:r>
    </w:p>
    <w:p>
      <w:pPr>
        <w:spacing w:after="0" w:line="182"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Ethanol sales decreased from approximately $160.8 million in the first six months of fiscal year 2019 to approximately $93.1 million in the first six months of fiscal year 2020, primarily a result of a decrease of 46.9 million gallons sold. Dried distillers grains sales decreased from approximately $34.6 million in the first six months of fiscal year 2019 to approximately $24.4 million in the first six months of fiscal year 2020, primarily a result of a 32% decrease in tons sold compared to the first six months of fiscal year 2019. Non-food grade corn oil sales decreased from approximately $9.6 million in the first six months of fiscal year 2019 to approximately $4.5 million in the first six months of fiscal year 2020, primarily a result of a 52% decrease in pounds sold. Modified distillers grains sales decreased from approximately $5.1 million in the first six months of fiscal year 2019 to approximately $0.7 million in the first six months of fiscal year 2020, primarily a result of an 84% decrease in tons sold compared to the first six months of fiscal year 2019. The volume decreases for the quarter and six months ended July 31, 2020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31" w:name="page32"/>
    <w:bookmarkEnd w:id="31"/>
    <w:p>
      <w:pPr>
        <w:ind w:right="40"/>
        <w:spacing w:after="0" w:line="249" w:lineRule="auto"/>
        <w:rPr>
          <w:sz w:val="20"/>
          <w:szCs w:val="20"/>
          <w:color w:val="auto"/>
        </w:rPr>
      </w:pPr>
      <w:r>
        <w:rPr>
          <w:rFonts w:ascii="Arial" w:cs="Arial" w:eastAsia="Arial" w:hAnsi="Arial"/>
          <w:sz w:val="21"/>
          <w:szCs w:val="21"/>
          <w:color w:val="auto"/>
        </w:rPr>
        <w:t>were primarily a result of the impact of the COVID-19 outbreak on ethanol demand, lower ethanol pricing, an oversupply of oil and corn availability at the NuGen ethanol plant. These factors resulted in idling both of our consolidated ethanol plants in March of 2020. In May of 2020, businesses and other activities slowly began to reopen, which led to an increase in demand for gasoline and ethanol, and in related prices. As a result, we resumed production operations at the One Earth ethanol plant in May of 2020 and at the NuGen ethanol plant in June of 2020.</w:t>
      </w:r>
    </w:p>
    <w:p>
      <w:pPr>
        <w:spacing w:after="0" w:line="205"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Gross profit for the second quarter of fiscal year 2020 was approximately $0.6 million compared to approximately $6.2 million of gross profit for the second quarter of fiscal year 2019. The crush spread for the second quarter of fiscal year 2020 was approximately $(0.04) per gallon of ethanol sold compared to $0.07 per gallon of ethanol sold during the second quarter of fiscal year 2019. During the second quarter of fiscal year 2020, both of our consolidated ethanol plants were idled for most of the quarter. Consequently, lower production and resulting sales volumes significantly reduced gross profit for the second quarter of fiscal year 2020.</w:t>
      </w:r>
    </w:p>
    <w:p>
      <w:pPr>
        <w:spacing w:after="0" w:line="21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Corn accounted for approximately 68% ($26.1 million) of our cost of sales during the second quarter of fiscal year 2020 compared to approximately 78% ($77.5 million) during the second quarter of fiscal year 2019. Natural gas accounted for approximately 5% ($1.9 million) of our cost of sales during the second quarter of fiscal year 2020 compared to approximately 4% ($4.2 million) during the second quarter of fiscal year 2019. Both the corn and natural gas dollar decreases were primarily attributable to the lower production levels incurred in the second quarter of fiscal year 2020 compared to the second quarter of fiscal year 2019 levels.</w:t>
      </w:r>
    </w:p>
    <w:p>
      <w:pPr>
        <w:spacing w:after="0" w:line="215"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Gross (loss) profit for the first six months of fiscal year 2020 was approximately $(7.7) million, which was approximately $20.0 million lower compared to approximately $12.3 million of gross profit for the first six months of fiscal year 2019. The crush spread for the first six months of fiscal year 2020 was approximately $(0.08) per gallon of ethanol sold compared to the first six months of fiscal year 2019 which was approximately $0.06 per gallon of ethanol sold Both of our consolidated ethanol plants were idled for portions of the first six months of fiscal year 2020. Consequently, lower production and resulting sales volumes significantly reduced gross profit for the first six months of fiscal year 2020.</w:t>
      </w:r>
    </w:p>
    <w:p>
      <w:pPr>
        <w:spacing w:after="0" w:line="204"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Grain accounted for approximately 73% ($94.8 million) of our cost of sales during the first six months of fiscal year 2020 compared to approximately 77% ($152.7 million) during the first six months of fiscal year 2019. Natural gas accounted for approximately 6% ($7.3 million) of our cost of sales during the first six months of fiscal year 2020 compared to approximately 5% ($10.4 million) during the first six months of fiscal year 2019. Both the grain and natural gas dollar decreases were primarily attributable to the lower production levels incurred in the first six months of fiscal year 2020 compared to the first six months of fiscal year 2019 levels.</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 w:name="page33"/>
    <w:bookmarkEnd w:id="32"/>
    <w:p>
      <w:pPr>
        <w:ind w:right="140"/>
        <w:spacing w:after="0" w:line="250" w:lineRule="auto"/>
        <w:rPr>
          <w:sz w:val="20"/>
          <w:szCs w:val="20"/>
          <w:color w:val="auto"/>
        </w:rPr>
      </w:pPr>
      <w:r>
        <w:rPr>
          <w:rFonts w:ascii="Arial" w:cs="Arial" w:eastAsia="Arial" w:hAnsi="Arial"/>
          <w:sz w:val="22"/>
          <w:szCs w:val="22"/>
          <w:color w:val="auto"/>
        </w:rPr>
        <w:t>short period of time our contracts cover, we generally cannot predict the future movements in our realized crush spread for more than four months.</w:t>
      </w:r>
    </w:p>
    <w:p>
      <w:pPr>
        <w:spacing w:after="0" w:line="202"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SG&amp;A expenses for the second quarter of fiscal year 2020 were approximately $3.4 million, compared to the second quarter of fiscal year 2019 amount of approximately $4.2 million. The decrease is primarily related to lower ethanol freight charges, consistent with lower production and sales. SG&amp;A expenses were approximately $7.6 million for the first six months of fiscal year 2020, compared to the first six months of fiscal year 2019 amount of $8.1 million. The decrease is primarily related to a decrease in incentive compensation expense associated with lower profitability in fiscal year 2020.</w:t>
      </w:r>
    </w:p>
    <w:p>
      <w:pPr>
        <w:spacing w:after="0" w:line="174" w:lineRule="exact"/>
        <w:rPr>
          <w:sz w:val="20"/>
          <w:szCs w:val="20"/>
          <w:color w:val="auto"/>
        </w:rPr>
      </w:pPr>
    </w:p>
    <w:p>
      <w:pPr>
        <w:ind w:right="120" w:firstLine="648"/>
        <w:spacing w:after="0" w:line="274" w:lineRule="auto"/>
        <w:rPr>
          <w:sz w:val="20"/>
          <w:szCs w:val="20"/>
          <w:color w:val="auto"/>
        </w:rPr>
      </w:pPr>
      <w:r>
        <w:rPr>
          <w:rFonts w:ascii="Arial" w:cs="Arial" w:eastAsia="Arial" w:hAnsi="Arial"/>
          <w:sz w:val="19"/>
          <w:szCs w:val="19"/>
          <w:color w:val="auto"/>
        </w:rPr>
        <w:t>During the second quarter of fiscal year 2020 we recognized a loss of approximately $0.5 million compared to income of approximately $0.2 million for the second quarter of fiscal year 2019, from our equity investment in Big River. We recognized a loss of approximately $1.0 million during the first six months of fiscal year 2020 compared to income of approximately $0.4 million during the first six months of fiscal year 2019. Big River’s results for the quarter and six months ended July 31, 2020 were negatively impacted by the COVID-19 outbreak. Big River has interests in four ethanol production plants that shipped approximately 388 million gallons in the trailing twelve months ended July 31, 2020 and has an effective ownership of ethanol gallons shipped for the same period of approximately 335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85"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Interest and other income was approximately $0.1 million for the second quarter of fiscal year 2020 compared to approximately $0.9 million for the second quarter of fiscal year 2019. Interest and other income was approximately $0.6 million for the first six months of fiscal year 2020 compared to approximately $1.7 million for the first six months of fiscal year 2019. Interest income has decreased as yields on our excess cash decreased compared to fiscal year 2019 and our excess cash investment balances decreased compared to fiscal year 2019.</w:t>
      </w:r>
    </w:p>
    <w:p>
      <w:pPr>
        <w:spacing w:after="0" w:line="214"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The benefit for income taxes was approximately $0.9 million in the second quarter of fiscal year 2020 compared to a provision of approximately $0.6 million in the second quarter of fiscal year 2019. The benefit for income taxes was approximately $5.1 million in the first six months of fiscal year 2020 compared to a provision of approximately $1.1 million in the first six months of fiscal year 2019. The fluctuation in segment income tax benefit or provision is primarily related to the pre-tax loss incurred in fiscal year 2020 compared to pre-tax income incurred in fiscal year 2019.</w:t>
      </w:r>
    </w:p>
    <w:p>
      <w:pPr>
        <w:spacing w:after="0" w:line="205"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Loss (income) related to noncontrolling interests was approximately $0.2 million and approximately $(1.2) million during the second quarters of fiscal years 2020 and 2019, respectively. Loss (income) related to noncontrolling interests was approximately $0.9 million and approximately $(2.2) million during the first six months of fiscal years 2020 and 2019, respectively. These amounts represent the other owners’ share of the income of NuGen and One Earth.</w:t>
      </w:r>
    </w:p>
    <w:p>
      <w:pPr>
        <w:spacing w:after="0" w:line="201"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Segment loss for the second quarter of fiscal year 2020 was approximately $2.2 million, which was a decrease of approximately $3.5 million compared to the prior year second quarter segment profit of approximately $1.3 million. Segment loss for the first six months of fiscal year 2020 was approximately $9.6 million, which was approximately $12.6 million lower compared to the first six months of fiscal year 2019 segment profit of approximately $3.0 million.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The refined coal segment includes the consolidated financial results of our refined coal entity and certain administrative expenses. We acquired the refined coal entity during the third quarter of fiscal year 2017. The following table summarizes sales from refined coal operations by product group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9"/>
          </w:tcPr>
          <w:p>
            <w:pPr>
              <w:jc w:val="center"/>
              <w:ind w:right="520"/>
              <w:spacing w:after="0"/>
              <w:rPr>
                <w:sz w:val="20"/>
                <w:szCs w:val="20"/>
                <w:color w:val="auto"/>
              </w:rPr>
            </w:pPr>
            <w:r>
              <w:rPr>
                <w:rFonts w:ascii="Arial" w:cs="Arial" w:eastAsia="Arial" w:hAnsi="Arial"/>
                <w:sz w:val="22"/>
                <w:szCs w:val="22"/>
                <w:b w:val="1"/>
                <w:bCs w:val="1"/>
                <w:color w:val="auto"/>
                <w:w w:val="90"/>
              </w:rPr>
              <w:t>Three Months Ended</w:t>
            </w:r>
          </w:p>
        </w:tc>
        <w:tc>
          <w:tcPr>
            <w:tcW w:w="200" w:type="dxa"/>
            <w:vAlign w:val="bottom"/>
          </w:tcPr>
          <w:p>
            <w:pPr>
              <w:spacing w:after="0"/>
              <w:rPr>
                <w:sz w:val="21"/>
                <w:szCs w:val="21"/>
                <w:color w:val="auto"/>
              </w:rPr>
            </w:pPr>
          </w:p>
        </w:tc>
        <w:tc>
          <w:tcPr>
            <w:tcW w:w="2020" w:type="dxa"/>
            <w:vAlign w:val="bottom"/>
            <w:gridSpan w:val="8"/>
          </w:tcPr>
          <w:p>
            <w:pPr>
              <w:ind w:left="8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80"/>
        </w:trPr>
        <w:tc>
          <w:tcPr>
            <w:tcW w:w="6200" w:type="dxa"/>
            <w:vAlign w:val="bottom"/>
            <w:vMerge w:val="restart"/>
          </w:tcPr>
          <w:p>
            <w:pPr>
              <w:spacing w:after="0"/>
              <w:rPr>
                <w:sz w:val="20"/>
                <w:szCs w:val="20"/>
                <w:color w:val="auto"/>
              </w:rPr>
            </w:pPr>
            <w:r>
              <w:rPr>
                <w:rFonts w:ascii="Arial" w:cs="Arial" w:eastAsia="Arial" w:hAnsi="Arial"/>
                <w:sz w:val="22"/>
                <w:szCs w:val="22"/>
                <w:color w:val="auto"/>
              </w:rPr>
              <w:t>Sales of products, refined coal segment:</w:t>
            </w:r>
          </w:p>
        </w:tc>
        <w:tc>
          <w:tcPr>
            <w:tcW w:w="16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5"/>
              </w:rPr>
              <w:t>2020</w:t>
            </w:r>
          </w:p>
        </w:tc>
        <w:tc>
          <w:tcPr>
            <w:tcW w:w="88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July 31,</w:t>
            </w:r>
          </w:p>
        </w:tc>
        <w:tc>
          <w:tcPr>
            <w:tcW w:w="4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3"/>
              </w:rPr>
              <w:t>2019</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22"/>
                <w:szCs w:val="22"/>
                <w:b w:val="1"/>
                <w:bCs w:val="1"/>
                <w:color w:val="auto"/>
                <w:w w:val="85"/>
              </w:rPr>
              <w:t>2020</w:t>
            </w:r>
          </w:p>
        </w:tc>
        <w:tc>
          <w:tcPr>
            <w:tcW w:w="840" w:type="dxa"/>
            <w:vAlign w:val="bottom"/>
            <w:gridSpan w:val="3"/>
          </w:tcPr>
          <w:p>
            <w:pPr>
              <w:jc w:val="right"/>
              <w:spacing w:after="0"/>
              <w:rPr>
                <w:sz w:val="20"/>
                <w:szCs w:val="20"/>
                <w:color w:val="auto"/>
              </w:rPr>
            </w:pPr>
            <w:r>
              <w:rPr>
                <w:rFonts w:ascii="Arial" w:cs="Arial" w:eastAsia="Arial" w:hAnsi="Arial"/>
                <w:sz w:val="22"/>
                <w:szCs w:val="22"/>
                <w:b w:val="1"/>
                <w:bCs w:val="1"/>
                <w:color w:val="auto"/>
                <w:w w:val="96"/>
              </w:rPr>
              <w:t>July 31,</w:t>
            </w:r>
          </w:p>
        </w:tc>
        <w:tc>
          <w:tcPr>
            <w:tcW w:w="4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93"/>
              </w:rPr>
              <w:t>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20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85</w:t>
            </w:r>
          </w:p>
        </w:tc>
        <w:tc>
          <w:tcPr>
            <w:tcW w:w="70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1120" w:type="dxa"/>
            <w:vAlign w:val="bottom"/>
            <w:gridSpan w:val="4"/>
          </w:tcPr>
          <w:p>
            <w:pPr>
              <w:jc w:val="right"/>
              <w:ind w:right="460"/>
              <w:spacing w:after="0"/>
              <w:rPr>
                <w:sz w:val="20"/>
                <w:szCs w:val="20"/>
                <w:color w:val="auto"/>
              </w:rPr>
            </w:pPr>
            <w:r>
              <w:rPr>
                <w:rFonts w:ascii="Arial" w:cs="Arial" w:eastAsia="Arial" w:hAnsi="Arial"/>
                <w:sz w:val="22"/>
                <w:szCs w:val="22"/>
                <w:color w:val="auto"/>
              </w:rPr>
              <w:t>98</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700" w:type="dxa"/>
            <w:vAlign w:val="bottom"/>
            <w:gridSpan w:val="3"/>
          </w:tcPr>
          <w:p>
            <w:pPr>
              <w:jc w:val="right"/>
              <w:spacing w:after="0"/>
              <w:rPr>
                <w:sz w:val="20"/>
                <w:szCs w:val="20"/>
                <w:color w:val="auto"/>
              </w:rPr>
            </w:pPr>
            <w:r>
              <w:rPr>
                <w:rFonts w:ascii="Arial" w:cs="Arial" w:eastAsia="Arial" w:hAnsi="Arial"/>
                <w:sz w:val="22"/>
                <w:szCs w:val="22"/>
                <w:color w:val="auto"/>
              </w:rPr>
              <w:t>100</w:t>
            </w:r>
          </w:p>
        </w:tc>
        <w:tc>
          <w:tcPr>
            <w:tcW w:w="440" w:type="dxa"/>
            <w:vAlign w:val="bottom"/>
          </w:tcPr>
          <w:p>
            <w:pPr>
              <w:spacing w:after="0"/>
              <w:rPr>
                <w:sz w:val="24"/>
                <w:szCs w:val="24"/>
                <w:color w:val="auto"/>
              </w:rPr>
            </w:pPr>
          </w:p>
        </w:tc>
        <w:tc>
          <w:tcPr>
            <w:tcW w:w="220" w:type="dxa"/>
            <w:vAlign w:val="bottom"/>
          </w:tcPr>
          <w:p>
            <w:pPr>
              <w:jc w:val="right"/>
              <w:ind w:right="23"/>
              <w:spacing w:after="0"/>
              <w:rPr>
                <w:sz w:val="20"/>
                <w:szCs w:val="20"/>
                <w:color w:val="auto"/>
              </w:rPr>
            </w:pPr>
            <w:r>
              <w:rPr>
                <w:rFonts w:ascii="Arial" w:cs="Arial" w:eastAsia="Arial" w:hAnsi="Arial"/>
                <w:sz w:val="19"/>
                <w:szCs w:val="19"/>
                <w:color w:val="auto"/>
                <w:w w:val="75"/>
              </w:rPr>
              <w:t>$</w:t>
            </w:r>
          </w:p>
        </w:tc>
        <w:tc>
          <w:tcPr>
            <w:tcW w:w="660" w:type="dxa"/>
            <w:vAlign w:val="bottom"/>
            <w:gridSpan w:val="3"/>
          </w:tcPr>
          <w:p>
            <w:pPr>
              <w:jc w:val="right"/>
              <w:spacing w:after="0"/>
              <w:rPr>
                <w:sz w:val="20"/>
                <w:szCs w:val="20"/>
                <w:color w:val="auto"/>
              </w:rPr>
            </w:pPr>
            <w:r>
              <w:rPr>
                <w:rFonts w:ascii="Arial" w:cs="Arial" w:eastAsia="Arial" w:hAnsi="Arial"/>
                <w:sz w:val="22"/>
                <w:szCs w:val="22"/>
                <w:color w:val="auto"/>
              </w:rPr>
              <w:t>220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120" w:firstLine="656"/>
        <w:spacing w:after="0" w:line="186" w:lineRule="auto"/>
        <w:tabs>
          <w:tab w:leader="none" w:pos="792" w:val="left"/>
        </w:tabs>
        <w:numPr>
          <w:ilvl w:val="0"/>
          <w:numId w:val="8"/>
        </w:numPr>
        <w:rPr>
          <w:rFonts w:ascii="Arial" w:cs="Arial" w:eastAsia="Arial" w:hAnsi="Arial"/>
          <w:sz w:val="36"/>
          <w:szCs w:val="36"/>
          <w:color w:val="auto"/>
          <w:vertAlign w:val="superscript"/>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21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Refined coal sales were approximately $85,000 and approximately $98,000 in the second quarters of fiscal years 2020 and 2019, respectively. Refined coal sales were approximately $100,000 and approximately $220,000 in the first six months of fiscal years 2020 and 2019, respectively. During fiscal year 2020, operating results have been adversely affected by lower utility plant demand (our only customer). Refined coal sales vary depending on fluctuations in demand from the site host utility, which generally changes based upon weather conditions in the geographic markets the utility serves and competing energy prices and supplies and the state of the economy. Based upon current year operations and projections from the site host utility, we expect varying and intermittent demand for refined coal in future periods compared to historical results.</w:t>
      </w:r>
    </w:p>
    <w:p>
      <w:pPr>
        <w:spacing w:after="0" w:line="17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Gross loss was approximately $1.9 million and approximately $2.2 million in the second quarters of fiscal years 2020 and 2019, respectively. Gross loss was approximately $3.0 million and approximately $4.6 million in the first six months of fiscal years 2020 and 2019, respectively. We expect future period gross losses to vary like the sales fluctuations described above. Based upon the agreements in place that govern the operation, sales and purchasing activities of the refined coal plant, we expect the refined coal operation to continue operating at a gross loss. We expect that the ongoing losses will be subsidized by federal production income tax credits.</w:t>
      </w:r>
    </w:p>
    <w:p>
      <w:pPr>
        <w:spacing w:after="0" w:line="215"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SG&amp;A expenses were insignificant during the second quarters and first six months of fiscal years 2020 and 2019. We expect future period expenses to also be insignificant.</w:t>
      </w:r>
    </w:p>
    <w:p>
      <w:pPr>
        <w:spacing w:after="0" w:line="20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Loss related to noncontrolling interests was approximately $0.1 million for each of the second quarters of fiscal years 2020 and 2019. Loss related to noncontrolling interests was approximately $0.1 million and approximately $0.2 million in the first six months of fiscal years 2020 and 2019, respectively. This amount represents the other owner’s share of the pre-tax loss of refined coal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4" w:name="page35"/>
    <w:bookmarkEnd w:id="34"/>
    <w:p>
      <w:pPr>
        <w:ind w:firstLine="648"/>
        <w:spacing w:after="0" w:line="235" w:lineRule="auto"/>
        <w:rPr>
          <w:sz w:val="20"/>
          <w:szCs w:val="20"/>
          <w:color w:val="auto"/>
        </w:rPr>
      </w:pPr>
      <w:r>
        <w:rPr>
          <w:rFonts w:ascii="Arial" w:cs="Arial" w:eastAsia="Arial" w:hAnsi="Arial"/>
          <w:sz w:val="22"/>
          <w:szCs w:val="22"/>
          <w:color w:val="auto"/>
        </w:rPr>
        <w:t>The benefit for income taxes was approximately $2.9 million and approximately $3.2 million in the second quarters of fiscal years 2020 and 2019, respectively. The benefit for income taxes was approximately $3.9 million and approximately $7.1 million in the first six months of fiscal years 2020 and 2019, respectively. The refined coal segment tax benefit is comprised of an estimated statutory benefit of its pre-tax losses and an estimated benefit from the federal production tax credits we expect to earn from producing and selling refined coal. The amount of benefit we recognize during interim periods will fluctuate based on actual production and profitability levels.</w:t>
      </w:r>
    </w:p>
    <w:p>
      <w:pPr>
        <w:spacing w:after="0" w:line="215"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As a result of the foregoing, including the benefit of federal production tax credits attributable to refined coal production and sales, segment profit was approximately $0.9 million and approximately $1.2 million for the second quarters of fiscal years 2020 and 2019, respectively. Segment profit was approximately $1.0 million and approximately $2.6 million for the first six months of fiscal years 2020 and 2019,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39" w:lineRule="exact"/>
        <w:rPr>
          <w:sz w:val="20"/>
          <w:szCs w:val="20"/>
          <w:color w:val="auto"/>
        </w:rPr>
      </w:pPr>
    </w:p>
    <w:p>
      <w:pPr>
        <w:ind w:right="540" w:firstLine="648"/>
        <w:spacing w:after="0" w:line="297" w:lineRule="auto"/>
        <w:rPr>
          <w:sz w:val="20"/>
          <w:szCs w:val="20"/>
          <w:color w:val="auto"/>
        </w:rPr>
      </w:pPr>
      <w:r>
        <w:rPr>
          <w:rFonts w:ascii="Arial" w:cs="Arial" w:eastAsia="Arial" w:hAnsi="Arial"/>
          <w:sz w:val="19"/>
          <w:szCs w:val="19"/>
          <w:color w:val="auto"/>
        </w:rPr>
        <w:t>SG&amp;A expenses were approximately $0.8 million for the second quarter of fiscal year 2020, consistent with the approximately $0.7 million of expenses for the second quarter of fiscal year 2019. These expenses were approximately $1.5 million and approximately $1.3 million for the first six months of fiscal years 2020 and 2019, respectively.</w:t>
      </w:r>
    </w:p>
    <w:p>
      <w:pPr>
        <w:spacing w:after="0" w:line="161"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Interest and other income was approximately $0.1 million and approximately $0.3 million for the second quarters of fiscal years 2020 and 2019, respectively. Interest and other income was approximately $0.2 million and approximately $0.6 million for the first six months of fiscal years 2020 and 2019, respectively. Interest income has decreased as yields on our excess cash decreased compared to fiscal year 2019 and our excess cash investment balances decreased compared to fiscal year 2019.</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Net cash used in operating activities was approximately $9.0 million for the first six months of fiscal year 2020, compared to cash provided of approximately $12.5 million for the first six months of fiscal year 2019. For the first six months of fiscal year 2020, cash was used by a net loss of approximately $10.5 million, adjusted for non-cash items of approximately $9.3 million, which consisted of depreciation, amortization of operating lease right-of-use assets, loss from equity method investments, interest income from short-term investments, the deferred income tax provision and stock based compensation expense. We received dividends from Big River of approximately $2.0 million during the first six months of fiscal year 2020. A decrease in the balance of accounts receivable provided cash of approximately $3.2 million, which was primarily a result of the timing of customer shipments and payments as well as lower commodity prices. Inventories decreased by approximately $5.3 million, which was primarily a result of the timing of receipt of raw materials, shipments of finished goods and lower commodity prices. An increase in the balance of refundable income taxes of approximately $4.6 million primarily relates to a net operating loss we intend to carry back for federal income tax purposes. A decrease in the balance of accounts payable used cash of approximately $10.3 million, which was primarily a result of the timing of inventory receipts and vendor payments. A decrease in the balance of other liabilities used cash of approximately $2.9 million, which was primarily a result of payments of operating leases and incentive compensation.</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5" w:name="page36"/>
    <w:bookmarkEnd w:id="35"/>
    <w:p>
      <w:pPr>
        <w:ind w:right="40" w:firstLine="648"/>
        <w:spacing w:after="0" w:line="273" w:lineRule="auto"/>
        <w:rPr>
          <w:sz w:val="20"/>
          <w:szCs w:val="20"/>
          <w:color w:val="auto"/>
        </w:rPr>
      </w:pPr>
      <w:r>
        <w:rPr>
          <w:rFonts w:ascii="Arial" w:cs="Arial" w:eastAsia="Arial" w:hAnsi="Arial"/>
          <w:sz w:val="19"/>
          <w:szCs w:val="19"/>
          <w:color w:val="auto"/>
        </w:rPr>
        <w:t>Net cash provided by operating activities was approximately $12.5 million for the first six months of fiscal year 2019. For the first six months of fiscal year 2019, cash was provided by net income of approximately $7.1 million, adjusted for non-cash items of approximately $9.0 million, which consisted of depreciation, amortization of operating lease right-of-use assets, income from equity method investments, interest income from short-term investments, the deferred income tax provision and stock based compensation expense. A decrease in the balance of accounts receivable provided cash of approximately $3.7 million, which was primarily a result of the timing of customer payments and shipments. An increase in the balance of inventories used cash of approximately $3.6 million, which was primarily a result of the timing of receipt of raw materials and the shipment of finished goods. An increase in the balance of accounts payable provided cash of approximately $1.4 million, which was primarily a result of the timing of inventory receipts and vendor payments. A decrease in the balance of other liabilities used cash of approximately $4.9 million, which was primarily a result of payments of operating leases and incentive compensation as well as lower accruals for utilities.</w:t>
      </w:r>
    </w:p>
    <w:p>
      <w:pPr>
        <w:spacing w:after="0" w:line="200" w:lineRule="exact"/>
        <w:rPr>
          <w:sz w:val="20"/>
          <w:szCs w:val="20"/>
          <w:color w:val="auto"/>
        </w:rPr>
      </w:pPr>
    </w:p>
    <w:p>
      <w:pPr>
        <w:spacing w:after="0" w:line="231"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At July 31, 2020, working capital was approximately $225.8 million, compared to approximately $239.5 million at January 31, 2020. The ratio of current assets to current liabilities was 8.6 to 1 at July 31, 2020 and 11.7 to 1 at January 31, 2020.</w:t>
      </w:r>
    </w:p>
    <w:p>
      <w:pPr>
        <w:spacing w:after="0" w:line="132"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Cash of approximately $12.4 million was used in investing activities for the first six months of fiscal year 2020, compared to cash provided of approximately $13.6 million during the first six months of fiscal year 2019. During the first six months of fiscal year 2020, we had capital expenditures of approximately $5.7 million, primarily for the purchase of land at One Earth Energy. We expect our capital expenditures to be in the range of $3 million to $5 million for the remainder of fiscal year 2020. During the first six months of fiscal year 2020, we purchased certificates of deposit (classified as short-term investments) of approximately $45.5 million. During the first six months of fiscal year 2020, we sold certificates of deposit (classified as short-term investments) of approximately $39.0 million. The certificates of deposit, both purchased and sold, had maturities of less than one year. Depending on investment options available, we may elect to retain the funds, or a portion thereof, in cash investments, short-term investments or long-term investments.</w:t>
      </w:r>
    </w:p>
    <w:p>
      <w:pPr>
        <w:spacing w:after="0" w:line="211" w:lineRule="exact"/>
        <w:rPr>
          <w:sz w:val="20"/>
          <w:szCs w:val="20"/>
          <w:color w:val="auto"/>
        </w:rPr>
      </w:pPr>
    </w:p>
    <w:p>
      <w:pPr>
        <w:ind w:right="260" w:firstLine="648"/>
        <w:spacing w:after="0" w:line="236" w:lineRule="auto"/>
        <w:rPr>
          <w:sz w:val="20"/>
          <w:szCs w:val="20"/>
          <w:color w:val="auto"/>
        </w:rPr>
      </w:pPr>
      <w:r>
        <w:rPr>
          <w:rFonts w:ascii="Arial" w:cs="Arial" w:eastAsia="Arial" w:hAnsi="Arial"/>
          <w:sz w:val="22"/>
          <w:szCs w:val="22"/>
          <w:color w:val="auto"/>
        </w:rPr>
        <w:t>Cash of approximately $13.6 million was provided by investing activities for the first six months of fiscal year 2019. During the first six months of fiscal year 2019, we had capital expenditures of approximately $1.4 million. During the first six months of fiscal year 2019, we sold United States treasury bills (classified as short-term investments) of approximately $15.0 million. Depending on investment options available, we may elect to retain the funds, or a portion thereof, in cash investments, short-term investments or long-term investments.</w:t>
      </w:r>
    </w:p>
    <w:p>
      <w:pPr>
        <w:spacing w:after="0" w:line="214"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Cash of approximately $5.7 million was used in financing activities for the first six months of fiscal year 2020, compared to approximately $2.4 million during the first six months of fiscal year 2019. During the first six months of fiscal year 2020, we used cash of approximately $5.6 million to purchase approximately 109,000 shares of our common stock in open market transactions.</w:t>
      </w:r>
    </w:p>
    <w:p>
      <w:pPr>
        <w:spacing w:after="0" w:line="212"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Cash of approximately $2.4 million was used in financing activities for the first six months of fiscal year 2019 as we used cash of approximately $2.6 million to pay dividends to and to purchase shares from noncontrolling members. During the first six months of fiscal year 2019, we received approximately $0.2 million in capital contributions from the minority investor in the refined coal entity.</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6" w:name="page37"/>
    <w:bookmarkEnd w:id="36"/>
    <w:p>
      <w:pPr>
        <w:ind w:right="60" w:firstLine="648"/>
        <w:spacing w:after="0" w:line="287" w:lineRule="auto"/>
        <w:rPr>
          <w:sz w:val="20"/>
          <w:szCs w:val="20"/>
          <w:color w:val="auto"/>
        </w:rPr>
      </w:pPr>
      <w:r>
        <w:rPr>
          <w:rFonts w:ascii="Arial" w:cs="Arial" w:eastAsia="Arial" w:hAnsi="Arial"/>
          <w:sz w:val="19"/>
          <w:szCs w:val="19"/>
          <w:color w:val="auto"/>
        </w:rPr>
        <w:t>We are investigating various uses for our excess cash and short-term investments. We have a stock buyback program, and given our current authorization level, can repurchase a total of approximately 241,000 shares at July 31, 2020. We also plan to seek and evaluate investment opportunities including carbon sequestration, energy related, agricultural or other ventures we believe fit our investment criteria in addition to investing in highly liquid short-term securities.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We are working with the University of Illinois to explore the development of a carbon sequestration project to be located near the One Earth ethanol plant. The University of Illinois has received a United States Department of Energy award through the CarbonSAFE program and will evaluate the greenhouse gas storage potential beneath the site by drilling a test well and performing seismic surveys. Further work and research are needed to determine if this will be a feasible project.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natural gas, logistical delays, our ethanol and refined coal plants operating efficiently and according to 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2020 (File No. 001-09097).</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80" w:firstLine="495"/>
        <w:spacing w:after="0" w:line="238" w:lineRule="auto"/>
        <w:rPr>
          <w:sz w:val="20"/>
          <w:szCs w:val="20"/>
          <w:color w:val="auto"/>
        </w:rPr>
      </w:pPr>
      <w:r>
        <w:rPr>
          <w:rFonts w:ascii="Arial" w:cs="Arial" w:eastAsia="Arial" w:hAnsi="Arial"/>
          <w:sz w:val="22"/>
          <w:szCs w:val="22"/>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starting on July 31, 2020 is as follows (amounts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22"/>
                <w:szCs w:val="22"/>
                <w:b w:val="1"/>
                <w:bCs w:val="1"/>
                <w:color w:val="auto"/>
              </w:rPr>
              <w:t>Estimated Total</w:t>
            </w: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580" w:type="dxa"/>
            <w:vAlign w:val="bottom"/>
            <w:gridSpan w:val="2"/>
          </w:tcPr>
          <w:p>
            <w:pPr>
              <w:ind w:left="220"/>
              <w:spacing w:after="0"/>
              <w:rPr>
                <w:sz w:val="20"/>
                <w:szCs w:val="20"/>
                <w:color w:val="auto"/>
              </w:rPr>
            </w:pPr>
            <w:r>
              <w:rPr>
                <w:rFonts w:ascii="Arial" w:cs="Arial" w:eastAsia="Arial" w:hAnsi="Arial"/>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1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Volume for</w:t>
            </w: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580" w:type="dxa"/>
            <w:vAlign w:val="bottom"/>
            <w:gridSpan w:val="2"/>
          </w:tcPr>
          <w:p>
            <w:pPr>
              <w:ind w:left="220"/>
              <w:spacing w:after="0" w:line="243" w:lineRule="exact"/>
              <w:rPr>
                <w:sz w:val="20"/>
                <w:szCs w:val="20"/>
                <w:color w:val="auto"/>
              </w:rPr>
            </w:pPr>
            <w:r>
              <w:rPr>
                <w:rFonts w:ascii="Arial" w:cs="Arial" w:eastAsia="Arial" w:hAnsi="Arial"/>
                <w:sz w:val="22"/>
                <w:szCs w:val="22"/>
                <w:b w:val="1"/>
                <w:bCs w:val="1"/>
                <w:color w:val="auto"/>
              </w:rPr>
              <w:t>Income From a 10%</w:t>
            </w:r>
          </w:p>
        </w:tc>
      </w:tr>
      <w:tr>
        <w:trPr>
          <w:trHeight w:val="257"/>
        </w:trPr>
        <w:tc>
          <w:tcPr>
            <w:tcW w:w="3380" w:type="dxa"/>
            <w:vAlign w:val="bottom"/>
            <w:gridSpan w:val="2"/>
          </w:tcPr>
          <w:p>
            <w:pPr>
              <w:spacing w:after="0"/>
              <w:rPr>
                <w:sz w:val="20"/>
                <w:szCs w:val="20"/>
                <w:color w:val="auto"/>
              </w:rPr>
            </w:pPr>
            <w:r>
              <w:rPr>
                <w:rFonts w:ascii="Arial" w:cs="Arial" w:eastAsia="Arial" w:hAnsi="Arial"/>
                <w:sz w:val="22"/>
                <w:szCs w:val="22"/>
                <w:b w:val="1"/>
                <w:bCs w:val="1"/>
                <w:color w:val="auto"/>
              </w:rPr>
              <w:t>Commodity</w:t>
            </w:r>
          </w:p>
        </w:tc>
        <w:tc>
          <w:tcPr>
            <w:tcW w:w="2140" w:type="dxa"/>
            <w:vAlign w:val="bottom"/>
            <w:gridSpan w:val="2"/>
          </w:tcPr>
          <w:p>
            <w:pPr>
              <w:spacing w:after="0" w:line="256" w:lineRule="exact"/>
              <w:rPr>
                <w:sz w:val="20"/>
                <w:szCs w:val="20"/>
                <w:color w:val="auto"/>
              </w:rPr>
            </w:pPr>
            <w:r>
              <w:rPr>
                <w:rFonts w:ascii="Arial" w:cs="Arial" w:eastAsia="Arial" w:hAnsi="Arial"/>
                <w:sz w:val="19"/>
                <w:szCs w:val="19"/>
                <w:b w:val="1"/>
                <w:bCs w:val="1"/>
                <w:color w:val="auto"/>
              </w:rPr>
              <w:t xml:space="preserve">12 Months </w:t>
            </w:r>
            <w:r>
              <w:rPr>
                <w:rFonts w:ascii="Arial" w:cs="Arial" w:eastAsia="Arial" w:hAnsi="Arial"/>
                <w:sz w:val="29"/>
                <w:szCs w:val="29"/>
                <w:b w:val="1"/>
                <w:bCs w:val="1"/>
                <w:color w:val="auto"/>
                <w:vertAlign w:val="superscript"/>
              </w:rPr>
              <w:t>(1)</w:t>
            </w:r>
          </w:p>
        </w:tc>
        <w:tc>
          <w:tcPr>
            <w:tcW w:w="2140" w:type="dxa"/>
            <w:vAlign w:val="bottom"/>
            <w:gridSpan w:val="2"/>
          </w:tcPr>
          <w:p>
            <w:pPr>
              <w:ind w:left="120"/>
              <w:spacing w:after="0"/>
              <w:rPr>
                <w:sz w:val="20"/>
                <w:szCs w:val="20"/>
                <w:color w:val="auto"/>
              </w:rPr>
            </w:pPr>
            <w:r>
              <w:rPr>
                <w:rFonts w:ascii="Arial" w:cs="Arial" w:eastAsia="Arial" w:hAnsi="Arial"/>
                <w:sz w:val="22"/>
                <w:szCs w:val="22"/>
                <w:b w:val="1"/>
                <w:bCs w:val="1"/>
                <w:color w:val="auto"/>
              </w:rPr>
              <w:t>Unit of Measure</w:t>
            </w:r>
          </w:p>
        </w:tc>
        <w:tc>
          <w:tcPr>
            <w:tcW w:w="3580" w:type="dxa"/>
            <w:vAlign w:val="bottom"/>
            <w:gridSpan w:val="2"/>
          </w:tcPr>
          <w:p>
            <w:pPr>
              <w:ind w:left="220"/>
              <w:spacing w:after="0"/>
              <w:rPr>
                <w:sz w:val="20"/>
                <w:szCs w:val="20"/>
                <w:color w:val="auto"/>
              </w:rPr>
            </w:pPr>
            <w:r>
              <w:rPr>
                <w:rFonts w:ascii="Arial" w:cs="Arial" w:eastAsia="Arial" w:hAnsi="Arial"/>
                <w:sz w:val="22"/>
                <w:szCs w:val="22"/>
                <w:b w:val="1"/>
                <w:bCs w:val="1"/>
                <w:color w:val="auto"/>
              </w:rPr>
              <w:t>Adverse Change in Price</w:t>
            </w: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43"/>
        </w:trPr>
        <w:tc>
          <w:tcPr>
            <w:tcW w:w="33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14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280,000</w:t>
            </w:r>
          </w:p>
        </w:tc>
        <w:tc>
          <w:tcPr>
            <w:tcW w:w="214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Gallons</w:t>
            </w:r>
          </w:p>
        </w:tc>
        <w:tc>
          <w:tcPr>
            <w:tcW w:w="3580" w:type="dxa"/>
            <w:vAlign w:val="bottom"/>
            <w:gridSpan w:val="2"/>
            <w:shd w:val="clear" w:color="auto" w:fill="E5FFFF"/>
          </w:tcPr>
          <w:p>
            <w:pPr>
              <w:jc w:val="center"/>
              <w:ind w:left="112"/>
              <w:spacing w:after="0" w:line="243" w:lineRule="exact"/>
              <w:rPr>
                <w:sz w:val="20"/>
                <w:szCs w:val="20"/>
                <w:color w:val="auto"/>
              </w:rPr>
            </w:pPr>
            <w:r>
              <w:rPr>
                <w:rFonts w:ascii="Arial" w:cs="Arial" w:eastAsia="Arial" w:hAnsi="Arial"/>
                <w:sz w:val="22"/>
                <w:szCs w:val="22"/>
                <w:color w:val="auto"/>
                <w:w w:val="90"/>
              </w:rPr>
              <w:t>$33,706</w:t>
            </w:r>
          </w:p>
        </w:tc>
      </w:tr>
      <w:tr>
        <w:trPr>
          <w:trHeight w:val="243"/>
        </w:trPr>
        <w:tc>
          <w:tcPr>
            <w:tcW w:w="338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21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100,000</w:t>
            </w:r>
          </w:p>
        </w:tc>
        <w:tc>
          <w:tcPr>
            <w:tcW w:w="21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Bushels</w:t>
            </w:r>
          </w:p>
        </w:tc>
        <w:tc>
          <w:tcPr>
            <w:tcW w:w="358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0"/>
              </w:rPr>
              <w:t>$30,679</w:t>
            </w:r>
          </w:p>
        </w:tc>
      </w:tr>
      <w:tr>
        <w:trPr>
          <w:trHeight w:val="243"/>
        </w:trPr>
        <w:tc>
          <w:tcPr>
            <w:tcW w:w="33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214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745</w:t>
            </w:r>
          </w:p>
        </w:tc>
        <w:tc>
          <w:tcPr>
            <w:tcW w:w="214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Tons</w:t>
            </w:r>
          </w:p>
        </w:tc>
        <w:tc>
          <w:tcPr>
            <w:tcW w:w="3580" w:type="dxa"/>
            <w:vAlign w:val="bottom"/>
            <w:gridSpan w:val="2"/>
            <w:shd w:val="clear" w:color="auto" w:fill="E5FFFF"/>
          </w:tcPr>
          <w:p>
            <w:pPr>
              <w:jc w:val="center"/>
              <w:ind w:left="112"/>
              <w:spacing w:after="0" w:line="243" w:lineRule="exact"/>
              <w:rPr>
                <w:sz w:val="20"/>
                <w:szCs w:val="20"/>
                <w:color w:val="auto"/>
              </w:rPr>
            </w:pPr>
            <w:r>
              <w:rPr>
                <w:rFonts w:ascii="Arial" w:cs="Arial" w:eastAsia="Arial" w:hAnsi="Arial"/>
                <w:sz w:val="22"/>
                <w:szCs w:val="22"/>
                <w:color w:val="auto"/>
                <w:w w:val="87"/>
              </w:rPr>
              <w:t>$ 8,048</w:t>
            </w:r>
          </w:p>
        </w:tc>
      </w:tr>
      <w:tr>
        <w:trPr>
          <w:trHeight w:val="243"/>
        </w:trPr>
        <w:tc>
          <w:tcPr>
            <w:tcW w:w="3380" w:type="dxa"/>
            <w:vAlign w:val="bottom"/>
            <w:gridSpan w:val="2"/>
          </w:tcPr>
          <w:p>
            <w:pPr>
              <w:spacing w:after="0" w:line="243" w:lineRule="exact"/>
              <w:rPr>
                <w:sz w:val="20"/>
                <w:szCs w:val="20"/>
                <w:color w:val="auto"/>
              </w:rPr>
            </w:pPr>
            <w:r>
              <w:rPr>
                <w:rFonts w:ascii="Arial" w:cs="Arial" w:eastAsia="Arial" w:hAnsi="Arial"/>
                <w:sz w:val="22"/>
                <w:szCs w:val="22"/>
                <w:color w:val="auto"/>
              </w:rPr>
              <w:t>Non-food grade Corn Oil</w:t>
            </w:r>
          </w:p>
        </w:tc>
        <w:tc>
          <w:tcPr>
            <w:tcW w:w="21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69,000</w:t>
            </w:r>
          </w:p>
        </w:tc>
        <w:tc>
          <w:tcPr>
            <w:tcW w:w="21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Pounds</w:t>
            </w:r>
          </w:p>
        </w:tc>
        <w:tc>
          <w:tcPr>
            <w:tcW w:w="358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87"/>
              </w:rPr>
              <w:t>$ 1,476</w:t>
            </w:r>
          </w:p>
        </w:tc>
      </w:tr>
      <w:tr>
        <w:trPr>
          <w:trHeight w:val="243"/>
        </w:trPr>
        <w:tc>
          <w:tcPr>
            <w:tcW w:w="33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214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7,480</w:t>
            </w:r>
          </w:p>
        </w:tc>
        <w:tc>
          <w:tcPr>
            <w:tcW w:w="214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MmBtu</w:t>
            </w:r>
          </w:p>
        </w:tc>
        <w:tc>
          <w:tcPr>
            <w:tcW w:w="3580" w:type="dxa"/>
            <w:vAlign w:val="bottom"/>
            <w:gridSpan w:val="2"/>
            <w:shd w:val="clear" w:color="auto" w:fill="E5FFFF"/>
          </w:tcPr>
          <w:p>
            <w:pPr>
              <w:jc w:val="center"/>
              <w:ind w:left="112"/>
              <w:spacing w:after="0" w:line="243" w:lineRule="exact"/>
              <w:rPr>
                <w:sz w:val="20"/>
                <w:szCs w:val="20"/>
                <w:color w:val="auto"/>
              </w:rPr>
            </w:pPr>
            <w:r>
              <w:rPr>
                <w:rFonts w:ascii="Arial" w:cs="Arial" w:eastAsia="Arial" w:hAnsi="Arial"/>
                <w:sz w:val="22"/>
                <w:szCs w:val="22"/>
                <w:color w:val="auto"/>
                <w:w w:val="87"/>
              </w:rPr>
              <w:t>$ 1,485</w:t>
            </w:r>
          </w:p>
        </w:tc>
      </w:tr>
    </w:tbl>
    <w:p>
      <w:pPr>
        <w:spacing w:after="0" w:line="222" w:lineRule="exact"/>
        <w:rPr>
          <w:sz w:val="20"/>
          <w:szCs w:val="20"/>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Estimated volumes assume production at or near full capacity. Future period volumes will vary based upon market and plant conditions.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39"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During the quarter ended July 31, 2020, there have been no material changes to the risk factors discussed in our Annual Report on Form 10-K for the year ended January 31, 2020.</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5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540" w:type="dxa"/>
            <w:vAlign w:val="bottom"/>
            <w:gridSpan w:val="10"/>
          </w:tcPr>
          <w:p>
            <w:pPr>
              <w:ind w:left="1300"/>
              <w:spacing w:after="0"/>
              <w:rPr>
                <w:sz w:val="20"/>
                <w:szCs w:val="20"/>
                <w:color w:val="auto"/>
              </w:rPr>
            </w:pPr>
            <w:r>
              <w:rPr>
                <w:rFonts w:ascii="Arial" w:cs="Arial" w:eastAsia="Arial" w:hAnsi="Arial"/>
                <w:sz w:val="20"/>
                <w:szCs w:val="20"/>
                <w:b w:val="1"/>
                <w:bCs w:val="1"/>
                <w:color w:val="auto"/>
                <w:w w:val="89"/>
              </w:rPr>
              <w:t>Issuer Purchases of Equity Securities</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46"/>
        </w:trPr>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20"/>
                <w:szCs w:val="20"/>
                <w:b w:val="1"/>
                <w:bCs w:val="1"/>
                <w:color w:val="auto"/>
                <w:w w:val="91"/>
              </w:rPr>
              <w:t>Total Number of</w:t>
            </w:r>
          </w:p>
        </w:tc>
        <w:tc>
          <w:tcPr>
            <w:tcW w:w="1940" w:type="dxa"/>
            <w:vAlign w:val="bottom"/>
            <w:gridSpan w:val="6"/>
          </w:tcPr>
          <w:p>
            <w:pPr>
              <w:jc w:val="center"/>
              <w:ind w:right="40"/>
              <w:spacing w:after="0"/>
              <w:rPr>
                <w:sz w:val="20"/>
                <w:szCs w:val="20"/>
                <w:color w:val="auto"/>
              </w:rPr>
            </w:pPr>
            <w:r>
              <w:rPr>
                <w:rFonts w:ascii="Arial" w:cs="Arial" w:eastAsia="Arial" w:hAnsi="Arial"/>
                <w:sz w:val="20"/>
                <w:szCs w:val="20"/>
                <w:b w:val="1"/>
                <w:bCs w:val="1"/>
                <w:color w:val="auto"/>
                <w:w w:val="93"/>
              </w:rPr>
              <w:t>Maximum Number</w:t>
            </w:r>
          </w:p>
        </w:tc>
      </w:tr>
      <w:tr>
        <w:trPr>
          <w:trHeight w:val="230"/>
        </w:trPr>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20"/>
                <w:szCs w:val="20"/>
                <w:b w:val="1"/>
                <w:bCs w:val="1"/>
                <w:color w:val="auto"/>
                <w:w w:val="86"/>
              </w:rPr>
              <w:t>Average</w:t>
            </w:r>
          </w:p>
        </w:tc>
        <w:tc>
          <w:tcPr>
            <w:tcW w:w="1860" w:type="dxa"/>
            <w:vAlign w:val="bottom"/>
            <w:gridSpan w:val="5"/>
          </w:tcPr>
          <w:p>
            <w:pPr>
              <w:jc w:val="center"/>
              <w:ind w:right="120"/>
              <w:spacing w:after="0"/>
              <w:rPr>
                <w:sz w:val="20"/>
                <w:szCs w:val="20"/>
                <w:color w:val="auto"/>
              </w:rPr>
            </w:pPr>
            <w:r>
              <w:rPr>
                <w:rFonts w:ascii="Arial" w:cs="Arial" w:eastAsia="Arial" w:hAnsi="Arial"/>
                <w:sz w:val="20"/>
                <w:szCs w:val="20"/>
                <w:b w:val="1"/>
                <w:bCs w:val="1"/>
                <w:color w:val="auto"/>
                <w:w w:val="85"/>
              </w:rPr>
              <w:t>Shares Purchased</w:t>
            </w:r>
          </w:p>
        </w:tc>
        <w:tc>
          <w:tcPr>
            <w:tcW w:w="1940" w:type="dxa"/>
            <w:vAlign w:val="bottom"/>
            <w:gridSpan w:val="6"/>
          </w:tcPr>
          <w:p>
            <w:pPr>
              <w:jc w:val="center"/>
              <w:ind w:right="40"/>
              <w:spacing w:after="0"/>
              <w:rPr>
                <w:sz w:val="20"/>
                <w:szCs w:val="20"/>
                <w:color w:val="auto"/>
              </w:rPr>
            </w:pPr>
            <w:r>
              <w:rPr>
                <w:rFonts w:ascii="Arial" w:cs="Arial" w:eastAsia="Arial" w:hAnsi="Arial"/>
                <w:sz w:val="20"/>
                <w:szCs w:val="20"/>
                <w:b w:val="1"/>
                <w:bCs w:val="1"/>
                <w:color w:val="auto"/>
                <w:w w:val="91"/>
              </w:rPr>
              <w:t>of Shares that May</w:t>
            </w:r>
          </w:p>
        </w:tc>
      </w:tr>
      <w:tr>
        <w:trPr>
          <w:trHeight w:val="229"/>
        </w:trPr>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900" w:type="dxa"/>
            <w:vAlign w:val="bottom"/>
            <w:gridSpan w:val="5"/>
          </w:tcPr>
          <w:p>
            <w:pPr>
              <w:jc w:val="center"/>
              <w:ind w:left="501"/>
              <w:spacing w:after="0"/>
              <w:rPr>
                <w:sz w:val="20"/>
                <w:szCs w:val="20"/>
                <w:color w:val="auto"/>
              </w:rPr>
            </w:pPr>
            <w:r>
              <w:rPr>
                <w:rFonts w:ascii="Arial" w:cs="Arial" w:eastAsia="Arial" w:hAnsi="Arial"/>
                <w:sz w:val="20"/>
                <w:szCs w:val="20"/>
                <w:b w:val="1"/>
                <w:bCs w:val="1"/>
                <w:color w:val="auto"/>
                <w:w w:val="91"/>
              </w:rPr>
              <w:t>Total Number</w:t>
            </w:r>
          </w:p>
        </w:tc>
        <w:tc>
          <w:tcPr>
            <w:tcW w:w="440" w:type="dxa"/>
            <w:vAlign w:val="bottom"/>
          </w:tcPr>
          <w:p>
            <w:pPr>
              <w:spacing w:after="0"/>
              <w:rPr>
                <w:sz w:val="19"/>
                <w:szCs w:val="19"/>
                <w:color w:val="auto"/>
              </w:rPr>
            </w:pPr>
          </w:p>
        </w:tc>
        <w:tc>
          <w:tcPr>
            <w:tcW w:w="1200" w:type="dxa"/>
            <w:vAlign w:val="bottom"/>
            <w:gridSpan w:val="4"/>
          </w:tcPr>
          <w:p>
            <w:pPr>
              <w:jc w:val="center"/>
              <w:ind w:right="720"/>
              <w:spacing w:after="0"/>
              <w:rPr>
                <w:sz w:val="20"/>
                <w:szCs w:val="20"/>
                <w:color w:val="auto"/>
              </w:rPr>
            </w:pPr>
            <w:r>
              <w:rPr>
                <w:rFonts w:ascii="Arial" w:cs="Arial" w:eastAsia="Arial" w:hAnsi="Arial"/>
                <w:sz w:val="20"/>
                <w:szCs w:val="20"/>
                <w:b w:val="1"/>
                <w:bCs w:val="1"/>
                <w:color w:val="auto"/>
                <w:w w:val="89"/>
              </w:rPr>
              <w:t>Price</w:t>
            </w:r>
          </w:p>
        </w:tc>
        <w:tc>
          <w:tcPr>
            <w:tcW w:w="1860" w:type="dxa"/>
            <w:vAlign w:val="bottom"/>
            <w:gridSpan w:val="5"/>
          </w:tcPr>
          <w:p>
            <w:pPr>
              <w:jc w:val="center"/>
              <w:ind w:right="100"/>
              <w:spacing w:after="0"/>
              <w:rPr>
                <w:sz w:val="20"/>
                <w:szCs w:val="20"/>
                <w:color w:val="auto"/>
              </w:rPr>
            </w:pPr>
            <w:r>
              <w:rPr>
                <w:rFonts w:ascii="Arial" w:cs="Arial" w:eastAsia="Arial" w:hAnsi="Arial"/>
                <w:sz w:val="20"/>
                <w:szCs w:val="20"/>
                <w:b w:val="1"/>
                <w:bCs w:val="1"/>
                <w:color w:val="auto"/>
                <w:w w:val="89"/>
              </w:rPr>
              <w:t>as Part of Publicly</w:t>
            </w:r>
          </w:p>
        </w:tc>
        <w:tc>
          <w:tcPr>
            <w:tcW w:w="1940" w:type="dxa"/>
            <w:vAlign w:val="bottom"/>
            <w:gridSpan w:val="6"/>
          </w:tcPr>
          <w:p>
            <w:pPr>
              <w:jc w:val="center"/>
              <w:ind w:right="20"/>
              <w:spacing w:after="0"/>
              <w:rPr>
                <w:sz w:val="20"/>
                <w:szCs w:val="20"/>
                <w:color w:val="auto"/>
              </w:rPr>
            </w:pPr>
            <w:r>
              <w:rPr>
                <w:rFonts w:ascii="Arial" w:cs="Arial" w:eastAsia="Arial" w:hAnsi="Arial"/>
                <w:sz w:val="20"/>
                <w:szCs w:val="20"/>
                <w:b w:val="1"/>
                <w:bCs w:val="1"/>
                <w:color w:val="auto"/>
                <w:w w:val="86"/>
              </w:rPr>
              <w:t>Yet Be Purchased</w:t>
            </w:r>
          </w:p>
        </w:tc>
      </w:tr>
      <w:tr>
        <w:trPr>
          <w:trHeight w:val="229"/>
        </w:trPr>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0" w:type="dxa"/>
            <w:vAlign w:val="bottom"/>
            <w:gridSpan w:val="4"/>
          </w:tcPr>
          <w:p>
            <w:pPr>
              <w:jc w:val="center"/>
              <w:ind w:right="700"/>
              <w:spacing w:after="0"/>
              <w:rPr>
                <w:sz w:val="20"/>
                <w:szCs w:val="20"/>
                <w:color w:val="auto"/>
              </w:rPr>
            </w:pPr>
            <w:r>
              <w:rPr>
                <w:rFonts w:ascii="Arial" w:cs="Arial" w:eastAsia="Arial" w:hAnsi="Arial"/>
                <w:sz w:val="20"/>
                <w:szCs w:val="20"/>
                <w:b w:val="1"/>
                <w:bCs w:val="1"/>
                <w:color w:val="auto"/>
                <w:w w:val="85"/>
              </w:rPr>
              <w:t>of Shares</w:t>
            </w:r>
          </w:p>
        </w:tc>
        <w:tc>
          <w:tcPr>
            <w:tcW w:w="1640" w:type="dxa"/>
            <w:vAlign w:val="bottom"/>
            <w:gridSpan w:val="5"/>
          </w:tcPr>
          <w:p>
            <w:pPr>
              <w:jc w:val="center"/>
              <w:ind w:right="280"/>
              <w:spacing w:after="0"/>
              <w:rPr>
                <w:sz w:val="20"/>
                <w:szCs w:val="20"/>
                <w:color w:val="auto"/>
              </w:rPr>
            </w:pPr>
            <w:r>
              <w:rPr>
                <w:rFonts w:ascii="Arial" w:cs="Arial" w:eastAsia="Arial" w:hAnsi="Arial"/>
                <w:sz w:val="20"/>
                <w:szCs w:val="20"/>
                <w:b w:val="1"/>
                <w:bCs w:val="1"/>
                <w:color w:val="auto"/>
                <w:w w:val="91"/>
              </w:rPr>
              <w:t>Paid per</w:t>
            </w:r>
          </w:p>
        </w:tc>
        <w:tc>
          <w:tcPr>
            <w:tcW w:w="1860" w:type="dxa"/>
            <w:vAlign w:val="bottom"/>
            <w:gridSpan w:val="5"/>
          </w:tcPr>
          <w:p>
            <w:pPr>
              <w:jc w:val="center"/>
              <w:ind w:right="100"/>
              <w:spacing w:after="0"/>
              <w:rPr>
                <w:sz w:val="20"/>
                <w:szCs w:val="20"/>
                <w:color w:val="auto"/>
              </w:rPr>
            </w:pPr>
            <w:r>
              <w:rPr>
                <w:rFonts w:ascii="Arial" w:cs="Arial" w:eastAsia="Arial" w:hAnsi="Arial"/>
                <w:sz w:val="20"/>
                <w:szCs w:val="20"/>
                <w:b w:val="1"/>
                <w:bCs w:val="1"/>
                <w:color w:val="auto"/>
                <w:w w:val="87"/>
              </w:rPr>
              <w:t>Announced Plans</w:t>
            </w:r>
          </w:p>
        </w:tc>
        <w:tc>
          <w:tcPr>
            <w:tcW w:w="1940" w:type="dxa"/>
            <w:vAlign w:val="bottom"/>
            <w:gridSpan w:val="6"/>
          </w:tcPr>
          <w:p>
            <w:pPr>
              <w:jc w:val="center"/>
              <w:ind w:right="20"/>
              <w:spacing w:after="0"/>
              <w:rPr>
                <w:sz w:val="20"/>
                <w:szCs w:val="20"/>
                <w:color w:val="auto"/>
              </w:rPr>
            </w:pPr>
            <w:r>
              <w:rPr>
                <w:rFonts w:ascii="Arial" w:cs="Arial" w:eastAsia="Arial" w:hAnsi="Arial"/>
                <w:sz w:val="20"/>
                <w:szCs w:val="20"/>
                <w:b w:val="1"/>
                <w:bCs w:val="1"/>
                <w:color w:val="auto"/>
                <w:w w:val="89"/>
              </w:rPr>
              <w:t>Under the Plans</w:t>
            </w:r>
          </w:p>
        </w:tc>
      </w:tr>
      <w:tr>
        <w:trPr>
          <w:trHeight w:val="212"/>
        </w:trPr>
        <w:tc>
          <w:tcPr>
            <w:tcW w:w="242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Period</w:t>
            </w:r>
          </w:p>
        </w:tc>
        <w:tc>
          <w:tcPr>
            <w:tcW w:w="2900" w:type="dxa"/>
            <w:vAlign w:val="bottom"/>
            <w:gridSpan w:val="5"/>
          </w:tcPr>
          <w:p>
            <w:pPr>
              <w:jc w:val="center"/>
              <w:ind w:left="501"/>
              <w:spacing w:after="0" w:line="212" w:lineRule="exact"/>
              <w:rPr>
                <w:sz w:val="20"/>
                <w:szCs w:val="20"/>
                <w:color w:val="auto"/>
              </w:rPr>
            </w:pPr>
            <w:r>
              <w:rPr>
                <w:rFonts w:ascii="Arial" w:cs="Arial" w:eastAsia="Arial" w:hAnsi="Arial"/>
                <w:sz w:val="20"/>
                <w:szCs w:val="20"/>
                <w:b w:val="1"/>
                <w:bCs w:val="1"/>
                <w:color w:val="auto"/>
                <w:w w:val="87"/>
              </w:rPr>
              <w:t>Purchased</w:t>
            </w:r>
          </w:p>
        </w:tc>
        <w:tc>
          <w:tcPr>
            <w:tcW w:w="440" w:type="dxa"/>
            <w:vAlign w:val="bottom"/>
          </w:tcPr>
          <w:p>
            <w:pPr>
              <w:spacing w:after="0"/>
              <w:rPr>
                <w:sz w:val="18"/>
                <w:szCs w:val="18"/>
                <w:color w:val="auto"/>
              </w:rPr>
            </w:pPr>
          </w:p>
        </w:tc>
        <w:tc>
          <w:tcPr>
            <w:tcW w:w="1200" w:type="dxa"/>
            <w:vAlign w:val="bottom"/>
            <w:gridSpan w:val="4"/>
          </w:tcPr>
          <w:p>
            <w:pPr>
              <w:jc w:val="center"/>
              <w:ind w:right="720"/>
              <w:spacing w:after="0" w:line="212" w:lineRule="exact"/>
              <w:rPr>
                <w:sz w:val="20"/>
                <w:szCs w:val="20"/>
                <w:color w:val="auto"/>
              </w:rPr>
            </w:pPr>
            <w:r>
              <w:rPr>
                <w:rFonts w:ascii="Arial" w:cs="Arial" w:eastAsia="Arial" w:hAnsi="Arial"/>
                <w:sz w:val="20"/>
                <w:szCs w:val="20"/>
                <w:b w:val="1"/>
                <w:bCs w:val="1"/>
                <w:color w:val="auto"/>
                <w:w w:val="86"/>
              </w:rPr>
              <w:t>Share</w:t>
            </w:r>
          </w:p>
        </w:tc>
        <w:tc>
          <w:tcPr>
            <w:tcW w:w="1860" w:type="dxa"/>
            <w:vAlign w:val="bottom"/>
            <w:gridSpan w:val="5"/>
          </w:tcPr>
          <w:p>
            <w:pPr>
              <w:jc w:val="center"/>
              <w:ind w:right="120"/>
              <w:spacing w:after="0" w:line="212" w:lineRule="exact"/>
              <w:rPr>
                <w:sz w:val="20"/>
                <w:szCs w:val="20"/>
                <w:color w:val="auto"/>
              </w:rPr>
            </w:pPr>
            <w:r>
              <w:rPr>
                <w:rFonts w:ascii="Arial" w:cs="Arial" w:eastAsia="Arial" w:hAnsi="Arial"/>
                <w:sz w:val="20"/>
                <w:szCs w:val="20"/>
                <w:b w:val="1"/>
                <w:bCs w:val="1"/>
                <w:color w:val="auto"/>
                <w:w w:val="89"/>
              </w:rPr>
              <w:t>or Programs</w:t>
            </w:r>
          </w:p>
        </w:tc>
        <w:tc>
          <w:tcPr>
            <w:tcW w:w="1940" w:type="dxa"/>
            <w:vAlign w:val="bottom"/>
            <w:gridSpan w:val="6"/>
          </w:tcPr>
          <w:p>
            <w:pPr>
              <w:jc w:val="center"/>
              <w:ind w:right="40"/>
              <w:spacing w:after="0" w:line="212" w:lineRule="exact"/>
              <w:rPr>
                <w:sz w:val="20"/>
                <w:szCs w:val="20"/>
                <w:color w:val="auto"/>
              </w:rPr>
            </w:pPr>
            <w:r>
              <w:rPr>
                <w:rFonts w:ascii="Arial" w:cs="Arial" w:eastAsia="Arial" w:hAnsi="Arial"/>
                <w:sz w:val="20"/>
                <w:szCs w:val="20"/>
                <w:b w:val="1"/>
                <w:bCs w:val="1"/>
                <w:color w:val="auto"/>
                <w:w w:val="89"/>
              </w:rPr>
              <w:t>or Programs (1)</w:t>
            </w:r>
          </w:p>
        </w:tc>
      </w:tr>
      <w:tr>
        <w:trPr>
          <w:trHeight w:val="21"/>
        </w:trPr>
        <w:tc>
          <w:tcPr>
            <w:tcW w:w="5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2420" w:type="dxa"/>
            <w:vAlign w:val="bottom"/>
            <w:gridSpan w:val="2"/>
            <w:shd w:val="clear" w:color="auto" w:fill="E5FFFF"/>
          </w:tcPr>
          <w:p>
            <w:pPr>
              <w:spacing w:after="0"/>
              <w:rPr>
                <w:sz w:val="20"/>
                <w:szCs w:val="20"/>
                <w:color w:val="auto"/>
              </w:rPr>
            </w:pPr>
            <w:r>
              <w:rPr>
                <w:rFonts w:ascii="Arial" w:cs="Arial" w:eastAsia="Arial" w:hAnsi="Arial"/>
                <w:sz w:val="20"/>
                <w:szCs w:val="20"/>
                <w:color w:val="auto"/>
              </w:rPr>
              <w:t>May 1-31, 2020</w:t>
            </w:r>
          </w:p>
        </w:tc>
        <w:tc>
          <w:tcPr>
            <w:tcW w:w="2900" w:type="dxa"/>
            <w:vAlign w:val="bottom"/>
            <w:gridSpan w:val="5"/>
            <w:shd w:val="clear" w:color="auto" w:fill="E5FFFF"/>
          </w:tcPr>
          <w:p>
            <w:pPr>
              <w:jc w:val="right"/>
              <w:ind w:right="300"/>
              <w:spacing w:after="0"/>
              <w:rPr>
                <w:sz w:val="20"/>
                <w:szCs w:val="20"/>
                <w:color w:val="auto"/>
              </w:rPr>
            </w:pPr>
            <w:r>
              <w:rPr>
                <w:rFonts w:ascii="Arial" w:cs="Arial" w:eastAsia="Arial" w:hAnsi="Arial"/>
                <w:sz w:val="20"/>
                <w:szCs w:val="20"/>
                <w:color w:val="auto"/>
              </w:rPr>
              <w:t>30,536</w:t>
            </w:r>
          </w:p>
        </w:tc>
        <w:tc>
          <w:tcPr>
            <w:tcW w:w="1640" w:type="dxa"/>
            <w:vAlign w:val="bottom"/>
            <w:gridSpan w:val="5"/>
            <w:shd w:val="clear" w:color="auto" w:fill="E5FFFF"/>
          </w:tcPr>
          <w:p>
            <w:pPr>
              <w:jc w:val="right"/>
              <w:ind w:right="160"/>
              <w:spacing w:after="0"/>
              <w:rPr>
                <w:sz w:val="20"/>
                <w:szCs w:val="20"/>
                <w:color w:val="auto"/>
              </w:rPr>
            </w:pPr>
            <w:r>
              <w:rPr>
                <w:rFonts w:ascii="Arial" w:cs="Arial" w:eastAsia="Arial" w:hAnsi="Arial"/>
                <w:sz w:val="20"/>
                <w:szCs w:val="20"/>
                <w:color w:val="auto"/>
              </w:rPr>
              <w:t>$54.60</w:t>
            </w:r>
          </w:p>
        </w:tc>
        <w:tc>
          <w:tcPr>
            <w:tcW w:w="1860" w:type="dxa"/>
            <w:vAlign w:val="bottom"/>
            <w:gridSpan w:val="5"/>
            <w:shd w:val="clear" w:color="auto" w:fill="E5FFFF"/>
          </w:tcPr>
          <w:p>
            <w:pPr>
              <w:jc w:val="right"/>
              <w:ind w:right="140"/>
              <w:spacing w:after="0"/>
              <w:rPr>
                <w:sz w:val="20"/>
                <w:szCs w:val="20"/>
                <w:color w:val="auto"/>
              </w:rPr>
            </w:pPr>
            <w:r>
              <w:rPr>
                <w:rFonts w:ascii="Arial" w:cs="Arial" w:eastAsia="Arial" w:hAnsi="Arial"/>
                <w:sz w:val="20"/>
                <w:szCs w:val="20"/>
                <w:color w:val="auto"/>
              </w:rPr>
              <w:t>30,536</w:t>
            </w:r>
          </w:p>
        </w:tc>
        <w:tc>
          <w:tcPr>
            <w:tcW w:w="1880" w:type="dxa"/>
            <w:vAlign w:val="bottom"/>
            <w:gridSpan w:val="5"/>
            <w:shd w:val="clear" w:color="auto" w:fill="E5FFFF"/>
          </w:tcPr>
          <w:p>
            <w:pPr>
              <w:jc w:val="right"/>
              <w:ind w:right="20"/>
              <w:spacing w:after="0"/>
              <w:rPr>
                <w:sz w:val="20"/>
                <w:szCs w:val="20"/>
                <w:color w:val="auto"/>
              </w:rPr>
            </w:pPr>
            <w:r>
              <w:rPr>
                <w:rFonts w:ascii="Arial" w:cs="Arial" w:eastAsia="Arial" w:hAnsi="Arial"/>
                <w:sz w:val="20"/>
                <w:szCs w:val="20"/>
                <w:color w:val="auto"/>
              </w:rPr>
              <w:t>241,185</w:t>
            </w:r>
          </w:p>
        </w:tc>
        <w:tc>
          <w:tcPr>
            <w:tcW w:w="60" w:type="dxa"/>
            <w:vAlign w:val="bottom"/>
            <w:shd w:val="clear" w:color="auto" w:fill="E5FFFF"/>
          </w:tcPr>
          <w:p>
            <w:pPr>
              <w:spacing w:after="0"/>
              <w:rPr>
                <w:sz w:val="21"/>
                <w:szCs w:val="2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20"/>
                <w:szCs w:val="20"/>
                <w:color w:val="auto"/>
              </w:rPr>
              <w:t>June 1-30, 2020</w:t>
            </w: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880" w:type="dxa"/>
            <w:vAlign w:val="bottom"/>
            <w:gridSpan w:val="5"/>
          </w:tcPr>
          <w:p>
            <w:pPr>
              <w:jc w:val="right"/>
              <w:ind w:right="20"/>
              <w:spacing w:after="0"/>
              <w:rPr>
                <w:sz w:val="20"/>
                <w:szCs w:val="20"/>
                <w:color w:val="auto"/>
              </w:rPr>
            </w:pPr>
            <w:r>
              <w:rPr>
                <w:rFonts w:ascii="Arial" w:cs="Arial" w:eastAsia="Arial" w:hAnsi="Arial"/>
                <w:sz w:val="20"/>
                <w:szCs w:val="20"/>
                <w:color w:val="auto"/>
              </w:rPr>
              <w:t>241,185</w:t>
            </w:r>
          </w:p>
        </w:tc>
        <w:tc>
          <w:tcPr>
            <w:tcW w:w="60" w:type="dxa"/>
            <w:vAlign w:val="bottom"/>
          </w:tcPr>
          <w:p>
            <w:pPr>
              <w:spacing w:after="0"/>
              <w:rPr>
                <w:sz w:val="19"/>
                <w:szCs w:val="19"/>
                <w:color w:val="auto"/>
              </w:rPr>
            </w:pPr>
          </w:p>
        </w:tc>
      </w:tr>
      <w:tr>
        <w:trPr>
          <w:trHeight w:val="243"/>
        </w:trPr>
        <w:tc>
          <w:tcPr>
            <w:tcW w:w="2420" w:type="dxa"/>
            <w:vAlign w:val="bottom"/>
            <w:gridSpan w:val="2"/>
            <w:shd w:val="clear" w:color="auto" w:fill="E5FFFF"/>
          </w:tcPr>
          <w:p>
            <w:pPr>
              <w:spacing w:after="0"/>
              <w:rPr>
                <w:sz w:val="20"/>
                <w:szCs w:val="20"/>
                <w:color w:val="auto"/>
              </w:rPr>
            </w:pPr>
            <w:r>
              <w:rPr>
                <w:rFonts w:ascii="Arial" w:cs="Arial" w:eastAsia="Arial" w:hAnsi="Arial"/>
                <w:sz w:val="20"/>
                <w:szCs w:val="20"/>
                <w:color w:val="auto"/>
              </w:rPr>
              <w:t>July 1-31, 2020</w:t>
            </w:r>
          </w:p>
        </w:tc>
        <w:tc>
          <w:tcPr>
            <w:tcW w:w="130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300"/>
              <w:spacing w:after="0"/>
              <w:rPr>
                <w:sz w:val="20"/>
                <w:szCs w:val="20"/>
                <w:color w:val="auto"/>
              </w:rPr>
            </w:pPr>
            <w:r>
              <w:rPr>
                <w:rFonts w:ascii="Arial" w:cs="Arial" w:eastAsia="Arial" w:hAnsi="Arial"/>
                <w:sz w:val="20"/>
                <w:szCs w:val="20"/>
                <w:color w:val="auto"/>
              </w:rPr>
              <w:t>–</w:t>
            </w:r>
          </w:p>
        </w:tc>
        <w:tc>
          <w:tcPr>
            <w:tcW w:w="44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40"/>
              <w:spacing w:after="0"/>
              <w:rPr>
                <w:sz w:val="20"/>
                <w:szCs w:val="20"/>
                <w:color w:val="auto"/>
              </w:rPr>
            </w:pPr>
            <w:r>
              <w:rPr>
                <w:rFonts w:ascii="Arial" w:cs="Arial" w:eastAsia="Arial" w:hAnsi="Arial"/>
                <w:sz w:val="20"/>
                <w:szCs w:val="20"/>
                <w:color w:val="auto"/>
              </w:rPr>
              <w:t>–</w:t>
            </w:r>
          </w:p>
        </w:tc>
        <w:tc>
          <w:tcPr>
            <w:tcW w:w="1880" w:type="dxa"/>
            <w:vAlign w:val="bottom"/>
            <w:gridSpan w:val="5"/>
            <w:shd w:val="clear" w:color="auto" w:fill="E5FFFF"/>
          </w:tcPr>
          <w:p>
            <w:pPr>
              <w:jc w:val="right"/>
              <w:ind w:right="20"/>
              <w:spacing w:after="0"/>
              <w:rPr>
                <w:sz w:val="20"/>
                <w:szCs w:val="20"/>
                <w:color w:val="auto"/>
              </w:rPr>
            </w:pPr>
            <w:r>
              <w:rPr>
                <w:rFonts w:ascii="Arial" w:cs="Arial" w:eastAsia="Arial" w:hAnsi="Arial"/>
                <w:sz w:val="20"/>
                <w:szCs w:val="20"/>
                <w:color w:val="auto"/>
              </w:rPr>
              <w:t>241,185</w:t>
            </w:r>
          </w:p>
        </w:tc>
        <w:tc>
          <w:tcPr>
            <w:tcW w:w="60" w:type="dxa"/>
            <w:vAlign w:val="bottom"/>
            <w:shd w:val="clear" w:color="auto" w:fill="E5FFFF"/>
          </w:tcPr>
          <w:p>
            <w:pPr>
              <w:spacing w:after="0"/>
              <w:rPr>
                <w:sz w:val="21"/>
                <w:szCs w:val="21"/>
                <w:color w:val="auto"/>
              </w:rPr>
            </w:pPr>
          </w:p>
        </w:tc>
      </w:tr>
      <w:tr>
        <w:trPr>
          <w:trHeight w:val="247"/>
        </w:trPr>
        <w:tc>
          <w:tcPr>
            <w:tcW w:w="2420" w:type="dxa"/>
            <w:vAlign w:val="bottom"/>
            <w:gridSpan w:val="2"/>
          </w:tcPr>
          <w:p>
            <w:pPr>
              <w:spacing w:after="0"/>
              <w:rPr>
                <w:sz w:val="20"/>
                <w:szCs w:val="20"/>
                <w:color w:val="auto"/>
              </w:rPr>
            </w:pPr>
            <w:r>
              <w:rPr>
                <w:rFonts w:ascii="Arial" w:cs="Arial" w:eastAsia="Arial" w:hAnsi="Arial"/>
                <w:sz w:val="20"/>
                <w:szCs w:val="20"/>
                <w:color w:val="auto"/>
              </w:rPr>
              <w:t>Total</w:t>
            </w: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30,536</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88"/>
              </w:rPr>
              <w:t>$54.60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30,536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241,185</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ind w:left="740" w:right="560" w:hanging="327"/>
        <w:spacing w:after="0" w:line="328" w:lineRule="auto"/>
        <w:tabs>
          <w:tab w:leader="none" w:pos="7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On March 20, 2018, our Board of Directors increased our share repurchase authorization by an additional 500,000 shares. At July 31, 2020, a total of 241,185 shares remained available to purchase under this authorization.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380" w:hanging="481"/>
        <w:spacing w:after="0"/>
        <w:tabs>
          <w:tab w:leader="none" w:pos="1380" w:val="left"/>
        </w:tabs>
        <w:numPr>
          <w:ilvl w:val="0"/>
          <w:numId w:val="11"/>
        </w:numPr>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Rule 13a-14(a)/15d-14(a) Certifications</w:t>
        </w:r>
      </w:hyperlink>
    </w:p>
    <w:p>
      <w:pPr>
        <w:spacing w:after="0" w:line="233" w:lineRule="exact"/>
        <w:rPr>
          <w:rFonts w:ascii="Arial" w:cs="Arial" w:eastAsia="Arial" w:hAnsi="Arial"/>
          <w:sz w:val="22"/>
          <w:szCs w:val="22"/>
          <w:u w:val="single" w:color="auto"/>
          <w:color w:val="0000EE"/>
        </w:rPr>
      </w:pPr>
    </w:p>
    <w:p>
      <w:pPr>
        <w:ind w:left="1380" w:hanging="481"/>
        <w:spacing w:after="0"/>
        <w:tabs>
          <w:tab w:leader="none" w:pos="1380" w:val="left"/>
        </w:tabs>
        <w:numPr>
          <w:ilvl w:val="0"/>
          <w:numId w:val="11"/>
        </w:numPr>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Section 1350 Certifications</w:t>
        </w:r>
      </w:hyperlink>
    </w:p>
    <w:p>
      <w:pPr>
        <w:spacing w:after="0" w:line="233" w:lineRule="exact"/>
        <w:rPr>
          <w:rFonts w:ascii="Arial" w:cs="Arial" w:eastAsia="Arial" w:hAnsi="Arial"/>
          <w:sz w:val="22"/>
          <w:szCs w:val="22"/>
          <w:color w:val="auto"/>
        </w:rPr>
      </w:pPr>
    </w:p>
    <w:p>
      <w:pPr>
        <w:jc w:val="both"/>
        <w:ind w:left="1380" w:hanging="481"/>
        <w:spacing w:after="0" w:line="287" w:lineRule="auto"/>
        <w:tabs>
          <w:tab w:leader="none" w:pos="13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following information from REX American Resources Corporation Quarterly Report on Form 10-Q for the quarter ended July 31, 2020, formatted in 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16" w:lineRule="exact"/>
        <w:rPr>
          <w:rFonts w:ascii="Arial" w:cs="Arial" w:eastAsia="Arial" w:hAnsi="Arial"/>
          <w:sz w:val="22"/>
          <w:szCs w:val="22"/>
          <w:color w:val="auto"/>
        </w:rPr>
      </w:pPr>
    </w:p>
    <w:p>
      <w:pPr>
        <w:jc w:val="center"/>
        <w:ind w:right="40"/>
        <w:spacing w:after="0"/>
        <w:rPr>
          <w:sz w:val="20"/>
          <w:szCs w:val="20"/>
          <w:color w:val="auto"/>
        </w:rPr>
      </w:pPr>
      <w:r>
        <w:rPr>
          <w:rFonts w:ascii="Arial" w:cs="Arial" w:eastAsia="Arial" w:hAnsi="Arial"/>
          <w:sz w:val="22"/>
          <w:szCs w:val="22"/>
          <w:color w:val="auto"/>
        </w:rPr>
        <w:t>40</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0" w:name="page41"/>
    <w:bookmarkEnd w:id="40"/>
    <w:p>
      <w:pPr>
        <w:ind w:left="260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REX American Resources Corporation</w:t>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4"/>
          </w:tcPr>
          <w:p>
            <w:pPr>
              <w:jc w:val="center"/>
              <w:ind w:right="1120"/>
              <w:spacing w:after="0"/>
              <w:rPr>
                <w:sz w:val="20"/>
                <w:szCs w:val="20"/>
                <w:color w:val="auto"/>
              </w:rPr>
            </w:pPr>
            <w:r>
              <w:rPr>
                <w:rFonts w:ascii="Arial" w:cs="Arial" w:eastAsia="Arial" w:hAnsi="Arial"/>
                <w:sz w:val="22"/>
                <w:szCs w:val="22"/>
                <w:b w:val="1"/>
                <w:bCs w:val="1"/>
                <w:color w:val="auto"/>
                <w:w w:val="86"/>
              </w:rPr>
              <w:t>Signature</w:t>
            </w:r>
          </w:p>
        </w:tc>
        <w:tc>
          <w:tcPr>
            <w:tcW w:w="4740" w:type="dxa"/>
            <w:vAlign w:val="bottom"/>
            <w:gridSpan w:val="3"/>
          </w:tcPr>
          <w:p>
            <w:pPr>
              <w:ind w:left="2160"/>
              <w:spacing w:after="0"/>
              <w:rPr>
                <w:sz w:val="20"/>
                <w:szCs w:val="20"/>
                <w:color w:val="auto"/>
              </w:rPr>
            </w:pPr>
            <w:r>
              <w:rPr>
                <w:rFonts w:ascii="Arial" w:cs="Arial" w:eastAsia="Arial" w:hAnsi="Arial"/>
                <w:sz w:val="22"/>
                <w:szCs w:val="22"/>
                <w:b w:val="1"/>
                <w:bCs w:val="1"/>
                <w:color w:val="auto"/>
              </w:rPr>
              <w:t>Title</w:t>
            </w:r>
          </w:p>
        </w:tc>
        <w:tc>
          <w:tcPr>
            <w:tcW w:w="3520" w:type="dxa"/>
            <w:vAlign w:val="bottom"/>
            <w:gridSpan w:val="3"/>
          </w:tcPr>
          <w:p>
            <w:pPr>
              <w:jc w:val="center"/>
              <w:ind w:left="52"/>
              <w:spacing w:after="0"/>
              <w:rPr>
                <w:sz w:val="20"/>
                <w:szCs w:val="20"/>
                <w:color w:val="auto"/>
              </w:rPr>
            </w:pPr>
            <w:r>
              <w:rPr>
                <w:rFonts w:ascii="Arial" w:cs="Arial" w:eastAsia="Arial" w:hAnsi="Arial"/>
                <w:sz w:val="22"/>
                <w:szCs w:val="22"/>
                <w:b w:val="1"/>
                <w:bCs w:val="1"/>
                <w:color w:val="auto"/>
                <w:w w:val="92"/>
              </w:rPr>
              <w:t>Date</w:t>
            </w:r>
          </w:p>
        </w:tc>
      </w:tr>
      <w:tr>
        <w:trPr>
          <w:trHeight w:val="20"/>
        </w:trPr>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2700" w:type="dxa"/>
            <w:vAlign w:val="bottom"/>
            <w:gridSpan w:val="6"/>
          </w:tcPr>
          <w:p>
            <w:pPr>
              <w:jc w:val="center"/>
              <w:ind w:right="420"/>
              <w:spacing w:after="0"/>
              <w:rPr>
                <w:sz w:val="20"/>
                <w:szCs w:val="20"/>
                <w:color w:val="auto"/>
              </w:rPr>
            </w:pPr>
            <w:r>
              <w:rPr>
                <w:rFonts w:ascii="Arial" w:cs="Arial" w:eastAsia="Arial" w:hAnsi="Arial"/>
                <w:sz w:val="22"/>
                <w:szCs w:val="22"/>
                <w:color w:val="auto"/>
                <w:w w:val="92"/>
              </w:rPr>
              <w:t>/s/ Zafar Rizvi</w:t>
            </w:r>
          </w:p>
        </w:tc>
        <w:tc>
          <w:tcPr>
            <w:tcW w:w="4740" w:type="dxa"/>
            <w:vAlign w:val="bottom"/>
            <w:gridSpan w:val="3"/>
          </w:tcPr>
          <w:p>
            <w:pPr>
              <w:ind w:left="420"/>
              <w:spacing w:after="0"/>
              <w:rPr>
                <w:sz w:val="20"/>
                <w:szCs w:val="20"/>
                <w:color w:val="auto"/>
              </w:rPr>
            </w:pPr>
            <w:r>
              <w:rPr>
                <w:rFonts w:ascii="Arial" w:cs="Arial" w:eastAsia="Arial" w:hAnsi="Arial"/>
                <w:sz w:val="22"/>
                <w:szCs w:val="22"/>
                <w:color w:val="auto"/>
              </w:rPr>
              <w:t>Chief Executive Officer and President</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4"/>
        </w:trPr>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3"/>
              </w:rPr>
              <w:t>(Zafar Rizvi)</w:t>
            </w:r>
          </w:p>
        </w:tc>
        <w:tc>
          <w:tcPr>
            <w:tcW w:w="940" w:type="dxa"/>
            <w:vAlign w:val="bottom"/>
            <w:gridSpan w:val="2"/>
          </w:tcPr>
          <w:p>
            <w:pPr>
              <w:spacing w:after="0"/>
              <w:rPr>
                <w:sz w:val="23"/>
                <w:szCs w:val="23"/>
                <w:color w:val="auto"/>
              </w:rPr>
            </w:pPr>
          </w:p>
        </w:tc>
        <w:tc>
          <w:tcPr>
            <w:tcW w:w="4740" w:type="dxa"/>
            <w:vAlign w:val="bottom"/>
            <w:gridSpan w:val="3"/>
          </w:tcPr>
          <w:p>
            <w:pPr>
              <w:ind w:left="600"/>
              <w:spacing w:after="0"/>
              <w:rPr>
                <w:sz w:val="20"/>
                <w:szCs w:val="20"/>
                <w:color w:val="auto"/>
              </w:rPr>
            </w:pPr>
            <w:r>
              <w:rPr>
                <w:rFonts w:ascii="Arial" w:cs="Arial" w:eastAsia="Arial" w:hAnsi="Arial"/>
                <w:sz w:val="22"/>
                <w:szCs w:val="22"/>
                <w:color w:val="auto"/>
              </w:rPr>
              <w:t>(Chief Executive Officer)</w:t>
            </w:r>
          </w:p>
        </w:tc>
        <w:tc>
          <w:tcPr>
            <w:tcW w:w="3520" w:type="dxa"/>
            <w:vAlign w:val="bottom"/>
            <w:gridSpan w:val="3"/>
          </w:tcPr>
          <w:p>
            <w:pPr>
              <w:jc w:val="center"/>
              <w:ind w:left="52"/>
              <w:spacing w:after="0"/>
              <w:rPr>
                <w:sz w:val="20"/>
                <w:szCs w:val="20"/>
                <w:color w:val="auto"/>
              </w:rPr>
            </w:pPr>
            <w:r>
              <w:rPr>
                <w:rFonts w:ascii="Arial" w:cs="Arial" w:eastAsia="Arial" w:hAnsi="Arial"/>
                <w:sz w:val="22"/>
                <w:szCs w:val="22"/>
                <w:color w:val="auto"/>
                <w:w w:val="87"/>
              </w:rPr>
              <w:t>September 2, 2020</w:t>
            </w:r>
          </w:p>
        </w:tc>
      </w:tr>
      <w:tr>
        <w:trPr>
          <w:trHeight w:val="435"/>
        </w:trPr>
        <w:tc>
          <w:tcPr>
            <w:tcW w:w="2980" w:type="dxa"/>
            <w:vAlign w:val="bottom"/>
            <w:gridSpan w:val="7"/>
          </w:tcPr>
          <w:p>
            <w:pPr>
              <w:jc w:val="center"/>
              <w:ind w:right="140"/>
              <w:spacing w:after="0"/>
              <w:rPr>
                <w:sz w:val="20"/>
                <w:szCs w:val="20"/>
                <w:color w:val="auto"/>
              </w:rPr>
            </w:pPr>
            <w:r>
              <w:rPr>
                <w:rFonts w:ascii="Arial" w:cs="Arial" w:eastAsia="Arial" w:hAnsi="Arial"/>
                <w:sz w:val="22"/>
                <w:szCs w:val="22"/>
                <w:color w:val="auto"/>
                <w:w w:val="89"/>
              </w:rPr>
              <w:t>/s/ Douglas L. Bruggeman</w:t>
            </w:r>
          </w:p>
        </w:tc>
        <w:tc>
          <w:tcPr>
            <w:tcW w:w="4740" w:type="dxa"/>
            <w:vAlign w:val="bottom"/>
            <w:gridSpan w:val="3"/>
          </w:tcPr>
          <w:p>
            <w:pPr>
              <w:ind w:left="420"/>
              <w:spacing w:after="0"/>
              <w:rPr>
                <w:sz w:val="20"/>
                <w:szCs w:val="20"/>
                <w:color w:val="auto"/>
              </w:rPr>
            </w:pPr>
            <w:r>
              <w:rPr>
                <w:rFonts w:ascii="Arial" w:cs="Arial" w:eastAsia="Arial" w:hAnsi="Arial"/>
                <w:sz w:val="22"/>
                <w:szCs w:val="22"/>
                <w:color w:val="auto"/>
              </w:rPr>
              <w:t>Vice President, Finance and Treasurer</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3"/>
        </w:trPr>
        <w:tc>
          <w:tcPr>
            <w:tcW w:w="28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420" w:type="dxa"/>
            <w:vAlign w:val="bottom"/>
          </w:tcPr>
          <w:p>
            <w:pPr>
              <w:spacing w:after="0"/>
              <w:rPr>
                <w:sz w:val="23"/>
                <w:szCs w:val="23"/>
                <w:color w:val="auto"/>
              </w:rPr>
            </w:pPr>
          </w:p>
        </w:tc>
        <w:tc>
          <w:tcPr>
            <w:tcW w:w="4740" w:type="dxa"/>
            <w:vAlign w:val="bottom"/>
            <w:gridSpan w:val="3"/>
          </w:tcPr>
          <w:p>
            <w:pPr>
              <w:ind w:left="600"/>
              <w:spacing w:after="0"/>
              <w:rPr>
                <w:sz w:val="20"/>
                <w:szCs w:val="20"/>
                <w:color w:val="auto"/>
              </w:rPr>
            </w:pPr>
            <w:r>
              <w:rPr>
                <w:rFonts w:ascii="Arial" w:cs="Arial" w:eastAsia="Arial" w:hAnsi="Arial"/>
                <w:sz w:val="22"/>
                <w:szCs w:val="22"/>
                <w:color w:val="auto"/>
              </w:rPr>
              <w:t>(Chief Financial Officer)</w:t>
            </w:r>
          </w:p>
        </w:tc>
        <w:tc>
          <w:tcPr>
            <w:tcW w:w="3520" w:type="dxa"/>
            <w:vAlign w:val="bottom"/>
            <w:gridSpan w:val="3"/>
          </w:tcPr>
          <w:p>
            <w:pPr>
              <w:jc w:val="center"/>
              <w:ind w:left="52"/>
              <w:spacing w:after="0"/>
              <w:rPr>
                <w:sz w:val="20"/>
                <w:szCs w:val="20"/>
                <w:color w:val="auto"/>
              </w:rPr>
            </w:pPr>
            <w:r>
              <w:rPr>
                <w:rFonts w:ascii="Arial" w:cs="Arial" w:eastAsia="Arial" w:hAnsi="Arial"/>
                <w:sz w:val="22"/>
                <w:szCs w:val="22"/>
                <w:color w:val="auto"/>
                <w:w w:val="87"/>
              </w:rPr>
              <w:t>September 2, 2020</w:t>
            </w:r>
          </w:p>
        </w:tc>
      </w:tr>
      <w:tr>
        <w:trPr>
          <w:trHeight w:val="432"/>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gridSpan w:val="3"/>
          </w:tcPr>
          <w:p>
            <w:pPr>
              <w:ind w:left="2520"/>
              <w:spacing w:after="0"/>
              <w:rPr>
                <w:sz w:val="20"/>
                <w:szCs w:val="20"/>
                <w:color w:val="auto"/>
              </w:rPr>
            </w:pPr>
            <w:r>
              <w:rPr>
                <w:rFonts w:ascii="Arial" w:cs="Arial" w:eastAsia="Arial" w:hAnsi="Arial"/>
                <w:sz w:val="22"/>
                <w:szCs w:val="22"/>
                <w:color w:val="auto"/>
              </w:rPr>
              <w:t>41</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0"/>
        </w:trPr>
        <w:tc>
          <w:tcPr>
            <w:tcW w:w="28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16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140" w:type="dxa"/>
            <w:vAlign w:val="bottom"/>
            <w:tcBorders>
              <w:bottom w:val="single" w:sz="8" w:color="C0C0C0"/>
            </w:tcBorders>
          </w:tcPr>
          <w:p>
            <w:pPr>
              <w:spacing w:after="0"/>
              <w:rPr>
                <w:sz w:val="20"/>
                <w:szCs w:val="20"/>
                <w:color w:val="auto"/>
              </w:rPr>
            </w:pPr>
          </w:p>
        </w:tc>
        <w:tc>
          <w:tcPr>
            <w:tcW w:w="16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4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Zafar Rizvi, certify that:</w:t>
      </w:r>
    </w:p>
    <w:p>
      <w:pPr>
        <w:spacing w:after="0" w:line="229" w:lineRule="exact"/>
        <w:rPr>
          <w:sz w:val="20"/>
          <w:szCs w:val="20"/>
          <w:color w:val="auto"/>
        </w:rPr>
      </w:pPr>
    </w:p>
    <w:p>
      <w:pPr>
        <w:ind w:left="1020" w:hanging="364"/>
        <w:spacing w:after="0"/>
        <w:tabs>
          <w:tab w:leader="none" w:pos="10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REX American Resources Corporation;</w:t>
      </w:r>
    </w:p>
    <w:p>
      <w:pPr>
        <w:spacing w:after="0" w:line="229" w:lineRule="exact"/>
        <w:rPr>
          <w:rFonts w:ascii="Arial" w:cs="Arial" w:eastAsia="Arial" w:hAnsi="Arial"/>
          <w:sz w:val="20"/>
          <w:szCs w:val="20"/>
          <w:color w:val="auto"/>
        </w:rPr>
      </w:pPr>
    </w:p>
    <w:p>
      <w:pPr>
        <w:ind w:right="60" w:firstLine="656"/>
        <w:spacing w:after="0" w:line="250" w:lineRule="auto"/>
        <w:tabs>
          <w:tab w:leader="none" w:pos="1017" w:val="left"/>
        </w:tabs>
        <w:numPr>
          <w:ilvl w:val="0"/>
          <w:numId w:val="1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right="340" w:firstLine="656"/>
        <w:spacing w:after="0" w:line="250" w:lineRule="auto"/>
        <w:tabs>
          <w:tab w:leader="none" w:pos="1017" w:val="left"/>
        </w:tabs>
        <w:numPr>
          <w:ilvl w:val="0"/>
          <w:numId w:val="1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right="40" w:firstLine="656"/>
        <w:spacing w:after="0" w:line="275" w:lineRule="auto"/>
        <w:tabs>
          <w:tab w:leader="none" w:pos="10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660" w:right="160" w:firstLine="333"/>
        <w:spacing w:after="0" w:line="291" w:lineRule="auto"/>
        <w:tabs>
          <w:tab w:leader="none" w:pos="13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660" w:right="40" w:firstLine="333"/>
        <w:spacing w:after="0" w:line="269" w:lineRule="auto"/>
        <w:tabs>
          <w:tab w:leader="none" w:pos="1353" w:val="left"/>
        </w:tabs>
        <w:numPr>
          <w:ilvl w:val="1"/>
          <w:numId w:val="1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ind w:left="660" w:right="40" w:firstLine="333"/>
        <w:spacing w:after="0" w:line="250" w:lineRule="auto"/>
        <w:tabs>
          <w:tab w:leader="none" w:pos="1374" w:val="left"/>
        </w:tabs>
        <w:numPr>
          <w:ilvl w:val="1"/>
          <w:numId w:val="1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660" w:firstLine="333"/>
        <w:spacing w:after="0" w:line="269" w:lineRule="auto"/>
        <w:tabs>
          <w:tab w:leader="none" w:pos="1353" w:val="left"/>
        </w:tabs>
        <w:numPr>
          <w:ilvl w:val="1"/>
          <w:numId w:val="1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jc w:val="both"/>
        <w:ind w:left="-656" w:right="540" w:firstLine="656"/>
        <w:spacing w:after="0" w:line="250" w:lineRule="auto"/>
        <w:tabs>
          <w:tab w:leader="none" w:pos="36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4" w:firstLine="333"/>
        <w:spacing w:after="0" w:line="250" w:lineRule="auto"/>
        <w:tabs>
          <w:tab w:leader="none" w:pos="718" w:val="left"/>
        </w:tabs>
        <w:numPr>
          <w:ilvl w:val="1"/>
          <w:numId w:val="1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4" w:right="640" w:firstLine="333"/>
        <w:spacing w:after="0" w:line="260" w:lineRule="auto"/>
        <w:tabs>
          <w:tab w:leader="none" w:pos="697" w:val="left"/>
        </w:tabs>
        <w:numPr>
          <w:ilvl w:val="1"/>
          <w:numId w:val="1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Date: September 2, 2020</w:t>
      </w:r>
    </w:p>
    <w:p>
      <w:pPr>
        <w:spacing w:after="0" w:line="229"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/s/ Zafar Rizvi</w:t>
      </w:r>
    </w:p>
    <w:p>
      <w:pPr>
        <w:spacing w:after="0" w:line="15"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Zafar Rizvi</w:t>
      </w:r>
    </w:p>
    <w:p>
      <w:pPr>
        <w:ind w:left="3884"/>
        <w:spacing w:after="0"/>
        <w:rPr>
          <w:sz w:val="20"/>
          <w:szCs w:val="20"/>
          <w:color w:val="auto"/>
        </w:rPr>
      </w:pPr>
      <w:r>
        <w:rPr>
          <w:rFonts w:ascii="Arial" w:cs="Arial" w:eastAsia="Arial" w:hAnsi="Arial"/>
          <w:sz w:val="20"/>
          <w:szCs w:val="20"/>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154305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865" w:right="39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Douglas L. Bruggeman, certify that:</w:t>
      </w:r>
    </w:p>
    <w:p>
      <w:pPr>
        <w:spacing w:after="0" w:line="229"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REX American Resources Corporation;</w:t>
      </w:r>
    </w:p>
    <w:p>
      <w:pPr>
        <w:spacing w:after="0" w:line="229" w:lineRule="exact"/>
        <w:rPr>
          <w:rFonts w:ascii="Arial" w:cs="Arial" w:eastAsia="Arial" w:hAnsi="Arial"/>
          <w:sz w:val="20"/>
          <w:szCs w:val="20"/>
          <w:color w:val="auto"/>
        </w:rPr>
      </w:pPr>
    </w:p>
    <w:p>
      <w:pPr>
        <w:ind w:right="60" w:firstLine="656"/>
        <w:spacing w:after="0" w:line="250" w:lineRule="auto"/>
        <w:tabs>
          <w:tab w:leader="none" w:pos="1017"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right="340" w:firstLine="656"/>
        <w:spacing w:after="0" w:line="250" w:lineRule="auto"/>
        <w:tabs>
          <w:tab w:leader="none" w:pos="1017"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right="40" w:firstLine="656"/>
        <w:spacing w:after="0" w:line="275" w:lineRule="auto"/>
        <w:tabs>
          <w:tab w:leader="none" w:pos="10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ind w:left="660" w:right="160" w:firstLine="333"/>
        <w:spacing w:after="0" w:line="291" w:lineRule="auto"/>
        <w:tabs>
          <w:tab w:leader="none" w:pos="12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660" w:right="40" w:firstLine="333"/>
        <w:spacing w:after="0" w:line="269" w:lineRule="auto"/>
        <w:tabs>
          <w:tab w:leader="none" w:pos="1277" w:val="left"/>
        </w:tabs>
        <w:numPr>
          <w:ilvl w:val="1"/>
          <w:numId w:val="1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ind w:left="660" w:right="100" w:firstLine="333"/>
        <w:spacing w:after="0" w:line="250" w:lineRule="auto"/>
        <w:tabs>
          <w:tab w:leader="none" w:pos="1266" w:val="left"/>
        </w:tabs>
        <w:numPr>
          <w:ilvl w:val="1"/>
          <w:numId w:val="1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280" w:hanging="287"/>
        <w:spacing w:after="0"/>
        <w:tabs>
          <w:tab w:leader="none" w:pos="1280" w:val="left"/>
        </w:tabs>
        <w:numPr>
          <w:ilvl w:val="1"/>
          <w:numId w:val="1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w:t>
      </w:r>
    </w:p>
    <w:p>
      <w:pPr>
        <w:spacing w:after="0" w:line="27" w:lineRule="exact"/>
        <w:rPr>
          <w:rFonts w:ascii="Arial" w:cs="Arial" w:eastAsia="Arial" w:hAnsi="Arial"/>
          <w:sz w:val="19"/>
          <w:szCs w:val="19"/>
          <w:color w:val="auto"/>
        </w:rPr>
      </w:pPr>
    </w:p>
    <w:p>
      <w:pPr>
        <w:ind w:left="660"/>
        <w:spacing w:after="0" w:line="269" w:lineRule="auto"/>
        <w:rPr>
          <w:rFonts w:ascii="Arial" w:cs="Arial" w:eastAsia="Arial" w:hAnsi="Arial"/>
          <w:sz w:val="19"/>
          <w:szCs w:val="19"/>
          <w:color w:val="auto"/>
        </w:rPr>
      </w:pPr>
      <w:r>
        <w:rPr>
          <w:rFonts w:ascii="Arial" w:cs="Arial" w:eastAsia="Arial" w:hAnsi="Arial"/>
          <w:sz w:val="19"/>
          <w:szCs w:val="19"/>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44" w:name="page45"/>
    <w:bookmarkEnd w:id="44"/>
    <w:p>
      <w:pPr>
        <w:jc w:val="both"/>
        <w:ind w:left="-656" w:right="540" w:firstLine="656"/>
        <w:spacing w:after="0" w:line="250" w:lineRule="auto"/>
        <w:tabs>
          <w:tab w:leader="none" w:pos="361"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4" w:firstLine="333"/>
        <w:spacing w:after="0" w:line="250" w:lineRule="auto"/>
        <w:tabs>
          <w:tab w:leader="none" w:pos="61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4" w:right="720" w:firstLine="333"/>
        <w:spacing w:after="0" w:line="260" w:lineRule="auto"/>
        <w:tabs>
          <w:tab w:leader="none" w:pos="621" w:val="left"/>
        </w:tabs>
        <w:numPr>
          <w:ilvl w:val="1"/>
          <w:numId w:val="1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Date: September 2, 2020</w:t>
      </w:r>
    </w:p>
    <w:p>
      <w:pPr>
        <w:spacing w:after="0" w:line="229"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/s/ Douglas L. Bruggeman</w:t>
      </w:r>
    </w:p>
    <w:p>
      <w:pPr>
        <w:spacing w:after="0" w:line="15"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Douglas L. Bruggeman</w:t>
      </w:r>
    </w:p>
    <w:p>
      <w:pPr>
        <w:ind w:left="3884"/>
        <w:spacing w:after="0"/>
        <w:rPr>
          <w:sz w:val="20"/>
          <w:szCs w:val="20"/>
          <w:color w:val="auto"/>
        </w:rPr>
      </w:pPr>
      <w:r>
        <w:rPr>
          <w:rFonts w:ascii="Arial" w:cs="Arial" w:eastAsia="Arial" w:hAnsi="Arial"/>
          <w:sz w:val="20"/>
          <w:szCs w:val="20"/>
          <w:i w:val="1"/>
          <w:iCs w:val="1"/>
          <w:color w:val="auto"/>
        </w:rPr>
        <w:t>Vice President, Finance, Treasurer and</w:t>
      </w:r>
    </w:p>
    <w:p>
      <w:pPr>
        <w:ind w:left="3884"/>
        <w:spacing w:after="0"/>
        <w:rPr>
          <w:sz w:val="20"/>
          <w:szCs w:val="20"/>
          <w:color w:val="auto"/>
        </w:rPr>
      </w:pPr>
      <w:r>
        <w:rPr>
          <w:rFonts w:ascii="Arial" w:cs="Arial" w:eastAsia="Arial" w:hAnsi="Arial"/>
          <w:sz w:val="20"/>
          <w:szCs w:val="20"/>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154305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636" w:right="39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REX American Resources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 AS ADOPTED BY SECTION 906 OF THE SARBANES-OXLEY</w:t>
      </w:r>
    </w:p>
    <w:p>
      <w:pPr>
        <w:jc w:val="center"/>
        <w:spacing w:after="0"/>
        <w:rPr>
          <w:sz w:val="20"/>
          <w:szCs w:val="20"/>
          <w:color w:val="auto"/>
        </w:rPr>
      </w:pPr>
      <w:r>
        <w:rPr>
          <w:rFonts w:ascii="Arial" w:cs="Arial" w:eastAsia="Arial" w:hAnsi="Arial"/>
          <w:sz w:val="20"/>
          <w:szCs w:val="20"/>
          <w:b w:val="1"/>
          <w:bCs w:val="1"/>
          <w:color w:val="auto"/>
        </w:rPr>
        <w:t>ACT OF 2002</w:t>
      </w:r>
    </w:p>
    <w:p>
      <w:pPr>
        <w:spacing w:after="0" w:line="21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9"/>
          <w:szCs w:val="19"/>
          <w:color w:val="auto"/>
        </w:rPr>
        <w:t>The undersigned officers of REX American Resources Corporation (the “Company”) hereby certify, to their knowledge, that the Company’s Quarterly Report on Form 10-Q for the period ended July 31</w:t>
      </w:r>
      <w:r>
        <w:rPr>
          <w:rFonts w:ascii="Arial" w:cs="Arial" w:eastAsia="Arial" w:hAnsi="Arial"/>
          <w:sz w:val="20"/>
          <w:szCs w:val="20"/>
          <w:color w:val="auto"/>
        </w:rPr>
        <w:t>,</w:t>
      </w:r>
      <w:r>
        <w:rPr>
          <w:rFonts w:ascii="Arial" w:cs="Arial" w:eastAsia="Arial" w:hAnsi="Arial"/>
          <w:sz w:val="19"/>
          <w:szCs w:val="19"/>
          <w:color w:val="auto"/>
        </w:rPr>
        <w:t xml:space="preserve"> 2020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/s/Zafar Rizvi</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Zafar Rizvi</w:t>
      </w:r>
    </w:p>
    <w:p>
      <w:pPr>
        <w:spacing w:after="0"/>
        <w:rPr>
          <w:sz w:val="20"/>
          <w:szCs w:val="20"/>
          <w:color w:val="auto"/>
        </w:rPr>
      </w:pPr>
      <w:r>
        <w:rPr>
          <w:rFonts w:ascii="Arial" w:cs="Arial" w:eastAsia="Arial" w:hAnsi="Arial"/>
          <w:sz w:val="20"/>
          <w:szCs w:val="20"/>
          <w:i w:val="1"/>
          <w:iCs w:val="1"/>
          <w:color w:val="auto"/>
        </w:rPr>
        <w:t>Chief Executive Officer and President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Douglas L. Bruggeman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Douglas L. Bruggeman</w:t>
      </w:r>
    </w:p>
    <w:p>
      <w:pPr>
        <w:spacing w:after="0"/>
        <w:rPr>
          <w:sz w:val="20"/>
          <w:szCs w:val="20"/>
          <w:color w:val="auto"/>
        </w:rPr>
      </w:pPr>
      <w:r>
        <w:rPr>
          <w:rFonts w:ascii="Arial" w:cs="Arial" w:eastAsia="Arial" w:hAnsi="Arial"/>
          <w:sz w:val="20"/>
          <w:szCs w:val="20"/>
          <w:i w:val="1"/>
          <w:iCs w:val="1"/>
          <w:color w:val="auto"/>
        </w:rPr>
        <w:t>Vice President, Finance, Treasurer and</w:t>
      </w:r>
    </w:p>
    <w:p>
      <w:pPr>
        <w:spacing w:after="0"/>
        <w:rPr>
          <w:sz w:val="20"/>
          <w:szCs w:val="20"/>
          <w:color w:val="auto"/>
        </w:rPr>
      </w:pPr>
      <w:r>
        <w:rPr>
          <w:rFonts w:ascii="Arial" w:cs="Arial" w:eastAsia="Arial" w:hAnsi="Arial"/>
          <w:sz w:val="20"/>
          <w:szCs w:val="20"/>
          <w:i w:val="1"/>
          <w:iCs w:val="1"/>
          <w:color w:val="auto"/>
        </w:rPr>
        <w:t>Chief Financial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5"/>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2020-09-02T13:53:42Z</dcterms:created>
  <dcterms:modified xsi:type="dcterms:W3CDTF">2020-09-02T13:53:42Z</dcterms:modified>
</cp:coreProperties>
</file>